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3FF15" w14:textId="07C052A9" w:rsidR="00595857" w:rsidRPr="00690BBF" w:rsidRDefault="00702499" w:rsidP="00791419">
      <w:pPr>
        <w:tabs>
          <w:tab w:val="center" w:pos="5400"/>
          <w:tab w:val="right" w:pos="9360"/>
          <w:tab w:val="left" w:pos="10110"/>
        </w:tabs>
        <w:rPr>
          <w:b/>
          <w:color w:val="FF0000"/>
          <w:sz w:val="16"/>
          <w:szCs w:val="16"/>
        </w:rPr>
      </w:pPr>
      <w:r>
        <w:rPr>
          <w:b/>
          <w:color w:val="FF0000"/>
          <w:szCs w:val="18"/>
        </w:rPr>
        <w:tab/>
      </w:r>
      <w:r>
        <w:rPr>
          <w:b/>
          <w:noProof/>
          <w:sz w:val="16"/>
          <w:szCs w:val="16"/>
        </w:rPr>
        <mc:AlternateContent>
          <mc:Choice Requires="wps">
            <w:drawing>
              <wp:anchor distT="0" distB="0" distL="0" distR="0" simplePos="0" relativeHeight="251662336" behindDoc="1" locked="0" layoutInCell="1" allowOverlap="1" wp14:anchorId="77CDA0F7" wp14:editId="1B7BBC3A">
                <wp:simplePos x="0" y="0"/>
                <wp:positionH relativeFrom="leftMargin">
                  <wp:align>right</wp:align>
                </wp:positionH>
                <wp:positionV relativeFrom="paragraph">
                  <wp:posOffset>-139065</wp:posOffset>
                </wp:positionV>
                <wp:extent cx="432435" cy="9524365"/>
                <wp:effectExtent l="0" t="0" r="571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952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77067" w14:textId="2490A30B" w:rsidR="00A60A90" w:rsidRDefault="00A60A90" w:rsidP="00595857">
                            <w:pPr>
                              <w:rPr>
                                <w:color w:val="FF0000"/>
                                <w:sz w:val="15"/>
                                <w:szCs w:val="15"/>
                              </w:rPr>
                            </w:pPr>
                            <w:r>
                              <w:rPr>
                                <w:color w:val="FF0000"/>
                                <w:sz w:val="15"/>
                                <w:szCs w:val="15"/>
                              </w:rPr>
                              <w:t>This Preliminary Official Statement and the information contained herein are subject to completion or amendment. Under no circumstances shall this Preliminary Official Statement constitute an offer to sell or the solicitation of an offer to buy, nor shall there be any sale of the securities, in any jurisdiction in which such offer, solicitation or sale would be unlawful prior to registration or qualification under the securities laws of such jurisdiction.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DA0F7" id="_x0000_t202" coordsize="21600,21600" o:spt="202" path="m,l,21600r21600,l21600,xe">
                <v:stroke joinstyle="miter"/>
                <v:path gradientshapeok="t" o:connecttype="rect"/>
              </v:shapetype>
              <v:shape id="Text Box 4" o:spid="_x0000_s1026" type="#_x0000_t202" style="position:absolute;margin-left:-17.15pt;margin-top:-10.95pt;width:34.05pt;height:749.95pt;z-index:-251654144;visibility:visible;mso-wrap-style:square;mso-width-percent:0;mso-height-percent:0;mso-wrap-distance-left:0;mso-wrap-distance-top:0;mso-wrap-distance-right:0;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" stroked="f">
                <v:textbox style="layout-flow:vertical;mso-layout-flow-alt:bottom-to-top">
                  <w:txbxContent>
                    <w:p w14:paraId="17477067" w14:textId="2490A30B" w:rsidR="00A60A90" w:rsidRDefault="00A60A90" w:rsidP="00595857">
                      <w:pPr>
                        <w:rPr>
                          <w:color w:val="FF0000"/>
                          <w:sz w:val="15"/>
                          <w:szCs w:val="15"/>
                        </w:rPr>
                      </w:pPr>
                      <w:r>
                        <w:rPr>
                          <w:color w:val="FF0000"/>
                          <w:sz w:val="15"/>
                          <w:szCs w:val="15"/>
                        </w:rPr>
                        <w:t>This Preliminary Official Statement and the information contained herein are subject to completion or amendment. Under no circumstances shall this Preliminary Official Statement constitute an offer to sell or the solicitation of an offer to buy, nor shall there be any sale of the securities, in any jurisdiction in which such offer, solicitation or sale would be unlawful prior to registration or qualification under the securities laws of such jurisdiction.</w:t>
                      </w:r>
                    </w:p>
                  </w:txbxContent>
                </v:textbox>
                <w10:wrap anchorx="margin"/>
              </v:shape>
            </w:pict>
          </mc:Fallback>
        </mc:AlternateContent>
      </w:r>
      <w:r>
        <w:rPr>
          <w:b/>
          <w:color w:val="FF0000"/>
          <w:sz w:val="16"/>
          <w:szCs w:val="16"/>
        </w:rPr>
        <w:t>PRELIMINARY OFFICIAL STATEMENT DATED [__________], 2026</w:t>
      </w:r>
    </w:p>
    <w:p w14:paraId="19AED838" w14:textId="1C99566D" w:rsidR="0075493D" w:rsidRPr="00791419" w:rsidRDefault="003904FF" w:rsidP="002412B9">
      <w:pPr>
        <w:tabs>
          <w:tab w:val="right" w:pos="10800"/>
        </w:tabs>
        <w:rPr>
          <w:b/>
          <w:sz w:val="15"/>
          <w:szCs w:val="15"/>
        </w:rPr>
      </w:pPr>
      <w:r>
        <w:rPr>
          <w:b/>
          <w:sz w:val="15"/>
          <w:szCs w:val="15"/>
        </w:rPr>
        <w:t>NEW ISSUE</w:t>
      </w:r>
      <w:r>
        <w:rPr>
          <w:b/>
          <w:sz w:val="15"/>
          <w:szCs w:val="15"/>
        </w:rPr>
        <w:tab/>
        <w:t>NOT RATED</w:t>
      </w:r>
    </w:p>
    <w:p w14:paraId="63A9AEEA" w14:textId="77777777" w:rsidR="0075493D" w:rsidRPr="00791419" w:rsidRDefault="003904FF" w:rsidP="00955920">
      <w:pPr>
        <w:spacing w:after="80"/>
        <w:rPr>
          <w:b/>
          <w:sz w:val="15"/>
          <w:szCs w:val="15"/>
        </w:rPr>
      </w:pPr>
      <w:r>
        <w:rPr>
          <w:b/>
          <w:sz w:val="15"/>
          <w:szCs w:val="15"/>
        </w:rPr>
        <w:t>BOOK-ENTRY-ONLY</w:t>
      </w:r>
    </w:p>
    <w:p w14:paraId="7FA82749" w14:textId="07EDF818" w:rsidR="0075493D" w:rsidRPr="00791419" w:rsidRDefault="004B5D31" w:rsidP="00955920">
      <w:pPr>
        <w:pStyle w:val="00BodyText5"/>
        <w:spacing w:after="80"/>
        <w:rPr>
          <w:i/>
          <w:sz w:val="15"/>
          <w:szCs w:val="15"/>
        </w:rPr>
      </w:pPr>
      <w:r>
        <w:rPr>
          <w:i/>
          <w:sz w:val="15"/>
          <w:szCs w:val="15"/>
        </w:rPr>
        <w:t xml:space="preserve">In the opinion of Gilmore &amp; Bell, P.C., Bond Counsel to the District, under existing law and assuming continued compliance with certain requirements of the Internal Revenue Code of 1986, as amended, the interest on the Bonds (including any original issue discount properly allocable to an owner thereof) is excludable from gross income for federal income tax purposes, and is not an item of tax preference for </w:t>
      </w:r>
      <w:r w:rsidR="000E6F29">
        <w:rPr>
          <w:i/>
          <w:sz w:val="15"/>
          <w:szCs w:val="15"/>
        </w:rPr>
        <w:t>purposes</w:t>
      </w:r>
      <w:r>
        <w:rPr>
          <w:i/>
          <w:sz w:val="15"/>
          <w:szCs w:val="15"/>
        </w:rPr>
        <w:t xml:space="preserve"> of the federal alternative minimum tax. Bond Counsel is also of the opinion that the interest on the Bonds is exempt from State of Utah individual income taxes. Bond Counsel notes that interest on the Bonds may be included in adjusted financial statement income of applicable corporations for purposes of determining the applicability and amount of the federal corporate alternative minimum tax. See “TAX MATTERS” in this Official Statement.</w:t>
      </w:r>
    </w:p>
    <w:tbl>
      <w:tblPr>
        <w:tblW w:w="4833" w:type="pct"/>
        <w:jc w:val="center"/>
        <w:tblLook w:val="04A0" w:firstRow="1" w:lastRow="0" w:firstColumn="1" w:lastColumn="0" w:noHBand="0" w:noVBand="1"/>
      </w:tblPr>
      <w:tblGrid>
        <w:gridCol w:w="10439"/>
      </w:tblGrid>
      <w:tr w:rsidR="00521F29" w:rsidRPr="000115FF" w14:paraId="7B5B4A63" w14:textId="77777777" w:rsidTr="00521F29">
        <w:trPr>
          <w:trHeight w:val="270"/>
          <w:jc w:val="center"/>
        </w:trPr>
        <w:tc>
          <w:tcPr>
            <w:tcW w:w="5000" w:type="pct"/>
          </w:tcPr>
          <w:p w14:paraId="2B086018" w14:textId="5BB50078" w:rsidR="00521F29" w:rsidRPr="00791419" w:rsidRDefault="00521F29" w:rsidP="008C3E13">
            <w:pPr>
              <w:jc w:val="center"/>
              <w:rPr>
                <w:b/>
                <w:sz w:val="22"/>
                <w:szCs w:val="22"/>
              </w:rPr>
            </w:pPr>
            <w:bookmarkStart w:id="0" w:name="_Hlk157975504"/>
            <w:r>
              <w:rPr>
                <w:b/>
                <w:sz w:val="22"/>
                <w:szCs w:val="22"/>
              </w:rPr>
              <w:t>OLYMPIA PUBLIC INFRASTRUCTURE DISTRICT NO. 2</w:t>
            </w:r>
          </w:p>
        </w:tc>
      </w:tr>
      <w:tr w:rsidR="009C7A81" w:rsidRPr="000115FF" w14:paraId="1822BE05" w14:textId="77777777" w:rsidTr="009C7A81">
        <w:trPr>
          <w:trHeight w:val="270"/>
          <w:jc w:val="center"/>
        </w:trPr>
        <w:tc>
          <w:tcPr>
            <w:tcW w:w="5000" w:type="pct"/>
          </w:tcPr>
          <w:tbl>
            <w:tblPr>
              <w:tblW w:w="4833" w:type="pct"/>
              <w:jc w:val="center"/>
              <w:tblLook w:val="04A0" w:firstRow="1" w:lastRow="0" w:firstColumn="1" w:lastColumn="0" w:noHBand="0" w:noVBand="1"/>
            </w:tblPr>
            <w:tblGrid>
              <w:gridCol w:w="3634"/>
              <w:gridCol w:w="2951"/>
              <w:gridCol w:w="3297"/>
            </w:tblGrid>
            <w:tr w:rsidR="00427A8B" w:rsidRPr="000115FF" w14:paraId="1CEF0230" w14:textId="77777777" w:rsidTr="004B291E">
              <w:trPr>
                <w:trHeight w:val="909"/>
                <w:jc w:val="center"/>
              </w:trPr>
              <w:tc>
                <w:tcPr>
                  <w:tcW w:w="1839" w:type="pct"/>
                </w:tcPr>
                <w:p w14:paraId="0A20A186" w14:textId="77777777" w:rsidR="00427A8B" w:rsidRPr="00427A8B" w:rsidRDefault="00427A8B" w:rsidP="00427A8B">
                  <w:pPr>
                    <w:jc w:val="center"/>
                    <w:rPr>
                      <w:rFonts w:eastAsia="Arial"/>
                      <w:b/>
                      <w:position w:val="1"/>
                      <w:sz w:val="18"/>
                      <w:szCs w:val="18"/>
                    </w:rPr>
                  </w:pPr>
                  <w:bookmarkStart w:id="1" w:name="_Hlk157974808"/>
                  <w:r w:rsidRPr="00427A8B">
                    <w:rPr>
                      <w:b/>
                      <w:sz w:val="18"/>
                      <w:szCs w:val="18"/>
                    </w:rPr>
                    <w:t>$[PAR A-1]</w:t>
                  </w:r>
                </w:p>
                <w:p w14:paraId="20E139EB" w14:textId="77777777" w:rsidR="00427A8B" w:rsidRPr="00427A8B" w:rsidRDefault="00427A8B" w:rsidP="00427A8B">
                  <w:pPr>
                    <w:jc w:val="center"/>
                    <w:rPr>
                      <w:rFonts w:eastAsia="Arial"/>
                      <w:b/>
                      <w:position w:val="1"/>
                      <w:sz w:val="18"/>
                      <w:szCs w:val="18"/>
                    </w:rPr>
                  </w:pPr>
                  <w:r w:rsidRPr="00427A8B">
                    <w:rPr>
                      <w:rFonts w:eastAsia="Arial"/>
                      <w:b/>
                      <w:position w:val="1"/>
                      <w:sz w:val="18"/>
                      <w:szCs w:val="18"/>
                    </w:rPr>
                    <w:t xml:space="preserve">LIMITED TAX </w:t>
                  </w:r>
                  <w:r w:rsidRPr="00427A8B">
                    <w:rPr>
                      <w:rFonts w:eastAsia="Arial"/>
                      <w:b/>
                      <w:position w:val="1"/>
                      <w:sz w:val="18"/>
                      <w:szCs w:val="18"/>
                    </w:rPr>
                    <w:br/>
                    <w:t>GENERAL OBLIGATION BONDS,</w:t>
                  </w:r>
                </w:p>
                <w:p w14:paraId="7B77B499" w14:textId="77777777" w:rsidR="00427A8B" w:rsidRPr="00427A8B" w:rsidRDefault="00427A8B" w:rsidP="00427A8B">
                  <w:pPr>
                    <w:jc w:val="center"/>
                    <w:rPr>
                      <w:rFonts w:eastAsia="Arial"/>
                      <w:b/>
                      <w:position w:val="1"/>
                      <w:sz w:val="18"/>
                      <w:szCs w:val="18"/>
                    </w:rPr>
                  </w:pPr>
                  <w:r w:rsidRPr="00427A8B">
                    <w:rPr>
                      <w:rFonts w:eastAsia="Arial"/>
                      <w:b/>
                      <w:position w:val="1"/>
                      <w:sz w:val="18"/>
                      <w:szCs w:val="18"/>
                    </w:rPr>
                    <w:t>SERIES 2026A-1</w:t>
                  </w:r>
                </w:p>
              </w:tc>
              <w:tc>
                <w:tcPr>
                  <w:tcW w:w="1493" w:type="pct"/>
                </w:tcPr>
                <w:p w14:paraId="3A5855AE" w14:textId="77777777" w:rsidR="00427A8B" w:rsidRPr="00427A8B" w:rsidRDefault="00427A8B" w:rsidP="00427A8B">
                  <w:pPr>
                    <w:jc w:val="center"/>
                    <w:rPr>
                      <w:b/>
                      <w:sz w:val="18"/>
                      <w:szCs w:val="18"/>
                    </w:rPr>
                  </w:pPr>
                  <w:r w:rsidRPr="00427A8B">
                    <w:rPr>
                      <w:b/>
                      <w:sz w:val="18"/>
                      <w:szCs w:val="18"/>
                    </w:rPr>
                    <w:t>$[PAR A-2]</w:t>
                  </w:r>
                </w:p>
                <w:p w14:paraId="69DBD70A" w14:textId="77777777" w:rsidR="00427A8B" w:rsidRPr="00427A8B" w:rsidRDefault="00427A8B" w:rsidP="00427A8B">
                  <w:pPr>
                    <w:jc w:val="center"/>
                    <w:rPr>
                      <w:sz w:val="18"/>
                      <w:szCs w:val="18"/>
                    </w:rPr>
                  </w:pPr>
                  <w:r w:rsidRPr="00427A8B">
                    <w:rPr>
                      <w:b/>
                      <w:sz w:val="18"/>
                      <w:szCs w:val="18"/>
                    </w:rPr>
                    <w:t xml:space="preserve">SPECIAL REVENUE BONDS, </w:t>
                  </w:r>
                  <w:r w:rsidRPr="00427A8B">
                    <w:rPr>
                      <w:b/>
                      <w:sz w:val="18"/>
                      <w:szCs w:val="18"/>
                    </w:rPr>
                    <w:br/>
                    <w:t>SERIES 2026A-2</w:t>
                  </w:r>
                </w:p>
              </w:tc>
              <w:tc>
                <w:tcPr>
                  <w:tcW w:w="1668" w:type="pct"/>
                </w:tcPr>
                <w:p w14:paraId="31D58AE0" w14:textId="77777777" w:rsidR="00427A8B" w:rsidRPr="00427A8B" w:rsidRDefault="00427A8B" w:rsidP="00427A8B">
                  <w:pPr>
                    <w:jc w:val="center"/>
                    <w:rPr>
                      <w:b/>
                      <w:sz w:val="18"/>
                      <w:szCs w:val="18"/>
                    </w:rPr>
                  </w:pPr>
                  <w:r w:rsidRPr="00427A8B">
                    <w:rPr>
                      <w:b/>
                      <w:sz w:val="18"/>
                      <w:szCs w:val="18"/>
                    </w:rPr>
                    <w:t>$[PAR B]</w:t>
                  </w:r>
                </w:p>
                <w:p w14:paraId="683D90F5" w14:textId="77777777" w:rsidR="00427A8B" w:rsidRPr="00427A8B" w:rsidRDefault="00427A8B" w:rsidP="00427A8B">
                  <w:pPr>
                    <w:jc w:val="center"/>
                    <w:rPr>
                      <w:b/>
                      <w:sz w:val="18"/>
                      <w:szCs w:val="18"/>
                    </w:rPr>
                  </w:pPr>
                  <w:r w:rsidRPr="00427A8B">
                    <w:rPr>
                      <w:b/>
                      <w:sz w:val="18"/>
                      <w:szCs w:val="18"/>
                    </w:rPr>
                    <w:t>SUBORDINATE LIMITED TAX GENERAL OBLIGATION BONDS,</w:t>
                  </w:r>
                  <w:r w:rsidRPr="00427A8B">
                    <w:rPr>
                      <w:b/>
                      <w:sz w:val="18"/>
                      <w:szCs w:val="18"/>
                    </w:rPr>
                    <w:br/>
                    <w:t>SERIES 2026B</w:t>
                  </w:r>
                </w:p>
              </w:tc>
            </w:tr>
          </w:tbl>
          <w:p w14:paraId="466E7F9F" w14:textId="391C854D" w:rsidR="009C7A81" w:rsidRPr="00791419" w:rsidRDefault="009C7A81" w:rsidP="006B06A9">
            <w:pPr>
              <w:jc w:val="center"/>
              <w:rPr>
                <w:sz w:val="24"/>
              </w:rPr>
            </w:pPr>
          </w:p>
        </w:tc>
      </w:tr>
    </w:tbl>
    <w:bookmarkEnd w:id="0"/>
    <w:bookmarkEnd w:id="1"/>
    <w:p w14:paraId="45878BEE" w14:textId="1632AD19" w:rsidR="000D0FD8" w:rsidRPr="00791419" w:rsidRDefault="000D0FD8" w:rsidP="00690BBF">
      <w:pPr>
        <w:tabs>
          <w:tab w:val="left" w:pos="8820"/>
          <w:tab w:val="right" w:pos="10800"/>
        </w:tabs>
        <w:spacing w:after="80"/>
        <w:rPr>
          <w:b/>
          <w:sz w:val="15"/>
          <w:szCs w:val="15"/>
        </w:rPr>
      </w:pPr>
      <w:r>
        <w:rPr>
          <w:b/>
          <w:sz w:val="15"/>
          <w:szCs w:val="15"/>
        </w:rPr>
        <w:t>Dated: Date of Delivery</w:t>
      </w:r>
      <w:r>
        <w:rPr>
          <w:b/>
          <w:sz w:val="15"/>
          <w:szCs w:val="15"/>
        </w:rPr>
        <w:tab/>
        <w:t>Due: As shown on inside cover</w:t>
      </w:r>
    </w:p>
    <w:p w14:paraId="1E3AB2B6" w14:textId="6C37D2FC" w:rsidR="0075493D" w:rsidRPr="00791419" w:rsidRDefault="00C13B74" w:rsidP="0083162E">
      <w:pPr>
        <w:pStyle w:val="00BodyText5"/>
        <w:spacing w:after="80"/>
        <w:rPr>
          <w:sz w:val="15"/>
          <w:szCs w:val="15"/>
        </w:rPr>
      </w:pPr>
      <w:bookmarkStart w:id="2" w:name="_Hlk71731532"/>
      <w:r>
        <w:rPr>
          <w:sz w:val="15"/>
          <w:szCs w:val="15"/>
        </w:rPr>
        <w:t>Olympia Public Infrastructure District No. 2 (the “</w:t>
      </w:r>
      <w:r>
        <w:rPr>
          <w:b/>
          <w:sz w:val="15"/>
          <w:szCs w:val="15"/>
        </w:rPr>
        <w:t>District</w:t>
      </w:r>
      <w:r>
        <w:rPr>
          <w:sz w:val="15"/>
          <w:szCs w:val="15"/>
        </w:rPr>
        <w:t>”)</w:t>
      </w:r>
      <w:bookmarkEnd w:id="2"/>
      <w:r>
        <w:rPr>
          <w:sz w:val="15"/>
          <w:szCs w:val="15"/>
        </w:rPr>
        <w:t xml:space="preserve"> is issuing its (a) </w:t>
      </w:r>
      <w:bookmarkStart w:id="3" w:name="_Hlk71731641"/>
      <w:r>
        <w:rPr>
          <w:sz w:val="15"/>
          <w:szCs w:val="15"/>
        </w:rPr>
        <w:t>Limited Tax General Obligation Bonds, Series 2026A-1 (the “</w:t>
      </w:r>
      <w:r w:rsidR="00787226">
        <w:rPr>
          <w:b/>
          <w:sz w:val="15"/>
          <w:szCs w:val="15"/>
        </w:rPr>
        <w:t>2026A-1 Senior LT Bond</w:t>
      </w:r>
      <w:r>
        <w:rPr>
          <w:b/>
          <w:sz w:val="15"/>
          <w:szCs w:val="15"/>
        </w:rPr>
        <w:t>s</w:t>
      </w:r>
      <w:r>
        <w:rPr>
          <w:sz w:val="15"/>
          <w:szCs w:val="15"/>
        </w:rPr>
        <w:t>”)</w:t>
      </w:r>
      <w:bookmarkEnd w:id="3"/>
      <w:r>
        <w:rPr>
          <w:sz w:val="15"/>
          <w:szCs w:val="15"/>
        </w:rPr>
        <w:t>, pursuant to an Indenture of Trust (Senior) to be dated as of [INDENTURE MONTH] 1, 2026 (the “</w:t>
      </w:r>
      <w:r w:rsidR="000F65D0" w:rsidRPr="00095DAE">
        <w:rPr>
          <w:b/>
          <w:sz w:val="15"/>
          <w:szCs w:val="15"/>
        </w:rPr>
        <w:t xml:space="preserve">Senior </w:t>
      </w:r>
      <w:r>
        <w:rPr>
          <w:b/>
          <w:sz w:val="15"/>
          <w:szCs w:val="15"/>
        </w:rPr>
        <w:t>LT Indenture</w:t>
      </w:r>
      <w:r>
        <w:rPr>
          <w:sz w:val="15"/>
          <w:szCs w:val="15"/>
        </w:rPr>
        <w:t>”) between the District and Zions Bancorporation, National Association, as trustee (the “</w:t>
      </w:r>
      <w:r>
        <w:rPr>
          <w:b/>
          <w:sz w:val="15"/>
          <w:szCs w:val="15"/>
        </w:rPr>
        <w:t>Trustee</w:t>
      </w:r>
      <w:r>
        <w:rPr>
          <w:sz w:val="15"/>
          <w:szCs w:val="15"/>
        </w:rPr>
        <w:t>”)</w:t>
      </w:r>
      <w:r w:rsidR="00787226">
        <w:rPr>
          <w:sz w:val="15"/>
          <w:szCs w:val="15"/>
        </w:rPr>
        <w:t>,</w:t>
      </w:r>
      <w:r>
        <w:rPr>
          <w:sz w:val="15"/>
          <w:szCs w:val="15"/>
        </w:rPr>
        <w:t xml:space="preserve"> (b) </w:t>
      </w:r>
      <w:bookmarkStart w:id="4" w:name="_Hlk164324480"/>
      <w:r>
        <w:rPr>
          <w:sz w:val="15"/>
          <w:szCs w:val="15"/>
        </w:rPr>
        <w:t>Special Revenue Bonds, Series 2026A-2 (the “</w:t>
      </w:r>
      <w:r>
        <w:rPr>
          <w:b/>
          <w:sz w:val="15"/>
          <w:szCs w:val="15"/>
        </w:rPr>
        <w:t>2026A-2 SR Bonds</w:t>
      </w:r>
      <w:r>
        <w:rPr>
          <w:sz w:val="15"/>
          <w:szCs w:val="15"/>
        </w:rPr>
        <w:t>”)</w:t>
      </w:r>
      <w:bookmarkEnd w:id="4"/>
      <w:r>
        <w:rPr>
          <w:sz w:val="15"/>
          <w:szCs w:val="15"/>
        </w:rPr>
        <w:t>, pursuant to an Indenture of Trust (Special Revenue) to be dated as of [INDENTURE MONTH] 1, 2026 (the “</w:t>
      </w:r>
      <w:r>
        <w:rPr>
          <w:b/>
          <w:sz w:val="15"/>
          <w:szCs w:val="15"/>
        </w:rPr>
        <w:t>SR Indenture</w:t>
      </w:r>
      <w:r>
        <w:rPr>
          <w:sz w:val="15"/>
          <w:szCs w:val="15"/>
        </w:rPr>
        <w:t>”) between the District and the Trustee, as trustee</w:t>
      </w:r>
      <w:r w:rsidR="00787226">
        <w:rPr>
          <w:sz w:val="15"/>
          <w:szCs w:val="15"/>
        </w:rPr>
        <w:t>,</w:t>
      </w:r>
      <w:r w:rsidR="00787226" w:rsidRPr="00787226">
        <w:rPr>
          <w:sz w:val="15"/>
          <w:szCs w:val="15"/>
        </w:rPr>
        <w:t xml:space="preserve"> and (c) </w:t>
      </w:r>
      <w:bookmarkStart w:id="5" w:name="_Hlk71731662"/>
      <w:r w:rsidR="00787226" w:rsidRPr="00787226">
        <w:rPr>
          <w:sz w:val="15"/>
          <w:szCs w:val="15"/>
        </w:rPr>
        <w:t>Subordinate Limited Tax General Obligation Bonds, Series 2026B (the “</w:t>
      </w:r>
      <w:r w:rsidR="00787226" w:rsidRPr="00787226">
        <w:rPr>
          <w:b/>
          <w:sz w:val="15"/>
          <w:szCs w:val="15"/>
        </w:rPr>
        <w:t>2026B Subordinate LT Bonds</w:t>
      </w:r>
      <w:r w:rsidR="00787226" w:rsidRPr="00787226">
        <w:rPr>
          <w:sz w:val="15"/>
          <w:szCs w:val="15"/>
        </w:rPr>
        <w:t>”</w:t>
      </w:r>
      <w:bookmarkEnd w:id="5"/>
      <w:r w:rsidR="00787226" w:rsidRPr="00787226">
        <w:rPr>
          <w:sz w:val="15"/>
          <w:szCs w:val="15"/>
        </w:rPr>
        <w:t xml:space="preserve"> and, together with the 2026A-1 Senior LT Bonds, the “</w:t>
      </w:r>
      <w:r w:rsidR="00787226" w:rsidRPr="00787226">
        <w:rPr>
          <w:b/>
          <w:sz w:val="15"/>
          <w:szCs w:val="15"/>
        </w:rPr>
        <w:t>LT Bonds</w:t>
      </w:r>
      <w:r w:rsidR="00787226" w:rsidRPr="00787226">
        <w:rPr>
          <w:sz w:val="15"/>
          <w:szCs w:val="15"/>
        </w:rPr>
        <w:t>”) pursuant to an Indenture of Trust (Subordinate) to be dated as of [</w:t>
      </w:r>
      <w:r w:rsidR="00110E37" w:rsidRPr="00787226">
        <w:rPr>
          <w:sz w:val="15"/>
          <w:szCs w:val="15"/>
        </w:rPr>
        <w:t>INDENTURE MONTH</w:t>
      </w:r>
      <w:r w:rsidR="00787226" w:rsidRPr="00787226">
        <w:rPr>
          <w:sz w:val="15"/>
          <w:szCs w:val="15"/>
        </w:rPr>
        <w:t>] 1, 2026 (the “</w:t>
      </w:r>
      <w:r w:rsidR="00787226" w:rsidRPr="00787226">
        <w:rPr>
          <w:b/>
          <w:sz w:val="15"/>
          <w:szCs w:val="15"/>
        </w:rPr>
        <w:t>Subordinate LT Indenture</w:t>
      </w:r>
      <w:r w:rsidR="00787226" w:rsidRPr="00787226">
        <w:rPr>
          <w:sz w:val="15"/>
          <w:szCs w:val="15"/>
        </w:rPr>
        <w:t>” and, together with the Senior LT Indenture, the “</w:t>
      </w:r>
      <w:r w:rsidR="00787226" w:rsidRPr="00787226">
        <w:rPr>
          <w:b/>
          <w:sz w:val="15"/>
          <w:szCs w:val="15"/>
        </w:rPr>
        <w:t>LT Indentures</w:t>
      </w:r>
      <w:r w:rsidR="00787226" w:rsidRPr="00787226">
        <w:rPr>
          <w:sz w:val="15"/>
          <w:szCs w:val="15"/>
        </w:rPr>
        <w:t>”), between the District and the Trustee, as trustee for the 2026B Subordinate LT Bonds. The 2026A-1 Senior LT Bonds, the 2026A-2 SR Bonds, and the 2026B Subordinate LT Bonds are collectively referred to herein as the “</w:t>
      </w:r>
      <w:r w:rsidR="00787226" w:rsidRPr="00787226">
        <w:rPr>
          <w:b/>
          <w:sz w:val="15"/>
          <w:szCs w:val="15"/>
        </w:rPr>
        <w:t>Bonds</w:t>
      </w:r>
      <w:r w:rsidR="00787226" w:rsidRPr="00787226">
        <w:rPr>
          <w:sz w:val="15"/>
          <w:szCs w:val="15"/>
        </w:rPr>
        <w:t>” and the Senior LT Indenture, the SR Indenture, and the Subordinate LT Indenture are collectively referred to herein as the “</w:t>
      </w:r>
      <w:r w:rsidR="00787226" w:rsidRPr="00787226">
        <w:rPr>
          <w:b/>
          <w:sz w:val="15"/>
          <w:szCs w:val="15"/>
        </w:rPr>
        <w:t>Indentures</w:t>
      </w:r>
      <w:r w:rsidR="00787226" w:rsidRPr="00787226">
        <w:rPr>
          <w:sz w:val="15"/>
          <w:szCs w:val="15"/>
        </w:rPr>
        <w:t>.”</w:t>
      </w:r>
      <w:r>
        <w:rPr>
          <w:sz w:val="15"/>
          <w:szCs w:val="15"/>
        </w:rPr>
        <w:t xml:space="preserve"> The Trustee will also act as Registrar and Paying Agent for the Bonds. DTC will act as securities depository for the Bonds. The Bonds will be issued in book-entry-only form and purchasers of the Bonds will not receive certificates evidencing their ownership interests in the Bonds. Capitalized terms used on the cover page of this Official Statement are defined in the Introduction herein or in APPENDIX C—SELECTED DEFINITIONS hereto.</w:t>
      </w:r>
    </w:p>
    <w:p w14:paraId="1AF5F0D9" w14:textId="47D01732" w:rsidR="000540C9" w:rsidRPr="00791419" w:rsidRDefault="003904FF" w:rsidP="00717E1B">
      <w:pPr>
        <w:pStyle w:val="00BodyText5"/>
        <w:spacing w:after="80"/>
        <w:rPr>
          <w:sz w:val="15"/>
          <w:szCs w:val="15"/>
        </w:rPr>
      </w:pPr>
      <w:r>
        <w:rPr>
          <w:sz w:val="15"/>
          <w:szCs w:val="15"/>
        </w:rPr>
        <w:t xml:space="preserve">The </w:t>
      </w:r>
      <w:r w:rsidR="00787226">
        <w:rPr>
          <w:sz w:val="15"/>
          <w:szCs w:val="15"/>
        </w:rPr>
        <w:t>2026A-1 Senior LT Bond</w:t>
      </w:r>
      <w:r>
        <w:rPr>
          <w:sz w:val="15"/>
          <w:szCs w:val="15"/>
        </w:rPr>
        <w:t xml:space="preserve">s are limited tax general obligations of the District secured by and payable solely from the </w:t>
      </w:r>
      <w:r w:rsidR="000F65D0">
        <w:rPr>
          <w:sz w:val="15"/>
          <w:szCs w:val="15"/>
        </w:rPr>
        <w:t xml:space="preserve">Senior </w:t>
      </w:r>
      <w:r>
        <w:rPr>
          <w:sz w:val="15"/>
          <w:szCs w:val="15"/>
        </w:rPr>
        <w:t xml:space="preserve">LT Pledged Revenue consisting of the following revenues: (a) </w:t>
      </w:r>
      <w:r w:rsidR="005C7E1E">
        <w:rPr>
          <w:sz w:val="15"/>
          <w:szCs w:val="15"/>
        </w:rPr>
        <w:t>all Senior Property Tax Revenue</w:t>
      </w:r>
      <w:r w:rsidR="004C7B35">
        <w:rPr>
          <w:sz w:val="15"/>
          <w:szCs w:val="15"/>
        </w:rPr>
        <w:t>s</w:t>
      </w:r>
      <w:r w:rsidR="005C7E1E">
        <w:rPr>
          <w:sz w:val="15"/>
          <w:szCs w:val="15"/>
        </w:rPr>
        <w:t>;</w:t>
      </w:r>
      <w:r>
        <w:rPr>
          <w:sz w:val="15"/>
          <w:szCs w:val="15"/>
        </w:rPr>
        <w:t xml:space="preserve"> (b) all </w:t>
      </w:r>
      <w:r w:rsidR="005C7E1E">
        <w:rPr>
          <w:sz w:val="15"/>
          <w:szCs w:val="15"/>
        </w:rPr>
        <w:t xml:space="preserve">Senior </w:t>
      </w:r>
      <w:r>
        <w:rPr>
          <w:sz w:val="15"/>
          <w:szCs w:val="15"/>
        </w:rPr>
        <w:t xml:space="preserve">Pioneering </w:t>
      </w:r>
      <w:r w:rsidR="004C7B35">
        <w:rPr>
          <w:sz w:val="15"/>
          <w:szCs w:val="15"/>
        </w:rPr>
        <w:t>Agreement Revenues, if any</w:t>
      </w:r>
      <w:r>
        <w:rPr>
          <w:sz w:val="15"/>
          <w:szCs w:val="15"/>
        </w:rPr>
        <w:t xml:space="preserve">; and (c) any other legally available moneys which the District determines, in its absolute discretion, to credit to the </w:t>
      </w:r>
      <w:r w:rsidR="007217C3">
        <w:rPr>
          <w:sz w:val="15"/>
          <w:szCs w:val="15"/>
        </w:rPr>
        <w:t>Senior LT Bond Fund</w:t>
      </w:r>
      <w:r>
        <w:rPr>
          <w:sz w:val="15"/>
          <w:szCs w:val="15"/>
        </w:rPr>
        <w:t xml:space="preserve">. The District has covenanted to levy ad valorem property taxes in the amount of the </w:t>
      </w:r>
      <w:r w:rsidR="000F65D0">
        <w:rPr>
          <w:sz w:val="15"/>
          <w:szCs w:val="15"/>
        </w:rPr>
        <w:t xml:space="preserve">Senior </w:t>
      </w:r>
      <w:r>
        <w:rPr>
          <w:sz w:val="15"/>
          <w:szCs w:val="15"/>
        </w:rPr>
        <w:t xml:space="preserve">Required Mill Levy upon all taxable property of the District each year, subject to certain minimum and maximum limitations as described herein. The </w:t>
      </w:r>
      <w:r w:rsidR="00787226">
        <w:rPr>
          <w:sz w:val="15"/>
          <w:szCs w:val="15"/>
        </w:rPr>
        <w:t>2026A-1 Senior LT Bond</w:t>
      </w:r>
      <w:r>
        <w:rPr>
          <w:sz w:val="15"/>
          <w:szCs w:val="15"/>
        </w:rPr>
        <w:t xml:space="preserve">s will also be secured by amounts on deposit in the LT Surplus Fund, which will be initially funded with proceeds of the </w:t>
      </w:r>
      <w:r w:rsidR="00787226">
        <w:rPr>
          <w:sz w:val="15"/>
          <w:szCs w:val="15"/>
        </w:rPr>
        <w:t>2026A-1 Senior LT Bond</w:t>
      </w:r>
      <w:r>
        <w:rPr>
          <w:sz w:val="15"/>
          <w:szCs w:val="15"/>
        </w:rPr>
        <w:t>s in the amount of $[_______],</w:t>
      </w:r>
      <w:r>
        <w:rPr>
          <w:sz w:val="15"/>
          <w:szCs w:val="15"/>
          <w:vertAlign w:val="superscript"/>
        </w:rPr>
        <w:t>*</w:t>
      </w:r>
      <w:r>
        <w:rPr>
          <w:sz w:val="15"/>
          <w:szCs w:val="15"/>
        </w:rPr>
        <w:t xml:space="preserve"> and which is required to be additionally funded with future excess </w:t>
      </w:r>
      <w:r w:rsidR="000F65D0">
        <w:rPr>
          <w:sz w:val="15"/>
          <w:szCs w:val="15"/>
        </w:rPr>
        <w:t xml:space="preserve">Senior </w:t>
      </w:r>
      <w:r>
        <w:rPr>
          <w:sz w:val="15"/>
          <w:szCs w:val="15"/>
        </w:rPr>
        <w:t xml:space="preserve">LT Pledged Revenue, if any, until the LT Surplus Fund is equal to the Maximum Surplus Amount. The interest on the </w:t>
      </w:r>
      <w:r w:rsidR="00787226">
        <w:rPr>
          <w:sz w:val="15"/>
          <w:szCs w:val="15"/>
        </w:rPr>
        <w:t>2026A-1 Senior LT Bond</w:t>
      </w:r>
      <w:r>
        <w:rPr>
          <w:sz w:val="15"/>
          <w:szCs w:val="15"/>
        </w:rPr>
        <w:t xml:space="preserve">s through </w:t>
      </w:r>
      <w:r>
        <w:rPr>
          <w:rFonts w:cs="Times New Roman"/>
          <w:sz w:val="15"/>
          <w:szCs w:val="15"/>
        </w:rPr>
        <w:t>March 1</w:t>
      </w:r>
      <w:r>
        <w:rPr>
          <w:sz w:val="15"/>
          <w:szCs w:val="15"/>
        </w:rPr>
        <w:t>, 202[_]</w:t>
      </w:r>
      <w:r>
        <w:rPr>
          <w:sz w:val="15"/>
          <w:szCs w:val="15"/>
          <w:vertAlign w:val="superscript"/>
        </w:rPr>
        <w:t>*</w:t>
      </w:r>
      <w:r>
        <w:rPr>
          <w:sz w:val="15"/>
          <w:szCs w:val="15"/>
        </w:rPr>
        <w:t xml:space="preserve"> and a portion of the interest due March 1, 202[_]</w:t>
      </w:r>
      <w:r>
        <w:rPr>
          <w:sz w:val="15"/>
          <w:szCs w:val="15"/>
          <w:vertAlign w:val="superscript"/>
        </w:rPr>
        <w:t>*</w:t>
      </w:r>
      <w:r>
        <w:rPr>
          <w:sz w:val="15"/>
          <w:szCs w:val="15"/>
        </w:rPr>
        <w:t xml:space="preserve"> will be paid from capitalized interest to be funded with proceeds of the </w:t>
      </w:r>
      <w:r w:rsidR="00787226">
        <w:rPr>
          <w:sz w:val="15"/>
          <w:szCs w:val="15"/>
        </w:rPr>
        <w:t>2026A-1 Senior LT Bond</w:t>
      </w:r>
      <w:r>
        <w:rPr>
          <w:sz w:val="15"/>
          <w:szCs w:val="15"/>
        </w:rPr>
        <w:t>s in the amount of $</w:t>
      </w:r>
      <w:r>
        <w:rPr>
          <w:rFonts w:cs="Times New Roman"/>
          <w:sz w:val="15"/>
          <w:szCs w:val="15"/>
        </w:rPr>
        <w:t>[_______]</w:t>
      </w:r>
      <w:r w:rsidR="00691E9F">
        <w:rPr>
          <w:rFonts w:cs="Times New Roman"/>
          <w:sz w:val="15"/>
          <w:szCs w:val="15"/>
        </w:rPr>
        <w:t>.</w:t>
      </w:r>
      <w:r>
        <w:rPr>
          <w:sz w:val="15"/>
          <w:szCs w:val="15"/>
          <w:vertAlign w:val="superscript"/>
        </w:rPr>
        <w:t>*</w:t>
      </w:r>
      <w:r>
        <w:rPr>
          <w:sz w:val="15"/>
          <w:szCs w:val="15"/>
        </w:rPr>
        <w:t xml:space="preserve"> </w:t>
      </w:r>
      <w:r>
        <w:rPr>
          <w:b/>
          <w:bCs/>
          <w:sz w:val="15"/>
          <w:szCs w:val="15"/>
        </w:rPr>
        <w:t xml:space="preserve">The </w:t>
      </w:r>
      <w:r w:rsidR="000F65D0">
        <w:rPr>
          <w:b/>
          <w:bCs/>
          <w:sz w:val="15"/>
          <w:szCs w:val="15"/>
        </w:rPr>
        <w:t xml:space="preserve">Senior </w:t>
      </w:r>
      <w:r>
        <w:rPr>
          <w:b/>
          <w:bCs/>
          <w:sz w:val="15"/>
          <w:szCs w:val="15"/>
        </w:rPr>
        <w:t xml:space="preserve">LT Indenture provides that, notwithstanding any other provision therein, in the event that any amount of principal of or interest on the </w:t>
      </w:r>
      <w:r w:rsidR="00787226">
        <w:rPr>
          <w:b/>
          <w:bCs/>
          <w:sz w:val="15"/>
          <w:szCs w:val="15"/>
        </w:rPr>
        <w:t>2026A-1 Senior LT Bond</w:t>
      </w:r>
      <w:r>
        <w:rPr>
          <w:b/>
          <w:bCs/>
          <w:sz w:val="15"/>
          <w:szCs w:val="15"/>
        </w:rPr>
        <w:t xml:space="preserve">s remains unpaid after the application of all </w:t>
      </w:r>
      <w:r w:rsidR="000F65D0">
        <w:rPr>
          <w:b/>
          <w:bCs/>
          <w:sz w:val="15"/>
          <w:szCs w:val="15"/>
        </w:rPr>
        <w:t xml:space="preserve">Senior </w:t>
      </w:r>
      <w:r>
        <w:rPr>
          <w:b/>
          <w:bCs/>
          <w:sz w:val="15"/>
          <w:szCs w:val="15"/>
        </w:rPr>
        <w:t xml:space="preserve">LT Pledged Revenue available therefor on March 1, 2067, the </w:t>
      </w:r>
      <w:r w:rsidR="00787226">
        <w:rPr>
          <w:b/>
          <w:bCs/>
          <w:sz w:val="15"/>
          <w:szCs w:val="15"/>
        </w:rPr>
        <w:t>2026A-1 Senior LT Bond</w:t>
      </w:r>
      <w:r>
        <w:rPr>
          <w:b/>
          <w:bCs/>
          <w:sz w:val="15"/>
          <w:szCs w:val="15"/>
        </w:rPr>
        <w:t xml:space="preserve">s and the lien of the </w:t>
      </w:r>
      <w:r w:rsidR="000F65D0">
        <w:rPr>
          <w:b/>
          <w:bCs/>
          <w:sz w:val="15"/>
          <w:szCs w:val="15"/>
        </w:rPr>
        <w:t xml:space="preserve">Senior </w:t>
      </w:r>
      <w:r>
        <w:rPr>
          <w:b/>
          <w:bCs/>
          <w:sz w:val="15"/>
          <w:szCs w:val="15"/>
        </w:rPr>
        <w:t xml:space="preserve">LT Indenture securing payment thereof will be deemed discharged, and the estate and rights thereby granted will cease, terminate, and be void. </w:t>
      </w:r>
    </w:p>
    <w:p w14:paraId="5E61040C" w14:textId="2E5CA20A" w:rsidR="00056EB7" w:rsidRDefault="00732557" w:rsidP="00025856">
      <w:pPr>
        <w:pStyle w:val="00BodyText5"/>
        <w:spacing w:after="80"/>
        <w:rPr>
          <w:rFonts w:eastAsia="Calibri" w:cs="Times New Roman"/>
          <w:b/>
          <w:bCs/>
          <w:sz w:val="15"/>
          <w:szCs w:val="15"/>
        </w:rPr>
      </w:pPr>
      <w:r>
        <w:rPr>
          <w:sz w:val="15"/>
          <w:szCs w:val="15"/>
        </w:rPr>
        <w:t xml:space="preserve">The 2026A-2 SR Bonds are “cash flow” special limited obligations of the District and shall be payable solely from the SR Pledged Revenue consisting of the following revenues: (a) all Contract Fee Revenues and (b) any other legally available moneys which the District determines, in its absolute discretion, to credit to the SR Bond Fund. The 2026A-2 SR Bonds are not general obligations of the District, the State of Utah, or any other political subdivision, and neither the full faith and credit nor the taxing power of the District is pledged to the payment of the 2026A-2 SR Bonds. No regularly scheduled payments of principal are due on the 2026A-2 SR Bonds prior to their maturity date, and any interest payments on the 2026A-2 SR Bonds that are not paid when due will accrue and compound on each SR Interest Payment Date until sufficient SR </w:t>
      </w:r>
      <w:r w:rsidR="00764F01">
        <w:rPr>
          <w:sz w:val="15"/>
          <w:szCs w:val="15"/>
        </w:rPr>
        <w:t xml:space="preserve">Pledged Revenue </w:t>
      </w:r>
      <w:r>
        <w:rPr>
          <w:sz w:val="15"/>
          <w:szCs w:val="15"/>
        </w:rPr>
        <w:t xml:space="preserve">is available for payment, or until discharged as described below. </w:t>
      </w:r>
      <w:bookmarkStart w:id="6" w:name="_Hlk164369746"/>
      <w:r>
        <w:rPr>
          <w:rFonts w:eastAsia="Calibri" w:cs="Times New Roman"/>
          <w:b/>
          <w:i/>
          <w:sz w:val="15"/>
          <w:szCs w:val="15"/>
        </w:rPr>
        <w:t xml:space="preserve">There is no guarantee that </w:t>
      </w:r>
      <w:r>
        <w:rPr>
          <w:b/>
          <w:i/>
          <w:sz w:val="15"/>
          <w:szCs w:val="15"/>
        </w:rPr>
        <w:t>the 2026A-2 SR Bonds will be paid prior to their discharge date, as more particularly described below</w:t>
      </w:r>
      <w:r>
        <w:rPr>
          <w:rFonts w:eastAsia="Calibri" w:cs="Times New Roman"/>
          <w:b/>
          <w:i/>
          <w:sz w:val="15"/>
          <w:szCs w:val="15"/>
        </w:rPr>
        <w:t>.</w:t>
      </w:r>
      <w:bookmarkEnd w:id="6"/>
      <w:r>
        <w:rPr>
          <w:rFonts w:eastAsia="Calibri" w:cs="Times New Roman"/>
          <w:b/>
          <w:i/>
          <w:sz w:val="15"/>
          <w:szCs w:val="15"/>
        </w:rPr>
        <w:t xml:space="preserve"> </w:t>
      </w:r>
      <w:r>
        <w:rPr>
          <w:rFonts w:eastAsia="Calibri" w:cs="Times New Roman"/>
          <w:b/>
          <w:bCs/>
          <w:sz w:val="15"/>
          <w:szCs w:val="15"/>
        </w:rPr>
        <w:t xml:space="preserve">The SR Indenture provides that, notwithstanding any other provision therein, in the event that any amount of principal of or interest on the 2026A-2 SR Bonds remains unpaid after the application of all SR Pledged Revenue available therefor after collection of all Contract Fees due and owing in the District and exhaustion of any applicable remedies available to the Trustee under the SR Indenture and the Contract Fees Resolution </w:t>
      </w:r>
      <w:r>
        <w:rPr>
          <w:rFonts w:cs="Times New Roman"/>
          <w:b/>
          <w:sz w:val="15"/>
          <w:szCs w:val="15"/>
        </w:rPr>
        <w:t>and the Contract Fee Interlocal Agreement to collect any unpaid Contract Fees due and owing</w:t>
      </w:r>
      <w:r>
        <w:rPr>
          <w:rFonts w:eastAsia="Calibri" w:cs="Times New Roman"/>
          <w:b/>
          <w:bCs/>
          <w:sz w:val="15"/>
          <w:szCs w:val="15"/>
        </w:rPr>
        <w:t xml:space="preserve">, the 2026A-2 SR Bonds and the lien of the SR Indenture securing payment thereof will be deemed discharged, and the estate and rights thereby granted will cease, terminate, and be void. </w:t>
      </w:r>
    </w:p>
    <w:p w14:paraId="689D0335" w14:textId="5F3197AB" w:rsidR="00CC11A8" w:rsidRPr="00CC11A8" w:rsidRDefault="00CC11A8" w:rsidP="00CC11A8">
      <w:pPr>
        <w:pStyle w:val="00BodyText5"/>
        <w:spacing w:after="80"/>
        <w:rPr>
          <w:b/>
          <w:bCs/>
          <w:sz w:val="15"/>
          <w:szCs w:val="15"/>
        </w:rPr>
      </w:pPr>
      <w:r w:rsidRPr="00CC11A8">
        <w:rPr>
          <w:sz w:val="15"/>
          <w:szCs w:val="15"/>
        </w:rPr>
        <w:t xml:space="preserve">The 2026B Subordinate LT Bonds are “cash flow” limited tax general obligations of the District secured by and payable from the Subordinate LT Pledged Revenue, generally consisting of: (a) all Subordinate Property Tax Revenue; (b) all Subordinate Pioneering </w:t>
      </w:r>
      <w:r w:rsidR="004C7B35">
        <w:rPr>
          <w:sz w:val="15"/>
          <w:szCs w:val="15"/>
        </w:rPr>
        <w:t>Agreement Revenues, if any</w:t>
      </w:r>
      <w:r w:rsidRPr="00CC11A8">
        <w:rPr>
          <w:sz w:val="15"/>
          <w:szCs w:val="15"/>
        </w:rPr>
        <w:t xml:space="preserve">; </w:t>
      </w:r>
      <w:r>
        <w:rPr>
          <w:sz w:val="15"/>
          <w:szCs w:val="15"/>
        </w:rPr>
        <w:t xml:space="preserve">and </w:t>
      </w:r>
      <w:r w:rsidRPr="00CC11A8">
        <w:rPr>
          <w:sz w:val="15"/>
          <w:szCs w:val="15"/>
        </w:rPr>
        <w:t xml:space="preserve">(c) any other legally available moneys which the District determines, in its absolute discretion, to credit to the Subordinate LT Bond Fund (the Senior </w:t>
      </w:r>
      <w:r w:rsidR="007A20E5">
        <w:rPr>
          <w:sz w:val="15"/>
          <w:szCs w:val="15"/>
        </w:rPr>
        <w:t xml:space="preserve">LT Pledged Revenue </w:t>
      </w:r>
      <w:r w:rsidRPr="00CC11A8">
        <w:rPr>
          <w:sz w:val="15"/>
          <w:szCs w:val="15"/>
        </w:rPr>
        <w:t>and Subordinate LT Pledged Revenue are together referred to herein as the “</w:t>
      </w:r>
      <w:r w:rsidRPr="00CC11A8">
        <w:rPr>
          <w:b/>
          <w:bCs/>
          <w:sz w:val="15"/>
          <w:szCs w:val="15"/>
        </w:rPr>
        <w:t>LT Pledged Revenue</w:t>
      </w:r>
      <w:r w:rsidRPr="00CC11A8">
        <w:rPr>
          <w:sz w:val="15"/>
          <w:szCs w:val="15"/>
        </w:rPr>
        <w:t xml:space="preserve">”). No regularly scheduled payments of principal are due on the 2026B Subordinate LT Bonds prior to their maturity date, and any interest payments on the 2026B Subordinate LT Bonds that are not paid when due will accrue and compound on each </w:t>
      </w:r>
      <w:r w:rsidR="00F72D0B">
        <w:rPr>
          <w:sz w:val="15"/>
          <w:szCs w:val="15"/>
        </w:rPr>
        <w:t>Subordinate LT Interest Payment Date</w:t>
      </w:r>
      <w:r w:rsidRPr="00CC11A8">
        <w:rPr>
          <w:sz w:val="15"/>
          <w:szCs w:val="15"/>
        </w:rPr>
        <w:t xml:space="preserve"> until sufficient Subordinate LT Pledged Revenue is available for payment, or until discharged as described below. </w:t>
      </w:r>
      <w:bookmarkStart w:id="7" w:name="_Hlk118808634"/>
      <w:r w:rsidRPr="00CC11A8">
        <w:rPr>
          <w:b/>
          <w:i/>
          <w:sz w:val="15"/>
          <w:szCs w:val="15"/>
        </w:rPr>
        <w:t xml:space="preserve">As demonstrated in the </w:t>
      </w:r>
      <w:r w:rsidR="00BB0838">
        <w:rPr>
          <w:b/>
          <w:i/>
          <w:sz w:val="15"/>
          <w:szCs w:val="15"/>
        </w:rPr>
        <w:t xml:space="preserve">LT </w:t>
      </w:r>
      <w:r w:rsidRPr="00CC11A8">
        <w:rPr>
          <w:b/>
          <w:i/>
          <w:sz w:val="15"/>
          <w:szCs w:val="15"/>
        </w:rPr>
        <w:t>Financial Forecast, it is not anticipated that there will be any Subordinate LT Pledged Revenue available to pay accrued interest on the 2026B Subordinate LT Bonds until 20___</w:t>
      </w:r>
      <w:r w:rsidR="00691E9F">
        <w:rPr>
          <w:b/>
          <w:i/>
          <w:sz w:val="15"/>
          <w:szCs w:val="15"/>
        </w:rPr>
        <w:t>,</w:t>
      </w:r>
      <w:r w:rsidRPr="00CC11A8">
        <w:rPr>
          <w:b/>
          <w:i/>
          <w:sz w:val="15"/>
          <w:szCs w:val="15"/>
          <w:vertAlign w:val="superscript"/>
        </w:rPr>
        <w:t>*</w:t>
      </w:r>
      <w:r w:rsidRPr="00CC11A8">
        <w:rPr>
          <w:b/>
          <w:i/>
          <w:sz w:val="15"/>
          <w:szCs w:val="15"/>
        </w:rPr>
        <w:t xml:space="preserve"> and it is not anticipated that there will be any Subordinate LT Pledged Revenue available to pay principal on the 2026B Subordinate LT Bonds until 20___</w:t>
      </w:r>
      <w:r w:rsidR="00691E9F">
        <w:rPr>
          <w:b/>
          <w:i/>
          <w:sz w:val="15"/>
          <w:szCs w:val="15"/>
        </w:rPr>
        <w:t>.</w:t>
      </w:r>
      <w:r w:rsidRPr="00CC11A8">
        <w:rPr>
          <w:b/>
          <w:i/>
          <w:sz w:val="15"/>
          <w:szCs w:val="15"/>
          <w:vertAlign w:val="superscript"/>
        </w:rPr>
        <w:t>*</w:t>
      </w:r>
      <w:r w:rsidRPr="00CC11A8">
        <w:rPr>
          <w:b/>
          <w:i/>
          <w:sz w:val="15"/>
          <w:szCs w:val="15"/>
        </w:rPr>
        <w:t xml:space="preserve"> These dates represent a forecast and there is no guarantee that any payments will be made on or after such date or, further, that the 2026B Subordinate LT Bonds will be paid prior to their discharge date of March 15, 206</w:t>
      </w:r>
      <w:r w:rsidR="007A20E5">
        <w:rPr>
          <w:b/>
          <w:i/>
          <w:sz w:val="15"/>
          <w:szCs w:val="15"/>
        </w:rPr>
        <w:t>7</w:t>
      </w:r>
      <w:r w:rsidRPr="00CC11A8">
        <w:rPr>
          <w:b/>
          <w:i/>
          <w:sz w:val="15"/>
          <w:szCs w:val="15"/>
        </w:rPr>
        <w:t xml:space="preserve">, as more particularly described below. </w:t>
      </w:r>
      <w:r w:rsidRPr="00CC11A8">
        <w:rPr>
          <w:b/>
          <w:bCs/>
          <w:sz w:val="15"/>
          <w:szCs w:val="15"/>
        </w:rPr>
        <w:t>The Subordinate LT Indenture provides that, notwithstanding any other provision therein, in the event that any amount of principal of or interest on the 2026B Subordinate LT Bonds remains unpaid after the application of all Subordinate LT Pledged Revenue available therefor on March 15, 206</w:t>
      </w:r>
      <w:r w:rsidR="007A20E5">
        <w:rPr>
          <w:b/>
          <w:bCs/>
          <w:sz w:val="15"/>
          <w:szCs w:val="15"/>
        </w:rPr>
        <w:t>7</w:t>
      </w:r>
      <w:r w:rsidRPr="00CC11A8">
        <w:rPr>
          <w:b/>
          <w:bCs/>
          <w:sz w:val="15"/>
          <w:szCs w:val="15"/>
        </w:rPr>
        <w:t xml:space="preserve">, the 2026B Subordinate LT Bonds and the lien of the Subordinate LT Indenture securing payment thereof will be deemed discharged, and the estate and rights thereby granted will cease, terminate, and be void. </w:t>
      </w:r>
    </w:p>
    <w:p w14:paraId="4A2EABB3" w14:textId="77777777" w:rsidR="007A20E5" w:rsidRPr="007A20E5" w:rsidRDefault="007A20E5" w:rsidP="007A20E5">
      <w:pPr>
        <w:pStyle w:val="00BodyText5"/>
        <w:spacing w:after="80"/>
        <w:rPr>
          <w:sz w:val="15"/>
          <w:szCs w:val="15"/>
        </w:rPr>
      </w:pPr>
      <w:bookmarkStart w:id="8" w:name="_Hlk89784581"/>
      <w:bookmarkEnd w:id="7"/>
      <w:r w:rsidRPr="007A20E5">
        <w:rPr>
          <w:sz w:val="15"/>
          <w:szCs w:val="15"/>
        </w:rPr>
        <w:t>The Bonds are being issued in minimum denominations of $500,000 or any integral multiple of $1,000 in excess thereof as fully registered bonds. Interest on the 2026A-1 Senior LT Bonds, at the applicable rate set forth on the inside cover, is payable annually on March 1 of each year, commencing on March 1, 2027, from and to the extent of the Senior LT Pledged Revenue, subject to the limitations of the Senior LT Indenture described herein. Interest on the 2026A-2 SR Bonds, at the applicable rate set forth on the inside cover, is payable annually on December 1 of each year, commencing on December 1, 2026, from and to the extent of the SR Pledged Revenue, subject to the limitations of the SR Indenture described herein. Interest on the 2026B Subordinate LT Bonds, at the applicable rate set forth on the inside cover, is payable annually on each March 15, commencing on March 15, 2027, from and to the extent of Subordinate LT Pledged Revenue, subject to the limitations of the Subordinate LT Indenture described herein.</w:t>
      </w:r>
    </w:p>
    <w:p w14:paraId="79475DBC" w14:textId="74A5D316" w:rsidR="0075493D" w:rsidRPr="00791419" w:rsidRDefault="007A20E5" w:rsidP="007A20E5">
      <w:pPr>
        <w:pStyle w:val="00BodyText5"/>
        <w:spacing w:after="80"/>
        <w:rPr>
          <w:sz w:val="15"/>
          <w:szCs w:val="15"/>
        </w:rPr>
      </w:pPr>
      <w:r w:rsidRPr="007A20E5">
        <w:rPr>
          <w:sz w:val="15"/>
          <w:szCs w:val="15"/>
        </w:rPr>
        <w:t xml:space="preserve">The 2026A-1 Senior LT Bonds are subject to optional and mandatory sinking fund redemption, the 2026A-2 SR Bonds are subject to optional and mandatory redemption prior to maturity, and the 2026B Subordinate LT Bonds are subject to optional and mandatory redemption prior to maturity at the prices and upon the terms set forth in this Official Statement. </w:t>
      </w:r>
      <w:r w:rsidR="003577B5">
        <w:rPr>
          <w:sz w:val="15"/>
          <w:szCs w:val="15"/>
        </w:rPr>
        <w:t xml:space="preserve">The Bonds are being issued for the purpose of paying the Project Costs. A portion of the proceeds of the </w:t>
      </w:r>
      <w:r w:rsidR="00787226">
        <w:rPr>
          <w:sz w:val="15"/>
          <w:szCs w:val="15"/>
        </w:rPr>
        <w:t>2026A-1 Senior LT Bond</w:t>
      </w:r>
      <w:r w:rsidR="003577B5">
        <w:rPr>
          <w:sz w:val="15"/>
          <w:szCs w:val="15"/>
        </w:rPr>
        <w:t xml:space="preserve">s will also be issued for the purposes of: (a) funding capitalized interest on the </w:t>
      </w:r>
      <w:r w:rsidR="00787226">
        <w:rPr>
          <w:sz w:val="15"/>
          <w:szCs w:val="15"/>
        </w:rPr>
        <w:t>2026A-1 Senior LT Bond</w:t>
      </w:r>
      <w:r w:rsidR="003577B5">
        <w:rPr>
          <w:sz w:val="15"/>
          <w:szCs w:val="15"/>
        </w:rPr>
        <w:t xml:space="preserve">s, (b) funding the Initial Deposit to the LT Surplus Fund, </w:t>
      </w:r>
      <w:r w:rsidR="00CA2CE4">
        <w:rPr>
          <w:sz w:val="15"/>
          <w:szCs w:val="15"/>
        </w:rPr>
        <w:t xml:space="preserve">(c) funding the </w:t>
      </w:r>
      <w:r w:rsidR="00B96B68">
        <w:rPr>
          <w:sz w:val="15"/>
          <w:szCs w:val="15"/>
        </w:rPr>
        <w:t xml:space="preserve">LT </w:t>
      </w:r>
      <w:r w:rsidR="00CA2CE4">
        <w:rPr>
          <w:sz w:val="15"/>
          <w:szCs w:val="15"/>
        </w:rPr>
        <w:t xml:space="preserve">Working Capital Fund, </w:t>
      </w:r>
      <w:r w:rsidR="003577B5">
        <w:rPr>
          <w:sz w:val="15"/>
          <w:szCs w:val="15"/>
        </w:rPr>
        <w:t>and (</w:t>
      </w:r>
      <w:r w:rsidR="00CA2CE4">
        <w:rPr>
          <w:sz w:val="15"/>
          <w:szCs w:val="15"/>
        </w:rPr>
        <w:t>d</w:t>
      </w:r>
      <w:r w:rsidR="003577B5">
        <w:rPr>
          <w:sz w:val="15"/>
          <w:szCs w:val="15"/>
        </w:rPr>
        <w:t xml:space="preserve">) paying other costs in connection with the issuance of the </w:t>
      </w:r>
      <w:r w:rsidR="00787226">
        <w:rPr>
          <w:sz w:val="15"/>
          <w:szCs w:val="15"/>
        </w:rPr>
        <w:t>LT Bond</w:t>
      </w:r>
      <w:r w:rsidR="003577B5">
        <w:rPr>
          <w:sz w:val="15"/>
          <w:szCs w:val="15"/>
        </w:rPr>
        <w:t xml:space="preserve">s. </w:t>
      </w:r>
      <w:r w:rsidR="00460549">
        <w:rPr>
          <w:sz w:val="15"/>
          <w:szCs w:val="15"/>
        </w:rPr>
        <w:t>[</w:t>
      </w:r>
      <w:r w:rsidR="003577B5" w:rsidRPr="00460549">
        <w:rPr>
          <w:sz w:val="15"/>
          <w:szCs w:val="15"/>
        </w:rPr>
        <w:t>A portion of the proceeds of the 2026A-2 SR Bonds will also be used to pay costs in connection with the issuance of the 2026A-2 SR Bonds.</w:t>
      </w:r>
      <w:r w:rsidR="00460549">
        <w:rPr>
          <w:sz w:val="15"/>
          <w:szCs w:val="15"/>
        </w:rPr>
        <w:t>]</w:t>
      </w:r>
    </w:p>
    <w:bookmarkEnd w:id="8"/>
    <w:p w14:paraId="24F22F50" w14:textId="67DFC706" w:rsidR="00E02997" w:rsidRPr="00791419" w:rsidRDefault="0058295E" w:rsidP="00025856">
      <w:pPr>
        <w:pStyle w:val="00BodyText5"/>
        <w:spacing w:after="80"/>
        <w:rPr>
          <w:rFonts w:cs="Times New Roman"/>
          <w:b/>
          <w:sz w:val="15"/>
          <w:szCs w:val="15"/>
        </w:rPr>
      </w:pPr>
      <w:r w:rsidRPr="0058295E">
        <w:rPr>
          <w:rFonts w:cs="Times New Roman"/>
          <w:b/>
          <w:sz w:val="15"/>
          <w:szCs w:val="15"/>
        </w:rPr>
        <w:t xml:space="preserve">REPAYMENT OF THE PRINCIPAL OF AND INTEREST ON THE BONDS IS SPECULATIVE IN NATURE AND INVOLVES A HIGH DEGREE OF INVESTMENT RISK. AS SUBORDINATE “CASH FLOW” OBLIGATIONS, REPAYMENT OF THE 2026B SUBORDINATE LT BONDS IS SUBJECT TO A HIGHER DEGREE OF RISK THAN REPAYMENT OF THE 2026A-1 SENIOR LT BONDS. AS “CASH FLOW” OBLIGATIONS, REPAYMENT OF THE 2026A-2 SR BONDS IS SUBJECT TO A HIGH DEGREE OF RISK. EACH PROSPECTIVE INVESTOR IS ADVISED TO READ “RISK FACTORS” HEREIN FOR A </w:t>
      </w:r>
      <w:r w:rsidRPr="0058295E">
        <w:rPr>
          <w:rFonts w:cs="Times New Roman"/>
          <w:b/>
          <w:sz w:val="15"/>
          <w:szCs w:val="15"/>
        </w:rPr>
        <w:lastRenderedPageBreak/>
        <w:t>DISCUSSION OF CERTAIN RISK FACTORS THAT SHOULD BE CONSIDERED IN CONNECTION WITH AN INVESTMENT IN THE BONDS. THE BONDS ARE BEING OFFERED AND SOLD ONLY TO “QUALIFIED INSTITUTIONAL BUYERS” AS SUCH TERM IS DEFINED IN 17 C.F.R. SECTION 230.144A OR AN “ACCREDITED INVESTOR” AS DEFINED IN RULE 501 OF REGULATION D UNDER THE SECURITIES ACT.</w:t>
      </w:r>
    </w:p>
    <w:p w14:paraId="5E2085C5" w14:textId="74D4C61B" w:rsidR="0068459C" w:rsidRPr="00791419" w:rsidRDefault="0068459C" w:rsidP="008929DE">
      <w:pPr>
        <w:pStyle w:val="00BodyText5"/>
        <w:spacing w:afterLines="80" w:after="192"/>
        <w:rPr>
          <w:rFonts w:cs="Times New Roman"/>
          <w:b/>
          <w:sz w:val="15"/>
          <w:szCs w:val="15"/>
        </w:rPr>
      </w:pPr>
      <w:r>
        <w:rPr>
          <w:rFonts w:cs="Times New Roman"/>
          <w:b/>
          <w:sz w:val="15"/>
          <w:szCs w:val="15"/>
        </w:rPr>
        <w:t xml:space="preserve">This cover page contains certain information for quick reference only. It is not a summary of this issue. Investors must read the entire Official Statement to obtain information essential to the making of an informed investment decision. </w:t>
      </w:r>
    </w:p>
    <w:p w14:paraId="309D7947" w14:textId="3B0974B6" w:rsidR="00E42A2D" w:rsidRPr="00791419" w:rsidRDefault="006B4B8D" w:rsidP="00D8734D">
      <w:pPr>
        <w:pStyle w:val="00BodyText5"/>
        <w:spacing w:after="0"/>
        <w:rPr>
          <w:sz w:val="15"/>
          <w:szCs w:val="15"/>
        </w:rPr>
      </w:pPr>
      <w:r>
        <w:rPr>
          <w:sz w:val="15"/>
          <w:szCs w:val="15"/>
        </w:rPr>
        <w:t xml:space="preserve">The Bonds are offered when, as, and if issued by the District and accepted by the Underwriter subject to the approval of legality of the Bonds by Gilmore &amp; Bell, P.C., Salt Lake City, Utah, as Bond Counsel, and the satisfaction of certain other conditions. Gilmore &amp; Bell, P.C. has also assisted in the preparation of this Official Statement in its capacity as Disclosure Counsel to the District. Certain legal matters will be passed upon by </w:t>
      </w:r>
      <w:bookmarkStart w:id="9" w:name="_Hlk71731742"/>
      <w:r>
        <w:rPr>
          <w:sz w:val="15"/>
          <w:szCs w:val="15"/>
        </w:rPr>
        <w:t>Snow Jensen &amp; Reece, P.C., St. George, Utah, as counsel to the District</w:t>
      </w:r>
      <w:bookmarkEnd w:id="9"/>
      <w:r>
        <w:rPr>
          <w:sz w:val="15"/>
          <w:szCs w:val="15"/>
        </w:rPr>
        <w:t>. Kutak Rock LLP, Denver, Colorado, is acting as counsel to the Underwriter</w:t>
      </w:r>
      <w:r w:rsidR="00FE4C01">
        <w:rPr>
          <w:sz w:val="15"/>
          <w:szCs w:val="15"/>
        </w:rPr>
        <w:t>. [__________]</w:t>
      </w:r>
      <w:r w:rsidR="00FE4C01" w:rsidRPr="00FE4C01">
        <w:rPr>
          <w:sz w:val="15"/>
          <w:szCs w:val="15"/>
        </w:rPr>
        <w:t xml:space="preserve"> has served as Municipal Advisor to the District in connection with the issuance of the Bonds.</w:t>
      </w:r>
      <w:r>
        <w:rPr>
          <w:sz w:val="15"/>
          <w:szCs w:val="15"/>
        </w:rPr>
        <w:t xml:space="preserve"> The Bonds are expected to be available for delivery through the facilities of DTC on or about </w:t>
      </w:r>
      <w:r>
        <w:rPr>
          <w:rFonts w:cs="Times New Roman"/>
          <w:sz w:val="15"/>
          <w:szCs w:val="15"/>
        </w:rPr>
        <w:t>__________</w:t>
      </w:r>
      <w:r>
        <w:rPr>
          <w:sz w:val="15"/>
          <w:szCs w:val="15"/>
        </w:rPr>
        <w:t xml:space="preserve">, 2026. </w:t>
      </w:r>
    </w:p>
    <w:p w14:paraId="058E28DA" w14:textId="54987141" w:rsidR="00107369" w:rsidRPr="00274950" w:rsidRDefault="00D8734D" w:rsidP="00941168">
      <w:pPr>
        <w:spacing w:after="80"/>
        <w:jc w:val="center"/>
        <w:rPr>
          <w:b/>
          <w:sz w:val="24"/>
          <w:szCs w:val="20"/>
        </w:rPr>
      </w:pPr>
      <w:r>
        <w:rPr>
          <w:b/>
          <w:noProof/>
          <w:sz w:val="24"/>
          <w:szCs w:val="20"/>
        </w:rPr>
        <w:drawing>
          <wp:inline distT="0" distB="0" distL="0" distR="0" wp14:anchorId="773DB588" wp14:editId="78F4F574">
            <wp:extent cx="2114340" cy="9620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9000"/>
                    <a:stretch/>
                  </pic:blipFill>
                  <pic:spPr bwMode="auto">
                    <a:xfrm>
                      <a:off x="0" y="0"/>
                      <a:ext cx="2137242" cy="972445"/>
                    </a:xfrm>
                    <a:prstGeom prst="rect">
                      <a:avLst/>
                    </a:prstGeom>
                    <a:ln>
                      <a:noFill/>
                    </a:ln>
                    <a:extLst>
                      <a:ext uri="{53640926-AAD7-44D8-BBD7-CCE9431645EC}">
                        <a14:shadowObscured xmlns:a14="http://schemas.microsoft.com/office/drawing/2010/main"/>
                      </a:ext>
                    </a:extLst>
                  </pic:spPr>
                </pic:pic>
              </a:graphicData>
            </a:graphic>
          </wp:inline>
        </w:drawing>
      </w:r>
    </w:p>
    <w:p w14:paraId="4B149570" w14:textId="4847DDEA" w:rsidR="0042305C" w:rsidRPr="00791419" w:rsidRDefault="00E42A2D" w:rsidP="00D54F78">
      <w:pPr>
        <w:jc w:val="center"/>
        <w:rPr>
          <w:b/>
          <w:bCs/>
          <w:iCs/>
          <w:sz w:val="15"/>
          <w:szCs w:val="15"/>
        </w:rPr>
      </w:pPr>
      <w:r>
        <w:rPr>
          <w:b/>
          <w:bCs/>
          <w:iCs/>
          <w:sz w:val="15"/>
          <w:szCs w:val="15"/>
        </w:rPr>
        <w:t xml:space="preserve">This Official Statement is dated </w:t>
      </w:r>
      <w:r>
        <w:rPr>
          <w:rFonts w:cs="Times New Roman"/>
          <w:b/>
          <w:bCs/>
          <w:iCs/>
          <w:sz w:val="15"/>
          <w:szCs w:val="15"/>
        </w:rPr>
        <w:t>__________</w:t>
      </w:r>
      <w:r>
        <w:rPr>
          <w:b/>
          <w:bCs/>
          <w:iCs/>
          <w:sz w:val="15"/>
          <w:szCs w:val="15"/>
        </w:rPr>
        <w:t>, 2026.</w:t>
      </w:r>
    </w:p>
    <w:p w14:paraId="1DCF4E8B" w14:textId="08C35ADA" w:rsidR="0042305C" w:rsidRPr="00791419" w:rsidRDefault="0042305C" w:rsidP="0042305C">
      <w:pPr>
        <w:rPr>
          <w:b/>
          <w:bCs/>
          <w:iCs/>
          <w:szCs w:val="18"/>
        </w:rPr>
        <w:sectPr w:rsidR="0042305C" w:rsidRPr="00791419" w:rsidSect="002F6EB2">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pgSz w:w="12240" w:h="15840" w:code="1"/>
          <w:pgMar w:top="288" w:right="576" w:bottom="288" w:left="864" w:header="288" w:footer="720" w:gutter="0"/>
          <w:cols w:space="720"/>
          <w:titlePg/>
          <w:docGrid w:linePitch="360"/>
        </w:sectPr>
      </w:pPr>
    </w:p>
    <w:p w14:paraId="0D9E6906" w14:textId="77777777" w:rsidR="002704CC" w:rsidRDefault="002704CC" w:rsidP="00BC50CC">
      <w:pPr>
        <w:jc w:val="center"/>
        <w:rPr>
          <w:b/>
          <w:szCs w:val="20"/>
        </w:rPr>
      </w:pPr>
    </w:p>
    <w:p w14:paraId="4BBC5545" w14:textId="77777777" w:rsidR="00BD09D3" w:rsidRDefault="00BD09D3" w:rsidP="00BC50CC">
      <w:pPr>
        <w:jc w:val="center"/>
        <w:rPr>
          <w:b/>
          <w:sz w:val="22"/>
          <w:szCs w:val="20"/>
        </w:rPr>
      </w:pPr>
    </w:p>
    <w:p w14:paraId="443DF567" w14:textId="00C3350A" w:rsidR="002704CC" w:rsidRPr="00C75606" w:rsidRDefault="00787226" w:rsidP="00BC50CC">
      <w:pPr>
        <w:jc w:val="center"/>
        <w:rPr>
          <w:b/>
          <w:sz w:val="22"/>
          <w:szCs w:val="22"/>
        </w:rPr>
      </w:pPr>
      <w:r w:rsidRPr="00C75606">
        <w:rPr>
          <w:b/>
          <w:sz w:val="22"/>
          <w:szCs w:val="22"/>
        </w:rPr>
        <w:t>2026A-1 Senior LT Bond</w:t>
      </w:r>
      <w:r w:rsidR="00C13B74" w:rsidRPr="00C75606">
        <w:rPr>
          <w:b/>
          <w:sz w:val="22"/>
          <w:szCs w:val="22"/>
        </w:rPr>
        <w:t>s Maturity Schedule</w:t>
      </w:r>
    </w:p>
    <w:p w14:paraId="3632CDDE" w14:textId="561098C3" w:rsidR="002704CC" w:rsidRPr="00C75606" w:rsidRDefault="002704CC" w:rsidP="00BC50CC">
      <w:pPr>
        <w:jc w:val="center"/>
        <w:rPr>
          <w:sz w:val="22"/>
          <w:szCs w:val="22"/>
        </w:rPr>
      </w:pPr>
    </w:p>
    <w:p w14:paraId="72A2CF28" w14:textId="47E43A05" w:rsidR="002704CC" w:rsidRPr="00C75606" w:rsidRDefault="002704CC" w:rsidP="002704CC">
      <w:pPr>
        <w:pStyle w:val="00BodyText5"/>
        <w:spacing w:after="0"/>
        <w:ind w:firstLine="0"/>
        <w:jc w:val="center"/>
        <w:rPr>
          <w:szCs w:val="22"/>
        </w:rPr>
      </w:pPr>
      <w:r w:rsidRPr="00C75606">
        <w:rPr>
          <w:szCs w:val="22"/>
        </w:rPr>
        <w:t>$[PAR A-1]</w:t>
      </w:r>
      <w:r w:rsidRPr="00C75606">
        <w:rPr>
          <w:szCs w:val="22"/>
          <w:vertAlign w:val="superscript"/>
        </w:rPr>
        <w:t>*</w:t>
      </w:r>
      <w:r w:rsidRPr="00C75606">
        <w:rPr>
          <w:szCs w:val="22"/>
        </w:rPr>
        <w:t xml:space="preserve">  ___% Term Bond due March 1, </w:t>
      </w:r>
      <w:r w:rsidR="00EF21D5" w:rsidRPr="00C75606">
        <w:rPr>
          <w:szCs w:val="22"/>
        </w:rPr>
        <w:t>2057</w:t>
      </w:r>
      <w:r w:rsidRPr="00C75606">
        <w:rPr>
          <w:szCs w:val="22"/>
          <w:vertAlign w:val="superscript"/>
        </w:rPr>
        <w:t>*</w:t>
      </w:r>
      <w:r w:rsidRPr="00C75606">
        <w:rPr>
          <w:szCs w:val="22"/>
        </w:rPr>
        <w:t xml:space="preserve"> Price ___% CUSIP __________</w:t>
      </w:r>
      <w:r w:rsidRPr="00C75606">
        <w:rPr>
          <w:szCs w:val="22"/>
          <w:vertAlign w:val="superscript"/>
        </w:rPr>
        <w:t>**</w:t>
      </w:r>
    </w:p>
    <w:p w14:paraId="6AF22C7C" w14:textId="7B286D99" w:rsidR="002704CC" w:rsidRPr="00C75606" w:rsidRDefault="002704CC" w:rsidP="002704CC">
      <w:pPr>
        <w:pStyle w:val="00BodyText5"/>
        <w:spacing w:after="0"/>
        <w:ind w:firstLine="0"/>
        <w:jc w:val="center"/>
        <w:rPr>
          <w:b/>
          <w:szCs w:val="22"/>
        </w:rPr>
      </w:pPr>
    </w:p>
    <w:p w14:paraId="67A19418" w14:textId="63C15A6E" w:rsidR="002704CC" w:rsidRPr="00C75606" w:rsidRDefault="002704CC" w:rsidP="00F674A8">
      <w:pPr>
        <w:pStyle w:val="00BodyText5"/>
        <w:spacing w:after="0"/>
        <w:ind w:firstLine="0"/>
        <w:jc w:val="center"/>
        <w:rPr>
          <w:b/>
          <w:szCs w:val="22"/>
        </w:rPr>
      </w:pPr>
    </w:p>
    <w:p w14:paraId="2808AC52" w14:textId="425AC2CD" w:rsidR="002704CC" w:rsidRPr="00C75606" w:rsidRDefault="00C13B74" w:rsidP="00BC50CC">
      <w:pPr>
        <w:jc w:val="center"/>
        <w:rPr>
          <w:b/>
          <w:sz w:val="22"/>
          <w:szCs w:val="22"/>
        </w:rPr>
      </w:pPr>
      <w:r w:rsidRPr="00C75606">
        <w:rPr>
          <w:b/>
          <w:sz w:val="22"/>
          <w:szCs w:val="22"/>
        </w:rPr>
        <w:t>2026A-2 SR Bonds Maturity Schedule</w:t>
      </w:r>
    </w:p>
    <w:p w14:paraId="33EC12F1" w14:textId="029F6A2B" w:rsidR="002704CC" w:rsidRPr="00C75606" w:rsidRDefault="002704CC" w:rsidP="00BC50CC">
      <w:pPr>
        <w:jc w:val="center"/>
        <w:rPr>
          <w:b/>
          <w:sz w:val="22"/>
          <w:szCs w:val="22"/>
        </w:rPr>
      </w:pPr>
    </w:p>
    <w:p w14:paraId="38B89317" w14:textId="01224B22" w:rsidR="002704CC" w:rsidRPr="00C75606" w:rsidRDefault="002704CC" w:rsidP="00BC50CC">
      <w:pPr>
        <w:jc w:val="center"/>
        <w:rPr>
          <w:sz w:val="22"/>
          <w:szCs w:val="22"/>
        </w:rPr>
      </w:pPr>
      <w:r w:rsidRPr="00C75606">
        <w:rPr>
          <w:sz w:val="22"/>
          <w:szCs w:val="22"/>
        </w:rPr>
        <w:t>$[PAR A-2]</w:t>
      </w:r>
      <w:r w:rsidRPr="00C75606">
        <w:rPr>
          <w:sz w:val="22"/>
          <w:szCs w:val="22"/>
          <w:vertAlign w:val="superscript"/>
        </w:rPr>
        <w:t>*</w:t>
      </w:r>
      <w:r w:rsidRPr="00C75606">
        <w:rPr>
          <w:sz w:val="22"/>
          <w:szCs w:val="22"/>
        </w:rPr>
        <w:t xml:space="preserve">  ___% Term Bond due December 1, 2033</w:t>
      </w:r>
      <w:r w:rsidRPr="00C75606">
        <w:rPr>
          <w:sz w:val="22"/>
          <w:szCs w:val="22"/>
          <w:vertAlign w:val="superscript"/>
        </w:rPr>
        <w:t>*</w:t>
      </w:r>
      <w:r w:rsidRPr="00C75606">
        <w:rPr>
          <w:sz w:val="22"/>
          <w:szCs w:val="22"/>
        </w:rPr>
        <w:t xml:space="preserve"> Price ___% CUSIP __________</w:t>
      </w:r>
      <w:r w:rsidRPr="00C75606">
        <w:rPr>
          <w:sz w:val="22"/>
          <w:szCs w:val="22"/>
          <w:vertAlign w:val="superscript"/>
        </w:rPr>
        <w:t>**</w:t>
      </w:r>
    </w:p>
    <w:p w14:paraId="3EB1567E" w14:textId="344FF98A" w:rsidR="002704CC" w:rsidRPr="00C75606" w:rsidRDefault="002704CC" w:rsidP="00BC50CC">
      <w:pPr>
        <w:jc w:val="center"/>
        <w:rPr>
          <w:b/>
          <w:sz w:val="22"/>
          <w:szCs w:val="22"/>
        </w:rPr>
      </w:pPr>
    </w:p>
    <w:p w14:paraId="61026068" w14:textId="77777777" w:rsidR="00F674A8" w:rsidRPr="00C75606" w:rsidRDefault="00F674A8" w:rsidP="00BC50CC">
      <w:pPr>
        <w:jc w:val="center"/>
        <w:rPr>
          <w:b/>
          <w:sz w:val="22"/>
          <w:szCs w:val="22"/>
        </w:rPr>
      </w:pPr>
    </w:p>
    <w:p w14:paraId="7E4ECC01" w14:textId="77777777" w:rsidR="0058295E" w:rsidRPr="00C75606" w:rsidRDefault="0058295E" w:rsidP="0058295E">
      <w:pPr>
        <w:jc w:val="center"/>
        <w:rPr>
          <w:b/>
          <w:sz w:val="22"/>
          <w:szCs w:val="22"/>
        </w:rPr>
      </w:pPr>
      <w:r w:rsidRPr="00C75606">
        <w:rPr>
          <w:b/>
          <w:sz w:val="22"/>
          <w:szCs w:val="22"/>
        </w:rPr>
        <w:t xml:space="preserve">2026B Subordinate LT Bonds Maturity Schedule </w:t>
      </w:r>
    </w:p>
    <w:p w14:paraId="2FF54843" w14:textId="77777777" w:rsidR="0058295E" w:rsidRPr="00C75606" w:rsidRDefault="0058295E" w:rsidP="0058295E">
      <w:pPr>
        <w:jc w:val="center"/>
        <w:rPr>
          <w:b/>
          <w:sz w:val="22"/>
          <w:szCs w:val="22"/>
        </w:rPr>
      </w:pPr>
    </w:p>
    <w:p w14:paraId="6FE1FC97" w14:textId="2A4EC386" w:rsidR="0058295E" w:rsidRPr="00C75606" w:rsidRDefault="0058295E" w:rsidP="0058295E">
      <w:pPr>
        <w:jc w:val="center"/>
        <w:rPr>
          <w:sz w:val="22"/>
          <w:szCs w:val="22"/>
          <w:vertAlign w:val="superscript"/>
        </w:rPr>
      </w:pPr>
      <w:r w:rsidRPr="00C75606">
        <w:rPr>
          <w:sz w:val="22"/>
          <w:szCs w:val="22"/>
        </w:rPr>
        <w:t>$[PAR-B]</w:t>
      </w:r>
      <w:r w:rsidRPr="00C75606">
        <w:rPr>
          <w:sz w:val="22"/>
          <w:szCs w:val="22"/>
          <w:vertAlign w:val="superscript"/>
        </w:rPr>
        <w:t>*</w:t>
      </w:r>
      <w:r w:rsidRPr="00C75606">
        <w:rPr>
          <w:sz w:val="22"/>
          <w:szCs w:val="22"/>
        </w:rPr>
        <w:t xml:space="preserve"> ___% Term Bond due March 15, </w:t>
      </w:r>
      <w:r w:rsidR="00EF21D5" w:rsidRPr="00C75606">
        <w:rPr>
          <w:sz w:val="22"/>
          <w:szCs w:val="22"/>
        </w:rPr>
        <w:t>2057</w:t>
      </w:r>
      <w:r w:rsidRPr="00C75606">
        <w:rPr>
          <w:sz w:val="22"/>
          <w:szCs w:val="22"/>
          <w:vertAlign w:val="superscript"/>
        </w:rPr>
        <w:t>*</w:t>
      </w:r>
      <w:r w:rsidRPr="00C75606">
        <w:rPr>
          <w:sz w:val="22"/>
          <w:szCs w:val="22"/>
        </w:rPr>
        <w:t xml:space="preserve"> Price ___%   CUSIP __________</w:t>
      </w:r>
      <w:r w:rsidRPr="00C75606">
        <w:rPr>
          <w:sz w:val="22"/>
          <w:szCs w:val="22"/>
          <w:vertAlign w:val="superscript"/>
        </w:rPr>
        <w:t>**</w:t>
      </w:r>
    </w:p>
    <w:p w14:paraId="70C718CE" w14:textId="77777777" w:rsidR="0058295E" w:rsidRPr="00C75606" w:rsidRDefault="0058295E" w:rsidP="0058295E">
      <w:pPr>
        <w:jc w:val="center"/>
        <w:rPr>
          <w:sz w:val="22"/>
          <w:szCs w:val="22"/>
        </w:rPr>
      </w:pPr>
    </w:p>
    <w:p w14:paraId="6E9C9D92" w14:textId="77777777" w:rsidR="00F674A8" w:rsidRDefault="00F674A8" w:rsidP="0058295E">
      <w:pPr>
        <w:jc w:val="center"/>
        <w:rPr>
          <w:sz w:val="22"/>
          <w:szCs w:val="20"/>
        </w:rPr>
      </w:pPr>
    </w:p>
    <w:p w14:paraId="0F1873FA" w14:textId="77777777" w:rsidR="00DD3ECE" w:rsidRPr="00DD3ECE" w:rsidRDefault="00DD3ECE" w:rsidP="00DD3ECE">
      <w:pPr>
        <w:tabs>
          <w:tab w:val="left" w:pos="2880"/>
        </w:tabs>
        <w:spacing w:after="80"/>
        <w:rPr>
          <w:rFonts w:eastAsia="Times New Roman" w:cs="Times New Roman"/>
          <w:szCs w:val="18"/>
          <w:u w:val="single"/>
        </w:rPr>
      </w:pPr>
      <w:r>
        <w:rPr>
          <w:rFonts w:eastAsia="Times New Roman" w:cs="Times New Roman"/>
          <w:szCs w:val="18"/>
          <w:u w:val="single"/>
        </w:rPr>
        <w:tab/>
      </w:r>
    </w:p>
    <w:p w14:paraId="3825E5AF" w14:textId="77777777" w:rsidR="00DD3ECE" w:rsidRPr="00DD3ECE" w:rsidRDefault="00DD3ECE" w:rsidP="00DD3ECE">
      <w:pPr>
        <w:ind w:left="720" w:hanging="720"/>
        <w:jc w:val="both"/>
        <w:rPr>
          <w:rFonts w:eastAsia="Times New Roman" w:cs="Times New Roman"/>
          <w:szCs w:val="18"/>
        </w:rPr>
      </w:pPr>
      <w:r>
        <w:rPr>
          <w:rFonts w:eastAsia="Times New Roman" w:cs="Times New Roman"/>
          <w:szCs w:val="18"/>
        </w:rPr>
        <w:t>*</w:t>
      </w:r>
      <w:r>
        <w:rPr>
          <w:rFonts w:eastAsia="Times New Roman" w:cs="Times New Roman"/>
          <w:szCs w:val="18"/>
        </w:rPr>
        <w:tab/>
        <w:t xml:space="preserve">Preliminary; subject to change. </w:t>
      </w:r>
    </w:p>
    <w:p w14:paraId="20E93654" w14:textId="77777777" w:rsidR="00DD3ECE" w:rsidRPr="00DD3ECE" w:rsidRDefault="00DD3ECE" w:rsidP="00DD3ECE">
      <w:pPr>
        <w:ind w:left="720" w:hanging="720"/>
        <w:jc w:val="both"/>
        <w:rPr>
          <w:rFonts w:eastAsia="Times New Roman" w:cs="Times New Roman"/>
          <w:szCs w:val="18"/>
        </w:rPr>
      </w:pPr>
    </w:p>
    <w:p w14:paraId="2DD6007F" w14:textId="232D4E80" w:rsidR="00DD3ECE" w:rsidRPr="00DD3ECE" w:rsidRDefault="00DD3ECE" w:rsidP="00DD3ECE">
      <w:pPr>
        <w:ind w:left="720" w:hanging="720"/>
        <w:jc w:val="both"/>
        <w:rPr>
          <w:rFonts w:eastAsia="Times New Roman" w:cs="Times New Roman"/>
          <w:szCs w:val="18"/>
        </w:rPr>
      </w:pPr>
      <w:r>
        <w:rPr>
          <w:rFonts w:eastAsia="Times New Roman" w:cs="Times New Roman"/>
          <w:szCs w:val="18"/>
        </w:rPr>
        <w:t>**</w:t>
      </w:r>
      <w:r>
        <w:rPr>
          <w:rFonts w:eastAsia="Times New Roman" w:cs="Times New Roman"/>
          <w:szCs w:val="18"/>
        </w:rPr>
        <w:tab/>
        <w:t xml:space="preserve">The above-referenced CUSIP number(s) have been assigned by an independent company not affiliated with the parties to this bond transaction and are included solely for the convenience of the holders of the Bonds. None of the District or the Trustee is responsible for the selection or uses of such CUSIP numbers, and no representation is made as to its correctness on the particular Bonds or as indicated above. The CUSIP number for a specific maturity is subject to being changed after the issuance of the Bonds as a result of various subsequent actions including, but not limited to, a refunding in whole or in part of such maturity or as a result of the procurement of secondary market portfolio insurance or other similar enhancement by investors that is applicable to all or a portion of certain maturities. </w:t>
      </w:r>
    </w:p>
    <w:p w14:paraId="53F4F0D6" w14:textId="54120A79" w:rsidR="00DD3ECE" w:rsidRPr="002704CC" w:rsidRDefault="00DD3ECE" w:rsidP="00BC50CC">
      <w:pPr>
        <w:jc w:val="center"/>
        <w:rPr>
          <w:rFonts w:eastAsia="Times New Roman"/>
          <w:color w:val="000000"/>
          <w:sz w:val="24"/>
          <w:szCs w:val="22"/>
        </w:rPr>
        <w:sectPr w:rsidR="00DD3ECE" w:rsidRPr="002704CC" w:rsidSect="00F938AA">
          <w:footerReference w:type="default" r:id="rId15"/>
          <w:headerReference w:type="first" r:id="rId16"/>
          <w:footnotePr>
            <w:numFmt w:val="chicago"/>
            <w:numRestart w:val="eachPage"/>
          </w:footnotePr>
          <w:pgSz w:w="12240" w:h="15840" w:code="1"/>
          <w:pgMar w:top="1152" w:right="1440" w:bottom="1152" w:left="1440" w:header="432" w:footer="547" w:gutter="0"/>
          <w:pgNumType w:fmt="lowerRoman" w:start="1"/>
          <w:cols w:space="720"/>
          <w:vAlign w:val="center"/>
          <w:docGrid w:linePitch="360"/>
        </w:sectPr>
      </w:pPr>
    </w:p>
    <w:p w14:paraId="41E96969" w14:textId="06AB2161" w:rsidR="00E42A2D" w:rsidRPr="00DA2177" w:rsidRDefault="00C13B74" w:rsidP="00BC50CC">
      <w:pPr>
        <w:jc w:val="center"/>
        <w:rPr>
          <w:sz w:val="22"/>
          <w:szCs w:val="22"/>
        </w:rPr>
      </w:pPr>
      <w:r>
        <w:rPr>
          <w:rFonts w:eastAsia="Times New Roman"/>
          <w:b/>
          <w:color w:val="000000"/>
          <w:sz w:val="22"/>
          <w:szCs w:val="22"/>
        </w:rPr>
        <w:lastRenderedPageBreak/>
        <w:t>OLYMPIA PUBLIC INFRASTRUCTURE DISTRICT NO. 2</w:t>
      </w:r>
    </w:p>
    <w:p w14:paraId="6CD7D17D" w14:textId="1EF69E86" w:rsidR="00BC50CC" w:rsidRPr="00DA2177" w:rsidRDefault="00F061B2" w:rsidP="00BC50CC">
      <w:pPr>
        <w:spacing w:after="240"/>
        <w:jc w:val="center"/>
        <w:textAlignment w:val="baseline"/>
        <w:rPr>
          <w:rFonts w:eastAsia="Times New Roman"/>
          <w:b/>
          <w:color w:val="000000"/>
          <w:sz w:val="22"/>
          <w:szCs w:val="22"/>
        </w:rPr>
      </w:pPr>
      <w:r>
        <w:rPr>
          <w:rFonts w:eastAsia="Times New Roman"/>
          <w:b/>
          <w:color w:val="000000"/>
          <w:sz w:val="22"/>
          <w:szCs w:val="22"/>
        </w:rPr>
        <w:t>Herriman City, Utah</w:t>
      </w:r>
    </w:p>
    <w:p w14:paraId="2E8C883F" w14:textId="77777777" w:rsidR="00BC50CC" w:rsidRPr="00DA2177" w:rsidRDefault="00BC50CC" w:rsidP="00BC50CC">
      <w:pPr>
        <w:rPr>
          <w:sz w:val="22"/>
          <w:szCs w:val="22"/>
        </w:rPr>
      </w:pPr>
    </w:p>
    <w:p w14:paraId="605398A6" w14:textId="347C3E59" w:rsidR="00BC50CC" w:rsidRPr="00DA2177" w:rsidRDefault="00BC50CC" w:rsidP="00BC50CC">
      <w:pPr>
        <w:jc w:val="center"/>
        <w:textAlignment w:val="baseline"/>
        <w:rPr>
          <w:rFonts w:eastAsia="Times New Roman"/>
          <w:b/>
          <w:color w:val="000000"/>
          <w:sz w:val="22"/>
          <w:szCs w:val="22"/>
        </w:rPr>
      </w:pPr>
      <w:r>
        <w:rPr>
          <w:rFonts w:eastAsia="Times New Roman"/>
          <w:b/>
          <w:color w:val="000000"/>
          <w:sz w:val="22"/>
          <w:szCs w:val="22"/>
        </w:rPr>
        <w:t xml:space="preserve">Board of </w:t>
      </w:r>
      <w:r w:rsidR="00FB181E">
        <w:rPr>
          <w:rFonts w:eastAsia="Times New Roman"/>
          <w:b/>
          <w:color w:val="000000"/>
          <w:sz w:val="22"/>
          <w:szCs w:val="22"/>
        </w:rPr>
        <w:t>Trustees</w:t>
      </w:r>
    </w:p>
    <w:p w14:paraId="02140840" w14:textId="608EE505" w:rsidR="00BC50CC" w:rsidRPr="00EB3704" w:rsidRDefault="00F061B2" w:rsidP="00BC50CC">
      <w:pPr>
        <w:jc w:val="center"/>
        <w:textAlignment w:val="baseline"/>
        <w:rPr>
          <w:rFonts w:eastAsia="Times New Roman"/>
          <w:color w:val="000000"/>
          <w:sz w:val="22"/>
          <w:szCs w:val="22"/>
        </w:rPr>
      </w:pPr>
      <w:r>
        <w:rPr>
          <w:rFonts w:eastAsia="Times New Roman"/>
          <w:color w:val="000000"/>
          <w:sz w:val="22"/>
          <w:szCs w:val="22"/>
        </w:rPr>
        <w:t>Ryan Button, Chair</w:t>
      </w:r>
    </w:p>
    <w:p w14:paraId="558D40F6" w14:textId="6CBCF259" w:rsidR="00BC50CC" w:rsidRPr="00EB3704" w:rsidRDefault="00F061B2" w:rsidP="00BC50CC">
      <w:pPr>
        <w:jc w:val="center"/>
        <w:textAlignment w:val="baseline"/>
        <w:rPr>
          <w:rFonts w:eastAsia="Times New Roman"/>
          <w:color w:val="000000"/>
          <w:sz w:val="22"/>
          <w:szCs w:val="22"/>
        </w:rPr>
      </w:pPr>
      <w:r>
        <w:rPr>
          <w:rFonts w:eastAsia="Times New Roman"/>
          <w:color w:val="000000"/>
          <w:sz w:val="22"/>
          <w:szCs w:val="22"/>
        </w:rPr>
        <w:t>Doug Young, Vice Chair</w:t>
      </w:r>
    </w:p>
    <w:p w14:paraId="41A35EE6" w14:textId="0C60544F" w:rsidR="00F23D6D" w:rsidRPr="00DA2177" w:rsidRDefault="00F061B2" w:rsidP="00F23D6D">
      <w:pPr>
        <w:jc w:val="center"/>
        <w:textAlignment w:val="baseline"/>
        <w:rPr>
          <w:rFonts w:eastAsia="Times New Roman"/>
          <w:color w:val="000000"/>
          <w:sz w:val="22"/>
          <w:szCs w:val="22"/>
        </w:rPr>
      </w:pPr>
      <w:r>
        <w:rPr>
          <w:rFonts w:eastAsia="Times New Roman"/>
          <w:color w:val="000000"/>
          <w:sz w:val="22"/>
          <w:szCs w:val="22"/>
        </w:rPr>
        <w:t>Kirk Young, Clerk/Secretary</w:t>
      </w:r>
    </w:p>
    <w:p w14:paraId="132D6125" w14:textId="77777777" w:rsidR="00BC50CC" w:rsidRPr="00DA2177" w:rsidRDefault="00BC50CC" w:rsidP="00BC50CC">
      <w:pPr>
        <w:jc w:val="center"/>
        <w:textAlignment w:val="baseline"/>
        <w:rPr>
          <w:rFonts w:eastAsia="Times New Roman"/>
          <w:color w:val="000000"/>
          <w:sz w:val="22"/>
          <w:szCs w:val="22"/>
        </w:rPr>
      </w:pPr>
    </w:p>
    <w:p w14:paraId="4EF4880E" w14:textId="77777777" w:rsidR="00BC50CC" w:rsidRPr="00DA2177" w:rsidRDefault="00BC50CC" w:rsidP="00BC50CC">
      <w:pPr>
        <w:jc w:val="center"/>
        <w:textAlignment w:val="baseline"/>
        <w:rPr>
          <w:rFonts w:eastAsia="Times New Roman"/>
          <w:color w:val="000000"/>
          <w:sz w:val="22"/>
          <w:szCs w:val="22"/>
        </w:rPr>
      </w:pPr>
    </w:p>
    <w:p w14:paraId="16146318" w14:textId="77777777" w:rsidR="00BC50CC" w:rsidRPr="00DA2177" w:rsidRDefault="00BC50CC" w:rsidP="00BC50CC">
      <w:pPr>
        <w:jc w:val="center"/>
        <w:textAlignment w:val="baseline"/>
        <w:rPr>
          <w:rFonts w:eastAsia="Times New Roman"/>
          <w:b/>
          <w:color w:val="000000"/>
          <w:sz w:val="22"/>
          <w:szCs w:val="22"/>
        </w:rPr>
      </w:pPr>
      <w:r>
        <w:rPr>
          <w:rFonts w:eastAsia="Times New Roman"/>
          <w:b/>
          <w:color w:val="000000"/>
          <w:sz w:val="22"/>
          <w:szCs w:val="22"/>
        </w:rPr>
        <w:t>District Counsel</w:t>
      </w:r>
    </w:p>
    <w:p w14:paraId="272A59AD" w14:textId="77777777" w:rsidR="00BC50CC" w:rsidRPr="00DA2177" w:rsidRDefault="00BC50CC" w:rsidP="00BC50CC">
      <w:pPr>
        <w:jc w:val="center"/>
        <w:textAlignment w:val="baseline"/>
        <w:rPr>
          <w:rFonts w:eastAsia="Times New Roman"/>
          <w:color w:val="000000"/>
          <w:sz w:val="22"/>
          <w:szCs w:val="22"/>
        </w:rPr>
      </w:pPr>
      <w:r>
        <w:rPr>
          <w:rFonts w:eastAsia="Times New Roman"/>
          <w:color w:val="000000"/>
          <w:sz w:val="22"/>
          <w:szCs w:val="22"/>
        </w:rPr>
        <w:t>Snow Jensen &amp; Reece, P.C.</w:t>
      </w:r>
    </w:p>
    <w:p w14:paraId="1EBF000A" w14:textId="77777777" w:rsidR="00BC50CC" w:rsidRPr="00DA2177" w:rsidRDefault="00BC50CC" w:rsidP="00BC50CC">
      <w:pPr>
        <w:jc w:val="center"/>
        <w:textAlignment w:val="baseline"/>
        <w:rPr>
          <w:rFonts w:eastAsia="Times New Roman"/>
          <w:color w:val="000000"/>
          <w:sz w:val="22"/>
          <w:szCs w:val="22"/>
        </w:rPr>
      </w:pPr>
      <w:r>
        <w:rPr>
          <w:rFonts w:eastAsia="Times New Roman"/>
          <w:color w:val="000000"/>
          <w:sz w:val="22"/>
          <w:szCs w:val="22"/>
        </w:rPr>
        <w:t>St. George, Utah</w:t>
      </w:r>
    </w:p>
    <w:p w14:paraId="20715055" w14:textId="77777777" w:rsidR="00BC50CC" w:rsidRPr="00DA2177" w:rsidRDefault="00BC50CC" w:rsidP="00BC50CC">
      <w:pPr>
        <w:jc w:val="center"/>
        <w:textAlignment w:val="baseline"/>
        <w:rPr>
          <w:rFonts w:eastAsia="Times New Roman"/>
          <w:color w:val="000000"/>
          <w:sz w:val="22"/>
          <w:szCs w:val="22"/>
        </w:rPr>
      </w:pPr>
    </w:p>
    <w:p w14:paraId="36239868" w14:textId="77777777" w:rsidR="00BC50CC" w:rsidRPr="00DA2177" w:rsidRDefault="00BC50CC" w:rsidP="00BC50CC">
      <w:pPr>
        <w:jc w:val="center"/>
        <w:textAlignment w:val="baseline"/>
        <w:rPr>
          <w:rFonts w:eastAsia="Times New Roman"/>
          <w:color w:val="000000"/>
          <w:sz w:val="22"/>
          <w:szCs w:val="22"/>
        </w:rPr>
      </w:pPr>
    </w:p>
    <w:p w14:paraId="0E9AAB38" w14:textId="77777777" w:rsidR="00BC50CC" w:rsidRPr="00DA2177" w:rsidRDefault="00BC50CC" w:rsidP="00BC50CC">
      <w:pPr>
        <w:jc w:val="center"/>
        <w:textAlignment w:val="baseline"/>
        <w:rPr>
          <w:rFonts w:eastAsia="Times New Roman"/>
          <w:b/>
          <w:color w:val="000000"/>
          <w:sz w:val="22"/>
          <w:szCs w:val="22"/>
        </w:rPr>
      </w:pPr>
      <w:r>
        <w:rPr>
          <w:rFonts w:eastAsia="Times New Roman"/>
          <w:b/>
          <w:color w:val="000000"/>
          <w:sz w:val="22"/>
          <w:szCs w:val="22"/>
        </w:rPr>
        <w:t>Bond and Disclosure Counsel</w:t>
      </w:r>
    </w:p>
    <w:p w14:paraId="5EA74A39" w14:textId="7ADF71EF" w:rsidR="00BC50CC" w:rsidRPr="00DA2177" w:rsidRDefault="00BC50CC" w:rsidP="00BC50CC">
      <w:pPr>
        <w:spacing w:after="240"/>
        <w:jc w:val="center"/>
        <w:textAlignment w:val="baseline"/>
        <w:rPr>
          <w:rFonts w:eastAsia="Times New Roman"/>
          <w:color w:val="000000"/>
          <w:sz w:val="22"/>
          <w:szCs w:val="22"/>
        </w:rPr>
      </w:pPr>
      <w:r>
        <w:rPr>
          <w:rFonts w:eastAsia="Times New Roman"/>
          <w:color w:val="000000"/>
          <w:sz w:val="22"/>
          <w:szCs w:val="22"/>
        </w:rPr>
        <w:t>Gilmore &amp; Bell, P.C.</w:t>
      </w:r>
      <w:r>
        <w:rPr>
          <w:rFonts w:eastAsia="Times New Roman"/>
          <w:color w:val="000000"/>
          <w:sz w:val="22"/>
          <w:szCs w:val="22"/>
        </w:rPr>
        <w:br/>
        <w:t>Salt Lake City, Utah</w:t>
      </w:r>
    </w:p>
    <w:p w14:paraId="52D76677" w14:textId="77777777" w:rsidR="00BC50CC" w:rsidRPr="00DA2177" w:rsidRDefault="00BC50CC" w:rsidP="00BC50CC">
      <w:pPr>
        <w:rPr>
          <w:sz w:val="22"/>
          <w:szCs w:val="22"/>
        </w:rPr>
      </w:pPr>
    </w:p>
    <w:p w14:paraId="2C82C371" w14:textId="77777777" w:rsidR="00BC50CC" w:rsidRPr="00DA2177" w:rsidRDefault="00BC50CC" w:rsidP="00BC50CC">
      <w:pPr>
        <w:jc w:val="center"/>
        <w:textAlignment w:val="baseline"/>
        <w:rPr>
          <w:rFonts w:eastAsia="Times New Roman"/>
          <w:b/>
          <w:color w:val="000000"/>
          <w:sz w:val="22"/>
          <w:szCs w:val="22"/>
        </w:rPr>
      </w:pPr>
      <w:r>
        <w:rPr>
          <w:rFonts w:eastAsia="Times New Roman"/>
          <w:b/>
          <w:color w:val="000000"/>
          <w:sz w:val="22"/>
          <w:szCs w:val="22"/>
        </w:rPr>
        <w:t>Trustee, Registrar and Paying Agent</w:t>
      </w:r>
    </w:p>
    <w:p w14:paraId="2F908238" w14:textId="7A0E1296" w:rsidR="00BC50CC" w:rsidRPr="00DA2177" w:rsidRDefault="008074A4" w:rsidP="00BC50CC">
      <w:pPr>
        <w:jc w:val="center"/>
        <w:rPr>
          <w:sz w:val="22"/>
          <w:szCs w:val="22"/>
        </w:rPr>
      </w:pPr>
      <w:r>
        <w:rPr>
          <w:sz w:val="22"/>
          <w:szCs w:val="22"/>
        </w:rPr>
        <w:t>Zions Bancorporation, National Association</w:t>
      </w:r>
    </w:p>
    <w:p w14:paraId="55E072B6" w14:textId="03D69EB0" w:rsidR="00BC50CC" w:rsidRPr="00DA2177" w:rsidRDefault="008074A4" w:rsidP="00BC50CC">
      <w:pPr>
        <w:spacing w:after="240"/>
        <w:jc w:val="center"/>
        <w:textAlignment w:val="baseline"/>
        <w:rPr>
          <w:rFonts w:eastAsia="Times New Roman"/>
          <w:color w:val="000000"/>
          <w:sz w:val="22"/>
          <w:szCs w:val="22"/>
        </w:rPr>
      </w:pPr>
      <w:r>
        <w:rPr>
          <w:rFonts w:eastAsia="Times New Roman"/>
          <w:color w:val="000000"/>
          <w:sz w:val="22"/>
          <w:szCs w:val="22"/>
        </w:rPr>
        <w:t>Midvale, Utah</w:t>
      </w:r>
    </w:p>
    <w:p w14:paraId="1E9D9E30" w14:textId="77777777" w:rsidR="00BC50CC" w:rsidRPr="00DA2177" w:rsidRDefault="00BC50CC" w:rsidP="00BC50CC">
      <w:pPr>
        <w:rPr>
          <w:sz w:val="22"/>
          <w:szCs w:val="22"/>
        </w:rPr>
      </w:pPr>
    </w:p>
    <w:p w14:paraId="1FCA6AC3" w14:textId="77777777" w:rsidR="00BC50CC" w:rsidRPr="005A66E5" w:rsidRDefault="00BC50CC" w:rsidP="00BC50CC">
      <w:pPr>
        <w:jc w:val="center"/>
        <w:textAlignment w:val="baseline"/>
        <w:rPr>
          <w:rFonts w:eastAsia="Times New Roman"/>
          <w:b/>
          <w:color w:val="000000"/>
          <w:sz w:val="22"/>
          <w:szCs w:val="22"/>
        </w:rPr>
      </w:pPr>
      <w:r>
        <w:rPr>
          <w:rFonts w:eastAsia="Times New Roman"/>
          <w:b/>
          <w:color w:val="000000"/>
          <w:sz w:val="22"/>
          <w:szCs w:val="22"/>
        </w:rPr>
        <w:t>Underwriter</w:t>
      </w:r>
    </w:p>
    <w:p w14:paraId="336E6DB8" w14:textId="77777777" w:rsidR="00BC50CC" w:rsidRPr="005A66E5" w:rsidRDefault="00BC50CC" w:rsidP="00BC50CC">
      <w:pPr>
        <w:jc w:val="center"/>
        <w:textAlignment w:val="baseline"/>
        <w:rPr>
          <w:rFonts w:eastAsia="Times New Roman"/>
          <w:color w:val="000000"/>
          <w:sz w:val="22"/>
          <w:szCs w:val="22"/>
        </w:rPr>
      </w:pPr>
      <w:r>
        <w:rPr>
          <w:rFonts w:eastAsia="Times New Roman"/>
          <w:color w:val="000000"/>
          <w:sz w:val="22"/>
          <w:szCs w:val="22"/>
        </w:rPr>
        <w:t>D.A. Davidson &amp; Co.</w:t>
      </w:r>
    </w:p>
    <w:p w14:paraId="2E73EC22" w14:textId="77777777" w:rsidR="00BC50CC" w:rsidRPr="005A66E5" w:rsidRDefault="00BC50CC" w:rsidP="00BC50CC">
      <w:pPr>
        <w:jc w:val="center"/>
        <w:textAlignment w:val="baseline"/>
        <w:rPr>
          <w:rFonts w:eastAsia="Times New Roman"/>
          <w:color w:val="000000"/>
          <w:sz w:val="22"/>
          <w:szCs w:val="22"/>
        </w:rPr>
      </w:pPr>
      <w:r>
        <w:rPr>
          <w:rFonts w:eastAsia="Times New Roman"/>
          <w:color w:val="000000"/>
          <w:sz w:val="22"/>
          <w:szCs w:val="22"/>
        </w:rPr>
        <w:t>Salt Lake City, Utah</w:t>
      </w:r>
    </w:p>
    <w:p w14:paraId="3036A859" w14:textId="77777777" w:rsidR="00BC50CC" w:rsidRPr="005A66E5" w:rsidRDefault="00BC50CC" w:rsidP="00BC50CC">
      <w:pPr>
        <w:jc w:val="center"/>
        <w:textAlignment w:val="baseline"/>
        <w:rPr>
          <w:rFonts w:eastAsia="Times New Roman"/>
          <w:color w:val="000000"/>
          <w:sz w:val="22"/>
          <w:szCs w:val="22"/>
        </w:rPr>
      </w:pPr>
    </w:p>
    <w:p w14:paraId="3BE52990" w14:textId="77777777" w:rsidR="00BC50CC" w:rsidRPr="005A66E5" w:rsidRDefault="00BC50CC" w:rsidP="00BC50CC">
      <w:pPr>
        <w:jc w:val="center"/>
        <w:textAlignment w:val="baseline"/>
        <w:rPr>
          <w:rFonts w:eastAsia="Times New Roman"/>
          <w:color w:val="000000"/>
          <w:sz w:val="22"/>
          <w:szCs w:val="22"/>
        </w:rPr>
      </w:pPr>
    </w:p>
    <w:p w14:paraId="61783ADF" w14:textId="77777777" w:rsidR="00BC50CC" w:rsidRPr="005A66E5" w:rsidRDefault="00BC50CC" w:rsidP="00BC50CC">
      <w:pPr>
        <w:jc w:val="center"/>
        <w:textAlignment w:val="baseline"/>
        <w:rPr>
          <w:rFonts w:eastAsia="Times New Roman"/>
          <w:b/>
          <w:color w:val="000000"/>
          <w:sz w:val="22"/>
          <w:szCs w:val="22"/>
        </w:rPr>
      </w:pPr>
      <w:r>
        <w:rPr>
          <w:rFonts w:eastAsia="Times New Roman"/>
          <w:b/>
          <w:color w:val="000000"/>
          <w:sz w:val="22"/>
          <w:szCs w:val="22"/>
        </w:rPr>
        <w:t>Underwriter’s Counsel</w:t>
      </w:r>
    </w:p>
    <w:p w14:paraId="5C777ABD" w14:textId="74EA96D4" w:rsidR="00BC50CC" w:rsidRDefault="003F2ED1" w:rsidP="00FE4C01">
      <w:pPr>
        <w:jc w:val="center"/>
        <w:textAlignment w:val="baseline"/>
        <w:rPr>
          <w:rFonts w:eastAsia="Times New Roman"/>
          <w:color w:val="000000"/>
          <w:sz w:val="22"/>
          <w:szCs w:val="22"/>
        </w:rPr>
      </w:pPr>
      <w:r>
        <w:rPr>
          <w:rFonts w:eastAsia="Times New Roman"/>
          <w:color w:val="000000"/>
          <w:sz w:val="22"/>
          <w:szCs w:val="22"/>
        </w:rPr>
        <w:t>Kutak Rock LLP</w:t>
      </w:r>
      <w:r>
        <w:rPr>
          <w:rFonts w:eastAsia="Times New Roman"/>
          <w:color w:val="000000"/>
          <w:sz w:val="22"/>
          <w:szCs w:val="22"/>
        </w:rPr>
        <w:br/>
        <w:t>Denver, Colorado</w:t>
      </w:r>
    </w:p>
    <w:p w14:paraId="35A93415" w14:textId="77777777" w:rsidR="00FE4C01" w:rsidRDefault="00FE4C01" w:rsidP="00FE4C01">
      <w:pPr>
        <w:jc w:val="center"/>
        <w:textAlignment w:val="baseline"/>
        <w:rPr>
          <w:rFonts w:eastAsia="Times New Roman"/>
          <w:color w:val="000000"/>
          <w:sz w:val="22"/>
          <w:szCs w:val="22"/>
        </w:rPr>
      </w:pPr>
    </w:p>
    <w:p w14:paraId="03AA2D19" w14:textId="77777777" w:rsidR="00FE4C01" w:rsidRDefault="00FE4C01" w:rsidP="00FE4C01">
      <w:pPr>
        <w:jc w:val="center"/>
        <w:textAlignment w:val="baseline"/>
        <w:rPr>
          <w:rFonts w:eastAsia="Times New Roman"/>
          <w:color w:val="000000"/>
          <w:sz w:val="22"/>
          <w:szCs w:val="22"/>
        </w:rPr>
      </w:pPr>
    </w:p>
    <w:p w14:paraId="2838280C" w14:textId="77777777" w:rsidR="00FE4C01" w:rsidRPr="00C75606" w:rsidRDefault="00FE4C01" w:rsidP="00FE4C01">
      <w:pPr>
        <w:jc w:val="center"/>
        <w:textAlignment w:val="baseline"/>
        <w:rPr>
          <w:rFonts w:eastAsia="Times New Roman"/>
          <w:b/>
          <w:color w:val="000000"/>
          <w:sz w:val="22"/>
          <w:szCs w:val="22"/>
        </w:rPr>
      </w:pPr>
      <w:r w:rsidRPr="00C75606">
        <w:rPr>
          <w:rFonts w:eastAsia="Times New Roman"/>
          <w:b/>
          <w:color w:val="000000"/>
          <w:sz w:val="22"/>
          <w:szCs w:val="22"/>
        </w:rPr>
        <w:t>Municipal Advisor</w:t>
      </w:r>
    </w:p>
    <w:p w14:paraId="7B7F6528" w14:textId="17F4ECA8" w:rsidR="00FE4C01" w:rsidRPr="00C75606" w:rsidRDefault="00FE4C01" w:rsidP="00FE4C01">
      <w:pPr>
        <w:jc w:val="center"/>
        <w:rPr>
          <w:sz w:val="22"/>
          <w:szCs w:val="22"/>
        </w:rPr>
      </w:pPr>
      <w:r w:rsidRPr="00C75606">
        <w:rPr>
          <w:sz w:val="22"/>
          <w:szCs w:val="22"/>
        </w:rPr>
        <w:t>[]</w:t>
      </w:r>
    </w:p>
    <w:p w14:paraId="4D4FD187" w14:textId="6E5CB5B2" w:rsidR="00FE4C01" w:rsidRPr="00C75606" w:rsidRDefault="00FE4C01" w:rsidP="00FE4C01">
      <w:pPr>
        <w:jc w:val="center"/>
        <w:rPr>
          <w:sz w:val="22"/>
          <w:szCs w:val="22"/>
        </w:rPr>
      </w:pPr>
      <w:r w:rsidRPr="00C75606">
        <w:rPr>
          <w:sz w:val="22"/>
          <w:szCs w:val="22"/>
        </w:rPr>
        <w:t>[]</w:t>
      </w:r>
    </w:p>
    <w:p w14:paraId="4383B531" w14:textId="77777777" w:rsidR="00F857E8" w:rsidRPr="00C75606" w:rsidRDefault="00F857E8" w:rsidP="00F857E8">
      <w:pPr>
        <w:spacing w:after="240"/>
        <w:textAlignment w:val="baseline"/>
        <w:rPr>
          <w:rFonts w:eastAsia="Times New Roman"/>
          <w:sz w:val="22"/>
          <w:szCs w:val="22"/>
        </w:rPr>
      </w:pPr>
    </w:p>
    <w:p w14:paraId="5194F008" w14:textId="183091C8" w:rsidR="001B49A6" w:rsidRPr="005A66E5" w:rsidRDefault="001B49A6" w:rsidP="000C2116">
      <w:pPr>
        <w:jc w:val="center"/>
        <w:textAlignment w:val="baseline"/>
        <w:rPr>
          <w:rFonts w:eastAsia="Times New Roman"/>
          <w:color w:val="000000"/>
        </w:rPr>
      </w:pPr>
      <w:r>
        <w:rPr>
          <w:rFonts w:eastAsia="Times New Roman"/>
          <w:color w:val="000000"/>
        </w:rPr>
        <w:br w:type="page"/>
      </w:r>
    </w:p>
    <w:p w14:paraId="246BFA16" w14:textId="3B34BDD2" w:rsidR="00567D7F" w:rsidRPr="00DA2177" w:rsidRDefault="00567D7F" w:rsidP="00567D7F">
      <w:pPr>
        <w:keepNext/>
        <w:spacing w:after="240"/>
        <w:jc w:val="center"/>
        <w:rPr>
          <w:rFonts w:eastAsia="Calibri"/>
          <w:b/>
          <w:sz w:val="21"/>
          <w:szCs w:val="21"/>
        </w:rPr>
      </w:pPr>
      <w:r>
        <w:rPr>
          <w:rFonts w:eastAsia="Calibri"/>
          <w:b/>
          <w:sz w:val="21"/>
          <w:szCs w:val="21"/>
        </w:rPr>
        <w:t>USE OF INFORMATION IN THIS OFFICIAL STATEMENT</w:t>
      </w:r>
    </w:p>
    <w:p w14:paraId="565B7EFA" w14:textId="3768005F" w:rsidR="00F6113B" w:rsidRPr="00B23B2C" w:rsidRDefault="00F6113B" w:rsidP="00F6113B">
      <w:pPr>
        <w:pStyle w:val="00BodyText5"/>
        <w:rPr>
          <w:szCs w:val="22"/>
        </w:rPr>
      </w:pPr>
      <w:bookmarkStart w:id="10" w:name="TOCPage"/>
      <w:r w:rsidRPr="00B23B2C">
        <w:rPr>
          <w:szCs w:val="22"/>
        </w:rPr>
        <w:t xml:space="preserve">This Official Statement, which includes the cover page and the appendices, does not constitute an offer to sell or the solicitation of an offer to buy any of the Bonds in any jurisdiction in which it is unlawful to make such offer, solicitation, or sale. No dealer, salesperson, or other person has been authorized to give any information or to make any representations other than those contained in this Official Statement in connection with the offering of the Bonds, and if given or made, such information or representations must not be relied upon as having been authorized by the District or the Underwriter. </w:t>
      </w:r>
    </w:p>
    <w:p w14:paraId="0F232E44" w14:textId="37740A25" w:rsidR="00F6113B" w:rsidRPr="00B23B2C" w:rsidRDefault="00F6113B" w:rsidP="00F6113B">
      <w:pPr>
        <w:pStyle w:val="00BodyText5"/>
        <w:rPr>
          <w:szCs w:val="22"/>
        </w:rPr>
      </w:pPr>
      <w:r w:rsidRPr="00B23B2C">
        <w:rPr>
          <w:szCs w:val="22"/>
        </w:rPr>
        <w:t>The information set forth in this Official Statement has been obtained from the District, the Developer, and from other sources believed to be reliable but is not guaranteed as to accuracy or completeness. In accordance with its responsibilities under federal securities laws, the Underwriter has reviewed the information in this Official Statement but does not guarantee its accuracy or completeness. This Official Statement contains, in part, estimates and matters of opinion which are not intended as statements of fact, and no representation or warranty is made as to the correctness of such estimates and opinions, or that they will be realized.</w:t>
      </w:r>
    </w:p>
    <w:p w14:paraId="53B29A54" w14:textId="40F05F29" w:rsidR="00F6113B" w:rsidRPr="00B23B2C" w:rsidRDefault="00F6113B" w:rsidP="00F6113B">
      <w:pPr>
        <w:pStyle w:val="00BodyText5"/>
        <w:rPr>
          <w:szCs w:val="22"/>
        </w:rPr>
      </w:pPr>
      <w:r w:rsidRPr="00B23B2C">
        <w:rPr>
          <w:szCs w:val="22"/>
        </w:rPr>
        <w:t>The information, estimates, and expressions of opinion contained in this Official Statement are subject to change without notice, and neither the delivery of this Official Statement nor any sale of the Bonds shall, under any circumstances, create any implication that there has been no change in the affairs of the District, or in the information, estimates, or opinions set forth herein, since the date of this Official Statement.</w:t>
      </w:r>
    </w:p>
    <w:p w14:paraId="05D76821" w14:textId="1827C962" w:rsidR="00F6113B" w:rsidRPr="00B23B2C" w:rsidRDefault="00F6113B" w:rsidP="00F6113B">
      <w:pPr>
        <w:pStyle w:val="00BodyText5"/>
        <w:rPr>
          <w:szCs w:val="22"/>
        </w:rPr>
      </w:pPr>
      <w:r w:rsidRPr="00B23B2C">
        <w:rPr>
          <w:szCs w:val="22"/>
        </w:rPr>
        <w:t>This Official Statement has been prepared only in connection with the original offering of the Bonds and may not be reproduced or used in whole or in part for any other purpose.</w:t>
      </w:r>
    </w:p>
    <w:p w14:paraId="33C264C6" w14:textId="77777777" w:rsidR="00F6113B" w:rsidRPr="00B23B2C" w:rsidRDefault="00F6113B" w:rsidP="00F6113B">
      <w:pPr>
        <w:pStyle w:val="00BodyText5"/>
        <w:rPr>
          <w:szCs w:val="22"/>
        </w:rPr>
      </w:pPr>
      <w:r w:rsidRPr="00B23B2C">
        <w:rPr>
          <w:szCs w:val="22"/>
        </w:rPr>
        <w:t>The Bonds have not been registered with the Securities and Exchange Commission due to certain exemptions contained in the Securities Act of 1933, as amended. In making an investment decision, investors must rely on their own examination of the District, the Bonds and the terms of the offering, including the merits and risks involved. The Bonds have not been recommended by any federal or state securities commission or regulatory authority, and the foregoing authorities have neither reviewed nor confirmed the accuracy of this document.</w:t>
      </w:r>
    </w:p>
    <w:p w14:paraId="43A0CEE7" w14:textId="166F57D0" w:rsidR="00F6113B" w:rsidRPr="00B23B2C" w:rsidRDefault="00F6113B" w:rsidP="00F6113B">
      <w:pPr>
        <w:pStyle w:val="00BodyText5"/>
        <w:rPr>
          <w:szCs w:val="22"/>
        </w:rPr>
      </w:pPr>
      <w:r w:rsidRPr="00B23B2C">
        <w:rPr>
          <w:szCs w:val="22"/>
        </w:rPr>
        <w:t>THE PRICES AT WHICH THE BONDS ARE OFFERED TO THE PUBLIC BY THE UNDERWRITER (AND THE YIELDS RESULTING THEREFROM) MAY VARY FROM THE INITIAL PUBLIC OFFERING PRICES OR YIELDS APPEARING ON THE INSIDE COVER HEREOF. IN ADDITION, THE UNDERWRITER MAY ALLOW CONCESSIONS OR DISCOUNTS FROM SUCH INITIAL PUBLIC OFFERING PRICES TO DEALERS AND OTHERS. IN ORDER TO FACILITATE DISTRIBUTION OF THE BONDS, THE UNDERWRITER MAY ENGAGE IN TRANSACTIONS INTENDED TO STABILIZE THE PRICE OF THE BONDS AT A LEVEL ABOVE THAT WHICH MIGHT OTHERWISE PREVAIL IN THE OPEN MARKET. SUCH STABILIZING, IF COMMENCED, MAY BE DISCONTINUED AT ANY TIME.</w:t>
      </w:r>
    </w:p>
    <w:p w14:paraId="755D7C76" w14:textId="284524DF" w:rsidR="00B23B2C" w:rsidRDefault="00B23B2C" w:rsidP="00B23B2C">
      <w:pPr>
        <w:pStyle w:val="00BodyText5"/>
        <w:rPr>
          <w:szCs w:val="22"/>
        </w:rPr>
      </w:pPr>
      <w:r w:rsidRPr="00B23B2C">
        <w:rPr>
          <w:szCs w:val="22"/>
        </w:rPr>
        <w:t>References to website addresses presented herein are for informational purposes only and may be in the form of a hyperlink solely for the reader’s convenience. Unless specified otherwise, such websites and the information or links contained therein are not incorporated into, and are not part of, this offering document.</w:t>
      </w:r>
      <w:r>
        <w:rPr>
          <w:szCs w:val="22"/>
        </w:rPr>
        <w:br w:type="page"/>
      </w:r>
    </w:p>
    <w:p w14:paraId="0B2E5EFE" w14:textId="77777777" w:rsidR="00F6113B" w:rsidRPr="00B23B2C" w:rsidRDefault="00F6113B" w:rsidP="008370FA">
      <w:pPr>
        <w:pStyle w:val="00BodyText5"/>
        <w:jc w:val="center"/>
        <w:rPr>
          <w:b/>
          <w:szCs w:val="22"/>
        </w:rPr>
      </w:pPr>
      <w:bookmarkStart w:id="11" w:name="_Toc166306568"/>
      <w:r w:rsidRPr="00B23B2C">
        <w:rPr>
          <w:b/>
          <w:szCs w:val="22"/>
        </w:rPr>
        <w:t>FORWARD-LOOKING STATEMENTS</w:t>
      </w:r>
      <w:bookmarkEnd w:id="11"/>
    </w:p>
    <w:p w14:paraId="5B057E25" w14:textId="70450AF4" w:rsidR="00CA39E3" w:rsidRPr="00B23B2C" w:rsidRDefault="00F6113B" w:rsidP="00B23B2C">
      <w:pPr>
        <w:pStyle w:val="00BodyText5"/>
        <w:rPr>
          <w:sz w:val="21"/>
          <w:szCs w:val="21"/>
        </w:rPr>
      </w:pPr>
      <w:r w:rsidRPr="00B23B2C">
        <w:rPr>
          <w:szCs w:val="22"/>
        </w:rPr>
        <w:t>This Official Statement, including, but not limited to the Financial Forecasts attached hereto as APPENDIX A and the Market Study attached hereto as APPENDIX B, contains statements relating to future results that are “forward-looking statements” as defined in the Private Securities Litigation Reform Act of 1995. When used in this Official Statement, the words “estimate,” “forecast,” “anticipate,” “intend,” “expect,” “plan,” “projected” and similar expressions identify forward–looking statements. Any forward-looking statement is subject to risks and uncertainties that could cause actual results to differ materially from those contemplated in such forward-looking statements. Inevitably, some assumptions used to develop the forward-looking statement will not be realized and unanticipated events and circumstances will occur. Therefore, it can be expected that there will be differences between forward-looking statements and actual results, and those differences may be material. For a discussion of certain of such risks and possible variations in results, see “RISK FACTORS.”</w:t>
      </w:r>
      <w:r w:rsidR="00B23B2C" w:rsidRPr="00B23B2C">
        <w:rPr>
          <w:szCs w:val="22"/>
        </w:rPr>
        <w:t xml:space="preserve"> Undue reliance should not be placed on forward-looking statements. All forward-looking statements included in this Official Statement are based on information available to the District on the date hereof, and the District assumes no obligation to update any such forward looking statements if or when the expectations or events, conditions, or circumstances on which such statements are based occur or fail to occur.</w:t>
      </w:r>
      <w:r>
        <w:br w:type="page"/>
      </w:r>
    </w:p>
    <w:p w14:paraId="6FA9A76C" w14:textId="70A091C7" w:rsidR="00617B7C" w:rsidRPr="0080352B" w:rsidRDefault="00617B7C" w:rsidP="00CA39E3">
      <w:pPr>
        <w:pStyle w:val="00BodyText5"/>
        <w:ind w:firstLine="0"/>
        <w:jc w:val="center"/>
        <w:rPr>
          <w:b/>
          <w:sz w:val="18"/>
          <w:szCs w:val="18"/>
        </w:rPr>
      </w:pPr>
      <w:r>
        <w:rPr>
          <w:b/>
          <w:sz w:val="18"/>
          <w:szCs w:val="18"/>
        </w:rPr>
        <w:t>TABLE OF CONTENTS</w:t>
      </w:r>
    </w:p>
    <w:p w14:paraId="52B1C8C8" w14:textId="6BB0C8CD" w:rsidR="00555114" w:rsidRPr="0080352B" w:rsidRDefault="00555114" w:rsidP="002800EA">
      <w:pPr>
        <w:rPr>
          <w:rFonts w:ascii="Times New Roman Bold" w:eastAsia="Calibri" w:hAnsi="Times New Roman Bold"/>
          <w:b/>
          <w:caps/>
          <w:sz w:val="16"/>
          <w:szCs w:val="16"/>
        </w:rPr>
        <w:sectPr w:rsidR="00555114" w:rsidRPr="0080352B" w:rsidSect="00C56734">
          <w:footnotePr>
            <w:numFmt w:val="chicago"/>
            <w:numRestart w:val="eachPage"/>
          </w:footnotePr>
          <w:pgSz w:w="12240" w:h="15840" w:code="1"/>
          <w:pgMar w:top="1152" w:right="1440" w:bottom="1152" w:left="1440" w:header="432" w:footer="540" w:gutter="0"/>
          <w:pgNumType w:fmt="lowerRoman" w:start="1"/>
          <w:cols w:space="720"/>
          <w:docGrid w:linePitch="360"/>
        </w:sectPr>
      </w:pPr>
      <w:r>
        <w:rPr>
          <w:sz w:val="16"/>
          <w:szCs w:val="16"/>
        </w:rPr>
        <w:tab/>
      </w:r>
      <w:r>
        <w:rPr>
          <w:sz w:val="16"/>
          <w:szCs w:val="16"/>
        </w:rPr>
        <w:tab/>
      </w:r>
      <w:r>
        <w:rPr>
          <w:sz w:val="16"/>
          <w:szCs w:val="16"/>
        </w:rPr>
        <w:tab/>
      </w:r>
      <w:r>
        <w:rPr>
          <w:sz w:val="16"/>
          <w:szCs w:val="16"/>
        </w:rPr>
        <w:tab/>
      </w:r>
      <w:r>
        <w:rPr>
          <w:sz w:val="16"/>
          <w:szCs w:val="16"/>
        </w:rPr>
        <w:tab/>
        <w:t xml:space="preserve">        </w:t>
      </w:r>
      <w:r>
        <w:rPr>
          <w:b/>
          <w:sz w:val="16"/>
          <w:szCs w:val="16"/>
          <w:u w:val="single"/>
        </w:rPr>
        <w:t>Page</w:t>
      </w:r>
      <w:bookmarkEnd w:id="10"/>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b/>
          <w:sz w:val="16"/>
          <w:szCs w:val="16"/>
          <w:u w:val="single"/>
        </w:rPr>
        <w:t>Page</w:t>
      </w:r>
    </w:p>
    <w:p w14:paraId="5F82560C" w14:textId="5E985472" w:rsidR="003E693B" w:rsidRDefault="00567D7F">
      <w:pPr>
        <w:pStyle w:val="TOC1"/>
        <w:rPr>
          <w:rFonts w:asciiTheme="minorHAnsi" w:eastAsiaTheme="minorEastAsia" w:hAnsiTheme="minorHAnsi"/>
          <w:noProof/>
          <w:kern w:val="2"/>
          <w:sz w:val="24"/>
          <w14:ligatures w14:val="standardContextual"/>
        </w:rPr>
      </w:pPr>
      <w:r>
        <w:rPr>
          <w:rFonts w:ascii="Times New Roman Bold" w:hAnsi="Times New Roman Bold"/>
          <w:b/>
          <w:sz w:val="15"/>
          <w:szCs w:val="15"/>
        </w:rPr>
        <w:fldChar w:fldCharType="begin"/>
      </w:r>
      <w:r>
        <w:rPr>
          <w:sz w:val="15"/>
          <w:szCs w:val="15"/>
        </w:rPr>
        <w:instrText xml:space="preserve"> TOC \t "Heading 1,1,Heading 2,2" </w:instrText>
      </w:r>
      <w:r>
        <w:rPr>
          <w:rFonts w:ascii="Times New Roman Bold" w:hAnsi="Times New Roman Bold"/>
          <w:b/>
          <w:sz w:val="15"/>
          <w:szCs w:val="15"/>
        </w:rPr>
        <w:fldChar w:fldCharType="separate"/>
      </w:r>
      <w:r w:rsidR="003E693B" w:rsidRPr="005D38A4">
        <w:rPr>
          <w:rFonts w:eastAsia="Times New Roman" w:cs="Times New Roman"/>
          <w:noProof/>
        </w:rPr>
        <w:t>INTRODUCTION</w:t>
      </w:r>
      <w:r w:rsidR="003E693B">
        <w:rPr>
          <w:noProof/>
        </w:rPr>
        <w:tab/>
      </w:r>
      <w:r w:rsidR="003E693B">
        <w:rPr>
          <w:noProof/>
        </w:rPr>
        <w:fldChar w:fldCharType="begin"/>
      </w:r>
      <w:r w:rsidR="003E693B">
        <w:rPr>
          <w:noProof/>
        </w:rPr>
        <w:instrText xml:space="preserve"> PAGEREF _Toc235521010 \h </w:instrText>
      </w:r>
      <w:r w:rsidR="003E693B">
        <w:rPr>
          <w:noProof/>
        </w:rPr>
      </w:r>
      <w:r w:rsidR="003E693B">
        <w:rPr>
          <w:noProof/>
        </w:rPr>
        <w:fldChar w:fldCharType="separate"/>
      </w:r>
      <w:r w:rsidR="003E693B">
        <w:rPr>
          <w:noProof/>
        </w:rPr>
        <w:t>1</w:t>
      </w:r>
      <w:r w:rsidR="003E693B">
        <w:rPr>
          <w:noProof/>
        </w:rPr>
        <w:fldChar w:fldCharType="end"/>
      </w:r>
    </w:p>
    <w:p w14:paraId="262BF19D" w14:textId="520228C3" w:rsidR="003E693B" w:rsidRDefault="003E693B">
      <w:pPr>
        <w:pStyle w:val="TOC2"/>
        <w:rPr>
          <w:rFonts w:asciiTheme="minorHAnsi" w:eastAsiaTheme="minorEastAsia" w:hAnsiTheme="minorHAnsi"/>
          <w:noProof/>
          <w:kern w:val="2"/>
          <w:sz w:val="24"/>
          <w:szCs w:val="24"/>
          <w14:ligatures w14:val="standardContextual"/>
        </w:rPr>
      </w:pPr>
      <w:r>
        <w:rPr>
          <w:noProof/>
        </w:rPr>
        <w:t>General</w:t>
      </w:r>
      <w:r>
        <w:rPr>
          <w:noProof/>
        </w:rPr>
        <w:tab/>
      </w:r>
      <w:r>
        <w:rPr>
          <w:noProof/>
        </w:rPr>
        <w:fldChar w:fldCharType="begin"/>
      </w:r>
      <w:r>
        <w:rPr>
          <w:noProof/>
        </w:rPr>
        <w:instrText xml:space="preserve"> PAGEREF _Toc235521011 \h </w:instrText>
      </w:r>
      <w:r>
        <w:rPr>
          <w:noProof/>
        </w:rPr>
      </w:r>
      <w:r>
        <w:rPr>
          <w:noProof/>
        </w:rPr>
        <w:fldChar w:fldCharType="separate"/>
      </w:r>
      <w:r>
        <w:rPr>
          <w:noProof/>
        </w:rPr>
        <w:t>1</w:t>
      </w:r>
      <w:r>
        <w:rPr>
          <w:noProof/>
        </w:rPr>
        <w:fldChar w:fldCharType="end"/>
      </w:r>
    </w:p>
    <w:p w14:paraId="7EE0D30C" w14:textId="0C578B3F"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The District</w:t>
      </w:r>
      <w:r>
        <w:rPr>
          <w:noProof/>
        </w:rPr>
        <w:tab/>
      </w:r>
      <w:r>
        <w:rPr>
          <w:noProof/>
        </w:rPr>
        <w:fldChar w:fldCharType="begin"/>
      </w:r>
      <w:r>
        <w:rPr>
          <w:noProof/>
        </w:rPr>
        <w:instrText xml:space="preserve"> PAGEREF _Toc235521012 \h </w:instrText>
      </w:r>
      <w:r>
        <w:rPr>
          <w:noProof/>
        </w:rPr>
      </w:r>
      <w:r>
        <w:rPr>
          <w:noProof/>
        </w:rPr>
        <w:fldChar w:fldCharType="separate"/>
      </w:r>
      <w:r>
        <w:rPr>
          <w:noProof/>
        </w:rPr>
        <w:t>2</w:t>
      </w:r>
      <w:r>
        <w:rPr>
          <w:noProof/>
        </w:rPr>
        <w:fldChar w:fldCharType="end"/>
      </w:r>
    </w:p>
    <w:p w14:paraId="120D6A59" w14:textId="44B0633F"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The Development</w:t>
      </w:r>
      <w:r>
        <w:rPr>
          <w:noProof/>
        </w:rPr>
        <w:tab/>
      </w:r>
      <w:r>
        <w:rPr>
          <w:noProof/>
        </w:rPr>
        <w:fldChar w:fldCharType="begin"/>
      </w:r>
      <w:r>
        <w:rPr>
          <w:noProof/>
        </w:rPr>
        <w:instrText xml:space="preserve"> PAGEREF _Toc235521013 \h </w:instrText>
      </w:r>
      <w:r>
        <w:rPr>
          <w:noProof/>
        </w:rPr>
      </w:r>
      <w:r>
        <w:rPr>
          <w:noProof/>
        </w:rPr>
        <w:fldChar w:fldCharType="separate"/>
      </w:r>
      <w:r>
        <w:rPr>
          <w:noProof/>
        </w:rPr>
        <w:t>3</w:t>
      </w:r>
      <w:r>
        <w:rPr>
          <w:noProof/>
        </w:rPr>
        <w:fldChar w:fldCharType="end"/>
      </w:r>
    </w:p>
    <w:p w14:paraId="27B59CE5" w14:textId="47F475AC" w:rsidR="003E693B" w:rsidRDefault="003E693B">
      <w:pPr>
        <w:pStyle w:val="TOC2"/>
        <w:rPr>
          <w:rFonts w:asciiTheme="minorHAnsi" w:eastAsiaTheme="minorEastAsia" w:hAnsiTheme="minorHAnsi"/>
          <w:noProof/>
          <w:kern w:val="2"/>
          <w:sz w:val="24"/>
          <w:szCs w:val="24"/>
          <w14:ligatures w14:val="standardContextual"/>
        </w:rPr>
      </w:pPr>
      <w:r>
        <w:rPr>
          <w:noProof/>
        </w:rPr>
        <w:t>Summary of Anticipated Development</w:t>
      </w:r>
      <w:r>
        <w:rPr>
          <w:noProof/>
        </w:rPr>
        <w:tab/>
      </w:r>
      <w:r>
        <w:rPr>
          <w:noProof/>
        </w:rPr>
        <w:fldChar w:fldCharType="begin"/>
      </w:r>
      <w:r>
        <w:rPr>
          <w:noProof/>
        </w:rPr>
        <w:instrText xml:space="preserve"> PAGEREF _Toc235521014 \h </w:instrText>
      </w:r>
      <w:r>
        <w:rPr>
          <w:noProof/>
        </w:rPr>
      </w:r>
      <w:r>
        <w:rPr>
          <w:noProof/>
        </w:rPr>
        <w:fldChar w:fldCharType="separate"/>
      </w:r>
      <w:r>
        <w:rPr>
          <w:noProof/>
        </w:rPr>
        <w:t>4</w:t>
      </w:r>
      <w:r>
        <w:rPr>
          <w:noProof/>
        </w:rPr>
        <w:fldChar w:fldCharType="end"/>
      </w:r>
    </w:p>
    <w:p w14:paraId="7D50B862" w14:textId="75C55AC1"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Authority for Issuance</w:t>
      </w:r>
      <w:r>
        <w:rPr>
          <w:noProof/>
        </w:rPr>
        <w:tab/>
      </w:r>
      <w:r>
        <w:rPr>
          <w:noProof/>
        </w:rPr>
        <w:fldChar w:fldCharType="begin"/>
      </w:r>
      <w:r>
        <w:rPr>
          <w:noProof/>
        </w:rPr>
        <w:instrText xml:space="preserve"> PAGEREF _Toc235521015 \h </w:instrText>
      </w:r>
      <w:r>
        <w:rPr>
          <w:noProof/>
        </w:rPr>
      </w:r>
      <w:r>
        <w:rPr>
          <w:noProof/>
        </w:rPr>
        <w:fldChar w:fldCharType="separate"/>
      </w:r>
      <w:r>
        <w:rPr>
          <w:noProof/>
        </w:rPr>
        <w:t>7</w:t>
      </w:r>
      <w:r>
        <w:rPr>
          <w:noProof/>
        </w:rPr>
        <w:fldChar w:fldCharType="end"/>
      </w:r>
    </w:p>
    <w:p w14:paraId="1CBE747A" w14:textId="04DB0E81" w:rsidR="003E693B" w:rsidRDefault="003E693B">
      <w:pPr>
        <w:pStyle w:val="TOC2"/>
        <w:rPr>
          <w:rFonts w:asciiTheme="minorHAnsi" w:eastAsiaTheme="minorEastAsia" w:hAnsiTheme="minorHAnsi"/>
          <w:noProof/>
          <w:kern w:val="2"/>
          <w:sz w:val="24"/>
          <w:szCs w:val="24"/>
          <w14:ligatures w14:val="standardContextual"/>
        </w:rPr>
      </w:pPr>
      <w:r>
        <w:rPr>
          <w:noProof/>
        </w:rPr>
        <w:t>Security and Sources of Payment for the 2026A-1 Senior LT Bonds</w:t>
      </w:r>
      <w:r>
        <w:rPr>
          <w:noProof/>
        </w:rPr>
        <w:tab/>
      </w:r>
      <w:r>
        <w:rPr>
          <w:noProof/>
        </w:rPr>
        <w:fldChar w:fldCharType="begin"/>
      </w:r>
      <w:r>
        <w:rPr>
          <w:noProof/>
        </w:rPr>
        <w:instrText xml:space="preserve"> PAGEREF _Toc235521016 \h </w:instrText>
      </w:r>
      <w:r>
        <w:rPr>
          <w:noProof/>
        </w:rPr>
      </w:r>
      <w:r>
        <w:rPr>
          <w:noProof/>
        </w:rPr>
        <w:fldChar w:fldCharType="separate"/>
      </w:r>
      <w:r>
        <w:rPr>
          <w:noProof/>
        </w:rPr>
        <w:t>8</w:t>
      </w:r>
      <w:r>
        <w:rPr>
          <w:noProof/>
        </w:rPr>
        <w:fldChar w:fldCharType="end"/>
      </w:r>
    </w:p>
    <w:p w14:paraId="51871CF3" w14:textId="3032B8F2" w:rsidR="003E693B" w:rsidRDefault="003E693B">
      <w:pPr>
        <w:pStyle w:val="TOC2"/>
        <w:rPr>
          <w:rFonts w:asciiTheme="minorHAnsi" w:eastAsiaTheme="minorEastAsia" w:hAnsiTheme="minorHAnsi"/>
          <w:noProof/>
          <w:kern w:val="2"/>
          <w:sz w:val="24"/>
          <w:szCs w:val="24"/>
          <w14:ligatures w14:val="standardContextual"/>
        </w:rPr>
      </w:pPr>
      <w:r>
        <w:rPr>
          <w:noProof/>
        </w:rPr>
        <w:t>Security and Sources of Payment for the 2026A-2 SR Bonds</w:t>
      </w:r>
      <w:r>
        <w:rPr>
          <w:noProof/>
        </w:rPr>
        <w:tab/>
      </w:r>
      <w:r>
        <w:rPr>
          <w:noProof/>
        </w:rPr>
        <w:fldChar w:fldCharType="begin"/>
      </w:r>
      <w:r>
        <w:rPr>
          <w:noProof/>
        </w:rPr>
        <w:instrText xml:space="preserve"> PAGEREF _Toc235521017 \h </w:instrText>
      </w:r>
      <w:r>
        <w:rPr>
          <w:noProof/>
        </w:rPr>
      </w:r>
      <w:r>
        <w:rPr>
          <w:noProof/>
        </w:rPr>
        <w:fldChar w:fldCharType="separate"/>
      </w:r>
      <w:r>
        <w:rPr>
          <w:noProof/>
        </w:rPr>
        <w:t>9</w:t>
      </w:r>
      <w:r>
        <w:rPr>
          <w:noProof/>
        </w:rPr>
        <w:fldChar w:fldCharType="end"/>
      </w:r>
    </w:p>
    <w:p w14:paraId="476E6BB2" w14:textId="55F17631"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“Cash Flow” Nature of the 2026A-2 SR Bonds; Discharge</w:t>
      </w:r>
      <w:r>
        <w:rPr>
          <w:noProof/>
        </w:rPr>
        <w:tab/>
      </w:r>
      <w:r>
        <w:rPr>
          <w:noProof/>
        </w:rPr>
        <w:fldChar w:fldCharType="begin"/>
      </w:r>
      <w:r>
        <w:rPr>
          <w:noProof/>
        </w:rPr>
        <w:instrText xml:space="preserve"> PAGEREF _Toc235521018 \h </w:instrText>
      </w:r>
      <w:r>
        <w:rPr>
          <w:noProof/>
        </w:rPr>
      </w:r>
      <w:r>
        <w:rPr>
          <w:noProof/>
        </w:rPr>
        <w:fldChar w:fldCharType="separate"/>
      </w:r>
      <w:r>
        <w:rPr>
          <w:noProof/>
        </w:rPr>
        <w:t>9</w:t>
      </w:r>
      <w:r>
        <w:rPr>
          <w:noProof/>
        </w:rPr>
        <w:fldChar w:fldCharType="end"/>
      </w:r>
    </w:p>
    <w:p w14:paraId="72266833" w14:textId="3BF01BAB" w:rsidR="003E693B" w:rsidRDefault="003E693B">
      <w:pPr>
        <w:pStyle w:val="TOC2"/>
        <w:rPr>
          <w:rFonts w:asciiTheme="minorHAnsi" w:eastAsiaTheme="minorEastAsia" w:hAnsiTheme="minorHAnsi"/>
          <w:noProof/>
          <w:kern w:val="2"/>
          <w:sz w:val="24"/>
          <w:szCs w:val="24"/>
          <w14:ligatures w14:val="standardContextual"/>
        </w:rPr>
      </w:pPr>
      <w:r>
        <w:rPr>
          <w:noProof/>
        </w:rPr>
        <w:t>Security and Sources of Payment for the 2026B Subordinate LT Bonds</w:t>
      </w:r>
      <w:r>
        <w:rPr>
          <w:noProof/>
        </w:rPr>
        <w:tab/>
      </w:r>
      <w:r>
        <w:rPr>
          <w:noProof/>
        </w:rPr>
        <w:fldChar w:fldCharType="begin"/>
      </w:r>
      <w:r>
        <w:rPr>
          <w:noProof/>
        </w:rPr>
        <w:instrText xml:space="preserve"> PAGEREF _Toc235521019 \h </w:instrText>
      </w:r>
      <w:r>
        <w:rPr>
          <w:noProof/>
        </w:rPr>
      </w:r>
      <w:r>
        <w:rPr>
          <w:noProof/>
        </w:rPr>
        <w:fldChar w:fldCharType="separate"/>
      </w:r>
      <w:r>
        <w:rPr>
          <w:noProof/>
        </w:rPr>
        <w:t>10</w:t>
      </w:r>
      <w:r>
        <w:rPr>
          <w:noProof/>
        </w:rPr>
        <w:fldChar w:fldCharType="end"/>
      </w:r>
    </w:p>
    <w:p w14:paraId="467852E1" w14:textId="2802E69E" w:rsidR="003E693B" w:rsidRDefault="003E693B">
      <w:pPr>
        <w:pStyle w:val="TOC2"/>
        <w:rPr>
          <w:rFonts w:asciiTheme="minorHAnsi" w:eastAsiaTheme="minorEastAsia" w:hAnsiTheme="minorHAnsi"/>
          <w:noProof/>
          <w:kern w:val="2"/>
          <w:sz w:val="24"/>
          <w:szCs w:val="24"/>
          <w14:ligatures w14:val="standardContextual"/>
        </w:rPr>
      </w:pPr>
      <w:r>
        <w:rPr>
          <w:noProof/>
        </w:rPr>
        <w:t>Priority of Lien; Subordinate Nature of 2026B Subordinate LT Bonds</w:t>
      </w:r>
      <w:r>
        <w:rPr>
          <w:noProof/>
        </w:rPr>
        <w:tab/>
      </w:r>
      <w:r>
        <w:rPr>
          <w:noProof/>
        </w:rPr>
        <w:fldChar w:fldCharType="begin"/>
      </w:r>
      <w:r>
        <w:rPr>
          <w:noProof/>
        </w:rPr>
        <w:instrText xml:space="preserve"> PAGEREF _Toc235521020 \h </w:instrText>
      </w:r>
      <w:r>
        <w:rPr>
          <w:noProof/>
        </w:rPr>
      </w:r>
      <w:r>
        <w:rPr>
          <w:noProof/>
        </w:rPr>
        <w:fldChar w:fldCharType="separate"/>
      </w:r>
      <w:r>
        <w:rPr>
          <w:noProof/>
        </w:rPr>
        <w:t>11</w:t>
      </w:r>
      <w:r>
        <w:rPr>
          <w:noProof/>
        </w:rPr>
        <w:fldChar w:fldCharType="end"/>
      </w:r>
    </w:p>
    <w:p w14:paraId="11106060" w14:textId="07B6A229" w:rsidR="003E693B" w:rsidRDefault="003E693B">
      <w:pPr>
        <w:pStyle w:val="TOC2"/>
        <w:rPr>
          <w:rFonts w:asciiTheme="minorHAnsi" w:eastAsiaTheme="minorEastAsia" w:hAnsiTheme="minorHAnsi"/>
          <w:noProof/>
          <w:kern w:val="2"/>
          <w:sz w:val="24"/>
          <w:szCs w:val="24"/>
          <w14:ligatures w14:val="standardContextual"/>
        </w:rPr>
      </w:pPr>
      <w:r>
        <w:rPr>
          <w:noProof/>
        </w:rPr>
        <w:t>“Cash Flow” Nature of 2026B Subordinate LT Bonds; Discharge on March 15, 2067</w:t>
      </w:r>
      <w:r>
        <w:rPr>
          <w:noProof/>
        </w:rPr>
        <w:tab/>
      </w:r>
      <w:r>
        <w:rPr>
          <w:noProof/>
        </w:rPr>
        <w:fldChar w:fldCharType="begin"/>
      </w:r>
      <w:r>
        <w:rPr>
          <w:noProof/>
        </w:rPr>
        <w:instrText xml:space="preserve"> PAGEREF _Toc235521021 \h </w:instrText>
      </w:r>
      <w:r>
        <w:rPr>
          <w:noProof/>
        </w:rPr>
      </w:r>
      <w:r>
        <w:rPr>
          <w:noProof/>
        </w:rPr>
        <w:fldChar w:fldCharType="separate"/>
      </w:r>
      <w:r>
        <w:rPr>
          <w:noProof/>
        </w:rPr>
        <w:t>11</w:t>
      </w:r>
      <w:r>
        <w:rPr>
          <w:noProof/>
        </w:rPr>
        <w:fldChar w:fldCharType="end"/>
      </w:r>
    </w:p>
    <w:p w14:paraId="3C4E0629" w14:textId="7EDD59DC"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Purpose of the Bonds</w:t>
      </w:r>
      <w:r>
        <w:rPr>
          <w:noProof/>
        </w:rPr>
        <w:tab/>
      </w:r>
      <w:r>
        <w:rPr>
          <w:noProof/>
        </w:rPr>
        <w:fldChar w:fldCharType="begin"/>
      </w:r>
      <w:r>
        <w:rPr>
          <w:noProof/>
        </w:rPr>
        <w:instrText xml:space="preserve"> PAGEREF _Toc235521022 \h </w:instrText>
      </w:r>
      <w:r>
        <w:rPr>
          <w:noProof/>
        </w:rPr>
      </w:r>
      <w:r>
        <w:rPr>
          <w:noProof/>
        </w:rPr>
        <w:fldChar w:fldCharType="separate"/>
      </w:r>
      <w:r>
        <w:rPr>
          <w:noProof/>
        </w:rPr>
        <w:t>12</w:t>
      </w:r>
      <w:r>
        <w:rPr>
          <w:noProof/>
        </w:rPr>
        <w:fldChar w:fldCharType="end"/>
      </w:r>
    </w:p>
    <w:p w14:paraId="184F3115" w14:textId="3D4ADCD2"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Additional Obligations</w:t>
      </w:r>
      <w:r>
        <w:rPr>
          <w:noProof/>
        </w:rPr>
        <w:tab/>
      </w:r>
      <w:r>
        <w:rPr>
          <w:noProof/>
        </w:rPr>
        <w:fldChar w:fldCharType="begin"/>
      </w:r>
      <w:r>
        <w:rPr>
          <w:noProof/>
        </w:rPr>
        <w:instrText xml:space="preserve"> PAGEREF _Toc235521023 \h </w:instrText>
      </w:r>
      <w:r>
        <w:rPr>
          <w:noProof/>
        </w:rPr>
      </w:r>
      <w:r>
        <w:rPr>
          <w:noProof/>
        </w:rPr>
        <w:fldChar w:fldCharType="separate"/>
      </w:r>
      <w:r>
        <w:rPr>
          <w:noProof/>
        </w:rPr>
        <w:t>12</w:t>
      </w:r>
      <w:r>
        <w:rPr>
          <w:noProof/>
        </w:rPr>
        <w:fldChar w:fldCharType="end"/>
      </w:r>
    </w:p>
    <w:p w14:paraId="311AB278" w14:textId="158A752C"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Interest Rates; Payment Provisions</w:t>
      </w:r>
      <w:r>
        <w:rPr>
          <w:noProof/>
        </w:rPr>
        <w:tab/>
      </w:r>
      <w:r>
        <w:rPr>
          <w:noProof/>
        </w:rPr>
        <w:fldChar w:fldCharType="begin"/>
      </w:r>
      <w:r>
        <w:rPr>
          <w:noProof/>
        </w:rPr>
        <w:instrText xml:space="preserve"> PAGEREF _Toc235521024 \h </w:instrText>
      </w:r>
      <w:r>
        <w:rPr>
          <w:noProof/>
        </w:rPr>
      </w:r>
      <w:r>
        <w:rPr>
          <w:noProof/>
        </w:rPr>
        <w:fldChar w:fldCharType="separate"/>
      </w:r>
      <w:r>
        <w:rPr>
          <w:noProof/>
        </w:rPr>
        <w:t>13</w:t>
      </w:r>
      <w:r>
        <w:rPr>
          <w:noProof/>
        </w:rPr>
        <w:fldChar w:fldCharType="end"/>
      </w:r>
    </w:p>
    <w:p w14:paraId="683D7624" w14:textId="3E843812"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Prior Redemption</w:t>
      </w:r>
      <w:r>
        <w:rPr>
          <w:noProof/>
        </w:rPr>
        <w:tab/>
      </w:r>
      <w:r>
        <w:rPr>
          <w:noProof/>
        </w:rPr>
        <w:fldChar w:fldCharType="begin"/>
      </w:r>
      <w:r>
        <w:rPr>
          <w:noProof/>
        </w:rPr>
        <w:instrText xml:space="preserve"> PAGEREF _Toc235521025 \h </w:instrText>
      </w:r>
      <w:r>
        <w:rPr>
          <w:noProof/>
        </w:rPr>
      </w:r>
      <w:r>
        <w:rPr>
          <w:noProof/>
        </w:rPr>
        <w:fldChar w:fldCharType="separate"/>
      </w:r>
      <w:r>
        <w:rPr>
          <w:noProof/>
        </w:rPr>
        <w:t>13</w:t>
      </w:r>
      <w:r>
        <w:rPr>
          <w:noProof/>
        </w:rPr>
        <w:fldChar w:fldCharType="end"/>
      </w:r>
    </w:p>
    <w:p w14:paraId="18EA2709" w14:textId="37F0C316"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Book-Entry-Only Registration</w:t>
      </w:r>
      <w:r>
        <w:rPr>
          <w:noProof/>
        </w:rPr>
        <w:tab/>
      </w:r>
      <w:r>
        <w:rPr>
          <w:noProof/>
        </w:rPr>
        <w:fldChar w:fldCharType="begin"/>
      </w:r>
      <w:r>
        <w:rPr>
          <w:noProof/>
        </w:rPr>
        <w:instrText xml:space="preserve"> PAGEREF _Toc235521026 \h </w:instrText>
      </w:r>
      <w:r>
        <w:rPr>
          <w:noProof/>
        </w:rPr>
      </w:r>
      <w:r>
        <w:rPr>
          <w:noProof/>
        </w:rPr>
        <w:fldChar w:fldCharType="separate"/>
      </w:r>
      <w:r>
        <w:rPr>
          <w:noProof/>
        </w:rPr>
        <w:t>13</w:t>
      </w:r>
      <w:r>
        <w:rPr>
          <w:noProof/>
        </w:rPr>
        <w:fldChar w:fldCharType="end"/>
      </w:r>
    </w:p>
    <w:p w14:paraId="69E84395" w14:textId="7D18599A"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Exchange and Transfer</w:t>
      </w:r>
      <w:r>
        <w:rPr>
          <w:noProof/>
        </w:rPr>
        <w:tab/>
      </w:r>
      <w:r>
        <w:rPr>
          <w:noProof/>
        </w:rPr>
        <w:fldChar w:fldCharType="begin"/>
      </w:r>
      <w:r>
        <w:rPr>
          <w:noProof/>
        </w:rPr>
        <w:instrText xml:space="preserve"> PAGEREF _Toc235521027 \h </w:instrText>
      </w:r>
      <w:r>
        <w:rPr>
          <w:noProof/>
        </w:rPr>
      </w:r>
      <w:r>
        <w:rPr>
          <w:noProof/>
        </w:rPr>
        <w:fldChar w:fldCharType="separate"/>
      </w:r>
      <w:r>
        <w:rPr>
          <w:noProof/>
        </w:rPr>
        <w:t>14</w:t>
      </w:r>
      <w:r>
        <w:rPr>
          <w:noProof/>
        </w:rPr>
        <w:fldChar w:fldCharType="end"/>
      </w:r>
    </w:p>
    <w:p w14:paraId="0E7597A1" w14:textId="697779E1"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Tax Status</w:t>
      </w:r>
      <w:r>
        <w:rPr>
          <w:noProof/>
        </w:rPr>
        <w:tab/>
      </w:r>
      <w:r>
        <w:rPr>
          <w:noProof/>
        </w:rPr>
        <w:fldChar w:fldCharType="begin"/>
      </w:r>
      <w:r>
        <w:rPr>
          <w:noProof/>
        </w:rPr>
        <w:instrText xml:space="preserve"> PAGEREF _Toc235521028 \h </w:instrText>
      </w:r>
      <w:r>
        <w:rPr>
          <w:noProof/>
        </w:rPr>
      </w:r>
      <w:r>
        <w:rPr>
          <w:noProof/>
        </w:rPr>
        <w:fldChar w:fldCharType="separate"/>
      </w:r>
      <w:r>
        <w:rPr>
          <w:noProof/>
        </w:rPr>
        <w:t>14</w:t>
      </w:r>
      <w:r>
        <w:rPr>
          <w:noProof/>
        </w:rPr>
        <w:fldChar w:fldCharType="end"/>
      </w:r>
    </w:p>
    <w:p w14:paraId="5046AF90" w14:textId="31F56810" w:rsidR="003E693B" w:rsidRDefault="003E693B">
      <w:pPr>
        <w:pStyle w:val="TOC2"/>
        <w:rPr>
          <w:rFonts w:asciiTheme="minorHAnsi" w:eastAsiaTheme="minorEastAsia" w:hAnsiTheme="minorHAnsi"/>
          <w:noProof/>
          <w:kern w:val="2"/>
          <w:sz w:val="24"/>
          <w:szCs w:val="24"/>
          <w14:ligatures w14:val="standardContextual"/>
        </w:rPr>
      </w:pPr>
      <w:r>
        <w:rPr>
          <w:noProof/>
        </w:rPr>
        <w:t>Professionals Involved in the Offering</w:t>
      </w:r>
      <w:r>
        <w:rPr>
          <w:noProof/>
        </w:rPr>
        <w:tab/>
      </w:r>
      <w:r>
        <w:rPr>
          <w:noProof/>
        </w:rPr>
        <w:fldChar w:fldCharType="begin"/>
      </w:r>
      <w:r>
        <w:rPr>
          <w:noProof/>
        </w:rPr>
        <w:instrText xml:space="preserve"> PAGEREF _Toc235521029 \h </w:instrText>
      </w:r>
      <w:r>
        <w:rPr>
          <w:noProof/>
        </w:rPr>
      </w:r>
      <w:r>
        <w:rPr>
          <w:noProof/>
        </w:rPr>
        <w:fldChar w:fldCharType="separate"/>
      </w:r>
      <w:r>
        <w:rPr>
          <w:noProof/>
        </w:rPr>
        <w:t>14</w:t>
      </w:r>
      <w:r>
        <w:rPr>
          <w:noProof/>
        </w:rPr>
        <w:fldChar w:fldCharType="end"/>
      </w:r>
    </w:p>
    <w:p w14:paraId="42CA0A5E" w14:textId="322D071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Continuing Disclosure Obligation</w:t>
      </w:r>
      <w:r>
        <w:rPr>
          <w:noProof/>
        </w:rPr>
        <w:tab/>
      </w:r>
      <w:r>
        <w:rPr>
          <w:noProof/>
        </w:rPr>
        <w:fldChar w:fldCharType="begin"/>
      </w:r>
      <w:r>
        <w:rPr>
          <w:noProof/>
        </w:rPr>
        <w:instrText xml:space="preserve"> PAGEREF _Toc235521030 \h </w:instrText>
      </w:r>
      <w:r>
        <w:rPr>
          <w:noProof/>
        </w:rPr>
      </w:r>
      <w:r>
        <w:rPr>
          <w:noProof/>
        </w:rPr>
        <w:fldChar w:fldCharType="separate"/>
      </w:r>
      <w:r>
        <w:rPr>
          <w:noProof/>
        </w:rPr>
        <w:t>14</w:t>
      </w:r>
      <w:r>
        <w:rPr>
          <w:noProof/>
        </w:rPr>
        <w:fldChar w:fldCharType="end"/>
      </w:r>
    </w:p>
    <w:p w14:paraId="5BFC96EE" w14:textId="3865C3FB"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Offering and Delivery Information</w:t>
      </w:r>
      <w:r>
        <w:rPr>
          <w:noProof/>
        </w:rPr>
        <w:tab/>
      </w:r>
      <w:r>
        <w:rPr>
          <w:noProof/>
        </w:rPr>
        <w:fldChar w:fldCharType="begin"/>
      </w:r>
      <w:r>
        <w:rPr>
          <w:noProof/>
        </w:rPr>
        <w:instrText xml:space="preserve"> PAGEREF _Toc235521031 \h </w:instrText>
      </w:r>
      <w:r>
        <w:rPr>
          <w:noProof/>
        </w:rPr>
      </w:r>
      <w:r>
        <w:rPr>
          <w:noProof/>
        </w:rPr>
        <w:fldChar w:fldCharType="separate"/>
      </w:r>
      <w:r>
        <w:rPr>
          <w:noProof/>
        </w:rPr>
        <w:t>14</w:t>
      </w:r>
      <w:r>
        <w:rPr>
          <w:noProof/>
        </w:rPr>
        <w:fldChar w:fldCharType="end"/>
      </w:r>
    </w:p>
    <w:p w14:paraId="0437200D" w14:textId="619C1A52"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Debt Ratios</w:t>
      </w:r>
      <w:r>
        <w:rPr>
          <w:noProof/>
        </w:rPr>
        <w:tab/>
      </w:r>
      <w:r>
        <w:rPr>
          <w:noProof/>
        </w:rPr>
        <w:fldChar w:fldCharType="begin"/>
      </w:r>
      <w:r>
        <w:rPr>
          <w:noProof/>
        </w:rPr>
        <w:instrText xml:space="preserve"> PAGEREF _Toc235521032 \h </w:instrText>
      </w:r>
      <w:r>
        <w:rPr>
          <w:noProof/>
        </w:rPr>
      </w:r>
      <w:r>
        <w:rPr>
          <w:noProof/>
        </w:rPr>
        <w:fldChar w:fldCharType="separate"/>
      </w:r>
      <w:r>
        <w:rPr>
          <w:noProof/>
        </w:rPr>
        <w:t>15</w:t>
      </w:r>
      <w:r>
        <w:rPr>
          <w:noProof/>
        </w:rPr>
        <w:fldChar w:fldCharType="end"/>
      </w:r>
    </w:p>
    <w:p w14:paraId="51D5424D" w14:textId="7BA4C055"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Additional Information</w:t>
      </w:r>
      <w:r>
        <w:rPr>
          <w:noProof/>
        </w:rPr>
        <w:tab/>
      </w:r>
      <w:r>
        <w:rPr>
          <w:noProof/>
        </w:rPr>
        <w:fldChar w:fldCharType="begin"/>
      </w:r>
      <w:r>
        <w:rPr>
          <w:noProof/>
        </w:rPr>
        <w:instrText xml:space="preserve"> PAGEREF _Toc235521033 \h </w:instrText>
      </w:r>
      <w:r>
        <w:rPr>
          <w:noProof/>
        </w:rPr>
      </w:r>
      <w:r>
        <w:rPr>
          <w:noProof/>
        </w:rPr>
        <w:fldChar w:fldCharType="separate"/>
      </w:r>
      <w:r>
        <w:rPr>
          <w:noProof/>
        </w:rPr>
        <w:t>15</w:t>
      </w:r>
      <w:r>
        <w:rPr>
          <w:noProof/>
        </w:rPr>
        <w:fldChar w:fldCharType="end"/>
      </w:r>
    </w:p>
    <w:p w14:paraId="7D5D6AEC" w14:textId="3A420F95"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RISK FACTORS</w:t>
      </w:r>
      <w:r>
        <w:rPr>
          <w:noProof/>
        </w:rPr>
        <w:tab/>
      </w:r>
      <w:r>
        <w:rPr>
          <w:noProof/>
        </w:rPr>
        <w:fldChar w:fldCharType="begin"/>
      </w:r>
      <w:r>
        <w:rPr>
          <w:noProof/>
        </w:rPr>
        <w:instrText xml:space="preserve"> PAGEREF _Toc235521034 \h </w:instrText>
      </w:r>
      <w:r>
        <w:rPr>
          <w:noProof/>
        </w:rPr>
      </w:r>
      <w:r>
        <w:rPr>
          <w:noProof/>
        </w:rPr>
        <w:fldChar w:fldCharType="separate"/>
      </w:r>
      <w:r>
        <w:rPr>
          <w:noProof/>
        </w:rPr>
        <w:t>15</w:t>
      </w:r>
      <w:r>
        <w:rPr>
          <w:noProof/>
        </w:rPr>
        <w:fldChar w:fldCharType="end"/>
      </w:r>
    </w:p>
    <w:p w14:paraId="03DBCF9B" w14:textId="632520F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General</w:t>
      </w:r>
      <w:r>
        <w:rPr>
          <w:noProof/>
        </w:rPr>
        <w:tab/>
      </w:r>
      <w:r>
        <w:rPr>
          <w:noProof/>
        </w:rPr>
        <w:fldChar w:fldCharType="begin"/>
      </w:r>
      <w:r>
        <w:rPr>
          <w:noProof/>
        </w:rPr>
        <w:instrText xml:space="preserve"> PAGEREF _Toc235521035 \h </w:instrText>
      </w:r>
      <w:r>
        <w:rPr>
          <w:noProof/>
        </w:rPr>
      </w:r>
      <w:r>
        <w:rPr>
          <w:noProof/>
        </w:rPr>
        <w:fldChar w:fldCharType="separate"/>
      </w:r>
      <w:r>
        <w:rPr>
          <w:noProof/>
        </w:rPr>
        <w:t>16</w:t>
      </w:r>
      <w:r>
        <w:rPr>
          <w:noProof/>
        </w:rPr>
        <w:fldChar w:fldCharType="end"/>
      </w:r>
    </w:p>
    <w:p w14:paraId="22B82821" w14:textId="5D399855"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No Credit Rating; Risk of Investment</w:t>
      </w:r>
      <w:r>
        <w:rPr>
          <w:noProof/>
        </w:rPr>
        <w:tab/>
      </w:r>
      <w:r>
        <w:rPr>
          <w:noProof/>
        </w:rPr>
        <w:fldChar w:fldCharType="begin"/>
      </w:r>
      <w:r>
        <w:rPr>
          <w:noProof/>
        </w:rPr>
        <w:instrText xml:space="preserve"> PAGEREF _Toc235521036 \h </w:instrText>
      </w:r>
      <w:r>
        <w:rPr>
          <w:noProof/>
        </w:rPr>
      </w:r>
      <w:r>
        <w:rPr>
          <w:noProof/>
        </w:rPr>
        <w:fldChar w:fldCharType="separate"/>
      </w:r>
      <w:r>
        <w:rPr>
          <w:noProof/>
        </w:rPr>
        <w:t>16</w:t>
      </w:r>
      <w:r>
        <w:rPr>
          <w:noProof/>
        </w:rPr>
        <w:fldChar w:fldCharType="end"/>
      </w:r>
    </w:p>
    <w:p w14:paraId="0DE84405" w14:textId="60E8A657" w:rsidR="003E693B" w:rsidRDefault="003E693B">
      <w:pPr>
        <w:pStyle w:val="TOC2"/>
        <w:rPr>
          <w:rFonts w:asciiTheme="minorHAnsi" w:eastAsiaTheme="minorEastAsia" w:hAnsiTheme="minorHAnsi"/>
          <w:noProof/>
          <w:kern w:val="2"/>
          <w:sz w:val="24"/>
          <w:szCs w:val="24"/>
          <w14:ligatures w14:val="standardContextual"/>
        </w:rPr>
      </w:pPr>
      <w:r>
        <w:rPr>
          <w:noProof/>
        </w:rPr>
        <w:t>No Assurance of Secondary Market</w:t>
      </w:r>
      <w:r>
        <w:rPr>
          <w:noProof/>
        </w:rPr>
        <w:tab/>
      </w:r>
      <w:r>
        <w:rPr>
          <w:noProof/>
        </w:rPr>
        <w:fldChar w:fldCharType="begin"/>
      </w:r>
      <w:r>
        <w:rPr>
          <w:noProof/>
        </w:rPr>
        <w:instrText xml:space="preserve"> PAGEREF _Toc235521037 \h </w:instrText>
      </w:r>
      <w:r>
        <w:rPr>
          <w:noProof/>
        </w:rPr>
      </w:r>
      <w:r>
        <w:rPr>
          <w:noProof/>
        </w:rPr>
        <w:fldChar w:fldCharType="separate"/>
      </w:r>
      <w:r>
        <w:rPr>
          <w:noProof/>
        </w:rPr>
        <w:t>16</w:t>
      </w:r>
      <w:r>
        <w:rPr>
          <w:noProof/>
        </w:rPr>
        <w:fldChar w:fldCharType="end"/>
      </w:r>
    </w:p>
    <w:p w14:paraId="228638FA" w14:textId="7FC2E4D2"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Limited Security for the LT Bonds; No Mortgage or Guaranty</w:t>
      </w:r>
      <w:r>
        <w:rPr>
          <w:noProof/>
        </w:rPr>
        <w:tab/>
      </w:r>
      <w:r>
        <w:rPr>
          <w:noProof/>
        </w:rPr>
        <w:fldChar w:fldCharType="begin"/>
      </w:r>
      <w:r>
        <w:rPr>
          <w:noProof/>
        </w:rPr>
        <w:instrText xml:space="preserve"> PAGEREF _Toc235521038 \h </w:instrText>
      </w:r>
      <w:r>
        <w:rPr>
          <w:noProof/>
        </w:rPr>
      </w:r>
      <w:r>
        <w:rPr>
          <w:noProof/>
        </w:rPr>
        <w:fldChar w:fldCharType="separate"/>
      </w:r>
      <w:r>
        <w:rPr>
          <w:noProof/>
        </w:rPr>
        <w:t>16</w:t>
      </w:r>
      <w:r>
        <w:rPr>
          <w:noProof/>
        </w:rPr>
        <w:fldChar w:fldCharType="end"/>
      </w:r>
    </w:p>
    <w:p w14:paraId="12449B66" w14:textId="643C3AD4"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No Conversion of LT Bonds to Unlimited Tax Obligations</w:t>
      </w:r>
      <w:r>
        <w:rPr>
          <w:noProof/>
        </w:rPr>
        <w:tab/>
      </w:r>
      <w:r>
        <w:rPr>
          <w:noProof/>
        </w:rPr>
        <w:fldChar w:fldCharType="begin"/>
      </w:r>
      <w:r>
        <w:rPr>
          <w:noProof/>
        </w:rPr>
        <w:instrText xml:space="preserve"> PAGEREF _Toc235521039 \h </w:instrText>
      </w:r>
      <w:r>
        <w:rPr>
          <w:noProof/>
        </w:rPr>
      </w:r>
      <w:r>
        <w:rPr>
          <w:noProof/>
        </w:rPr>
        <w:fldChar w:fldCharType="separate"/>
      </w:r>
      <w:r>
        <w:rPr>
          <w:noProof/>
        </w:rPr>
        <w:t>18</w:t>
      </w:r>
      <w:r>
        <w:rPr>
          <w:noProof/>
        </w:rPr>
        <w:fldChar w:fldCharType="end"/>
      </w:r>
    </w:p>
    <w:p w14:paraId="6D0A63F4" w14:textId="09DB9445"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Discharge of LT Bonds in 2067</w:t>
      </w:r>
      <w:r>
        <w:rPr>
          <w:noProof/>
        </w:rPr>
        <w:tab/>
      </w:r>
      <w:r>
        <w:rPr>
          <w:noProof/>
        </w:rPr>
        <w:fldChar w:fldCharType="begin"/>
      </w:r>
      <w:r>
        <w:rPr>
          <w:noProof/>
        </w:rPr>
        <w:instrText xml:space="preserve"> PAGEREF _Toc235521040 \h </w:instrText>
      </w:r>
      <w:r>
        <w:rPr>
          <w:noProof/>
        </w:rPr>
      </w:r>
      <w:r>
        <w:rPr>
          <w:noProof/>
        </w:rPr>
        <w:fldChar w:fldCharType="separate"/>
      </w:r>
      <w:r>
        <w:rPr>
          <w:noProof/>
        </w:rPr>
        <w:t>18</w:t>
      </w:r>
      <w:r>
        <w:rPr>
          <w:noProof/>
        </w:rPr>
        <w:fldChar w:fldCharType="end"/>
      </w:r>
    </w:p>
    <w:p w14:paraId="42A987EB" w14:textId="22CD060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Discharge of 2026A-2 SR Bonds</w:t>
      </w:r>
      <w:r>
        <w:rPr>
          <w:noProof/>
        </w:rPr>
        <w:tab/>
      </w:r>
      <w:r>
        <w:rPr>
          <w:noProof/>
        </w:rPr>
        <w:fldChar w:fldCharType="begin"/>
      </w:r>
      <w:r>
        <w:rPr>
          <w:noProof/>
        </w:rPr>
        <w:instrText xml:space="preserve"> PAGEREF _Toc235521041 \h </w:instrText>
      </w:r>
      <w:r>
        <w:rPr>
          <w:noProof/>
        </w:rPr>
      </w:r>
      <w:r>
        <w:rPr>
          <w:noProof/>
        </w:rPr>
        <w:fldChar w:fldCharType="separate"/>
      </w:r>
      <w:r>
        <w:rPr>
          <w:noProof/>
        </w:rPr>
        <w:t>18</w:t>
      </w:r>
      <w:r>
        <w:rPr>
          <w:noProof/>
        </w:rPr>
        <w:fldChar w:fldCharType="end"/>
      </w:r>
    </w:p>
    <w:p w14:paraId="7CD01B02" w14:textId="7C960CE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No Acceleration on LT Bonds; No Payment Default on LT Bonds</w:t>
      </w:r>
      <w:r>
        <w:rPr>
          <w:noProof/>
        </w:rPr>
        <w:tab/>
      </w:r>
      <w:r>
        <w:rPr>
          <w:noProof/>
        </w:rPr>
        <w:fldChar w:fldCharType="begin"/>
      </w:r>
      <w:r>
        <w:rPr>
          <w:noProof/>
        </w:rPr>
        <w:instrText xml:space="preserve"> PAGEREF _Toc235521042 \h </w:instrText>
      </w:r>
      <w:r>
        <w:rPr>
          <w:noProof/>
        </w:rPr>
      </w:r>
      <w:r>
        <w:rPr>
          <w:noProof/>
        </w:rPr>
        <w:fldChar w:fldCharType="separate"/>
      </w:r>
      <w:r>
        <w:rPr>
          <w:noProof/>
        </w:rPr>
        <w:t>18</w:t>
      </w:r>
      <w:r>
        <w:rPr>
          <w:noProof/>
        </w:rPr>
        <w:fldChar w:fldCharType="end"/>
      </w:r>
    </w:p>
    <w:p w14:paraId="56A9175B" w14:textId="173E62E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No Acceleration on SR Bonds; No Payment Default on SR Bonds</w:t>
      </w:r>
      <w:r>
        <w:rPr>
          <w:noProof/>
        </w:rPr>
        <w:tab/>
      </w:r>
      <w:r>
        <w:rPr>
          <w:noProof/>
        </w:rPr>
        <w:fldChar w:fldCharType="begin"/>
      </w:r>
      <w:r>
        <w:rPr>
          <w:noProof/>
        </w:rPr>
        <w:instrText xml:space="preserve"> PAGEREF _Toc235521043 \h </w:instrText>
      </w:r>
      <w:r>
        <w:rPr>
          <w:noProof/>
        </w:rPr>
      </w:r>
      <w:r>
        <w:rPr>
          <w:noProof/>
        </w:rPr>
        <w:fldChar w:fldCharType="separate"/>
      </w:r>
      <w:r>
        <w:rPr>
          <w:noProof/>
        </w:rPr>
        <w:t>19</w:t>
      </w:r>
      <w:r>
        <w:rPr>
          <w:noProof/>
        </w:rPr>
        <w:fldChar w:fldCharType="end"/>
      </w:r>
    </w:p>
    <w:p w14:paraId="2FF1F32C" w14:textId="492C178B"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Subordinate Lien of the 2026B Subordinate LT Bonds; “Cash Flow” Nature of 2026B Subordinate LT Bonds</w:t>
      </w:r>
      <w:r>
        <w:rPr>
          <w:noProof/>
        </w:rPr>
        <w:tab/>
      </w:r>
      <w:r>
        <w:rPr>
          <w:noProof/>
        </w:rPr>
        <w:fldChar w:fldCharType="begin"/>
      </w:r>
      <w:r>
        <w:rPr>
          <w:noProof/>
        </w:rPr>
        <w:instrText xml:space="preserve"> PAGEREF _Toc235521044 \h </w:instrText>
      </w:r>
      <w:r>
        <w:rPr>
          <w:noProof/>
        </w:rPr>
      </w:r>
      <w:r>
        <w:rPr>
          <w:noProof/>
        </w:rPr>
        <w:fldChar w:fldCharType="separate"/>
      </w:r>
      <w:r>
        <w:rPr>
          <w:noProof/>
        </w:rPr>
        <w:t>20</w:t>
      </w:r>
      <w:r>
        <w:rPr>
          <w:noProof/>
        </w:rPr>
        <w:fldChar w:fldCharType="end"/>
      </w:r>
    </w:p>
    <w:p w14:paraId="700AB526" w14:textId="1FC5D9C9"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Enforceability of Contract Fees</w:t>
      </w:r>
      <w:r>
        <w:rPr>
          <w:noProof/>
        </w:rPr>
        <w:tab/>
      </w:r>
      <w:r>
        <w:rPr>
          <w:noProof/>
        </w:rPr>
        <w:fldChar w:fldCharType="begin"/>
      </w:r>
      <w:r>
        <w:rPr>
          <w:noProof/>
        </w:rPr>
        <w:instrText xml:space="preserve"> PAGEREF _Toc235521045 \h </w:instrText>
      </w:r>
      <w:r>
        <w:rPr>
          <w:noProof/>
        </w:rPr>
      </w:r>
      <w:r>
        <w:rPr>
          <w:noProof/>
        </w:rPr>
        <w:fldChar w:fldCharType="separate"/>
      </w:r>
      <w:r>
        <w:rPr>
          <w:noProof/>
        </w:rPr>
        <w:t>20</w:t>
      </w:r>
      <w:r>
        <w:rPr>
          <w:noProof/>
        </w:rPr>
        <w:fldChar w:fldCharType="end"/>
      </w:r>
    </w:p>
    <w:p w14:paraId="65D46EA9" w14:textId="4476EA7C"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Additional Obligations</w:t>
      </w:r>
      <w:r>
        <w:rPr>
          <w:noProof/>
        </w:rPr>
        <w:tab/>
      </w:r>
      <w:r>
        <w:rPr>
          <w:noProof/>
        </w:rPr>
        <w:fldChar w:fldCharType="begin"/>
      </w:r>
      <w:r>
        <w:rPr>
          <w:noProof/>
        </w:rPr>
        <w:instrText xml:space="preserve"> PAGEREF _Toc235521046 \h </w:instrText>
      </w:r>
      <w:r>
        <w:rPr>
          <w:noProof/>
        </w:rPr>
      </w:r>
      <w:r>
        <w:rPr>
          <w:noProof/>
        </w:rPr>
        <w:fldChar w:fldCharType="separate"/>
      </w:r>
      <w:r>
        <w:rPr>
          <w:noProof/>
        </w:rPr>
        <w:t>22</w:t>
      </w:r>
      <w:r>
        <w:rPr>
          <w:noProof/>
        </w:rPr>
        <w:fldChar w:fldCharType="end"/>
      </w:r>
    </w:p>
    <w:p w14:paraId="21A62CFA" w14:textId="3F6A048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Development Not Assured</w:t>
      </w:r>
      <w:r>
        <w:rPr>
          <w:noProof/>
        </w:rPr>
        <w:tab/>
      </w:r>
      <w:r>
        <w:rPr>
          <w:noProof/>
        </w:rPr>
        <w:fldChar w:fldCharType="begin"/>
      </w:r>
      <w:r>
        <w:rPr>
          <w:noProof/>
        </w:rPr>
        <w:instrText xml:space="preserve"> PAGEREF _Toc235521047 \h </w:instrText>
      </w:r>
      <w:r>
        <w:rPr>
          <w:noProof/>
        </w:rPr>
      </w:r>
      <w:r>
        <w:rPr>
          <w:noProof/>
        </w:rPr>
        <w:fldChar w:fldCharType="separate"/>
      </w:r>
      <w:r>
        <w:rPr>
          <w:noProof/>
        </w:rPr>
        <w:t>22</w:t>
      </w:r>
      <w:r>
        <w:rPr>
          <w:noProof/>
        </w:rPr>
        <w:fldChar w:fldCharType="end"/>
      </w:r>
    </w:p>
    <w:p w14:paraId="7F1835A7" w14:textId="6BB22862"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Risks Related to Inability to Obtain Outside Financing</w:t>
      </w:r>
      <w:r>
        <w:rPr>
          <w:noProof/>
        </w:rPr>
        <w:tab/>
      </w:r>
      <w:r>
        <w:rPr>
          <w:noProof/>
        </w:rPr>
        <w:fldChar w:fldCharType="begin"/>
      </w:r>
      <w:r>
        <w:rPr>
          <w:noProof/>
        </w:rPr>
        <w:instrText xml:space="preserve"> PAGEREF _Toc235521048 \h </w:instrText>
      </w:r>
      <w:r>
        <w:rPr>
          <w:noProof/>
        </w:rPr>
      </w:r>
      <w:r>
        <w:rPr>
          <w:noProof/>
        </w:rPr>
        <w:fldChar w:fldCharType="separate"/>
      </w:r>
      <w:r>
        <w:rPr>
          <w:noProof/>
        </w:rPr>
        <w:t>26</w:t>
      </w:r>
      <w:r>
        <w:rPr>
          <w:noProof/>
        </w:rPr>
        <w:fldChar w:fldCharType="end"/>
      </w:r>
    </w:p>
    <w:p w14:paraId="5ECF48C5" w14:textId="7A0BC024"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Risks Related to Property Tax Revenue</w:t>
      </w:r>
      <w:r>
        <w:rPr>
          <w:noProof/>
        </w:rPr>
        <w:tab/>
      </w:r>
      <w:r>
        <w:rPr>
          <w:noProof/>
        </w:rPr>
        <w:fldChar w:fldCharType="begin"/>
      </w:r>
      <w:r>
        <w:rPr>
          <w:noProof/>
        </w:rPr>
        <w:instrText xml:space="preserve"> PAGEREF _Toc235521049 \h </w:instrText>
      </w:r>
      <w:r>
        <w:rPr>
          <w:noProof/>
        </w:rPr>
      </w:r>
      <w:r>
        <w:rPr>
          <w:noProof/>
        </w:rPr>
        <w:fldChar w:fldCharType="separate"/>
      </w:r>
      <w:r>
        <w:rPr>
          <w:noProof/>
        </w:rPr>
        <w:t>26</w:t>
      </w:r>
      <w:r>
        <w:rPr>
          <w:noProof/>
        </w:rPr>
        <w:fldChar w:fldCharType="end"/>
      </w:r>
    </w:p>
    <w:p w14:paraId="51278635" w14:textId="6A11C03F"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Risks Inherent in Market Study and Financial Forecasts</w:t>
      </w:r>
      <w:r>
        <w:rPr>
          <w:noProof/>
        </w:rPr>
        <w:tab/>
      </w:r>
      <w:r>
        <w:rPr>
          <w:noProof/>
        </w:rPr>
        <w:fldChar w:fldCharType="begin"/>
      </w:r>
      <w:r>
        <w:rPr>
          <w:noProof/>
        </w:rPr>
        <w:instrText xml:space="preserve"> PAGEREF _Toc235521050 \h </w:instrText>
      </w:r>
      <w:r>
        <w:rPr>
          <w:noProof/>
        </w:rPr>
      </w:r>
      <w:r>
        <w:rPr>
          <w:noProof/>
        </w:rPr>
        <w:fldChar w:fldCharType="separate"/>
      </w:r>
      <w:r>
        <w:rPr>
          <w:noProof/>
        </w:rPr>
        <w:t>28</w:t>
      </w:r>
      <w:r>
        <w:rPr>
          <w:noProof/>
        </w:rPr>
        <w:fldChar w:fldCharType="end"/>
      </w:r>
    </w:p>
    <w:p w14:paraId="74547485" w14:textId="65FB5B93"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Private Interests of Board of Trustees</w:t>
      </w:r>
      <w:r>
        <w:rPr>
          <w:noProof/>
        </w:rPr>
        <w:tab/>
      </w:r>
      <w:r>
        <w:rPr>
          <w:noProof/>
        </w:rPr>
        <w:fldChar w:fldCharType="begin"/>
      </w:r>
      <w:r>
        <w:rPr>
          <w:noProof/>
        </w:rPr>
        <w:instrText xml:space="preserve"> PAGEREF _Toc235521051 \h </w:instrText>
      </w:r>
      <w:r>
        <w:rPr>
          <w:noProof/>
        </w:rPr>
      </w:r>
      <w:r>
        <w:rPr>
          <w:noProof/>
        </w:rPr>
        <w:fldChar w:fldCharType="separate"/>
      </w:r>
      <w:r>
        <w:rPr>
          <w:noProof/>
        </w:rPr>
        <w:t>29</w:t>
      </w:r>
      <w:r>
        <w:rPr>
          <w:noProof/>
        </w:rPr>
        <w:fldChar w:fldCharType="end"/>
      </w:r>
    </w:p>
    <w:p w14:paraId="67070747" w14:textId="2F97165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Legal Constraints on District Operations</w:t>
      </w:r>
      <w:r>
        <w:rPr>
          <w:noProof/>
        </w:rPr>
        <w:tab/>
      </w:r>
      <w:r>
        <w:rPr>
          <w:noProof/>
        </w:rPr>
        <w:fldChar w:fldCharType="begin"/>
      </w:r>
      <w:r>
        <w:rPr>
          <w:noProof/>
        </w:rPr>
        <w:instrText xml:space="preserve"> PAGEREF _Toc235521052 \h </w:instrText>
      </w:r>
      <w:r>
        <w:rPr>
          <w:noProof/>
        </w:rPr>
      </w:r>
      <w:r>
        <w:rPr>
          <w:noProof/>
        </w:rPr>
        <w:fldChar w:fldCharType="separate"/>
      </w:r>
      <w:r>
        <w:rPr>
          <w:noProof/>
        </w:rPr>
        <w:t>30</w:t>
      </w:r>
      <w:r>
        <w:rPr>
          <w:noProof/>
        </w:rPr>
        <w:fldChar w:fldCharType="end"/>
      </w:r>
    </w:p>
    <w:p w14:paraId="13AF1D77" w14:textId="1D242EF4"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Withholding of Revenues by State Auditor</w:t>
      </w:r>
      <w:r>
        <w:rPr>
          <w:noProof/>
        </w:rPr>
        <w:tab/>
      </w:r>
      <w:r>
        <w:rPr>
          <w:noProof/>
        </w:rPr>
        <w:fldChar w:fldCharType="begin"/>
      </w:r>
      <w:r>
        <w:rPr>
          <w:noProof/>
        </w:rPr>
        <w:instrText xml:space="preserve"> PAGEREF _Toc235521053 \h </w:instrText>
      </w:r>
      <w:r>
        <w:rPr>
          <w:noProof/>
        </w:rPr>
      </w:r>
      <w:r>
        <w:rPr>
          <w:noProof/>
        </w:rPr>
        <w:fldChar w:fldCharType="separate"/>
      </w:r>
      <w:r>
        <w:rPr>
          <w:noProof/>
        </w:rPr>
        <w:t>30</w:t>
      </w:r>
      <w:r>
        <w:rPr>
          <w:noProof/>
        </w:rPr>
        <w:fldChar w:fldCharType="end"/>
      </w:r>
    </w:p>
    <w:p w14:paraId="400A1C92" w14:textId="357E61CC"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Enforceability of Bondholders’ Remedies upon Default</w:t>
      </w:r>
      <w:r>
        <w:rPr>
          <w:noProof/>
        </w:rPr>
        <w:tab/>
      </w:r>
      <w:r>
        <w:rPr>
          <w:noProof/>
        </w:rPr>
        <w:fldChar w:fldCharType="begin"/>
      </w:r>
      <w:r>
        <w:rPr>
          <w:noProof/>
        </w:rPr>
        <w:instrText xml:space="preserve"> PAGEREF _Toc235521054 \h </w:instrText>
      </w:r>
      <w:r>
        <w:rPr>
          <w:noProof/>
        </w:rPr>
      </w:r>
      <w:r>
        <w:rPr>
          <w:noProof/>
        </w:rPr>
        <w:fldChar w:fldCharType="separate"/>
      </w:r>
      <w:r>
        <w:rPr>
          <w:noProof/>
        </w:rPr>
        <w:t>30</w:t>
      </w:r>
      <w:r>
        <w:rPr>
          <w:noProof/>
        </w:rPr>
        <w:fldChar w:fldCharType="end"/>
      </w:r>
    </w:p>
    <w:p w14:paraId="5EF6EBAC" w14:textId="14EA6F68"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Risk of Internal Revenue Service Audit</w:t>
      </w:r>
      <w:r>
        <w:rPr>
          <w:noProof/>
        </w:rPr>
        <w:tab/>
      </w:r>
      <w:r>
        <w:rPr>
          <w:noProof/>
        </w:rPr>
        <w:fldChar w:fldCharType="begin"/>
      </w:r>
      <w:r>
        <w:rPr>
          <w:noProof/>
        </w:rPr>
        <w:instrText xml:space="preserve"> PAGEREF _Toc235521055 \h </w:instrText>
      </w:r>
      <w:r>
        <w:rPr>
          <w:noProof/>
        </w:rPr>
      </w:r>
      <w:r>
        <w:rPr>
          <w:noProof/>
        </w:rPr>
        <w:fldChar w:fldCharType="separate"/>
      </w:r>
      <w:r>
        <w:rPr>
          <w:noProof/>
        </w:rPr>
        <w:t>31</w:t>
      </w:r>
      <w:r>
        <w:rPr>
          <w:noProof/>
        </w:rPr>
        <w:fldChar w:fldCharType="end"/>
      </w:r>
    </w:p>
    <w:p w14:paraId="41BC0F22" w14:textId="78B01C3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Offering; Restrictions on Purchase; Investor Suitability</w:t>
      </w:r>
      <w:r>
        <w:rPr>
          <w:noProof/>
        </w:rPr>
        <w:tab/>
      </w:r>
      <w:r>
        <w:rPr>
          <w:noProof/>
        </w:rPr>
        <w:fldChar w:fldCharType="begin"/>
      </w:r>
      <w:r>
        <w:rPr>
          <w:noProof/>
        </w:rPr>
        <w:instrText xml:space="preserve"> PAGEREF _Toc235521056 \h </w:instrText>
      </w:r>
      <w:r>
        <w:rPr>
          <w:noProof/>
        </w:rPr>
      </w:r>
      <w:r>
        <w:rPr>
          <w:noProof/>
        </w:rPr>
        <w:fldChar w:fldCharType="separate"/>
      </w:r>
      <w:r>
        <w:rPr>
          <w:noProof/>
        </w:rPr>
        <w:t>32</w:t>
      </w:r>
      <w:r>
        <w:rPr>
          <w:noProof/>
        </w:rPr>
        <w:fldChar w:fldCharType="end"/>
      </w:r>
    </w:p>
    <w:p w14:paraId="669D6989" w14:textId="40EF0D05"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Limitation on Administrative Expenses</w:t>
      </w:r>
      <w:r>
        <w:rPr>
          <w:noProof/>
        </w:rPr>
        <w:tab/>
      </w:r>
      <w:r>
        <w:rPr>
          <w:noProof/>
        </w:rPr>
        <w:fldChar w:fldCharType="begin"/>
      </w:r>
      <w:r>
        <w:rPr>
          <w:noProof/>
        </w:rPr>
        <w:instrText xml:space="preserve"> PAGEREF _Toc235521057 \h </w:instrText>
      </w:r>
      <w:r>
        <w:rPr>
          <w:noProof/>
        </w:rPr>
      </w:r>
      <w:r>
        <w:rPr>
          <w:noProof/>
        </w:rPr>
        <w:fldChar w:fldCharType="separate"/>
      </w:r>
      <w:r>
        <w:rPr>
          <w:noProof/>
        </w:rPr>
        <w:t>32</w:t>
      </w:r>
      <w:r>
        <w:rPr>
          <w:noProof/>
        </w:rPr>
        <w:fldChar w:fldCharType="end"/>
      </w:r>
    </w:p>
    <w:p w14:paraId="3FE692F9" w14:textId="1EB22D3B"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Restrictions on Transferability</w:t>
      </w:r>
      <w:r>
        <w:rPr>
          <w:noProof/>
        </w:rPr>
        <w:tab/>
      </w:r>
      <w:r>
        <w:rPr>
          <w:noProof/>
        </w:rPr>
        <w:fldChar w:fldCharType="begin"/>
      </w:r>
      <w:r>
        <w:rPr>
          <w:noProof/>
        </w:rPr>
        <w:instrText xml:space="preserve"> PAGEREF _Toc235521058 \h </w:instrText>
      </w:r>
      <w:r>
        <w:rPr>
          <w:noProof/>
        </w:rPr>
      </w:r>
      <w:r>
        <w:rPr>
          <w:noProof/>
        </w:rPr>
        <w:fldChar w:fldCharType="separate"/>
      </w:r>
      <w:r>
        <w:rPr>
          <w:noProof/>
        </w:rPr>
        <w:t>33</w:t>
      </w:r>
      <w:r>
        <w:rPr>
          <w:noProof/>
        </w:rPr>
        <w:fldChar w:fldCharType="end"/>
      </w:r>
    </w:p>
    <w:p w14:paraId="0BA12B02" w14:textId="60EA21C8"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Limited Operating History</w:t>
      </w:r>
      <w:r>
        <w:rPr>
          <w:noProof/>
        </w:rPr>
        <w:tab/>
      </w:r>
      <w:r>
        <w:rPr>
          <w:noProof/>
        </w:rPr>
        <w:fldChar w:fldCharType="begin"/>
      </w:r>
      <w:r>
        <w:rPr>
          <w:noProof/>
        </w:rPr>
        <w:instrText xml:space="preserve"> PAGEREF _Toc235521059 \h </w:instrText>
      </w:r>
      <w:r>
        <w:rPr>
          <w:noProof/>
        </w:rPr>
      </w:r>
      <w:r>
        <w:rPr>
          <w:noProof/>
        </w:rPr>
        <w:fldChar w:fldCharType="separate"/>
      </w:r>
      <w:r>
        <w:rPr>
          <w:noProof/>
        </w:rPr>
        <w:t>33</w:t>
      </w:r>
      <w:r>
        <w:rPr>
          <w:noProof/>
        </w:rPr>
        <w:fldChar w:fldCharType="end"/>
      </w:r>
    </w:p>
    <w:p w14:paraId="40FBA951" w14:textId="6AE7B4CF"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THE 2026A-1 SENIOR LT BONDS</w:t>
      </w:r>
      <w:r>
        <w:rPr>
          <w:noProof/>
        </w:rPr>
        <w:tab/>
      </w:r>
      <w:r>
        <w:rPr>
          <w:noProof/>
        </w:rPr>
        <w:fldChar w:fldCharType="begin"/>
      </w:r>
      <w:r>
        <w:rPr>
          <w:noProof/>
        </w:rPr>
        <w:instrText xml:space="preserve"> PAGEREF _Toc235521060 \h </w:instrText>
      </w:r>
      <w:r>
        <w:rPr>
          <w:noProof/>
        </w:rPr>
      </w:r>
      <w:r>
        <w:rPr>
          <w:noProof/>
        </w:rPr>
        <w:fldChar w:fldCharType="separate"/>
      </w:r>
      <w:r>
        <w:rPr>
          <w:noProof/>
        </w:rPr>
        <w:t>33</w:t>
      </w:r>
      <w:r>
        <w:rPr>
          <w:noProof/>
        </w:rPr>
        <w:fldChar w:fldCharType="end"/>
      </w:r>
    </w:p>
    <w:p w14:paraId="119B6E1B" w14:textId="4BA3290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Description</w:t>
      </w:r>
      <w:r>
        <w:rPr>
          <w:noProof/>
        </w:rPr>
        <w:tab/>
      </w:r>
      <w:r>
        <w:rPr>
          <w:noProof/>
        </w:rPr>
        <w:fldChar w:fldCharType="begin"/>
      </w:r>
      <w:r>
        <w:rPr>
          <w:noProof/>
        </w:rPr>
        <w:instrText xml:space="preserve"> PAGEREF _Toc235521061 \h </w:instrText>
      </w:r>
      <w:r>
        <w:rPr>
          <w:noProof/>
        </w:rPr>
      </w:r>
      <w:r>
        <w:rPr>
          <w:noProof/>
        </w:rPr>
        <w:fldChar w:fldCharType="separate"/>
      </w:r>
      <w:r>
        <w:rPr>
          <w:noProof/>
        </w:rPr>
        <w:t>33</w:t>
      </w:r>
      <w:r>
        <w:rPr>
          <w:noProof/>
        </w:rPr>
        <w:fldChar w:fldCharType="end"/>
      </w:r>
    </w:p>
    <w:p w14:paraId="12DBC7F2" w14:textId="70194FD9"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Discharge on March 1, 2067</w:t>
      </w:r>
      <w:r>
        <w:rPr>
          <w:noProof/>
        </w:rPr>
        <w:tab/>
      </w:r>
      <w:r>
        <w:rPr>
          <w:noProof/>
        </w:rPr>
        <w:fldChar w:fldCharType="begin"/>
      </w:r>
      <w:r>
        <w:rPr>
          <w:noProof/>
        </w:rPr>
        <w:instrText xml:space="preserve"> PAGEREF _Toc235521062 \h </w:instrText>
      </w:r>
      <w:r>
        <w:rPr>
          <w:noProof/>
        </w:rPr>
      </w:r>
      <w:r>
        <w:rPr>
          <w:noProof/>
        </w:rPr>
        <w:fldChar w:fldCharType="separate"/>
      </w:r>
      <w:r>
        <w:rPr>
          <w:noProof/>
        </w:rPr>
        <w:t>34</w:t>
      </w:r>
      <w:r>
        <w:rPr>
          <w:noProof/>
        </w:rPr>
        <w:fldChar w:fldCharType="end"/>
      </w:r>
    </w:p>
    <w:p w14:paraId="149242FE" w14:textId="5CC48E44"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Authorized Denominations of the 2026A-1 Senior LT Bonds</w:t>
      </w:r>
      <w:r>
        <w:rPr>
          <w:noProof/>
        </w:rPr>
        <w:tab/>
      </w:r>
      <w:r>
        <w:rPr>
          <w:noProof/>
        </w:rPr>
        <w:fldChar w:fldCharType="begin"/>
      </w:r>
      <w:r>
        <w:rPr>
          <w:noProof/>
        </w:rPr>
        <w:instrText xml:space="preserve"> PAGEREF _Toc235521063 \h </w:instrText>
      </w:r>
      <w:r>
        <w:rPr>
          <w:noProof/>
        </w:rPr>
      </w:r>
      <w:r>
        <w:rPr>
          <w:noProof/>
        </w:rPr>
        <w:fldChar w:fldCharType="separate"/>
      </w:r>
      <w:r>
        <w:rPr>
          <w:noProof/>
        </w:rPr>
        <w:t>34</w:t>
      </w:r>
      <w:r>
        <w:rPr>
          <w:noProof/>
        </w:rPr>
        <w:fldChar w:fldCharType="end"/>
      </w:r>
    </w:p>
    <w:p w14:paraId="4A20C6F7" w14:textId="430067D9"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Payment of Principal and Interest</w:t>
      </w:r>
      <w:r>
        <w:rPr>
          <w:noProof/>
        </w:rPr>
        <w:tab/>
      </w:r>
      <w:r>
        <w:rPr>
          <w:noProof/>
        </w:rPr>
        <w:fldChar w:fldCharType="begin"/>
      </w:r>
      <w:r>
        <w:rPr>
          <w:noProof/>
        </w:rPr>
        <w:instrText xml:space="preserve"> PAGEREF _Toc235521064 \h </w:instrText>
      </w:r>
      <w:r>
        <w:rPr>
          <w:noProof/>
        </w:rPr>
      </w:r>
      <w:r>
        <w:rPr>
          <w:noProof/>
        </w:rPr>
        <w:fldChar w:fldCharType="separate"/>
      </w:r>
      <w:r>
        <w:rPr>
          <w:noProof/>
        </w:rPr>
        <w:t>34</w:t>
      </w:r>
      <w:r>
        <w:rPr>
          <w:noProof/>
        </w:rPr>
        <w:fldChar w:fldCharType="end"/>
      </w:r>
    </w:p>
    <w:p w14:paraId="667DD083" w14:textId="792AC38C"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Redemption</w:t>
      </w:r>
      <w:r>
        <w:rPr>
          <w:noProof/>
        </w:rPr>
        <w:tab/>
      </w:r>
      <w:r>
        <w:rPr>
          <w:noProof/>
        </w:rPr>
        <w:fldChar w:fldCharType="begin"/>
      </w:r>
      <w:r>
        <w:rPr>
          <w:noProof/>
        </w:rPr>
        <w:instrText xml:space="preserve"> PAGEREF _Toc235521065 \h </w:instrText>
      </w:r>
      <w:r>
        <w:rPr>
          <w:noProof/>
        </w:rPr>
      </w:r>
      <w:r>
        <w:rPr>
          <w:noProof/>
        </w:rPr>
        <w:fldChar w:fldCharType="separate"/>
      </w:r>
      <w:r>
        <w:rPr>
          <w:noProof/>
        </w:rPr>
        <w:t>35</w:t>
      </w:r>
      <w:r>
        <w:rPr>
          <w:noProof/>
        </w:rPr>
        <w:fldChar w:fldCharType="end"/>
      </w:r>
    </w:p>
    <w:p w14:paraId="03B5292E" w14:textId="31959FB9" w:rsidR="003E693B" w:rsidRDefault="003E693B">
      <w:pPr>
        <w:pStyle w:val="TOC2"/>
        <w:rPr>
          <w:rFonts w:asciiTheme="minorHAnsi" w:eastAsiaTheme="minorEastAsia" w:hAnsiTheme="minorHAnsi"/>
          <w:noProof/>
          <w:kern w:val="2"/>
          <w:sz w:val="24"/>
          <w:szCs w:val="24"/>
          <w14:ligatures w14:val="standardContextual"/>
        </w:rPr>
      </w:pPr>
      <w:r>
        <w:rPr>
          <w:noProof/>
        </w:rPr>
        <w:t>Security for the 2026A-1 Senior LT Bonds</w:t>
      </w:r>
      <w:r>
        <w:rPr>
          <w:noProof/>
        </w:rPr>
        <w:tab/>
      </w:r>
      <w:r>
        <w:rPr>
          <w:noProof/>
        </w:rPr>
        <w:fldChar w:fldCharType="begin"/>
      </w:r>
      <w:r>
        <w:rPr>
          <w:noProof/>
        </w:rPr>
        <w:instrText xml:space="preserve"> PAGEREF _Toc235521066 \h </w:instrText>
      </w:r>
      <w:r>
        <w:rPr>
          <w:noProof/>
        </w:rPr>
      </w:r>
      <w:r>
        <w:rPr>
          <w:noProof/>
        </w:rPr>
        <w:fldChar w:fldCharType="separate"/>
      </w:r>
      <w:r>
        <w:rPr>
          <w:noProof/>
        </w:rPr>
        <w:t>36</w:t>
      </w:r>
      <w:r>
        <w:rPr>
          <w:noProof/>
        </w:rPr>
        <w:fldChar w:fldCharType="end"/>
      </w:r>
    </w:p>
    <w:p w14:paraId="57F9794A" w14:textId="0241B5A4" w:rsidR="003E693B" w:rsidRDefault="003E693B">
      <w:pPr>
        <w:pStyle w:val="TOC2"/>
        <w:rPr>
          <w:rFonts w:asciiTheme="minorHAnsi" w:eastAsiaTheme="minorEastAsia" w:hAnsiTheme="minorHAnsi"/>
          <w:noProof/>
          <w:kern w:val="2"/>
          <w:sz w:val="24"/>
          <w:szCs w:val="24"/>
          <w14:ligatures w14:val="standardContextual"/>
        </w:rPr>
      </w:pPr>
      <w:r>
        <w:rPr>
          <w:noProof/>
        </w:rPr>
        <w:t>Certain Senior LT Indenture Provisions</w:t>
      </w:r>
      <w:r>
        <w:rPr>
          <w:noProof/>
        </w:rPr>
        <w:tab/>
      </w:r>
      <w:r>
        <w:rPr>
          <w:noProof/>
        </w:rPr>
        <w:fldChar w:fldCharType="begin"/>
      </w:r>
      <w:r>
        <w:rPr>
          <w:noProof/>
        </w:rPr>
        <w:instrText xml:space="preserve"> PAGEREF _Toc235521067 \h </w:instrText>
      </w:r>
      <w:r>
        <w:rPr>
          <w:noProof/>
        </w:rPr>
      </w:r>
      <w:r>
        <w:rPr>
          <w:noProof/>
        </w:rPr>
        <w:fldChar w:fldCharType="separate"/>
      </w:r>
      <w:r>
        <w:rPr>
          <w:noProof/>
        </w:rPr>
        <w:t>38</w:t>
      </w:r>
      <w:r>
        <w:rPr>
          <w:noProof/>
        </w:rPr>
        <w:fldChar w:fldCharType="end"/>
      </w:r>
    </w:p>
    <w:p w14:paraId="18AEF2D6" w14:textId="54D741B0" w:rsidR="003E693B" w:rsidRDefault="003E693B">
      <w:pPr>
        <w:pStyle w:val="TOC1"/>
        <w:rPr>
          <w:rFonts w:asciiTheme="minorHAnsi" w:eastAsiaTheme="minorEastAsia" w:hAnsiTheme="minorHAnsi"/>
          <w:noProof/>
          <w:kern w:val="2"/>
          <w:sz w:val="24"/>
          <w14:ligatures w14:val="standardContextual"/>
        </w:rPr>
      </w:pPr>
      <w:r w:rsidRPr="005D38A4">
        <w:rPr>
          <w:rFonts w:cs="Times New Roman"/>
          <w:noProof/>
        </w:rPr>
        <w:t>THE 2026A-2 SR BONDS</w:t>
      </w:r>
      <w:r>
        <w:rPr>
          <w:noProof/>
        </w:rPr>
        <w:tab/>
      </w:r>
      <w:r>
        <w:rPr>
          <w:noProof/>
        </w:rPr>
        <w:fldChar w:fldCharType="begin"/>
      </w:r>
      <w:r>
        <w:rPr>
          <w:noProof/>
        </w:rPr>
        <w:instrText xml:space="preserve"> PAGEREF _Toc235521068 \h </w:instrText>
      </w:r>
      <w:r>
        <w:rPr>
          <w:noProof/>
        </w:rPr>
      </w:r>
      <w:r>
        <w:rPr>
          <w:noProof/>
        </w:rPr>
        <w:fldChar w:fldCharType="separate"/>
      </w:r>
      <w:r>
        <w:rPr>
          <w:noProof/>
        </w:rPr>
        <w:t>52</w:t>
      </w:r>
      <w:r>
        <w:rPr>
          <w:noProof/>
        </w:rPr>
        <w:fldChar w:fldCharType="end"/>
      </w:r>
    </w:p>
    <w:p w14:paraId="0AA6C540" w14:textId="543826EF"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Description</w:t>
      </w:r>
      <w:r>
        <w:rPr>
          <w:noProof/>
        </w:rPr>
        <w:tab/>
      </w:r>
      <w:r>
        <w:rPr>
          <w:noProof/>
        </w:rPr>
        <w:fldChar w:fldCharType="begin"/>
      </w:r>
      <w:r>
        <w:rPr>
          <w:noProof/>
        </w:rPr>
        <w:instrText xml:space="preserve"> PAGEREF _Toc235521069 \h </w:instrText>
      </w:r>
      <w:r>
        <w:rPr>
          <w:noProof/>
        </w:rPr>
      </w:r>
      <w:r>
        <w:rPr>
          <w:noProof/>
        </w:rPr>
        <w:fldChar w:fldCharType="separate"/>
      </w:r>
      <w:r>
        <w:rPr>
          <w:noProof/>
        </w:rPr>
        <w:t>52</w:t>
      </w:r>
      <w:r>
        <w:rPr>
          <w:noProof/>
        </w:rPr>
        <w:fldChar w:fldCharType="end"/>
      </w:r>
    </w:p>
    <w:p w14:paraId="3AE9E2FF" w14:textId="264A5FDE" w:rsidR="003E693B" w:rsidRDefault="003E693B">
      <w:pPr>
        <w:pStyle w:val="TOC2"/>
        <w:rPr>
          <w:rFonts w:asciiTheme="minorHAnsi" w:eastAsiaTheme="minorEastAsia" w:hAnsiTheme="minorHAnsi"/>
          <w:noProof/>
          <w:kern w:val="2"/>
          <w:sz w:val="24"/>
          <w:szCs w:val="24"/>
          <w14:ligatures w14:val="standardContextual"/>
        </w:rPr>
      </w:pPr>
      <w:r>
        <w:rPr>
          <w:noProof/>
        </w:rPr>
        <w:t>“Cash Flow” Nature of 2026A-2 SR Bonds</w:t>
      </w:r>
      <w:r>
        <w:rPr>
          <w:noProof/>
        </w:rPr>
        <w:tab/>
      </w:r>
      <w:r>
        <w:rPr>
          <w:noProof/>
        </w:rPr>
        <w:fldChar w:fldCharType="begin"/>
      </w:r>
      <w:r>
        <w:rPr>
          <w:noProof/>
        </w:rPr>
        <w:instrText xml:space="preserve"> PAGEREF _Toc235521070 \h </w:instrText>
      </w:r>
      <w:r>
        <w:rPr>
          <w:noProof/>
        </w:rPr>
      </w:r>
      <w:r>
        <w:rPr>
          <w:noProof/>
        </w:rPr>
        <w:fldChar w:fldCharType="separate"/>
      </w:r>
      <w:r>
        <w:rPr>
          <w:noProof/>
        </w:rPr>
        <w:t>52</w:t>
      </w:r>
      <w:r>
        <w:rPr>
          <w:noProof/>
        </w:rPr>
        <w:fldChar w:fldCharType="end"/>
      </w:r>
    </w:p>
    <w:p w14:paraId="39B613B3" w14:textId="29AE8EAF"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Discharge Upon Payment of All Contract Fees</w:t>
      </w:r>
      <w:r>
        <w:rPr>
          <w:noProof/>
        </w:rPr>
        <w:tab/>
      </w:r>
      <w:r>
        <w:rPr>
          <w:noProof/>
        </w:rPr>
        <w:fldChar w:fldCharType="begin"/>
      </w:r>
      <w:r>
        <w:rPr>
          <w:noProof/>
        </w:rPr>
        <w:instrText xml:space="preserve"> PAGEREF _Toc235521071 \h </w:instrText>
      </w:r>
      <w:r>
        <w:rPr>
          <w:noProof/>
        </w:rPr>
      </w:r>
      <w:r>
        <w:rPr>
          <w:noProof/>
        </w:rPr>
        <w:fldChar w:fldCharType="separate"/>
      </w:r>
      <w:r>
        <w:rPr>
          <w:noProof/>
        </w:rPr>
        <w:t>52</w:t>
      </w:r>
      <w:r>
        <w:rPr>
          <w:noProof/>
        </w:rPr>
        <w:fldChar w:fldCharType="end"/>
      </w:r>
    </w:p>
    <w:p w14:paraId="191E834F" w14:textId="4C8061A9"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Authorized Denominations of the 2026A-2 SR Bonds</w:t>
      </w:r>
      <w:r>
        <w:rPr>
          <w:noProof/>
        </w:rPr>
        <w:tab/>
      </w:r>
      <w:r>
        <w:rPr>
          <w:noProof/>
        </w:rPr>
        <w:fldChar w:fldCharType="begin"/>
      </w:r>
      <w:r>
        <w:rPr>
          <w:noProof/>
        </w:rPr>
        <w:instrText xml:space="preserve"> PAGEREF _Toc235521072 \h </w:instrText>
      </w:r>
      <w:r>
        <w:rPr>
          <w:noProof/>
        </w:rPr>
      </w:r>
      <w:r>
        <w:rPr>
          <w:noProof/>
        </w:rPr>
        <w:fldChar w:fldCharType="separate"/>
      </w:r>
      <w:r>
        <w:rPr>
          <w:noProof/>
        </w:rPr>
        <w:t>53</w:t>
      </w:r>
      <w:r>
        <w:rPr>
          <w:noProof/>
        </w:rPr>
        <w:fldChar w:fldCharType="end"/>
      </w:r>
    </w:p>
    <w:p w14:paraId="42A039E7" w14:textId="57CF4B34"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Payment of Principal and Interest</w:t>
      </w:r>
      <w:r>
        <w:rPr>
          <w:noProof/>
        </w:rPr>
        <w:tab/>
      </w:r>
      <w:r>
        <w:rPr>
          <w:noProof/>
        </w:rPr>
        <w:fldChar w:fldCharType="begin"/>
      </w:r>
      <w:r>
        <w:rPr>
          <w:noProof/>
        </w:rPr>
        <w:instrText xml:space="preserve"> PAGEREF _Toc235521073 \h </w:instrText>
      </w:r>
      <w:r>
        <w:rPr>
          <w:noProof/>
        </w:rPr>
      </w:r>
      <w:r>
        <w:rPr>
          <w:noProof/>
        </w:rPr>
        <w:fldChar w:fldCharType="separate"/>
      </w:r>
      <w:r>
        <w:rPr>
          <w:noProof/>
        </w:rPr>
        <w:t>53</w:t>
      </w:r>
      <w:r>
        <w:rPr>
          <w:noProof/>
        </w:rPr>
        <w:fldChar w:fldCharType="end"/>
      </w:r>
    </w:p>
    <w:p w14:paraId="17DA2258" w14:textId="753DB64A"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Redemption</w:t>
      </w:r>
      <w:r>
        <w:rPr>
          <w:noProof/>
        </w:rPr>
        <w:tab/>
      </w:r>
      <w:r>
        <w:rPr>
          <w:noProof/>
        </w:rPr>
        <w:fldChar w:fldCharType="begin"/>
      </w:r>
      <w:r>
        <w:rPr>
          <w:noProof/>
        </w:rPr>
        <w:instrText xml:space="preserve"> PAGEREF _Toc235521074 \h </w:instrText>
      </w:r>
      <w:r>
        <w:rPr>
          <w:noProof/>
        </w:rPr>
      </w:r>
      <w:r>
        <w:rPr>
          <w:noProof/>
        </w:rPr>
        <w:fldChar w:fldCharType="separate"/>
      </w:r>
      <w:r>
        <w:rPr>
          <w:noProof/>
        </w:rPr>
        <w:t>54</w:t>
      </w:r>
      <w:r>
        <w:rPr>
          <w:noProof/>
        </w:rPr>
        <w:fldChar w:fldCharType="end"/>
      </w:r>
    </w:p>
    <w:p w14:paraId="26645220" w14:textId="6BDBAC72" w:rsidR="003E693B" w:rsidRDefault="003E693B">
      <w:pPr>
        <w:pStyle w:val="TOC2"/>
        <w:rPr>
          <w:rFonts w:asciiTheme="minorHAnsi" w:eastAsiaTheme="minorEastAsia" w:hAnsiTheme="minorHAnsi"/>
          <w:noProof/>
          <w:kern w:val="2"/>
          <w:sz w:val="24"/>
          <w:szCs w:val="24"/>
          <w14:ligatures w14:val="standardContextual"/>
        </w:rPr>
      </w:pPr>
      <w:r>
        <w:rPr>
          <w:noProof/>
        </w:rPr>
        <w:t>Security for the 2026A-2 SR Bonds</w:t>
      </w:r>
      <w:r>
        <w:rPr>
          <w:noProof/>
        </w:rPr>
        <w:tab/>
      </w:r>
      <w:r>
        <w:rPr>
          <w:noProof/>
        </w:rPr>
        <w:fldChar w:fldCharType="begin"/>
      </w:r>
      <w:r>
        <w:rPr>
          <w:noProof/>
        </w:rPr>
        <w:instrText xml:space="preserve"> PAGEREF _Toc235521075 \h </w:instrText>
      </w:r>
      <w:r>
        <w:rPr>
          <w:noProof/>
        </w:rPr>
      </w:r>
      <w:r>
        <w:rPr>
          <w:noProof/>
        </w:rPr>
        <w:fldChar w:fldCharType="separate"/>
      </w:r>
      <w:r>
        <w:rPr>
          <w:noProof/>
        </w:rPr>
        <w:t>54</w:t>
      </w:r>
      <w:r>
        <w:rPr>
          <w:noProof/>
        </w:rPr>
        <w:fldChar w:fldCharType="end"/>
      </w:r>
    </w:p>
    <w:p w14:paraId="71AF6C64" w14:textId="20BF722B" w:rsidR="003E693B" w:rsidRDefault="00AF75BD">
      <w:pPr>
        <w:pStyle w:val="TOC2"/>
        <w:rPr>
          <w:rFonts w:asciiTheme="minorHAnsi" w:eastAsiaTheme="minorEastAsia" w:hAnsiTheme="minorHAnsi"/>
          <w:noProof/>
          <w:kern w:val="2"/>
          <w:sz w:val="24"/>
          <w:szCs w:val="24"/>
          <w14:ligatures w14:val="standardContextual"/>
        </w:rPr>
      </w:pPr>
      <w:r>
        <w:rPr>
          <w:noProof/>
        </w:rPr>
        <w:t xml:space="preserve">Certain </w:t>
      </w:r>
      <w:r w:rsidR="003E693B">
        <w:rPr>
          <w:noProof/>
        </w:rPr>
        <w:t>SR Indenture Provisions</w:t>
      </w:r>
      <w:r w:rsidR="003E693B">
        <w:rPr>
          <w:noProof/>
        </w:rPr>
        <w:tab/>
      </w:r>
      <w:r w:rsidR="003E693B">
        <w:rPr>
          <w:noProof/>
        </w:rPr>
        <w:fldChar w:fldCharType="begin"/>
      </w:r>
      <w:r w:rsidR="003E693B">
        <w:rPr>
          <w:noProof/>
        </w:rPr>
        <w:instrText xml:space="preserve"> PAGEREF _Toc235521076 \h </w:instrText>
      </w:r>
      <w:r w:rsidR="003E693B">
        <w:rPr>
          <w:noProof/>
        </w:rPr>
      </w:r>
      <w:r w:rsidR="003E693B">
        <w:rPr>
          <w:noProof/>
        </w:rPr>
        <w:fldChar w:fldCharType="separate"/>
      </w:r>
      <w:r w:rsidR="003E693B">
        <w:rPr>
          <w:noProof/>
        </w:rPr>
        <w:t>55</w:t>
      </w:r>
      <w:r w:rsidR="003E693B">
        <w:rPr>
          <w:noProof/>
        </w:rPr>
        <w:fldChar w:fldCharType="end"/>
      </w:r>
    </w:p>
    <w:p w14:paraId="71DE1F34" w14:textId="1BC165A9" w:rsidR="003E693B" w:rsidRDefault="003E693B">
      <w:pPr>
        <w:pStyle w:val="TOC1"/>
        <w:rPr>
          <w:rFonts w:asciiTheme="minorHAnsi" w:eastAsiaTheme="minorEastAsia" w:hAnsiTheme="minorHAnsi"/>
          <w:noProof/>
          <w:kern w:val="2"/>
          <w:sz w:val="24"/>
          <w14:ligatures w14:val="standardContextual"/>
        </w:rPr>
      </w:pPr>
      <w:r w:rsidRPr="005D38A4">
        <w:rPr>
          <w:rFonts w:cs="Times New Roman"/>
          <w:noProof/>
        </w:rPr>
        <w:t>THE 2026B SUBORDINATE LT BONDS</w:t>
      </w:r>
      <w:r>
        <w:rPr>
          <w:noProof/>
        </w:rPr>
        <w:tab/>
      </w:r>
      <w:r>
        <w:rPr>
          <w:noProof/>
        </w:rPr>
        <w:fldChar w:fldCharType="begin"/>
      </w:r>
      <w:r>
        <w:rPr>
          <w:noProof/>
        </w:rPr>
        <w:instrText xml:space="preserve"> PAGEREF _Toc235521077 \h </w:instrText>
      </w:r>
      <w:r>
        <w:rPr>
          <w:noProof/>
        </w:rPr>
      </w:r>
      <w:r>
        <w:rPr>
          <w:noProof/>
        </w:rPr>
        <w:fldChar w:fldCharType="separate"/>
      </w:r>
      <w:r>
        <w:rPr>
          <w:noProof/>
        </w:rPr>
        <w:t>64</w:t>
      </w:r>
      <w:r>
        <w:rPr>
          <w:noProof/>
        </w:rPr>
        <w:fldChar w:fldCharType="end"/>
      </w:r>
    </w:p>
    <w:p w14:paraId="715FF6DD" w14:textId="0D007885" w:rsidR="003E693B" w:rsidRDefault="003E693B">
      <w:pPr>
        <w:pStyle w:val="TOC2"/>
        <w:rPr>
          <w:rFonts w:asciiTheme="minorHAnsi" w:eastAsiaTheme="minorEastAsia" w:hAnsiTheme="minorHAnsi"/>
          <w:noProof/>
          <w:kern w:val="2"/>
          <w:sz w:val="24"/>
          <w:szCs w:val="24"/>
          <w14:ligatures w14:val="standardContextual"/>
        </w:rPr>
      </w:pPr>
      <w:r w:rsidRPr="005D38A4">
        <w:rPr>
          <w:noProof/>
        </w:rPr>
        <w:t>Description</w:t>
      </w:r>
      <w:r>
        <w:rPr>
          <w:noProof/>
        </w:rPr>
        <w:tab/>
      </w:r>
      <w:r>
        <w:rPr>
          <w:noProof/>
        </w:rPr>
        <w:fldChar w:fldCharType="begin"/>
      </w:r>
      <w:r>
        <w:rPr>
          <w:noProof/>
        </w:rPr>
        <w:instrText xml:space="preserve"> PAGEREF _Toc235521078 \h </w:instrText>
      </w:r>
      <w:r>
        <w:rPr>
          <w:noProof/>
        </w:rPr>
      </w:r>
      <w:r>
        <w:rPr>
          <w:noProof/>
        </w:rPr>
        <w:fldChar w:fldCharType="separate"/>
      </w:r>
      <w:r>
        <w:rPr>
          <w:noProof/>
        </w:rPr>
        <w:t>65</w:t>
      </w:r>
      <w:r>
        <w:rPr>
          <w:noProof/>
        </w:rPr>
        <w:fldChar w:fldCharType="end"/>
      </w:r>
    </w:p>
    <w:p w14:paraId="098E688F" w14:textId="64748BD2" w:rsidR="003E693B" w:rsidRDefault="003E693B">
      <w:pPr>
        <w:pStyle w:val="TOC2"/>
        <w:rPr>
          <w:rFonts w:asciiTheme="minorHAnsi" w:eastAsiaTheme="minorEastAsia" w:hAnsiTheme="minorHAnsi"/>
          <w:noProof/>
          <w:kern w:val="2"/>
          <w:sz w:val="24"/>
          <w:szCs w:val="24"/>
          <w14:ligatures w14:val="standardContextual"/>
        </w:rPr>
      </w:pPr>
      <w:r w:rsidRPr="005D38A4">
        <w:rPr>
          <w:noProof/>
        </w:rPr>
        <w:t>Sources of Payment</w:t>
      </w:r>
      <w:r>
        <w:rPr>
          <w:noProof/>
        </w:rPr>
        <w:tab/>
      </w:r>
      <w:r>
        <w:rPr>
          <w:noProof/>
        </w:rPr>
        <w:fldChar w:fldCharType="begin"/>
      </w:r>
      <w:r>
        <w:rPr>
          <w:noProof/>
        </w:rPr>
        <w:instrText xml:space="preserve"> PAGEREF _Toc235521079 \h </w:instrText>
      </w:r>
      <w:r>
        <w:rPr>
          <w:noProof/>
        </w:rPr>
      </w:r>
      <w:r>
        <w:rPr>
          <w:noProof/>
        </w:rPr>
        <w:fldChar w:fldCharType="separate"/>
      </w:r>
      <w:r>
        <w:rPr>
          <w:noProof/>
        </w:rPr>
        <w:t>65</w:t>
      </w:r>
      <w:r>
        <w:rPr>
          <w:noProof/>
        </w:rPr>
        <w:fldChar w:fldCharType="end"/>
      </w:r>
    </w:p>
    <w:p w14:paraId="374DFB8F" w14:textId="3065EEE8" w:rsidR="003E693B" w:rsidRDefault="003E693B">
      <w:pPr>
        <w:pStyle w:val="TOC2"/>
        <w:rPr>
          <w:rFonts w:asciiTheme="minorHAnsi" w:eastAsiaTheme="minorEastAsia" w:hAnsiTheme="minorHAnsi"/>
          <w:noProof/>
          <w:kern w:val="2"/>
          <w:sz w:val="24"/>
          <w:szCs w:val="24"/>
          <w14:ligatures w14:val="standardContextual"/>
        </w:rPr>
      </w:pPr>
      <w:r w:rsidRPr="005D38A4">
        <w:rPr>
          <w:noProof/>
        </w:rPr>
        <w:t>“Cash Flow” Nature of 2026B Subordinate LT Bonds; Discharge on March 15, 2067</w:t>
      </w:r>
      <w:r>
        <w:rPr>
          <w:noProof/>
        </w:rPr>
        <w:tab/>
      </w:r>
      <w:r>
        <w:rPr>
          <w:noProof/>
        </w:rPr>
        <w:fldChar w:fldCharType="begin"/>
      </w:r>
      <w:r>
        <w:rPr>
          <w:noProof/>
        </w:rPr>
        <w:instrText xml:space="preserve"> PAGEREF _Toc235521080 \h </w:instrText>
      </w:r>
      <w:r>
        <w:rPr>
          <w:noProof/>
        </w:rPr>
      </w:r>
      <w:r>
        <w:rPr>
          <w:noProof/>
        </w:rPr>
        <w:fldChar w:fldCharType="separate"/>
      </w:r>
      <w:r>
        <w:rPr>
          <w:noProof/>
        </w:rPr>
        <w:t>65</w:t>
      </w:r>
      <w:r>
        <w:rPr>
          <w:noProof/>
        </w:rPr>
        <w:fldChar w:fldCharType="end"/>
      </w:r>
    </w:p>
    <w:p w14:paraId="45B86CF9" w14:textId="5F47DE2A" w:rsidR="003E693B" w:rsidRDefault="003E693B">
      <w:pPr>
        <w:pStyle w:val="TOC2"/>
        <w:rPr>
          <w:rFonts w:asciiTheme="minorHAnsi" w:eastAsiaTheme="minorEastAsia" w:hAnsiTheme="minorHAnsi"/>
          <w:noProof/>
          <w:kern w:val="2"/>
          <w:sz w:val="24"/>
          <w:szCs w:val="24"/>
          <w14:ligatures w14:val="standardContextual"/>
        </w:rPr>
      </w:pPr>
      <w:r w:rsidRPr="005D38A4">
        <w:rPr>
          <w:noProof/>
        </w:rPr>
        <w:t>Authorized Denominations of the 2026B Subordinate LT Bonds</w:t>
      </w:r>
      <w:r>
        <w:rPr>
          <w:noProof/>
        </w:rPr>
        <w:tab/>
      </w:r>
      <w:r>
        <w:rPr>
          <w:noProof/>
        </w:rPr>
        <w:fldChar w:fldCharType="begin"/>
      </w:r>
      <w:r>
        <w:rPr>
          <w:noProof/>
        </w:rPr>
        <w:instrText xml:space="preserve"> PAGEREF _Toc235521081 \h </w:instrText>
      </w:r>
      <w:r>
        <w:rPr>
          <w:noProof/>
        </w:rPr>
      </w:r>
      <w:r>
        <w:rPr>
          <w:noProof/>
        </w:rPr>
        <w:fldChar w:fldCharType="separate"/>
      </w:r>
      <w:r>
        <w:rPr>
          <w:noProof/>
        </w:rPr>
        <w:t>66</w:t>
      </w:r>
      <w:r>
        <w:rPr>
          <w:noProof/>
        </w:rPr>
        <w:fldChar w:fldCharType="end"/>
      </w:r>
    </w:p>
    <w:p w14:paraId="4F3965FF" w14:textId="4CB60323" w:rsidR="003E693B" w:rsidRDefault="003E693B">
      <w:pPr>
        <w:pStyle w:val="TOC2"/>
        <w:rPr>
          <w:rFonts w:asciiTheme="minorHAnsi" w:eastAsiaTheme="minorEastAsia" w:hAnsiTheme="minorHAnsi"/>
          <w:noProof/>
          <w:kern w:val="2"/>
          <w:sz w:val="24"/>
          <w:szCs w:val="24"/>
          <w14:ligatures w14:val="standardContextual"/>
        </w:rPr>
      </w:pPr>
      <w:r w:rsidRPr="005D38A4">
        <w:rPr>
          <w:noProof/>
        </w:rPr>
        <w:t>Payment of Principal and Interest</w:t>
      </w:r>
      <w:r>
        <w:rPr>
          <w:noProof/>
        </w:rPr>
        <w:tab/>
      </w:r>
      <w:r>
        <w:rPr>
          <w:noProof/>
        </w:rPr>
        <w:fldChar w:fldCharType="begin"/>
      </w:r>
      <w:r>
        <w:rPr>
          <w:noProof/>
        </w:rPr>
        <w:instrText xml:space="preserve"> PAGEREF _Toc235521082 \h </w:instrText>
      </w:r>
      <w:r>
        <w:rPr>
          <w:noProof/>
        </w:rPr>
      </w:r>
      <w:r>
        <w:rPr>
          <w:noProof/>
        </w:rPr>
        <w:fldChar w:fldCharType="separate"/>
      </w:r>
      <w:r>
        <w:rPr>
          <w:noProof/>
        </w:rPr>
        <w:t>66</w:t>
      </w:r>
      <w:r>
        <w:rPr>
          <w:noProof/>
        </w:rPr>
        <w:fldChar w:fldCharType="end"/>
      </w:r>
    </w:p>
    <w:p w14:paraId="680AC3CC" w14:textId="77F9D10A" w:rsidR="003E693B" w:rsidRDefault="003E693B">
      <w:pPr>
        <w:pStyle w:val="TOC2"/>
        <w:rPr>
          <w:rFonts w:asciiTheme="minorHAnsi" w:eastAsiaTheme="minorEastAsia" w:hAnsiTheme="minorHAnsi"/>
          <w:noProof/>
          <w:kern w:val="2"/>
          <w:sz w:val="24"/>
          <w:szCs w:val="24"/>
          <w14:ligatures w14:val="standardContextual"/>
        </w:rPr>
      </w:pPr>
      <w:r w:rsidRPr="005D38A4">
        <w:rPr>
          <w:noProof/>
        </w:rPr>
        <w:t>Redemption</w:t>
      </w:r>
      <w:r>
        <w:rPr>
          <w:noProof/>
        </w:rPr>
        <w:tab/>
      </w:r>
      <w:r>
        <w:rPr>
          <w:noProof/>
        </w:rPr>
        <w:fldChar w:fldCharType="begin"/>
      </w:r>
      <w:r>
        <w:rPr>
          <w:noProof/>
        </w:rPr>
        <w:instrText xml:space="preserve"> PAGEREF _Toc235521083 \h </w:instrText>
      </w:r>
      <w:r>
        <w:rPr>
          <w:noProof/>
        </w:rPr>
      </w:r>
      <w:r>
        <w:rPr>
          <w:noProof/>
        </w:rPr>
        <w:fldChar w:fldCharType="separate"/>
      </w:r>
      <w:r>
        <w:rPr>
          <w:noProof/>
        </w:rPr>
        <w:t>67</w:t>
      </w:r>
      <w:r>
        <w:rPr>
          <w:noProof/>
        </w:rPr>
        <w:fldChar w:fldCharType="end"/>
      </w:r>
    </w:p>
    <w:p w14:paraId="000652FD" w14:textId="278961D2" w:rsidR="003E693B" w:rsidRDefault="003E693B">
      <w:pPr>
        <w:pStyle w:val="TOC2"/>
        <w:rPr>
          <w:rFonts w:asciiTheme="minorHAnsi" w:eastAsiaTheme="minorEastAsia" w:hAnsiTheme="minorHAnsi"/>
          <w:noProof/>
          <w:kern w:val="2"/>
          <w:sz w:val="24"/>
          <w:szCs w:val="24"/>
          <w14:ligatures w14:val="standardContextual"/>
        </w:rPr>
      </w:pPr>
      <w:r w:rsidRPr="005D38A4">
        <w:rPr>
          <w:noProof/>
        </w:rPr>
        <w:t>Security for the 2026B Subordinate LT Bonds; Subordinate Lien</w:t>
      </w:r>
      <w:r>
        <w:rPr>
          <w:noProof/>
        </w:rPr>
        <w:tab/>
      </w:r>
      <w:r>
        <w:rPr>
          <w:noProof/>
        </w:rPr>
        <w:fldChar w:fldCharType="begin"/>
      </w:r>
      <w:r>
        <w:rPr>
          <w:noProof/>
        </w:rPr>
        <w:instrText xml:space="preserve"> PAGEREF _Toc235521084 \h </w:instrText>
      </w:r>
      <w:r>
        <w:rPr>
          <w:noProof/>
        </w:rPr>
      </w:r>
      <w:r>
        <w:rPr>
          <w:noProof/>
        </w:rPr>
        <w:fldChar w:fldCharType="separate"/>
      </w:r>
      <w:r>
        <w:rPr>
          <w:noProof/>
        </w:rPr>
        <w:t>68</w:t>
      </w:r>
      <w:r>
        <w:rPr>
          <w:noProof/>
        </w:rPr>
        <w:fldChar w:fldCharType="end"/>
      </w:r>
    </w:p>
    <w:p w14:paraId="0DAA5A47" w14:textId="5FAA5205" w:rsidR="003E693B" w:rsidRDefault="003E693B">
      <w:pPr>
        <w:pStyle w:val="TOC2"/>
        <w:rPr>
          <w:rFonts w:asciiTheme="minorHAnsi" w:eastAsiaTheme="minorEastAsia" w:hAnsiTheme="minorHAnsi"/>
          <w:noProof/>
          <w:kern w:val="2"/>
          <w:sz w:val="24"/>
          <w:szCs w:val="24"/>
          <w14:ligatures w14:val="standardContextual"/>
        </w:rPr>
      </w:pPr>
      <w:r w:rsidRPr="005D38A4">
        <w:rPr>
          <w:noProof/>
        </w:rPr>
        <w:t>Certain Subordinate LT Indenture Provisions</w:t>
      </w:r>
      <w:r>
        <w:rPr>
          <w:noProof/>
        </w:rPr>
        <w:tab/>
      </w:r>
      <w:r>
        <w:rPr>
          <w:noProof/>
        </w:rPr>
        <w:fldChar w:fldCharType="begin"/>
      </w:r>
      <w:r>
        <w:rPr>
          <w:noProof/>
        </w:rPr>
        <w:instrText xml:space="preserve"> PAGEREF _Toc235521085 \h </w:instrText>
      </w:r>
      <w:r>
        <w:rPr>
          <w:noProof/>
        </w:rPr>
      </w:r>
      <w:r>
        <w:rPr>
          <w:noProof/>
        </w:rPr>
        <w:fldChar w:fldCharType="separate"/>
      </w:r>
      <w:r>
        <w:rPr>
          <w:noProof/>
        </w:rPr>
        <w:t>69</w:t>
      </w:r>
      <w:r>
        <w:rPr>
          <w:noProof/>
        </w:rPr>
        <w:fldChar w:fldCharType="end"/>
      </w:r>
    </w:p>
    <w:p w14:paraId="5B560945" w14:textId="7EC3022C" w:rsidR="003E693B" w:rsidRDefault="003E693B">
      <w:pPr>
        <w:pStyle w:val="TOC1"/>
        <w:rPr>
          <w:rFonts w:asciiTheme="minorHAnsi" w:eastAsiaTheme="minorEastAsia" w:hAnsiTheme="minorHAnsi"/>
          <w:noProof/>
          <w:kern w:val="2"/>
          <w:sz w:val="24"/>
          <w14:ligatures w14:val="standardContextual"/>
        </w:rPr>
      </w:pPr>
      <w:r w:rsidRPr="005D38A4">
        <w:rPr>
          <w:rFonts w:cs="Times New Roman"/>
          <w:noProof/>
        </w:rPr>
        <w:t>USE OF PROCEEDS AND DEBT SERVICE REQUIREMENTS</w:t>
      </w:r>
      <w:r>
        <w:rPr>
          <w:noProof/>
        </w:rPr>
        <w:tab/>
      </w:r>
      <w:r>
        <w:rPr>
          <w:noProof/>
        </w:rPr>
        <w:fldChar w:fldCharType="begin"/>
      </w:r>
      <w:r>
        <w:rPr>
          <w:noProof/>
        </w:rPr>
        <w:instrText xml:space="preserve"> PAGEREF _Toc235521086 \h </w:instrText>
      </w:r>
      <w:r>
        <w:rPr>
          <w:noProof/>
        </w:rPr>
      </w:r>
      <w:r>
        <w:rPr>
          <w:noProof/>
        </w:rPr>
        <w:fldChar w:fldCharType="separate"/>
      </w:r>
      <w:r>
        <w:rPr>
          <w:noProof/>
        </w:rPr>
        <w:t>81</w:t>
      </w:r>
      <w:r>
        <w:rPr>
          <w:noProof/>
        </w:rPr>
        <w:fldChar w:fldCharType="end"/>
      </w:r>
    </w:p>
    <w:p w14:paraId="0EAE7B66" w14:textId="5602BC8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 xml:space="preserve">Application of </w:t>
      </w:r>
      <w:r>
        <w:rPr>
          <w:noProof/>
        </w:rPr>
        <w:t>Bond</w:t>
      </w:r>
      <w:r w:rsidRPr="005D38A4">
        <w:rPr>
          <w:rFonts w:eastAsia="Times New Roman"/>
          <w:noProof/>
        </w:rPr>
        <w:t xml:space="preserve"> Proceeds</w:t>
      </w:r>
      <w:r>
        <w:rPr>
          <w:noProof/>
        </w:rPr>
        <w:tab/>
      </w:r>
      <w:r>
        <w:rPr>
          <w:noProof/>
        </w:rPr>
        <w:fldChar w:fldCharType="begin"/>
      </w:r>
      <w:r>
        <w:rPr>
          <w:noProof/>
        </w:rPr>
        <w:instrText xml:space="preserve"> PAGEREF _Toc235521087 \h </w:instrText>
      </w:r>
      <w:r>
        <w:rPr>
          <w:noProof/>
        </w:rPr>
      </w:r>
      <w:r>
        <w:rPr>
          <w:noProof/>
        </w:rPr>
        <w:fldChar w:fldCharType="separate"/>
      </w:r>
      <w:r>
        <w:rPr>
          <w:noProof/>
        </w:rPr>
        <w:t>81</w:t>
      </w:r>
      <w:r>
        <w:rPr>
          <w:noProof/>
        </w:rPr>
        <w:fldChar w:fldCharType="end"/>
      </w:r>
    </w:p>
    <w:p w14:paraId="56C0A576" w14:textId="068E0E6A" w:rsidR="003E693B" w:rsidRDefault="003E693B">
      <w:pPr>
        <w:pStyle w:val="TOC2"/>
        <w:rPr>
          <w:rFonts w:asciiTheme="minorHAnsi" w:eastAsiaTheme="minorEastAsia" w:hAnsiTheme="minorHAnsi"/>
          <w:noProof/>
          <w:kern w:val="2"/>
          <w:sz w:val="24"/>
          <w:szCs w:val="24"/>
          <w14:ligatures w14:val="standardContextual"/>
        </w:rPr>
      </w:pPr>
      <w:r>
        <w:rPr>
          <w:noProof/>
        </w:rPr>
        <w:t>Debt Service Requirements and Forecasted Payments</w:t>
      </w:r>
      <w:r>
        <w:rPr>
          <w:noProof/>
        </w:rPr>
        <w:tab/>
      </w:r>
      <w:r>
        <w:rPr>
          <w:noProof/>
        </w:rPr>
        <w:fldChar w:fldCharType="begin"/>
      </w:r>
      <w:r>
        <w:rPr>
          <w:noProof/>
        </w:rPr>
        <w:instrText xml:space="preserve"> PAGEREF _Toc235521088 \h </w:instrText>
      </w:r>
      <w:r>
        <w:rPr>
          <w:noProof/>
        </w:rPr>
      </w:r>
      <w:r>
        <w:rPr>
          <w:noProof/>
        </w:rPr>
        <w:fldChar w:fldCharType="separate"/>
      </w:r>
      <w:r>
        <w:rPr>
          <w:noProof/>
        </w:rPr>
        <w:t>83</w:t>
      </w:r>
      <w:r>
        <w:rPr>
          <w:noProof/>
        </w:rPr>
        <w:fldChar w:fldCharType="end"/>
      </w:r>
    </w:p>
    <w:p w14:paraId="37987C8E" w14:textId="28053194"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THE DISTRICT</w:t>
      </w:r>
      <w:r>
        <w:rPr>
          <w:noProof/>
        </w:rPr>
        <w:tab/>
      </w:r>
      <w:r>
        <w:rPr>
          <w:noProof/>
        </w:rPr>
        <w:fldChar w:fldCharType="begin"/>
      </w:r>
      <w:r>
        <w:rPr>
          <w:noProof/>
        </w:rPr>
        <w:instrText xml:space="preserve"> PAGEREF _Toc235521089 \h </w:instrText>
      </w:r>
      <w:r>
        <w:rPr>
          <w:noProof/>
        </w:rPr>
      </w:r>
      <w:r>
        <w:rPr>
          <w:noProof/>
        </w:rPr>
        <w:fldChar w:fldCharType="separate"/>
      </w:r>
      <w:r>
        <w:rPr>
          <w:noProof/>
        </w:rPr>
        <w:t>84</w:t>
      </w:r>
      <w:r>
        <w:rPr>
          <w:noProof/>
        </w:rPr>
        <w:fldChar w:fldCharType="end"/>
      </w:r>
    </w:p>
    <w:p w14:paraId="6FEF2182" w14:textId="768D597E" w:rsidR="003E693B" w:rsidRDefault="003E693B">
      <w:pPr>
        <w:pStyle w:val="TOC2"/>
        <w:rPr>
          <w:rFonts w:asciiTheme="minorHAnsi" w:eastAsiaTheme="minorEastAsia" w:hAnsiTheme="minorHAnsi"/>
          <w:noProof/>
          <w:kern w:val="2"/>
          <w:sz w:val="24"/>
          <w:szCs w:val="24"/>
          <w14:ligatures w14:val="standardContextual"/>
        </w:rPr>
      </w:pPr>
      <w:r>
        <w:rPr>
          <w:noProof/>
        </w:rPr>
        <w:t>Organization and Description</w:t>
      </w:r>
      <w:r>
        <w:rPr>
          <w:noProof/>
        </w:rPr>
        <w:tab/>
      </w:r>
      <w:r>
        <w:rPr>
          <w:noProof/>
        </w:rPr>
        <w:fldChar w:fldCharType="begin"/>
      </w:r>
      <w:r>
        <w:rPr>
          <w:noProof/>
        </w:rPr>
        <w:instrText xml:space="preserve"> PAGEREF _Toc235521090 \h </w:instrText>
      </w:r>
      <w:r>
        <w:rPr>
          <w:noProof/>
        </w:rPr>
      </w:r>
      <w:r>
        <w:rPr>
          <w:noProof/>
        </w:rPr>
        <w:fldChar w:fldCharType="separate"/>
      </w:r>
      <w:r>
        <w:rPr>
          <w:noProof/>
        </w:rPr>
        <w:t>84</w:t>
      </w:r>
      <w:r>
        <w:rPr>
          <w:noProof/>
        </w:rPr>
        <w:fldChar w:fldCharType="end"/>
      </w:r>
    </w:p>
    <w:p w14:paraId="43E574D5" w14:textId="04D1E98B" w:rsidR="003E693B" w:rsidRDefault="003E693B">
      <w:pPr>
        <w:pStyle w:val="TOC2"/>
        <w:rPr>
          <w:rFonts w:asciiTheme="minorHAnsi" w:eastAsiaTheme="minorEastAsia" w:hAnsiTheme="minorHAnsi"/>
          <w:noProof/>
          <w:kern w:val="2"/>
          <w:sz w:val="24"/>
          <w:szCs w:val="24"/>
          <w14:ligatures w14:val="standardContextual"/>
        </w:rPr>
      </w:pPr>
      <w:r>
        <w:rPr>
          <w:noProof/>
        </w:rPr>
        <w:t>District Powers</w:t>
      </w:r>
      <w:r>
        <w:rPr>
          <w:noProof/>
        </w:rPr>
        <w:tab/>
      </w:r>
      <w:r>
        <w:rPr>
          <w:noProof/>
        </w:rPr>
        <w:fldChar w:fldCharType="begin"/>
      </w:r>
      <w:r>
        <w:rPr>
          <w:noProof/>
        </w:rPr>
        <w:instrText xml:space="preserve"> PAGEREF _Toc235521091 \h </w:instrText>
      </w:r>
      <w:r>
        <w:rPr>
          <w:noProof/>
        </w:rPr>
      </w:r>
      <w:r>
        <w:rPr>
          <w:noProof/>
        </w:rPr>
        <w:fldChar w:fldCharType="separate"/>
      </w:r>
      <w:r>
        <w:rPr>
          <w:noProof/>
        </w:rPr>
        <w:t>85</w:t>
      </w:r>
      <w:r>
        <w:rPr>
          <w:noProof/>
        </w:rPr>
        <w:fldChar w:fldCharType="end"/>
      </w:r>
    </w:p>
    <w:p w14:paraId="54BFEBEA" w14:textId="09D1B789" w:rsidR="003E693B" w:rsidRDefault="003E693B">
      <w:pPr>
        <w:pStyle w:val="TOC2"/>
        <w:rPr>
          <w:rFonts w:asciiTheme="minorHAnsi" w:eastAsiaTheme="minorEastAsia" w:hAnsiTheme="minorHAnsi"/>
          <w:noProof/>
          <w:kern w:val="2"/>
          <w:sz w:val="24"/>
          <w:szCs w:val="24"/>
          <w14:ligatures w14:val="standardContextual"/>
        </w:rPr>
      </w:pPr>
      <w:r>
        <w:rPr>
          <w:noProof/>
        </w:rPr>
        <w:t>Annexation, Withdrawal, and Dissolution</w:t>
      </w:r>
      <w:r>
        <w:rPr>
          <w:noProof/>
        </w:rPr>
        <w:tab/>
      </w:r>
      <w:r>
        <w:rPr>
          <w:noProof/>
        </w:rPr>
        <w:fldChar w:fldCharType="begin"/>
      </w:r>
      <w:r>
        <w:rPr>
          <w:noProof/>
        </w:rPr>
        <w:instrText xml:space="preserve"> PAGEREF _Toc235521092 \h </w:instrText>
      </w:r>
      <w:r>
        <w:rPr>
          <w:noProof/>
        </w:rPr>
      </w:r>
      <w:r>
        <w:rPr>
          <w:noProof/>
        </w:rPr>
        <w:fldChar w:fldCharType="separate"/>
      </w:r>
      <w:r>
        <w:rPr>
          <w:noProof/>
        </w:rPr>
        <w:t>85</w:t>
      </w:r>
      <w:r>
        <w:rPr>
          <w:noProof/>
        </w:rPr>
        <w:fldChar w:fldCharType="end"/>
      </w:r>
    </w:p>
    <w:p w14:paraId="61CA565C" w14:textId="7A9C9ECD" w:rsidR="003E693B" w:rsidRDefault="003E693B">
      <w:pPr>
        <w:pStyle w:val="TOC2"/>
        <w:rPr>
          <w:rFonts w:asciiTheme="minorHAnsi" w:eastAsiaTheme="minorEastAsia" w:hAnsiTheme="minorHAnsi"/>
          <w:noProof/>
          <w:kern w:val="2"/>
          <w:sz w:val="24"/>
          <w:szCs w:val="24"/>
          <w14:ligatures w14:val="standardContextual"/>
        </w:rPr>
      </w:pPr>
      <w:r>
        <w:rPr>
          <w:noProof/>
        </w:rPr>
        <w:t>Governing Document Authorizations and Limitations</w:t>
      </w:r>
      <w:r>
        <w:rPr>
          <w:noProof/>
        </w:rPr>
        <w:tab/>
      </w:r>
      <w:r>
        <w:rPr>
          <w:noProof/>
        </w:rPr>
        <w:fldChar w:fldCharType="begin"/>
      </w:r>
      <w:r>
        <w:rPr>
          <w:noProof/>
        </w:rPr>
        <w:instrText xml:space="preserve"> PAGEREF _Toc235521093 \h </w:instrText>
      </w:r>
      <w:r>
        <w:rPr>
          <w:noProof/>
        </w:rPr>
      </w:r>
      <w:r>
        <w:rPr>
          <w:noProof/>
        </w:rPr>
        <w:fldChar w:fldCharType="separate"/>
      </w:r>
      <w:r>
        <w:rPr>
          <w:noProof/>
        </w:rPr>
        <w:t>86</w:t>
      </w:r>
      <w:r>
        <w:rPr>
          <w:noProof/>
        </w:rPr>
        <w:fldChar w:fldCharType="end"/>
      </w:r>
    </w:p>
    <w:p w14:paraId="2A5FE5E8" w14:textId="3EAEC7E7" w:rsidR="003E693B" w:rsidRDefault="003E693B">
      <w:pPr>
        <w:pStyle w:val="TOC2"/>
        <w:rPr>
          <w:rFonts w:asciiTheme="minorHAnsi" w:eastAsiaTheme="minorEastAsia" w:hAnsiTheme="minorHAnsi"/>
          <w:noProof/>
          <w:kern w:val="2"/>
          <w:sz w:val="24"/>
          <w:szCs w:val="24"/>
          <w14:ligatures w14:val="standardContextual"/>
        </w:rPr>
      </w:pPr>
      <w:r>
        <w:rPr>
          <w:noProof/>
        </w:rPr>
        <w:t>Governing Board</w:t>
      </w:r>
      <w:r>
        <w:rPr>
          <w:noProof/>
        </w:rPr>
        <w:tab/>
      </w:r>
      <w:r>
        <w:rPr>
          <w:noProof/>
        </w:rPr>
        <w:fldChar w:fldCharType="begin"/>
      </w:r>
      <w:r>
        <w:rPr>
          <w:noProof/>
        </w:rPr>
        <w:instrText xml:space="preserve"> PAGEREF _Toc235521094 \h </w:instrText>
      </w:r>
      <w:r>
        <w:rPr>
          <w:noProof/>
        </w:rPr>
      </w:r>
      <w:r>
        <w:rPr>
          <w:noProof/>
        </w:rPr>
        <w:fldChar w:fldCharType="separate"/>
      </w:r>
      <w:r>
        <w:rPr>
          <w:noProof/>
        </w:rPr>
        <w:t>88</w:t>
      </w:r>
      <w:r>
        <w:rPr>
          <w:noProof/>
        </w:rPr>
        <w:fldChar w:fldCharType="end"/>
      </w:r>
    </w:p>
    <w:p w14:paraId="3C03D0FE" w14:textId="406DFBB1" w:rsidR="003E693B" w:rsidRDefault="003E693B">
      <w:pPr>
        <w:pStyle w:val="TOC2"/>
        <w:rPr>
          <w:rFonts w:asciiTheme="minorHAnsi" w:eastAsiaTheme="minorEastAsia" w:hAnsiTheme="minorHAnsi"/>
          <w:noProof/>
          <w:kern w:val="2"/>
          <w:sz w:val="24"/>
          <w:szCs w:val="24"/>
          <w14:ligatures w14:val="standardContextual"/>
        </w:rPr>
      </w:pPr>
      <w:r>
        <w:rPr>
          <w:noProof/>
        </w:rPr>
        <w:t>Administration</w:t>
      </w:r>
      <w:r>
        <w:rPr>
          <w:noProof/>
        </w:rPr>
        <w:tab/>
      </w:r>
      <w:r>
        <w:rPr>
          <w:noProof/>
        </w:rPr>
        <w:fldChar w:fldCharType="begin"/>
      </w:r>
      <w:r>
        <w:rPr>
          <w:noProof/>
        </w:rPr>
        <w:instrText xml:space="preserve"> PAGEREF _Toc235521095 \h </w:instrText>
      </w:r>
      <w:r>
        <w:rPr>
          <w:noProof/>
        </w:rPr>
      </w:r>
      <w:r>
        <w:rPr>
          <w:noProof/>
        </w:rPr>
        <w:fldChar w:fldCharType="separate"/>
      </w:r>
      <w:r>
        <w:rPr>
          <w:noProof/>
        </w:rPr>
        <w:t>89</w:t>
      </w:r>
      <w:r>
        <w:rPr>
          <w:noProof/>
        </w:rPr>
        <w:fldChar w:fldCharType="end"/>
      </w:r>
    </w:p>
    <w:p w14:paraId="797586B2" w14:textId="5DFB8D3E"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Agreements and Resolutions</w:t>
      </w:r>
      <w:r>
        <w:rPr>
          <w:noProof/>
        </w:rPr>
        <w:tab/>
      </w:r>
      <w:r>
        <w:rPr>
          <w:noProof/>
        </w:rPr>
        <w:fldChar w:fldCharType="begin"/>
      </w:r>
      <w:r>
        <w:rPr>
          <w:noProof/>
        </w:rPr>
        <w:instrText xml:space="preserve"> PAGEREF _Toc235521096 \h </w:instrText>
      </w:r>
      <w:r>
        <w:rPr>
          <w:noProof/>
        </w:rPr>
      </w:r>
      <w:r>
        <w:rPr>
          <w:noProof/>
        </w:rPr>
        <w:fldChar w:fldCharType="separate"/>
      </w:r>
      <w:r>
        <w:rPr>
          <w:noProof/>
        </w:rPr>
        <w:t>89</w:t>
      </w:r>
      <w:r>
        <w:rPr>
          <w:noProof/>
        </w:rPr>
        <w:fldChar w:fldCharType="end"/>
      </w:r>
    </w:p>
    <w:p w14:paraId="2CBD667B" w14:textId="6F74B1D3"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Sovereign Immunity</w:t>
      </w:r>
      <w:r>
        <w:rPr>
          <w:noProof/>
        </w:rPr>
        <w:tab/>
      </w:r>
      <w:r>
        <w:rPr>
          <w:noProof/>
        </w:rPr>
        <w:fldChar w:fldCharType="begin"/>
      </w:r>
      <w:r>
        <w:rPr>
          <w:noProof/>
        </w:rPr>
        <w:instrText xml:space="preserve"> PAGEREF _Toc235521097 \h </w:instrText>
      </w:r>
      <w:r>
        <w:rPr>
          <w:noProof/>
        </w:rPr>
      </w:r>
      <w:r>
        <w:rPr>
          <w:noProof/>
        </w:rPr>
        <w:fldChar w:fldCharType="separate"/>
      </w:r>
      <w:r>
        <w:rPr>
          <w:noProof/>
        </w:rPr>
        <w:t>92</w:t>
      </w:r>
      <w:r>
        <w:rPr>
          <w:noProof/>
        </w:rPr>
        <w:fldChar w:fldCharType="end"/>
      </w:r>
    </w:p>
    <w:p w14:paraId="7911546C" w14:textId="52C6DADC" w:rsidR="003E693B" w:rsidRDefault="003E693B">
      <w:pPr>
        <w:pStyle w:val="TOC2"/>
        <w:rPr>
          <w:rFonts w:asciiTheme="minorHAnsi" w:eastAsiaTheme="minorEastAsia" w:hAnsiTheme="minorHAnsi"/>
          <w:noProof/>
          <w:kern w:val="2"/>
          <w:sz w:val="24"/>
          <w:szCs w:val="24"/>
          <w14:ligatures w14:val="standardContextual"/>
        </w:rPr>
      </w:pPr>
      <w:r>
        <w:rPr>
          <w:noProof/>
        </w:rPr>
        <w:t>District Insurance</w:t>
      </w:r>
      <w:r>
        <w:rPr>
          <w:noProof/>
        </w:rPr>
        <w:tab/>
      </w:r>
      <w:r>
        <w:rPr>
          <w:noProof/>
        </w:rPr>
        <w:fldChar w:fldCharType="begin"/>
      </w:r>
      <w:r>
        <w:rPr>
          <w:noProof/>
        </w:rPr>
        <w:instrText xml:space="preserve"> PAGEREF _Toc235521098 \h </w:instrText>
      </w:r>
      <w:r>
        <w:rPr>
          <w:noProof/>
        </w:rPr>
      </w:r>
      <w:r>
        <w:rPr>
          <w:noProof/>
        </w:rPr>
        <w:fldChar w:fldCharType="separate"/>
      </w:r>
      <w:r>
        <w:rPr>
          <w:noProof/>
        </w:rPr>
        <w:t>93</w:t>
      </w:r>
      <w:r>
        <w:rPr>
          <w:noProof/>
        </w:rPr>
        <w:fldChar w:fldCharType="end"/>
      </w:r>
    </w:p>
    <w:p w14:paraId="28E0A7F9" w14:textId="3A24AA4E" w:rsidR="003E693B" w:rsidRDefault="003E693B">
      <w:pPr>
        <w:pStyle w:val="TOC2"/>
        <w:rPr>
          <w:rFonts w:asciiTheme="minorHAnsi" w:eastAsiaTheme="minorEastAsia" w:hAnsiTheme="minorHAnsi"/>
          <w:noProof/>
          <w:kern w:val="2"/>
          <w:sz w:val="24"/>
          <w:szCs w:val="24"/>
          <w14:ligatures w14:val="standardContextual"/>
        </w:rPr>
      </w:pPr>
      <w:r>
        <w:rPr>
          <w:noProof/>
        </w:rPr>
        <w:t>Other Services Available within the District</w:t>
      </w:r>
      <w:r>
        <w:rPr>
          <w:noProof/>
        </w:rPr>
        <w:tab/>
      </w:r>
      <w:r>
        <w:rPr>
          <w:noProof/>
        </w:rPr>
        <w:fldChar w:fldCharType="begin"/>
      </w:r>
      <w:r>
        <w:rPr>
          <w:noProof/>
        </w:rPr>
        <w:instrText xml:space="preserve"> PAGEREF _Toc235521099 \h </w:instrText>
      </w:r>
      <w:r>
        <w:rPr>
          <w:noProof/>
        </w:rPr>
      </w:r>
      <w:r>
        <w:rPr>
          <w:noProof/>
        </w:rPr>
        <w:fldChar w:fldCharType="separate"/>
      </w:r>
      <w:r>
        <w:rPr>
          <w:noProof/>
        </w:rPr>
        <w:t>93</w:t>
      </w:r>
      <w:r>
        <w:rPr>
          <w:noProof/>
        </w:rPr>
        <w:fldChar w:fldCharType="end"/>
      </w:r>
    </w:p>
    <w:p w14:paraId="4D98D54C" w14:textId="2774589F" w:rsidR="003E693B" w:rsidRDefault="003E693B">
      <w:pPr>
        <w:pStyle w:val="TOC1"/>
        <w:rPr>
          <w:rFonts w:asciiTheme="minorHAnsi" w:eastAsiaTheme="minorEastAsia" w:hAnsiTheme="minorHAnsi"/>
          <w:noProof/>
          <w:kern w:val="2"/>
          <w:sz w:val="24"/>
          <w14:ligatures w14:val="standardContextual"/>
        </w:rPr>
      </w:pPr>
      <w:r w:rsidRPr="005D38A4">
        <w:rPr>
          <w:rFonts w:cs="Times New Roman"/>
          <w:noProof/>
        </w:rPr>
        <w:t>THE DEVELOPMENT</w:t>
      </w:r>
      <w:r>
        <w:rPr>
          <w:noProof/>
        </w:rPr>
        <w:tab/>
      </w:r>
      <w:r>
        <w:rPr>
          <w:noProof/>
        </w:rPr>
        <w:fldChar w:fldCharType="begin"/>
      </w:r>
      <w:r>
        <w:rPr>
          <w:noProof/>
        </w:rPr>
        <w:instrText xml:space="preserve"> PAGEREF _Toc235521100 \h </w:instrText>
      </w:r>
      <w:r>
        <w:rPr>
          <w:noProof/>
        </w:rPr>
      </w:r>
      <w:r>
        <w:rPr>
          <w:noProof/>
        </w:rPr>
        <w:fldChar w:fldCharType="separate"/>
      </w:r>
      <w:r>
        <w:rPr>
          <w:noProof/>
        </w:rPr>
        <w:t>93</w:t>
      </w:r>
      <w:r>
        <w:rPr>
          <w:noProof/>
        </w:rPr>
        <w:fldChar w:fldCharType="end"/>
      </w:r>
    </w:p>
    <w:p w14:paraId="7B3B9647" w14:textId="6FBDDEE4" w:rsidR="003E693B" w:rsidRDefault="003E693B">
      <w:pPr>
        <w:pStyle w:val="TOC2"/>
        <w:rPr>
          <w:rFonts w:asciiTheme="minorHAnsi" w:eastAsiaTheme="minorEastAsia" w:hAnsiTheme="minorHAnsi"/>
          <w:noProof/>
          <w:kern w:val="2"/>
          <w:sz w:val="24"/>
          <w:szCs w:val="24"/>
          <w14:ligatures w14:val="standardContextual"/>
        </w:rPr>
      </w:pPr>
      <w:r>
        <w:rPr>
          <w:noProof/>
        </w:rPr>
        <w:t>Development Overview</w:t>
      </w:r>
      <w:r>
        <w:rPr>
          <w:noProof/>
        </w:rPr>
        <w:tab/>
      </w:r>
      <w:r>
        <w:rPr>
          <w:noProof/>
        </w:rPr>
        <w:fldChar w:fldCharType="begin"/>
      </w:r>
      <w:r>
        <w:rPr>
          <w:noProof/>
        </w:rPr>
        <w:instrText xml:space="preserve"> PAGEREF _Toc235521101 \h </w:instrText>
      </w:r>
      <w:r>
        <w:rPr>
          <w:noProof/>
        </w:rPr>
      </w:r>
      <w:r>
        <w:rPr>
          <w:noProof/>
        </w:rPr>
        <w:fldChar w:fldCharType="separate"/>
      </w:r>
      <w:r>
        <w:rPr>
          <w:noProof/>
        </w:rPr>
        <w:t>94</w:t>
      </w:r>
      <w:r>
        <w:rPr>
          <w:noProof/>
        </w:rPr>
        <w:fldChar w:fldCharType="end"/>
      </w:r>
    </w:p>
    <w:p w14:paraId="3801218C" w14:textId="05C2BAB6" w:rsidR="003E693B" w:rsidRDefault="003E693B">
      <w:pPr>
        <w:pStyle w:val="TOC2"/>
        <w:rPr>
          <w:rFonts w:asciiTheme="minorHAnsi" w:eastAsiaTheme="minorEastAsia" w:hAnsiTheme="minorHAnsi"/>
          <w:noProof/>
          <w:kern w:val="2"/>
          <w:sz w:val="24"/>
          <w:szCs w:val="24"/>
          <w14:ligatures w14:val="standardContextual"/>
        </w:rPr>
      </w:pPr>
      <w:r>
        <w:rPr>
          <w:noProof/>
        </w:rPr>
        <w:t>Summary of Anticipated Development</w:t>
      </w:r>
      <w:r>
        <w:rPr>
          <w:noProof/>
        </w:rPr>
        <w:tab/>
      </w:r>
      <w:r>
        <w:rPr>
          <w:noProof/>
        </w:rPr>
        <w:fldChar w:fldCharType="begin"/>
      </w:r>
      <w:r>
        <w:rPr>
          <w:noProof/>
        </w:rPr>
        <w:instrText xml:space="preserve"> PAGEREF _Toc235521102 \h </w:instrText>
      </w:r>
      <w:r>
        <w:rPr>
          <w:noProof/>
        </w:rPr>
      </w:r>
      <w:r>
        <w:rPr>
          <w:noProof/>
        </w:rPr>
        <w:fldChar w:fldCharType="separate"/>
      </w:r>
      <w:r>
        <w:rPr>
          <w:noProof/>
        </w:rPr>
        <w:t>95</w:t>
      </w:r>
      <w:r>
        <w:rPr>
          <w:noProof/>
        </w:rPr>
        <w:fldChar w:fldCharType="end"/>
      </w:r>
    </w:p>
    <w:p w14:paraId="1E70C629" w14:textId="750C0C73"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Outdoor</w:t>
      </w:r>
      <w:r>
        <w:rPr>
          <w:noProof/>
        </w:rPr>
        <w:t xml:space="preserve"> Recreation and Amenities</w:t>
      </w:r>
      <w:r>
        <w:rPr>
          <w:noProof/>
        </w:rPr>
        <w:tab/>
      </w:r>
      <w:r>
        <w:rPr>
          <w:noProof/>
        </w:rPr>
        <w:fldChar w:fldCharType="begin"/>
      </w:r>
      <w:r>
        <w:rPr>
          <w:noProof/>
        </w:rPr>
        <w:instrText xml:space="preserve"> PAGEREF _Toc235521103 \h </w:instrText>
      </w:r>
      <w:r>
        <w:rPr>
          <w:noProof/>
        </w:rPr>
      </w:r>
      <w:r>
        <w:rPr>
          <w:noProof/>
        </w:rPr>
        <w:fldChar w:fldCharType="separate"/>
      </w:r>
      <w:r>
        <w:rPr>
          <w:noProof/>
        </w:rPr>
        <w:t>96</w:t>
      </w:r>
      <w:r>
        <w:rPr>
          <w:noProof/>
        </w:rPr>
        <w:fldChar w:fldCharType="end"/>
      </w:r>
    </w:p>
    <w:p w14:paraId="676EE59D" w14:textId="31A5E57B" w:rsidR="003E693B" w:rsidRDefault="003E693B">
      <w:pPr>
        <w:pStyle w:val="TOC2"/>
        <w:rPr>
          <w:rFonts w:asciiTheme="minorHAnsi" w:eastAsiaTheme="minorEastAsia" w:hAnsiTheme="minorHAnsi"/>
          <w:noProof/>
          <w:kern w:val="2"/>
          <w:sz w:val="24"/>
          <w:szCs w:val="24"/>
          <w14:ligatures w14:val="standardContextual"/>
        </w:rPr>
      </w:pPr>
      <w:r>
        <w:rPr>
          <w:noProof/>
        </w:rPr>
        <w:t>Planned Development; Land Ownership</w:t>
      </w:r>
      <w:r>
        <w:rPr>
          <w:noProof/>
        </w:rPr>
        <w:tab/>
      </w:r>
      <w:r>
        <w:rPr>
          <w:noProof/>
        </w:rPr>
        <w:fldChar w:fldCharType="begin"/>
      </w:r>
      <w:r>
        <w:rPr>
          <w:noProof/>
        </w:rPr>
        <w:instrText xml:space="preserve"> PAGEREF _Toc235521104 \h </w:instrText>
      </w:r>
      <w:r>
        <w:rPr>
          <w:noProof/>
        </w:rPr>
      </w:r>
      <w:r>
        <w:rPr>
          <w:noProof/>
        </w:rPr>
        <w:fldChar w:fldCharType="separate"/>
      </w:r>
      <w:r>
        <w:rPr>
          <w:noProof/>
        </w:rPr>
        <w:t>96</w:t>
      </w:r>
      <w:r>
        <w:rPr>
          <w:noProof/>
        </w:rPr>
        <w:fldChar w:fldCharType="end"/>
      </w:r>
    </w:p>
    <w:p w14:paraId="246BA642" w14:textId="68271661"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Plan of Finance for the Development</w:t>
      </w:r>
      <w:r>
        <w:rPr>
          <w:noProof/>
        </w:rPr>
        <w:tab/>
      </w:r>
      <w:r>
        <w:rPr>
          <w:noProof/>
        </w:rPr>
        <w:fldChar w:fldCharType="begin"/>
      </w:r>
      <w:r>
        <w:rPr>
          <w:noProof/>
        </w:rPr>
        <w:instrText xml:space="preserve"> PAGEREF _Toc235521105 \h </w:instrText>
      </w:r>
      <w:r>
        <w:rPr>
          <w:noProof/>
        </w:rPr>
      </w:r>
      <w:r>
        <w:rPr>
          <w:noProof/>
        </w:rPr>
        <w:fldChar w:fldCharType="separate"/>
      </w:r>
      <w:r>
        <w:rPr>
          <w:noProof/>
        </w:rPr>
        <w:t>98</w:t>
      </w:r>
      <w:r>
        <w:rPr>
          <w:noProof/>
        </w:rPr>
        <w:fldChar w:fldCharType="end"/>
      </w:r>
    </w:p>
    <w:p w14:paraId="50D5ECDF" w14:textId="1329D0D8"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Zoning, Public Approvals, and Platting</w:t>
      </w:r>
      <w:r>
        <w:rPr>
          <w:noProof/>
        </w:rPr>
        <w:tab/>
      </w:r>
      <w:r>
        <w:rPr>
          <w:noProof/>
        </w:rPr>
        <w:fldChar w:fldCharType="begin"/>
      </w:r>
      <w:r>
        <w:rPr>
          <w:noProof/>
        </w:rPr>
        <w:instrText xml:space="preserve"> PAGEREF _Toc235521106 \h </w:instrText>
      </w:r>
      <w:r>
        <w:rPr>
          <w:noProof/>
        </w:rPr>
      </w:r>
      <w:r>
        <w:rPr>
          <w:noProof/>
        </w:rPr>
        <w:fldChar w:fldCharType="separate"/>
      </w:r>
      <w:r>
        <w:rPr>
          <w:noProof/>
        </w:rPr>
        <w:t>102</w:t>
      </w:r>
      <w:r>
        <w:rPr>
          <w:noProof/>
        </w:rPr>
        <w:fldChar w:fldCharType="end"/>
      </w:r>
    </w:p>
    <w:p w14:paraId="39ECF803" w14:textId="446F3E9D"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Master Development Agreement</w:t>
      </w:r>
      <w:r>
        <w:rPr>
          <w:noProof/>
        </w:rPr>
        <w:tab/>
      </w:r>
      <w:r>
        <w:rPr>
          <w:noProof/>
        </w:rPr>
        <w:fldChar w:fldCharType="begin"/>
      </w:r>
      <w:r>
        <w:rPr>
          <w:noProof/>
        </w:rPr>
        <w:instrText xml:space="preserve"> PAGEREF _Toc235521107 \h </w:instrText>
      </w:r>
      <w:r>
        <w:rPr>
          <w:noProof/>
        </w:rPr>
      </w:r>
      <w:r>
        <w:rPr>
          <w:noProof/>
        </w:rPr>
        <w:fldChar w:fldCharType="separate"/>
      </w:r>
      <w:r>
        <w:rPr>
          <w:noProof/>
        </w:rPr>
        <w:t>103</w:t>
      </w:r>
      <w:r>
        <w:rPr>
          <w:noProof/>
        </w:rPr>
        <w:fldChar w:fldCharType="end"/>
      </w:r>
    </w:p>
    <w:p w14:paraId="52F34C20" w14:textId="7BA3527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Water Infrastructure Reimbursement Agreement</w:t>
      </w:r>
      <w:r>
        <w:rPr>
          <w:noProof/>
        </w:rPr>
        <w:tab/>
      </w:r>
      <w:r>
        <w:rPr>
          <w:noProof/>
        </w:rPr>
        <w:fldChar w:fldCharType="begin"/>
      </w:r>
      <w:r>
        <w:rPr>
          <w:noProof/>
        </w:rPr>
        <w:instrText xml:space="preserve"> PAGEREF _Toc235521108 \h </w:instrText>
      </w:r>
      <w:r>
        <w:rPr>
          <w:noProof/>
        </w:rPr>
      </w:r>
      <w:r>
        <w:rPr>
          <w:noProof/>
        </w:rPr>
        <w:fldChar w:fldCharType="separate"/>
      </w:r>
      <w:r>
        <w:rPr>
          <w:noProof/>
        </w:rPr>
        <w:t>105</w:t>
      </w:r>
      <w:r>
        <w:rPr>
          <w:noProof/>
        </w:rPr>
        <w:fldChar w:fldCharType="end"/>
      </w:r>
    </w:p>
    <w:p w14:paraId="5ABC5AF0" w14:textId="5EB12BB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Water and Sewer</w:t>
      </w:r>
      <w:r>
        <w:rPr>
          <w:noProof/>
        </w:rPr>
        <w:tab/>
      </w:r>
      <w:r>
        <w:rPr>
          <w:noProof/>
        </w:rPr>
        <w:fldChar w:fldCharType="begin"/>
      </w:r>
      <w:r>
        <w:rPr>
          <w:noProof/>
        </w:rPr>
        <w:instrText xml:space="preserve"> PAGEREF _Toc235521109 \h </w:instrText>
      </w:r>
      <w:r>
        <w:rPr>
          <w:noProof/>
        </w:rPr>
      </w:r>
      <w:r>
        <w:rPr>
          <w:noProof/>
        </w:rPr>
        <w:fldChar w:fldCharType="separate"/>
      </w:r>
      <w:r>
        <w:rPr>
          <w:noProof/>
        </w:rPr>
        <w:t>106</w:t>
      </w:r>
      <w:r>
        <w:rPr>
          <w:noProof/>
        </w:rPr>
        <w:fldChar w:fldCharType="end"/>
      </w:r>
    </w:p>
    <w:p w14:paraId="06F997EF" w14:textId="09D90C81"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Encumbrances on Property</w:t>
      </w:r>
      <w:r>
        <w:rPr>
          <w:noProof/>
        </w:rPr>
        <w:tab/>
      </w:r>
      <w:r>
        <w:rPr>
          <w:noProof/>
        </w:rPr>
        <w:fldChar w:fldCharType="begin"/>
      </w:r>
      <w:r>
        <w:rPr>
          <w:noProof/>
        </w:rPr>
        <w:instrText xml:space="preserve"> PAGEREF _Toc235521110 \h </w:instrText>
      </w:r>
      <w:r>
        <w:rPr>
          <w:noProof/>
        </w:rPr>
      </w:r>
      <w:r>
        <w:rPr>
          <w:noProof/>
        </w:rPr>
        <w:fldChar w:fldCharType="separate"/>
      </w:r>
      <w:r>
        <w:rPr>
          <w:noProof/>
        </w:rPr>
        <w:t>106</w:t>
      </w:r>
      <w:r>
        <w:rPr>
          <w:noProof/>
        </w:rPr>
        <w:fldChar w:fldCharType="end"/>
      </w:r>
    </w:p>
    <w:p w14:paraId="30467122" w14:textId="2771E9E7"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Environmental Matters</w:t>
      </w:r>
      <w:r>
        <w:rPr>
          <w:noProof/>
        </w:rPr>
        <w:tab/>
      </w:r>
      <w:r>
        <w:rPr>
          <w:noProof/>
        </w:rPr>
        <w:fldChar w:fldCharType="begin"/>
      </w:r>
      <w:r>
        <w:rPr>
          <w:noProof/>
        </w:rPr>
        <w:instrText xml:space="preserve"> PAGEREF _Toc235521111 \h </w:instrText>
      </w:r>
      <w:r>
        <w:rPr>
          <w:noProof/>
        </w:rPr>
      </w:r>
      <w:r>
        <w:rPr>
          <w:noProof/>
        </w:rPr>
        <w:fldChar w:fldCharType="separate"/>
      </w:r>
      <w:r>
        <w:rPr>
          <w:noProof/>
        </w:rPr>
        <w:t>107</w:t>
      </w:r>
      <w:r>
        <w:rPr>
          <w:noProof/>
        </w:rPr>
        <w:fldChar w:fldCharType="end"/>
      </w:r>
    </w:p>
    <w:p w14:paraId="196EFFDE" w14:textId="6F33B3E5"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Market Study</w:t>
      </w:r>
      <w:r>
        <w:rPr>
          <w:noProof/>
        </w:rPr>
        <w:tab/>
      </w:r>
      <w:r>
        <w:rPr>
          <w:noProof/>
        </w:rPr>
        <w:fldChar w:fldCharType="begin"/>
      </w:r>
      <w:r>
        <w:rPr>
          <w:noProof/>
        </w:rPr>
        <w:instrText xml:space="preserve"> PAGEREF _Toc235521112 \h </w:instrText>
      </w:r>
      <w:r>
        <w:rPr>
          <w:noProof/>
        </w:rPr>
      </w:r>
      <w:r>
        <w:rPr>
          <w:noProof/>
        </w:rPr>
        <w:fldChar w:fldCharType="separate"/>
      </w:r>
      <w:r>
        <w:rPr>
          <w:noProof/>
        </w:rPr>
        <w:t>108</w:t>
      </w:r>
      <w:r>
        <w:rPr>
          <w:noProof/>
        </w:rPr>
        <w:fldChar w:fldCharType="end"/>
      </w:r>
    </w:p>
    <w:p w14:paraId="525AAB4F" w14:textId="09A94583"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Competition</w:t>
      </w:r>
      <w:r>
        <w:rPr>
          <w:noProof/>
        </w:rPr>
        <w:tab/>
      </w:r>
      <w:r>
        <w:rPr>
          <w:noProof/>
        </w:rPr>
        <w:fldChar w:fldCharType="begin"/>
      </w:r>
      <w:r>
        <w:rPr>
          <w:noProof/>
        </w:rPr>
        <w:instrText xml:space="preserve"> PAGEREF _Toc235521113 \h </w:instrText>
      </w:r>
      <w:r>
        <w:rPr>
          <w:noProof/>
        </w:rPr>
      </w:r>
      <w:r>
        <w:rPr>
          <w:noProof/>
        </w:rPr>
        <w:fldChar w:fldCharType="separate"/>
      </w:r>
      <w:r>
        <w:rPr>
          <w:noProof/>
        </w:rPr>
        <w:t>109</w:t>
      </w:r>
      <w:r>
        <w:rPr>
          <w:noProof/>
        </w:rPr>
        <w:fldChar w:fldCharType="end"/>
      </w:r>
    </w:p>
    <w:p w14:paraId="7B6AD05C" w14:textId="4CF67852"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Public Schools</w:t>
      </w:r>
      <w:r>
        <w:rPr>
          <w:noProof/>
        </w:rPr>
        <w:tab/>
      </w:r>
      <w:r>
        <w:rPr>
          <w:noProof/>
        </w:rPr>
        <w:fldChar w:fldCharType="begin"/>
      </w:r>
      <w:r>
        <w:rPr>
          <w:noProof/>
        </w:rPr>
        <w:instrText xml:space="preserve"> PAGEREF _Toc235521114 \h </w:instrText>
      </w:r>
      <w:r>
        <w:rPr>
          <w:noProof/>
        </w:rPr>
      </w:r>
      <w:r>
        <w:rPr>
          <w:noProof/>
        </w:rPr>
        <w:fldChar w:fldCharType="separate"/>
      </w:r>
      <w:r>
        <w:rPr>
          <w:noProof/>
        </w:rPr>
        <w:t>109</w:t>
      </w:r>
      <w:r>
        <w:rPr>
          <w:noProof/>
        </w:rPr>
        <w:fldChar w:fldCharType="end"/>
      </w:r>
    </w:p>
    <w:p w14:paraId="4BC85162" w14:textId="193ED08D"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The Developer</w:t>
      </w:r>
      <w:r>
        <w:rPr>
          <w:noProof/>
        </w:rPr>
        <w:tab/>
      </w:r>
      <w:r>
        <w:rPr>
          <w:noProof/>
        </w:rPr>
        <w:fldChar w:fldCharType="begin"/>
      </w:r>
      <w:r>
        <w:rPr>
          <w:noProof/>
        </w:rPr>
        <w:instrText xml:space="preserve"> PAGEREF _Toc235521115 \h </w:instrText>
      </w:r>
      <w:r>
        <w:rPr>
          <w:noProof/>
        </w:rPr>
      </w:r>
      <w:r>
        <w:rPr>
          <w:noProof/>
        </w:rPr>
        <w:fldChar w:fldCharType="separate"/>
      </w:r>
      <w:r>
        <w:rPr>
          <w:noProof/>
        </w:rPr>
        <w:t>109</w:t>
      </w:r>
      <w:r>
        <w:rPr>
          <w:noProof/>
        </w:rPr>
        <w:fldChar w:fldCharType="end"/>
      </w:r>
    </w:p>
    <w:p w14:paraId="5EE6EF19" w14:textId="623A659D"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FINANCIAL INFORMATION</w:t>
      </w:r>
      <w:r>
        <w:rPr>
          <w:noProof/>
        </w:rPr>
        <w:tab/>
      </w:r>
      <w:r>
        <w:rPr>
          <w:noProof/>
        </w:rPr>
        <w:fldChar w:fldCharType="begin"/>
      </w:r>
      <w:r>
        <w:rPr>
          <w:noProof/>
        </w:rPr>
        <w:instrText xml:space="preserve"> PAGEREF _Toc235521116 \h </w:instrText>
      </w:r>
      <w:r>
        <w:rPr>
          <w:noProof/>
        </w:rPr>
      </w:r>
      <w:r>
        <w:rPr>
          <w:noProof/>
        </w:rPr>
        <w:fldChar w:fldCharType="separate"/>
      </w:r>
      <w:r>
        <w:rPr>
          <w:noProof/>
        </w:rPr>
        <w:t>110</w:t>
      </w:r>
      <w:r>
        <w:rPr>
          <w:noProof/>
        </w:rPr>
        <w:fldChar w:fldCharType="end"/>
      </w:r>
    </w:p>
    <w:p w14:paraId="5C6F6B65" w14:textId="7842CB3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Ad Valorem Property Taxes</w:t>
      </w:r>
      <w:r>
        <w:rPr>
          <w:noProof/>
        </w:rPr>
        <w:tab/>
      </w:r>
      <w:r>
        <w:rPr>
          <w:noProof/>
        </w:rPr>
        <w:fldChar w:fldCharType="begin"/>
      </w:r>
      <w:r>
        <w:rPr>
          <w:noProof/>
        </w:rPr>
        <w:instrText xml:space="preserve"> PAGEREF _Toc235521117 \h </w:instrText>
      </w:r>
      <w:r>
        <w:rPr>
          <w:noProof/>
        </w:rPr>
      </w:r>
      <w:r>
        <w:rPr>
          <w:noProof/>
        </w:rPr>
        <w:fldChar w:fldCharType="separate"/>
      </w:r>
      <w:r>
        <w:rPr>
          <w:noProof/>
        </w:rPr>
        <w:t>110</w:t>
      </w:r>
      <w:r>
        <w:rPr>
          <w:noProof/>
        </w:rPr>
        <w:fldChar w:fldCharType="end"/>
      </w:r>
    </w:p>
    <w:p w14:paraId="3977EF50" w14:textId="1E79BEB6"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Tax Levy and Collection</w:t>
      </w:r>
      <w:r>
        <w:rPr>
          <w:noProof/>
        </w:rPr>
        <w:tab/>
      </w:r>
      <w:r>
        <w:rPr>
          <w:noProof/>
        </w:rPr>
        <w:fldChar w:fldCharType="begin"/>
      </w:r>
      <w:r>
        <w:rPr>
          <w:noProof/>
        </w:rPr>
        <w:instrText xml:space="preserve"> PAGEREF _Toc235521118 \h </w:instrText>
      </w:r>
      <w:r>
        <w:rPr>
          <w:noProof/>
        </w:rPr>
      </w:r>
      <w:r>
        <w:rPr>
          <w:noProof/>
        </w:rPr>
        <w:fldChar w:fldCharType="separate"/>
      </w:r>
      <w:r>
        <w:rPr>
          <w:noProof/>
        </w:rPr>
        <w:t>111</w:t>
      </w:r>
      <w:r>
        <w:rPr>
          <w:noProof/>
        </w:rPr>
        <w:fldChar w:fldCharType="end"/>
      </w:r>
    </w:p>
    <w:p w14:paraId="49249FF0" w14:textId="7B9D37CE"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Public Hearing on Certain Tax Increases</w:t>
      </w:r>
      <w:r>
        <w:rPr>
          <w:noProof/>
        </w:rPr>
        <w:tab/>
      </w:r>
      <w:r>
        <w:rPr>
          <w:noProof/>
        </w:rPr>
        <w:fldChar w:fldCharType="begin"/>
      </w:r>
      <w:r>
        <w:rPr>
          <w:noProof/>
        </w:rPr>
        <w:instrText xml:space="preserve"> PAGEREF _Toc235521119 \h </w:instrText>
      </w:r>
      <w:r>
        <w:rPr>
          <w:noProof/>
        </w:rPr>
      </w:r>
      <w:r>
        <w:rPr>
          <w:noProof/>
        </w:rPr>
        <w:fldChar w:fldCharType="separate"/>
      </w:r>
      <w:r>
        <w:rPr>
          <w:noProof/>
        </w:rPr>
        <w:t>112</w:t>
      </w:r>
      <w:r>
        <w:rPr>
          <w:noProof/>
        </w:rPr>
        <w:fldChar w:fldCharType="end"/>
      </w:r>
    </w:p>
    <w:p w14:paraId="1D1885CB" w14:textId="263D6225"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Ad Valorem Property Tax Data</w:t>
      </w:r>
      <w:r>
        <w:rPr>
          <w:noProof/>
        </w:rPr>
        <w:tab/>
      </w:r>
      <w:r>
        <w:rPr>
          <w:noProof/>
        </w:rPr>
        <w:fldChar w:fldCharType="begin"/>
      </w:r>
      <w:r>
        <w:rPr>
          <w:noProof/>
        </w:rPr>
        <w:instrText xml:space="preserve"> PAGEREF _Toc235521120 \h </w:instrText>
      </w:r>
      <w:r>
        <w:rPr>
          <w:noProof/>
        </w:rPr>
      </w:r>
      <w:r>
        <w:rPr>
          <w:noProof/>
        </w:rPr>
        <w:fldChar w:fldCharType="separate"/>
      </w:r>
      <w:r>
        <w:rPr>
          <w:noProof/>
        </w:rPr>
        <w:t>113</w:t>
      </w:r>
      <w:r>
        <w:rPr>
          <w:noProof/>
        </w:rPr>
        <w:fldChar w:fldCharType="end"/>
      </w:r>
    </w:p>
    <w:p w14:paraId="50D17AC9" w14:textId="1BB01F9F"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Uniform Fees</w:t>
      </w:r>
      <w:r>
        <w:rPr>
          <w:noProof/>
        </w:rPr>
        <w:tab/>
      </w:r>
      <w:r>
        <w:rPr>
          <w:noProof/>
        </w:rPr>
        <w:fldChar w:fldCharType="begin"/>
      </w:r>
      <w:r>
        <w:rPr>
          <w:noProof/>
        </w:rPr>
        <w:instrText xml:space="preserve"> PAGEREF _Toc235521121 \h </w:instrText>
      </w:r>
      <w:r>
        <w:rPr>
          <w:noProof/>
        </w:rPr>
      </w:r>
      <w:r>
        <w:rPr>
          <w:noProof/>
        </w:rPr>
        <w:fldChar w:fldCharType="separate"/>
      </w:r>
      <w:r>
        <w:rPr>
          <w:noProof/>
        </w:rPr>
        <w:t>114</w:t>
      </w:r>
      <w:r>
        <w:rPr>
          <w:noProof/>
        </w:rPr>
        <w:fldChar w:fldCharType="end"/>
      </w:r>
    </w:p>
    <w:p w14:paraId="0F605A26" w14:textId="4D33826C"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Funding of Administration; Other Revenue Sources</w:t>
      </w:r>
      <w:r>
        <w:rPr>
          <w:noProof/>
        </w:rPr>
        <w:tab/>
      </w:r>
      <w:r>
        <w:rPr>
          <w:noProof/>
        </w:rPr>
        <w:fldChar w:fldCharType="begin"/>
      </w:r>
      <w:r>
        <w:rPr>
          <w:noProof/>
        </w:rPr>
        <w:instrText xml:space="preserve"> PAGEREF _Toc235521122 \h </w:instrText>
      </w:r>
      <w:r>
        <w:rPr>
          <w:noProof/>
        </w:rPr>
      </w:r>
      <w:r>
        <w:rPr>
          <w:noProof/>
        </w:rPr>
        <w:fldChar w:fldCharType="separate"/>
      </w:r>
      <w:r>
        <w:rPr>
          <w:noProof/>
        </w:rPr>
        <w:t>114</w:t>
      </w:r>
      <w:r>
        <w:rPr>
          <w:noProof/>
        </w:rPr>
        <w:fldChar w:fldCharType="end"/>
      </w:r>
    </w:p>
    <w:p w14:paraId="7E6F1135" w14:textId="64323A88"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Financial Statements and District Funds</w:t>
      </w:r>
      <w:r>
        <w:rPr>
          <w:noProof/>
        </w:rPr>
        <w:tab/>
      </w:r>
      <w:r>
        <w:rPr>
          <w:noProof/>
        </w:rPr>
        <w:fldChar w:fldCharType="begin"/>
      </w:r>
      <w:r>
        <w:rPr>
          <w:noProof/>
        </w:rPr>
        <w:instrText xml:space="preserve"> PAGEREF _Toc235521123 \h </w:instrText>
      </w:r>
      <w:r>
        <w:rPr>
          <w:noProof/>
        </w:rPr>
      </w:r>
      <w:r>
        <w:rPr>
          <w:noProof/>
        </w:rPr>
        <w:fldChar w:fldCharType="separate"/>
      </w:r>
      <w:r>
        <w:rPr>
          <w:noProof/>
        </w:rPr>
        <w:t>115</w:t>
      </w:r>
      <w:r>
        <w:rPr>
          <w:noProof/>
        </w:rPr>
        <w:fldChar w:fldCharType="end"/>
      </w:r>
    </w:p>
    <w:p w14:paraId="05F4214F" w14:textId="6F50EBD6"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Budget and Appropriation Procedure</w:t>
      </w:r>
      <w:r>
        <w:rPr>
          <w:noProof/>
        </w:rPr>
        <w:tab/>
      </w:r>
      <w:r>
        <w:rPr>
          <w:noProof/>
        </w:rPr>
        <w:fldChar w:fldCharType="begin"/>
      </w:r>
      <w:r>
        <w:rPr>
          <w:noProof/>
        </w:rPr>
        <w:instrText xml:space="preserve"> PAGEREF _Toc235521124 \h </w:instrText>
      </w:r>
      <w:r>
        <w:rPr>
          <w:noProof/>
        </w:rPr>
      </w:r>
      <w:r>
        <w:rPr>
          <w:noProof/>
        </w:rPr>
        <w:fldChar w:fldCharType="separate"/>
      </w:r>
      <w:r>
        <w:rPr>
          <w:noProof/>
        </w:rPr>
        <w:t>116</w:t>
      </w:r>
      <w:r>
        <w:rPr>
          <w:noProof/>
        </w:rPr>
        <w:fldChar w:fldCharType="end"/>
      </w:r>
    </w:p>
    <w:p w14:paraId="01AE7B57" w14:textId="20637099"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Historical Financial Information</w:t>
      </w:r>
      <w:r>
        <w:rPr>
          <w:noProof/>
        </w:rPr>
        <w:tab/>
      </w:r>
      <w:r>
        <w:rPr>
          <w:noProof/>
        </w:rPr>
        <w:fldChar w:fldCharType="begin"/>
      </w:r>
      <w:r>
        <w:rPr>
          <w:noProof/>
        </w:rPr>
        <w:instrText xml:space="preserve"> PAGEREF _Toc235521125 \h </w:instrText>
      </w:r>
      <w:r>
        <w:rPr>
          <w:noProof/>
        </w:rPr>
      </w:r>
      <w:r>
        <w:rPr>
          <w:noProof/>
        </w:rPr>
        <w:fldChar w:fldCharType="separate"/>
      </w:r>
      <w:r>
        <w:rPr>
          <w:noProof/>
        </w:rPr>
        <w:t>118</w:t>
      </w:r>
      <w:r>
        <w:rPr>
          <w:noProof/>
        </w:rPr>
        <w:fldChar w:fldCharType="end"/>
      </w:r>
    </w:p>
    <w:p w14:paraId="1DBE6F75" w14:textId="2D74E6E6"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Deposit and Investment of District Funds</w:t>
      </w:r>
      <w:r>
        <w:rPr>
          <w:noProof/>
        </w:rPr>
        <w:tab/>
      </w:r>
      <w:r>
        <w:rPr>
          <w:noProof/>
        </w:rPr>
        <w:fldChar w:fldCharType="begin"/>
      </w:r>
      <w:r>
        <w:rPr>
          <w:noProof/>
        </w:rPr>
        <w:instrText xml:space="preserve"> PAGEREF _Toc235521126 \h </w:instrText>
      </w:r>
      <w:r>
        <w:rPr>
          <w:noProof/>
        </w:rPr>
      </w:r>
      <w:r>
        <w:rPr>
          <w:noProof/>
        </w:rPr>
        <w:fldChar w:fldCharType="separate"/>
      </w:r>
      <w:r>
        <w:rPr>
          <w:noProof/>
        </w:rPr>
        <w:t>118</w:t>
      </w:r>
      <w:r>
        <w:rPr>
          <w:noProof/>
        </w:rPr>
        <w:fldChar w:fldCharType="end"/>
      </w:r>
    </w:p>
    <w:p w14:paraId="2DC68D7C" w14:textId="1A984F7A"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DEBT STRUCTURE</w:t>
      </w:r>
      <w:r>
        <w:rPr>
          <w:noProof/>
        </w:rPr>
        <w:tab/>
      </w:r>
      <w:r>
        <w:rPr>
          <w:noProof/>
        </w:rPr>
        <w:fldChar w:fldCharType="begin"/>
      </w:r>
      <w:r>
        <w:rPr>
          <w:noProof/>
        </w:rPr>
        <w:instrText xml:space="preserve"> PAGEREF _Toc235521127 \h </w:instrText>
      </w:r>
      <w:r>
        <w:rPr>
          <w:noProof/>
        </w:rPr>
      </w:r>
      <w:r>
        <w:rPr>
          <w:noProof/>
        </w:rPr>
        <w:fldChar w:fldCharType="separate"/>
      </w:r>
      <w:r>
        <w:rPr>
          <w:noProof/>
        </w:rPr>
        <w:t>118</w:t>
      </w:r>
      <w:r>
        <w:rPr>
          <w:noProof/>
        </w:rPr>
        <w:fldChar w:fldCharType="end"/>
      </w:r>
    </w:p>
    <w:p w14:paraId="352E9E72" w14:textId="561B7CD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Debt Restrictions</w:t>
      </w:r>
      <w:r>
        <w:rPr>
          <w:noProof/>
        </w:rPr>
        <w:tab/>
      </w:r>
      <w:r>
        <w:rPr>
          <w:noProof/>
        </w:rPr>
        <w:fldChar w:fldCharType="begin"/>
      </w:r>
      <w:r>
        <w:rPr>
          <w:noProof/>
        </w:rPr>
        <w:instrText xml:space="preserve"> PAGEREF _Toc235521128 \h </w:instrText>
      </w:r>
      <w:r>
        <w:rPr>
          <w:noProof/>
        </w:rPr>
      </w:r>
      <w:r>
        <w:rPr>
          <w:noProof/>
        </w:rPr>
        <w:fldChar w:fldCharType="separate"/>
      </w:r>
      <w:r>
        <w:rPr>
          <w:noProof/>
        </w:rPr>
        <w:t>118</w:t>
      </w:r>
      <w:r>
        <w:rPr>
          <w:noProof/>
        </w:rPr>
        <w:fldChar w:fldCharType="end"/>
      </w:r>
    </w:p>
    <w:p w14:paraId="5881516E" w14:textId="6C8B3300"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General Obligation Debt</w:t>
      </w:r>
      <w:r>
        <w:rPr>
          <w:noProof/>
        </w:rPr>
        <w:tab/>
      </w:r>
      <w:r>
        <w:rPr>
          <w:noProof/>
        </w:rPr>
        <w:fldChar w:fldCharType="begin"/>
      </w:r>
      <w:r>
        <w:rPr>
          <w:noProof/>
        </w:rPr>
        <w:instrText xml:space="preserve"> PAGEREF _Toc235521129 \h </w:instrText>
      </w:r>
      <w:r>
        <w:rPr>
          <w:noProof/>
        </w:rPr>
      </w:r>
      <w:r>
        <w:rPr>
          <w:noProof/>
        </w:rPr>
        <w:fldChar w:fldCharType="separate"/>
      </w:r>
      <w:r>
        <w:rPr>
          <w:noProof/>
        </w:rPr>
        <w:t>118</w:t>
      </w:r>
      <w:r>
        <w:rPr>
          <w:noProof/>
        </w:rPr>
        <w:fldChar w:fldCharType="end"/>
      </w:r>
    </w:p>
    <w:p w14:paraId="741DD6E1" w14:textId="682722FB"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Revenue Debt</w:t>
      </w:r>
      <w:r>
        <w:rPr>
          <w:noProof/>
        </w:rPr>
        <w:tab/>
      </w:r>
      <w:r>
        <w:rPr>
          <w:noProof/>
        </w:rPr>
        <w:fldChar w:fldCharType="begin"/>
      </w:r>
      <w:r>
        <w:rPr>
          <w:noProof/>
        </w:rPr>
        <w:instrText xml:space="preserve"> PAGEREF _Toc235521130 \h </w:instrText>
      </w:r>
      <w:r>
        <w:rPr>
          <w:noProof/>
        </w:rPr>
      </w:r>
      <w:r>
        <w:rPr>
          <w:noProof/>
        </w:rPr>
        <w:fldChar w:fldCharType="separate"/>
      </w:r>
      <w:r>
        <w:rPr>
          <w:noProof/>
        </w:rPr>
        <w:t>119</w:t>
      </w:r>
      <w:r>
        <w:rPr>
          <w:noProof/>
        </w:rPr>
        <w:fldChar w:fldCharType="end"/>
      </w:r>
    </w:p>
    <w:p w14:paraId="37C9617C" w14:textId="049E30CF"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LEGAL MATTERS</w:t>
      </w:r>
      <w:r>
        <w:rPr>
          <w:noProof/>
        </w:rPr>
        <w:tab/>
      </w:r>
      <w:r>
        <w:rPr>
          <w:noProof/>
        </w:rPr>
        <w:fldChar w:fldCharType="begin"/>
      </w:r>
      <w:r>
        <w:rPr>
          <w:noProof/>
        </w:rPr>
        <w:instrText xml:space="preserve"> PAGEREF _Toc235521131 \h </w:instrText>
      </w:r>
      <w:r>
        <w:rPr>
          <w:noProof/>
        </w:rPr>
      </w:r>
      <w:r>
        <w:rPr>
          <w:noProof/>
        </w:rPr>
        <w:fldChar w:fldCharType="separate"/>
      </w:r>
      <w:r>
        <w:rPr>
          <w:noProof/>
        </w:rPr>
        <w:t>120</w:t>
      </w:r>
      <w:r>
        <w:rPr>
          <w:noProof/>
        </w:rPr>
        <w:fldChar w:fldCharType="end"/>
      </w:r>
    </w:p>
    <w:p w14:paraId="43ADB3AE" w14:textId="32ED9026"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Legal Representation</w:t>
      </w:r>
      <w:r>
        <w:rPr>
          <w:noProof/>
        </w:rPr>
        <w:tab/>
      </w:r>
      <w:r>
        <w:rPr>
          <w:noProof/>
        </w:rPr>
        <w:fldChar w:fldCharType="begin"/>
      </w:r>
      <w:r>
        <w:rPr>
          <w:noProof/>
        </w:rPr>
        <w:instrText xml:space="preserve"> PAGEREF _Toc235521132 \h </w:instrText>
      </w:r>
      <w:r>
        <w:rPr>
          <w:noProof/>
        </w:rPr>
      </w:r>
      <w:r>
        <w:rPr>
          <w:noProof/>
        </w:rPr>
        <w:fldChar w:fldCharType="separate"/>
      </w:r>
      <w:r>
        <w:rPr>
          <w:noProof/>
        </w:rPr>
        <w:t>120</w:t>
      </w:r>
      <w:r>
        <w:rPr>
          <w:noProof/>
        </w:rPr>
        <w:fldChar w:fldCharType="end"/>
      </w:r>
    </w:p>
    <w:p w14:paraId="79D2E7AF" w14:textId="7DED620E"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Pending and Threatened Litigation Involving the District</w:t>
      </w:r>
      <w:r>
        <w:rPr>
          <w:noProof/>
        </w:rPr>
        <w:tab/>
      </w:r>
      <w:r>
        <w:rPr>
          <w:noProof/>
        </w:rPr>
        <w:fldChar w:fldCharType="begin"/>
      </w:r>
      <w:r>
        <w:rPr>
          <w:noProof/>
        </w:rPr>
        <w:instrText xml:space="preserve"> PAGEREF _Toc235521133 \h </w:instrText>
      </w:r>
      <w:r>
        <w:rPr>
          <w:noProof/>
        </w:rPr>
      </w:r>
      <w:r>
        <w:rPr>
          <w:noProof/>
        </w:rPr>
        <w:fldChar w:fldCharType="separate"/>
      </w:r>
      <w:r>
        <w:rPr>
          <w:noProof/>
        </w:rPr>
        <w:t>120</w:t>
      </w:r>
      <w:r>
        <w:rPr>
          <w:noProof/>
        </w:rPr>
        <w:fldChar w:fldCharType="end"/>
      </w:r>
    </w:p>
    <w:p w14:paraId="2B0F1DBC" w14:textId="6A98DFFA" w:rsidR="003E693B" w:rsidRDefault="003E693B">
      <w:pPr>
        <w:pStyle w:val="TOC2"/>
        <w:rPr>
          <w:rFonts w:asciiTheme="minorHAnsi" w:eastAsiaTheme="minorEastAsia" w:hAnsiTheme="minorHAnsi"/>
          <w:noProof/>
          <w:kern w:val="2"/>
          <w:sz w:val="24"/>
          <w:szCs w:val="24"/>
          <w14:ligatures w14:val="standardContextual"/>
        </w:rPr>
      </w:pPr>
      <w:r>
        <w:rPr>
          <w:noProof/>
        </w:rPr>
        <w:t>Indentures to Constitute Contract</w:t>
      </w:r>
      <w:r>
        <w:rPr>
          <w:noProof/>
        </w:rPr>
        <w:tab/>
      </w:r>
      <w:r>
        <w:rPr>
          <w:noProof/>
        </w:rPr>
        <w:fldChar w:fldCharType="begin"/>
      </w:r>
      <w:r>
        <w:rPr>
          <w:noProof/>
        </w:rPr>
        <w:instrText xml:space="preserve"> PAGEREF _Toc235521134 \h </w:instrText>
      </w:r>
      <w:r>
        <w:rPr>
          <w:noProof/>
        </w:rPr>
      </w:r>
      <w:r>
        <w:rPr>
          <w:noProof/>
        </w:rPr>
        <w:fldChar w:fldCharType="separate"/>
      </w:r>
      <w:r>
        <w:rPr>
          <w:noProof/>
        </w:rPr>
        <w:t>120</w:t>
      </w:r>
      <w:r>
        <w:rPr>
          <w:noProof/>
        </w:rPr>
        <w:fldChar w:fldCharType="end"/>
      </w:r>
    </w:p>
    <w:p w14:paraId="7DF48431" w14:textId="6797C24B" w:rsidR="003E693B" w:rsidRDefault="003E693B">
      <w:pPr>
        <w:pStyle w:val="TOC2"/>
        <w:rPr>
          <w:rFonts w:asciiTheme="minorHAnsi" w:eastAsiaTheme="minorEastAsia" w:hAnsiTheme="minorHAnsi"/>
          <w:noProof/>
          <w:kern w:val="2"/>
          <w:sz w:val="24"/>
          <w:szCs w:val="24"/>
          <w14:ligatures w14:val="standardContextual"/>
        </w:rPr>
      </w:pPr>
      <w:r>
        <w:rPr>
          <w:noProof/>
        </w:rPr>
        <w:t>Future Changes in Laws</w:t>
      </w:r>
      <w:r>
        <w:rPr>
          <w:noProof/>
        </w:rPr>
        <w:tab/>
      </w:r>
      <w:r>
        <w:rPr>
          <w:noProof/>
        </w:rPr>
        <w:fldChar w:fldCharType="begin"/>
      </w:r>
      <w:r>
        <w:rPr>
          <w:noProof/>
        </w:rPr>
        <w:instrText xml:space="preserve"> PAGEREF _Toc235521135 \h </w:instrText>
      </w:r>
      <w:r>
        <w:rPr>
          <w:noProof/>
        </w:rPr>
      </w:r>
      <w:r>
        <w:rPr>
          <w:noProof/>
        </w:rPr>
        <w:fldChar w:fldCharType="separate"/>
      </w:r>
      <w:r>
        <w:rPr>
          <w:noProof/>
        </w:rPr>
        <w:t>120</w:t>
      </w:r>
      <w:r>
        <w:rPr>
          <w:noProof/>
        </w:rPr>
        <w:fldChar w:fldCharType="end"/>
      </w:r>
    </w:p>
    <w:p w14:paraId="28805645" w14:textId="26481765" w:rsidR="003E693B" w:rsidRDefault="003E693B">
      <w:pPr>
        <w:pStyle w:val="TOC2"/>
        <w:rPr>
          <w:rFonts w:asciiTheme="minorHAnsi" w:eastAsiaTheme="minorEastAsia" w:hAnsiTheme="minorHAnsi"/>
          <w:noProof/>
          <w:kern w:val="2"/>
          <w:sz w:val="24"/>
          <w:szCs w:val="24"/>
          <w14:ligatures w14:val="standardContextual"/>
        </w:rPr>
      </w:pPr>
      <w:r>
        <w:rPr>
          <w:noProof/>
        </w:rPr>
        <w:t>Limitations on Remedies, Available to Bondholders</w:t>
      </w:r>
      <w:r>
        <w:rPr>
          <w:noProof/>
        </w:rPr>
        <w:tab/>
      </w:r>
      <w:r>
        <w:rPr>
          <w:noProof/>
        </w:rPr>
        <w:fldChar w:fldCharType="begin"/>
      </w:r>
      <w:r>
        <w:rPr>
          <w:noProof/>
        </w:rPr>
        <w:instrText xml:space="preserve"> PAGEREF _Toc235521136 \h </w:instrText>
      </w:r>
      <w:r>
        <w:rPr>
          <w:noProof/>
        </w:rPr>
      </w:r>
      <w:r>
        <w:rPr>
          <w:noProof/>
        </w:rPr>
        <w:fldChar w:fldCharType="separate"/>
      </w:r>
      <w:r>
        <w:rPr>
          <w:noProof/>
        </w:rPr>
        <w:t>121</w:t>
      </w:r>
      <w:r>
        <w:rPr>
          <w:noProof/>
        </w:rPr>
        <w:fldChar w:fldCharType="end"/>
      </w:r>
    </w:p>
    <w:p w14:paraId="5E7A6251" w14:textId="0C2EEF3F"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TAX MATTERS</w:t>
      </w:r>
      <w:r>
        <w:rPr>
          <w:noProof/>
        </w:rPr>
        <w:tab/>
      </w:r>
      <w:r>
        <w:rPr>
          <w:noProof/>
        </w:rPr>
        <w:fldChar w:fldCharType="begin"/>
      </w:r>
      <w:r>
        <w:rPr>
          <w:noProof/>
        </w:rPr>
        <w:instrText xml:space="preserve"> PAGEREF _Toc235521137 \h </w:instrText>
      </w:r>
      <w:r>
        <w:rPr>
          <w:noProof/>
        </w:rPr>
      </w:r>
      <w:r>
        <w:rPr>
          <w:noProof/>
        </w:rPr>
        <w:fldChar w:fldCharType="separate"/>
      </w:r>
      <w:r>
        <w:rPr>
          <w:noProof/>
        </w:rPr>
        <w:t>121</w:t>
      </w:r>
      <w:r>
        <w:rPr>
          <w:noProof/>
        </w:rPr>
        <w:fldChar w:fldCharType="end"/>
      </w:r>
    </w:p>
    <w:p w14:paraId="181AA1AF" w14:textId="43885F6E" w:rsidR="003E693B" w:rsidRDefault="003E693B">
      <w:pPr>
        <w:pStyle w:val="TOC2"/>
        <w:rPr>
          <w:rFonts w:asciiTheme="minorHAnsi" w:eastAsiaTheme="minorEastAsia" w:hAnsiTheme="minorHAnsi"/>
          <w:noProof/>
          <w:kern w:val="2"/>
          <w:sz w:val="24"/>
          <w:szCs w:val="24"/>
          <w14:ligatures w14:val="standardContextual"/>
        </w:rPr>
      </w:pPr>
      <w:r>
        <w:rPr>
          <w:noProof/>
        </w:rPr>
        <w:t>Opinion of Bond Counsel</w:t>
      </w:r>
      <w:r>
        <w:rPr>
          <w:noProof/>
        </w:rPr>
        <w:tab/>
      </w:r>
      <w:r>
        <w:rPr>
          <w:noProof/>
        </w:rPr>
        <w:fldChar w:fldCharType="begin"/>
      </w:r>
      <w:r>
        <w:rPr>
          <w:noProof/>
        </w:rPr>
        <w:instrText xml:space="preserve"> PAGEREF _Toc235521138 \h </w:instrText>
      </w:r>
      <w:r>
        <w:rPr>
          <w:noProof/>
        </w:rPr>
      </w:r>
      <w:r>
        <w:rPr>
          <w:noProof/>
        </w:rPr>
        <w:fldChar w:fldCharType="separate"/>
      </w:r>
      <w:r>
        <w:rPr>
          <w:noProof/>
        </w:rPr>
        <w:t>121</w:t>
      </w:r>
      <w:r>
        <w:rPr>
          <w:noProof/>
        </w:rPr>
        <w:fldChar w:fldCharType="end"/>
      </w:r>
    </w:p>
    <w:p w14:paraId="50B96B66" w14:textId="674D639F" w:rsidR="003E693B" w:rsidRDefault="003E693B">
      <w:pPr>
        <w:pStyle w:val="TOC2"/>
        <w:rPr>
          <w:rFonts w:asciiTheme="minorHAnsi" w:eastAsiaTheme="minorEastAsia" w:hAnsiTheme="minorHAnsi"/>
          <w:noProof/>
          <w:kern w:val="2"/>
          <w:sz w:val="24"/>
          <w:szCs w:val="24"/>
          <w14:ligatures w14:val="standardContextual"/>
        </w:rPr>
      </w:pPr>
      <w:r>
        <w:rPr>
          <w:noProof/>
        </w:rPr>
        <w:t>Other Tax Consequences</w:t>
      </w:r>
      <w:r>
        <w:rPr>
          <w:noProof/>
        </w:rPr>
        <w:tab/>
      </w:r>
      <w:r>
        <w:rPr>
          <w:noProof/>
        </w:rPr>
        <w:fldChar w:fldCharType="begin"/>
      </w:r>
      <w:r>
        <w:rPr>
          <w:noProof/>
        </w:rPr>
        <w:instrText xml:space="preserve"> PAGEREF _Toc235521139 \h </w:instrText>
      </w:r>
      <w:r>
        <w:rPr>
          <w:noProof/>
        </w:rPr>
      </w:r>
      <w:r>
        <w:rPr>
          <w:noProof/>
        </w:rPr>
        <w:fldChar w:fldCharType="separate"/>
      </w:r>
      <w:r>
        <w:rPr>
          <w:noProof/>
        </w:rPr>
        <w:t>122</w:t>
      </w:r>
      <w:r>
        <w:rPr>
          <w:noProof/>
        </w:rPr>
        <w:fldChar w:fldCharType="end"/>
      </w:r>
    </w:p>
    <w:p w14:paraId="745A0410" w14:textId="07A78F76"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MISCELLANEOUS</w:t>
      </w:r>
      <w:r>
        <w:rPr>
          <w:noProof/>
        </w:rPr>
        <w:tab/>
      </w:r>
      <w:r>
        <w:rPr>
          <w:noProof/>
        </w:rPr>
        <w:fldChar w:fldCharType="begin"/>
      </w:r>
      <w:r>
        <w:rPr>
          <w:noProof/>
        </w:rPr>
        <w:instrText xml:space="preserve"> PAGEREF _Toc235521140 \h </w:instrText>
      </w:r>
      <w:r>
        <w:rPr>
          <w:noProof/>
        </w:rPr>
      </w:r>
      <w:r>
        <w:rPr>
          <w:noProof/>
        </w:rPr>
        <w:fldChar w:fldCharType="separate"/>
      </w:r>
      <w:r>
        <w:rPr>
          <w:noProof/>
        </w:rPr>
        <w:t>123</w:t>
      </w:r>
      <w:r>
        <w:rPr>
          <w:noProof/>
        </w:rPr>
        <w:fldChar w:fldCharType="end"/>
      </w:r>
    </w:p>
    <w:p w14:paraId="3C5ADC1D" w14:textId="5FA3E4B5" w:rsidR="003E693B" w:rsidRDefault="003E693B">
      <w:pPr>
        <w:pStyle w:val="TOC2"/>
        <w:rPr>
          <w:rFonts w:asciiTheme="minorHAnsi" w:eastAsiaTheme="minorEastAsia" w:hAnsiTheme="minorHAnsi"/>
          <w:noProof/>
          <w:kern w:val="2"/>
          <w:sz w:val="24"/>
          <w:szCs w:val="24"/>
          <w14:ligatures w14:val="standardContextual"/>
        </w:rPr>
      </w:pPr>
      <w:r>
        <w:rPr>
          <w:noProof/>
        </w:rPr>
        <w:t>No Rating</w:t>
      </w:r>
      <w:r>
        <w:rPr>
          <w:noProof/>
        </w:rPr>
        <w:tab/>
      </w:r>
      <w:r>
        <w:rPr>
          <w:noProof/>
        </w:rPr>
        <w:fldChar w:fldCharType="begin"/>
      </w:r>
      <w:r>
        <w:rPr>
          <w:noProof/>
        </w:rPr>
        <w:instrText xml:space="preserve"> PAGEREF _Toc235521141 \h </w:instrText>
      </w:r>
      <w:r>
        <w:rPr>
          <w:noProof/>
        </w:rPr>
      </w:r>
      <w:r>
        <w:rPr>
          <w:noProof/>
        </w:rPr>
        <w:fldChar w:fldCharType="separate"/>
      </w:r>
      <w:r>
        <w:rPr>
          <w:noProof/>
        </w:rPr>
        <w:t>123</w:t>
      </w:r>
      <w:r>
        <w:rPr>
          <w:noProof/>
        </w:rPr>
        <w:fldChar w:fldCharType="end"/>
      </w:r>
    </w:p>
    <w:p w14:paraId="04BB1995" w14:textId="1EB1A314" w:rsidR="003E693B" w:rsidRDefault="003E693B">
      <w:pPr>
        <w:pStyle w:val="TOC2"/>
        <w:rPr>
          <w:rFonts w:asciiTheme="minorHAnsi" w:eastAsiaTheme="minorEastAsia" w:hAnsiTheme="minorHAnsi"/>
          <w:noProof/>
          <w:kern w:val="2"/>
          <w:sz w:val="24"/>
          <w:szCs w:val="24"/>
          <w14:ligatures w14:val="standardContextual"/>
        </w:rPr>
      </w:pPr>
      <w:r>
        <w:rPr>
          <w:noProof/>
        </w:rPr>
        <w:t>Registration of Bonds</w:t>
      </w:r>
      <w:r>
        <w:rPr>
          <w:noProof/>
        </w:rPr>
        <w:tab/>
      </w:r>
      <w:r>
        <w:rPr>
          <w:noProof/>
        </w:rPr>
        <w:fldChar w:fldCharType="begin"/>
      </w:r>
      <w:r>
        <w:rPr>
          <w:noProof/>
        </w:rPr>
        <w:instrText xml:space="preserve"> PAGEREF _Toc235521142 \h </w:instrText>
      </w:r>
      <w:r>
        <w:rPr>
          <w:noProof/>
        </w:rPr>
      </w:r>
      <w:r>
        <w:rPr>
          <w:noProof/>
        </w:rPr>
        <w:fldChar w:fldCharType="separate"/>
      </w:r>
      <w:r>
        <w:rPr>
          <w:noProof/>
        </w:rPr>
        <w:t>123</w:t>
      </w:r>
      <w:r>
        <w:rPr>
          <w:noProof/>
        </w:rPr>
        <w:fldChar w:fldCharType="end"/>
      </w:r>
    </w:p>
    <w:p w14:paraId="18D122D4" w14:textId="20AE68F9" w:rsidR="003E693B" w:rsidRDefault="003E693B">
      <w:pPr>
        <w:pStyle w:val="TOC2"/>
        <w:rPr>
          <w:rFonts w:asciiTheme="minorHAnsi" w:eastAsiaTheme="minorEastAsia" w:hAnsiTheme="minorHAnsi"/>
          <w:noProof/>
          <w:kern w:val="2"/>
          <w:sz w:val="24"/>
          <w:szCs w:val="24"/>
          <w14:ligatures w14:val="standardContextual"/>
        </w:rPr>
      </w:pPr>
      <w:r>
        <w:rPr>
          <w:noProof/>
        </w:rPr>
        <w:t>Interest of Certain Persons Named in this Official Statement</w:t>
      </w:r>
      <w:r>
        <w:rPr>
          <w:noProof/>
        </w:rPr>
        <w:tab/>
      </w:r>
      <w:r>
        <w:rPr>
          <w:noProof/>
        </w:rPr>
        <w:fldChar w:fldCharType="begin"/>
      </w:r>
      <w:r>
        <w:rPr>
          <w:noProof/>
        </w:rPr>
        <w:instrText xml:space="preserve"> PAGEREF _Toc235521143 \h </w:instrText>
      </w:r>
      <w:r>
        <w:rPr>
          <w:noProof/>
        </w:rPr>
      </w:r>
      <w:r>
        <w:rPr>
          <w:noProof/>
        </w:rPr>
        <w:fldChar w:fldCharType="separate"/>
      </w:r>
      <w:r>
        <w:rPr>
          <w:noProof/>
        </w:rPr>
        <w:t>123</w:t>
      </w:r>
      <w:r>
        <w:rPr>
          <w:noProof/>
        </w:rPr>
        <w:fldChar w:fldCharType="end"/>
      </w:r>
    </w:p>
    <w:p w14:paraId="2A31CD3F" w14:textId="6ED586DA"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Agreement to Provide Continuing Disclosure</w:t>
      </w:r>
      <w:r>
        <w:rPr>
          <w:noProof/>
        </w:rPr>
        <w:tab/>
      </w:r>
      <w:r>
        <w:rPr>
          <w:noProof/>
        </w:rPr>
        <w:fldChar w:fldCharType="begin"/>
      </w:r>
      <w:r>
        <w:rPr>
          <w:noProof/>
        </w:rPr>
        <w:instrText xml:space="preserve"> PAGEREF _Toc235521144 \h </w:instrText>
      </w:r>
      <w:r>
        <w:rPr>
          <w:noProof/>
        </w:rPr>
      </w:r>
      <w:r>
        <w:rPr>
          <w:noProof/>
        </w:rPr>
        <w:fldChar w:fldCharType="separate"/>
      </w:r>
      <w:r>
        <w:rPr>
          <w:noProof/>
        </w:rPr>
        <w:t>123</w:t>
      </w:r>
      <w:r>
        <w:rPr>
          <w:noProof/>
        </w:rPr>
        <w:fldChar w:fldCharType="end"/>
      </w:r>
    </w:p>
    <w:p w14:paraId="539BC67F" w14:textId="64DA791C"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Underwriting</w:t>
      </w:r>
      <w:r>
        <w:rPr>
          <w:noProof/>
        </w:rPr>
        <w:tab/>
      </w:r>
      <w:r>
        <w:rPr>
          <w:noProof/>
        </w:rPr>
        <w:fldChar w:fldCharType="begin"/>
      </w:r>
      <w:r>
        <w:rPr>
          <w:noProof/>
        </w:rPr>
        <w:instrText xml:space="preserve"> PAGEREF _Toc235521145 \h </w:instrText>
      </w:r>
      <w:r>
        <w:rPr>
          <w:noProof/>
        </w:rPr>
      </w:r>
      <w:r>
        <w:rPr>
          <w:noProof/>
        </w:rPr>
        <w:fldChar w:fldCharType="separate"/>
      </w:r>
      <w:r>
        <w:rPr>
          <w:noProof/>
        </w:rPr>
        <w:t>124</w:t>
      </w:r>
      <w:r>
        <w:rPr>
          <w:noProof/>
        </w:rPr>
        <w:fldChar w:fldCharType="end"/>
      </w:r>
    </w:p>
    <w:p w14:paraId="1A1AE376" w14:textId="3F1785E2"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Municipal Advisor</w:t>
      </w:r>
      <w:r>
        <w:rPr>
          <w:noProof/>
        </w:rPr>
        <w:tab/>
      </w:r>
      <w:r>
        <w:rPr>
          <w:noProof/>
        </w:rPr>
        <w:fldChar w:fldCharType="begin"/>
      </w:r>
      <w:r>
        <w:rPr>
          <w:noProof/>
        </w:rPr>
        <w:instrText xml:space="preserve"> PAGEREF _Toc235521146 \h </w:instrText>
      </w:r>
      <w:r>
        <w:rPr>
          <w:noProof/>
        </w:rPr>
      </w:r>
      <w:r>
        <w:rPr>
          <w:noProof/>
        </w:rPr>
        <w:fldChar w:fldCharType="separate"/>
      </w:r>
      <w:r>
        <w:rPr>
          <w:noProof/>
        </w:rPr>
        <w:t>124</w:t>
      </w:r>
      <w:r>
        <w:rPr>
          <w:noProof/>
        </w:rPr>
        <w:fldChar w:fldCharType="end"/>
      </w:r>
    </w:p>
    <w:p w14:paraId="1494D9DF" w14:textId="0D6EA68B"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Additional Information</w:t>
      </w:r>
      <w:r>
        <w:rPr>
          <w:noProof/>
        </w:rPr>
        <w:tab/>
      </w:r>
      <w:r>
        <w:rPr>
          <w:noProof/>
        </w:rPr>
        <w:fldChar w:fldCharType="begin"/>
      </w:r>
      <w:r>
        <w:rPr>
          <w:noProof/>
        </w:rPr>
        <w:instrText xml:space="preserve"> PAGEREF _Toc235521147 \h </w:instrText>
      </w:r>
      <w:r>
        <w:rPr>
          <w:noProof/>
        </w:rPr>
      </w:r>
      <w:r>
        <w:rPr>
          <w:noProof/>
        </w:rPr>
        <w:fldChar w:fldCharType="separate"/>
      </w:r>
      <w:r>
        <w:rPr>
          <w:noProof/>
        </w:rPr>
        <w:t>124</w:t>
      </w:r>
      <w:r>
        <w:rPr>
          <w:noProof/>
        </w:rPr>
        <w:fldChar w:fldCharType="end"/>
      </w:r>
    </w:p>
    <w:p w14:paraId="2D76F5BD" w14:textId="07991A78" w:rsidR="003E693B" w:rsidRDefault="003E693B">
      <w:pPr>
        <w:pStyle w:val="TOC2"/>
        <w:rPr>
          <w:rFonts w:asciiTheme="minorHAnsi" w:eastAsiaTheme="minorEastAsia" w:hAnsiTheme="minorHAnsi"/>
          <w:noProof/>
          <w:kern w:val="2"/>
          <w:sz w:val="24"/>
          <w:szCs w:val="24"/>
          <w14:ligatures w14:val="standardContextual"/>
        </w:rPr>
      </w:pPr>
      <w:r w:rsidRPr="005D38A4">
        <w:rPr>
          <w:rFonts w:eastAsia="Times New Roman"/>
          <w:noProof/>
        </w:rPr>
        <w:t>Official Statement Certification</w:t>
      </w:r>
      <w:r>
        <w:rPr>
          <w:noProof/>
        </w:rPr>
        <w:tab/>
      </w:r>
      <w:r>
        <w:rPr>
          <w:noProof/>
        </w:rPr>
        <w:fldChar w:fldCharType="begin"/>
      </w:r>
      <w:r>
        <w:rPr>
          <w:noProof/>
        </w:rPr>
        <w:instrText xml:space="preserve"> PAGEREF _Toc235521148 \h </w:instrText>
      </w:r>
      <w:r>
        <w:rPr>
          <w:noProof/>
        </w:rPr>
      </w:r>
      <w:r>
        <w:rPr>
          <w:noProof/>
        </w:rPr>
        <w:fldChar w:fldCharType="separate"/>
      </w:r>
      <w:r>
        <w:rPr>
          <w:noProof/>
        </w:rPr>
        <w:t>125</w:t>
      </w:r>
      <w:r>
        <w:rPr>
          <w:noProof/>
        </w:rPr>
        <w:fldChar w:fldCharType="end"/>
      </w:r>
    </w:p>
    <w:p w14:paraId="47BE1034" w14:textId="6762EF0C"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APPENDIX</w:t>
      </w:r>
      <w:r w:rsidRPr="005D38A4">
        <w:rPr>
          <w:rFonts w:cs="Times New Roman"/>
          <w:noProof/>
        </w:rPr>
        <w:t xml:space="preserve"> A  FINANCIAL FORECASTS</w:t>
      </w:r>
      <w:r>
        <w:rPr>
          <w:noProof/>
        </w:rPr>
        <w:tab/>
      </w:r>
      <w:r>
        <w:rPr>
          <w:noProof/>
        </w:rPr>
        <w:fldChar w:fldCharType="begin"/>
      </w:r>
      <w:r>
        <w:rPr>
          <w:noProof/>
        </w:rPr>
        <w:instrText xml:space="preserve"> PAGEREF _Toc235521149 \h </w:instrText>
      </w:r>
      <w:r>
        <w:rPr>
          <w:noProof/>
        </w:rPr>
      </w:r>
      <w:r>
        <w:rPr>
          <w:noProof/>
        </w:rPr>
        <w:fldChar w:fldCharType="separate"/>
      </w:r>
      <w:r>
        <w:rPr>
          <w:noProof/>
        </w:rPr>
        <w:t>1</w:t>
      </w:r>
      <w:r>
        <w:rPr>
          <w:noProof/>
        </w:rPr>
        <w:fldChar w:fldCharType="end"/>
      </w:r>
    </w:p>
    <w:p w14:paraId="61806BBD" w14:textId="26F16B42" w:rsidR="003E693B" w:rsidRDefault="003E693B">
      <w:pPr>
        <w:pStyle w:val="TOC1"/>
        <w:rPr>
          <w:rFonts w:asciiTheme="minorHAnsi" w:eastAsiaTheme="minorEastAsia" w:hAnsiTheme="minorHAnsi"/>
          <w:noProof/>
          <w:kern w:val="2"/>
          <w:sz w:val="24"/>
          <w14:ligatures w14:val="standardContextual"/>
        </w:rPr>
      </w:pPr>
      <w:r w:rsidRPr="005D38A4">
        <w:rPr>
          <w:rFonts w:cs="Times New Roman"/>
          <w:noProof/>
        </w:rPr>
        <w:t>APPENDIX B  MARKET STUDY</w:t>
      </w:r>
      <w:r>
        <w:rPr>
          <w:noProof/>
        </w:rPr>
        <w:tab/>
      </w:r>
      <w:r>
        <w:rPr>
          <w:noProof/>
        </w:rPr>
        <w:fldChar w:fldCharType="begin"/>
      </w:r>
      <w:r>
        <w:rPr>
          <w:noProof/>
        </w:rPr>
        <w:instrText xml:space="preserve"> PAGEREF _Toc235521150 \h </w:instrText>
      </w:r>
      <w:r>
        <w:rPr>
          <w:noProof/>
        </w:rPr>
      </w:r>
      <w:r>
        <w:rPr>
          <w:noProof/>
        </w:rPr>
        <w:fldChar w:fldCharType="separate"/>
      </w:r>
      <w:r>
        <w:rPr>
          <w:noProof/>
        </w:rPr>
        <w:t>1</w:t>
      </w:r>
      <w:r>
        <w:rPr>
          <w:noProof/>
        </w:rPr>
        <w:fldChar w:fldCharType="end"/>
      </w:r>
    </w:p>
    <w:p w14:paraId="16B20B21" w14:textId="73E6D3AD" w:rsidR="003E693B" w:rsidRDefault="003E693B">
      <w:pPr>
        <w:pStyle w:val="TOC1"/>
        <w:rPr>
          <w:rFonts w:asciiTheme="minorHAnsi" w:eastAsiaTheme="minorEastAsia" w:hAnsiTheme="minorHAnsi"/>
          <w:noProof/>
          <w:kern w:val="2"/>
          <w:sz w:val="24"/>
          <w14:ligatures w14:val="standardContextual"/>
        </w:rPr>
      </w:pPr>
      <w:r w:rsidRPr="005D38A4">
        <w:rPr>
          <w:rFonts w:cs="Times New Roman"/>
          <w:noProof/>
        </w:rPr>
        <w:t>APPENDIX C  SELECTED DEFINITIONS</w:t>
      </w:r>
      <w:r>
        <w:rPr>
          <w:noProof/>
        </w:rPr>
        <w:tab/>
      </w:r>
      <w:r>
        <w:rPr>
          <w:noProof/>
        </w:rPr>
        <w:fldChar w:fldCharType="begin"/>
      </w:r>
      <w:r>
        <w:rPr>
          <w:noProof/>
        </w:rPr>
        <w:instrText xml:space="preserve"> PAGEREF _Toc235521151 \h </w:instrText>
      </w:r>
      <w:r>
        <w:rPr>
          <w:noProof/>
        </w:rPr>
      </w:r>
      <w:r>
        <w:rPr>
          <w:noProof/>
        </w:rPr>
        <w:fldChar w:fldCharType="separate"/>
      </w:r>
      <w:r>
        <w:rPr>
          <w:noProof/>
        </w:rPr>
        <w:t>1</w:t>
      </w:r>
      <w:r>
        <w:rPr>
          <w:noProof/>
        </w:rPr>
        <w:fldChar w:fldCharType="end"/>
      </w:r>
    </w:p>
    <w:p w14:paraId="47619FD1" w14:textId="16272B43"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APPENDIX D</w:t>
      </w:r>
      <w:r w:rsidRPr="005D38A4">
        <w:rPr>
          <w:rFonts w:cs="Times New Roman"/>
          <w:noProof/>
        </w:rPr>
        <w:t xml:space="preserve">  ECONOMIC AND DEMOGRAPHIC INFORMATION</w:t>
      </w:r>
      <w:r>
        <w:rPr>
          <w:noProof/>
        </w:rPr>
        <w:tab/>
      </w:r>
      <w:r>
        <w:rPr>
          <w:noProof/>
        </w:rPr>
        <w:fldChar w:fldCharType="begin"/>
      </w:r>
      <w:r>
        <w:rPr>
          <w:noProof/>
        </w:rPr>
        <w:instrText xml:space="preserve"> PAGEREF _Toc235521152 \h </w:instrText>
      </w:r>
      <w:r>
        <w:rPr>
          <w:noProof/>
        </w:rPr>
      </w:r>
      <w:r>
        <w:rPr>
          <w:noProof/>
        </w:rPr>
        <w:fldChar w:fldCharType="separate"/>
      </w:r>
      <w:r>
        <w:rPr>
          <w:noProof/>
        </w:rPr>
        <w:t>1</w:t>
      </w:r>
      <w:r>
        <w:rPr>
          <w:noProof/>
        </w:rPr>
        <w:fldChar w:fldCharType="end"/>
      </w:r>
    </w:p>
    <w:p w14:paraId="073D02ED" w14:textId="3A7D6740"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APPENDIX E</w:t>
      </w:r>
      <w:r w:rsidRPr="005D38A4">
        <w:rPr>
          <w:rFonts w:cs="Times New Roman"/>
          <w:noProof/>
        </w:rPr>
        <w:t xml:space="preserve">  FORM OF CONTINUING DISCLOSURE AGREEMENT</w:t>
      </w:r>
      <w:r>
        <w:rPr>
          <w:noProof/>
        </w:rPr>
        <w:tab/>
      </w:r>
      <w:r>
        <w:rPr>
          <w:noProof/>
        </w:rPr>
        <w:fldChar w:fldCharType="begin"/>
      </w:r>
      <w:r>
        <w:rPr>
          <w:noProof/>
        </w:rPr>
        <w:instrText xml:space="preserve"> PAGEREF _Toc235521153 \h </w:instrText>
      </w:r>
      <w:r>
        <w:rPr>
          <w:noProof/>
        </w:rPr>
      </w:r>
      <w:r>
        <w:rPr>
          <w:noProof/>
        </w:rPr>
        <w:fldChar w:fldCharType="separate"/>
      </w:r>
      <w:r>
        <w:rPr>
          <w:noProof/>
        </w:rPr>
        <w:t>1</w:t>
      </w:r>
      <w:r>
        <w:rPr>
          <w:noProof/>
        </w:rPr>
        <w:fldChar w:fldCharType="end"/>
      </w:r>
    </w:p>
    <w:p w14:paraId="4AA5E416" w14:textId="1E7BD2B0"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APPENDIX F</w:t>
      </w:r>
      <w:r w:rsidRPr="005D38A4">
        <w:rPr>
          <w:rFonts w:cs="Times New Roman"/>
          <w:noProof/>
        </w:rPr>
        <w:t xml:space="preserve">  FORM OF BOND </w:t>
      </w:r>
      <w:r w:rsidRPr="005D38A4">
        <w:rPr>
          <w:rFonts w:eastAsia="Times New Roman" w:cs="Times New Roman"/>
          <w:noProof/>
        </w:rPr>
        <w:t>COUNSEL</w:t>
      </w:r>
      <w:r w:rsidRPr="005D38A4">
        <w:rPr>
          <w:rFonts w:cs="Times New Roman"/>
          <w:noProof/>
        </w:rPr>
        <w:t xml:space="preserve"> OPINION</w:t>
      </w:r>
      <w:r>
        <w:rPr>
          <w:noProof/>
        </w:rPr>
        <w:tab/>
      </w:r>
      <w:r>
        <w:rPr>
          <w:noProof/>
        </w:rPr>
        <w:fldChar w:fldCharType="begin"/>
      </w:r>
      <w:r>
        <w:rPr>
          <w:noProof/>
        </w:rPr>
        <w:instrText xml:space="preserve"> PAGEREF _Toc235521154 \h </w:instrText>
      </w:r>
      <w:r>
        <w:rPr>
          <w:noProof/>
        </w:rPr>
      </w:r>
      <w:r>
        <w:rPr>
          <w:noProof/>
        </w:rPr>
        <w:fldChar w:fldCharType="separate"/>
      </w:r>
      <w:r>
        <w:rPr>
          <w:noProof/>
        </w:rPr>
        <w:t>1</w:t>
      </w:r>
      <w:r>
        <w:rPr>
          <w:noProof/>
        </w:rPr>
        <w:fldChar w:fldCharType="end"/>
      </w:r>
    </w:p>
    <w:p w14:paraId="592BFD5A" w14:textId="50E04973" w:rsidR="003E693B" w:rsidRDefault="003E693B">
      <w:pPr>
        <w:pStyle w:val="TOC1"/>
        <w:rPr>
          <w:rFonts w:asciiTheme="minorHAnsi" w:eastAsiaTheme="minorEastAsia" w:hAnsiTheme="minorHAnsi"/>
          <w:noProof/>
          <w:kern w:val="2"/>
          <w:sz w:val="24"/>
          <w14:ligatures w14:val="standardContextual"/>
        </w:rPr>
      </w:pPr>
      <w:r w:rsidRPr="005D38A4">
        <w:rPr>
          <w:rFonts w:eastAsia="Times New Roman" w:cs="Times New Roman"/>
          <w:noProof/>
        </w:rPr>
        <w:t>APPENDIX G  BOOK-ENTRY-ONLY SYSTEM</w:t>
      </w:r>
      <w:r>
        <w:rPr>
          <w:noProof/>
        </w:rPr>
        <w:tab/>
      </w:r>
      <w:r>
        <w:rPr>
          <w:noProof/>
        </w:rPr>
        <w:fldChar w:fldCharType="begin"/>
      </w:r>
      <w:r>
        <w:rPr>
          <w:noProof/>
        </w:rPr>
        <w:instrText xml:space="preserve"> PAGEREF _Toc235521155 \h </w:instrText>
      </w:r>
      <w:r>
        <w:rPr>
          <w:noProof/>
        </w:rPr>
      </w:r>
      <w:r>
        <w:rPr>
          <w:noProof/>
        </w:rPr>
        <w:fldChar w:fldCharType="separate"/>
      </w:r>
      <w:r>
        <w:rPr>
          <w:noProof/>
        </w:rPr>
        <w:t>1</w:t>
      </w:r>
      <w:r>
        <w:rPr>
          <w:noProof/>
        </w:rPr>
        <w:fldChar w:fldCharType="end"/>
      </w:r>
    </w:p>
    <w:p w14:paraId="0C299B26" w14:textId="07A34BFA" w:rsidR="00567D7F" w:rsidRPr="009566D7" w:rsidRDefault="00567D7F" w:rsidP="0080352B">
      <w:pPr>
        <w:pStyle w:val="TOC1"/>
        <w:rPr>
          <w:sz w:val="15"/>
          <w:szCs w:val="15"/>
        </w:rPr>
        <w:sectPr w:rsidR="00567D7F" w:rsidRPr="009566D7" w:rsidSect="00C03C57">
          <w:footerReference w:type="default" r:id="rId17"/>
          <w:headerReference w:type="first" r:id="rId18"/>
          <w:footerReference w:type="first" r:id="rId19"/>
          <w:footnotePr>
            <w:numFmt w:val="chicago"/>
            <w:numRestart w:val="eachPage"/>
          </w:footnotePr>
          <w:type w:val="continuous"/>
          <w:pgSz w:w="12240" w:h="15840" w:code="1"/>
          <w:pgMar w:top="1440" w:right="1080" w:bottom="1440" w:left="1170" w:header="720" w:footer="540" w:gutter="0"/>
          <w:pgNumType w:fmt="lowerRoman"/>
          <w:cols w:num="2" w:space="288"/>
          <w:titlePg/>
          <w:docGrid w:linePitch="360"/>
        </w:sectPr>
      </w:pPr>
      <w:r>
        <w:rPr>
          <w:sz w:val="15"/>
          <w:szCs w:val="15"/>
        </w:rPr>
        <w:fldChar w:fldCharType="end"/>
      </w:r>
    </w:p>
    <w:p w14:paraId="5CE2AF27" w14:textId="37DAC207" w:rsidR="00555114" w:rsidRDefault="00555114" w:rsidP="00992524">
      <w:pPr>
        <w:tabs>
          <w:tab w:val="left" w:pos="1620"/>
          <w:tab w:val="right" w:pos="9360"/>
        </w:tabs>
        <w:jc w:val="center"/>
        <w:rPr>
          <w:b/>
          <w:szCs w:val="20"/>
          <w:highlight w:val="yellow"/>
        </w:rPr>
        <w:sectPr w:rsidR="00555114" w:rsidSect="00884D03">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540" w:gutter="0"/>
          <w:pgNumType w:fmt="lowerRoman"/>
          <w:cols w:space="720"/>
          <w:docGrid w:linePitch="272"/>
        </w:sectPr>
      </w:pPr>
    </w:p>
    <w:p w14:paraId="24C1B60D" w14:textId="0131F3CD" w:rsidR="00A22BA8" w:rsidRDefault="00A22BA8" w:rsidP="00F43264">
      <w:pPr>
        <w:widowControl w:val="0"/>
        <w:spacing w:after="120"/>
        <w:jc w:val="center"/>
        <w:rPr>
          <w:b/>
          <w:sz w:val="22"/>
        </w:rPr>
      </w:pPr>
      <w:r>
        <w:rPr>
          <w:b/>
          <w:sz w:val="22"/>
        </w:rPr>
        <w:t>DISTRICT VICINITY MAP</w:t>
      </w:r>
    </w:p>
    <w:p w14:paraId="7462B08C" w14:textId="091BEA18" w:rsidR="00D23CF7" w:rsidRDefault="00D23CF7" w:rsidP="00F43264">
      <w:pPr>
        <w:widowControl w:val="0"/>
        <w:spacing w:after="120"/>
        <w:jc w:val="center"/>
        <w:rPr>
          <w:b/>
          <w:sz w:val="22"/>
        </w:rPr>
      </w:pPr>
    </w:p>
    <w:p w14:paraId="0EF043B5" w14:textId="77777777" w:rsidR="00D23CF7" w:rsidRPr="00DA2177" w:rsidRDefault="00D23CF7" w:rsidP="00F43264">
      <w:pPr>
        <w:widowControl w:val="0"/>
        <w:spacing w:after="120"/>
        <w:jc w:val="center"/>
        <w:rPr>
          <w:b/>
          <w:sz w:val="22"/>
        </w:rPr>
      </w:pPr>
    </w:p>
    <w:p w14:paraId="4E7ABC12" w14:textId="7F987422" w:rsidR="00B3103B" w:rsidRDefault="00B3103B" w:rsidP="000B37AB">
      <w:pPr>
        <w:ind w:hanging="540"/>
        <w:jc w:val="center"/>
        <w:textAlignment w:val="baseline"/>
        <w:rPr>
          <w:rFonts w:eastAsia="Times New Roman"/>
          <w:b/>
          <w:color w:val="040503"/>
        </w:rPr>
      </w:pPr>
    </w:p>
    <w:p w14:paraId="2788AF6E" w14:textId="36478C4D" w:rsidR="00B068EE" w:rsidRDefault="00D23CF7" w:rsidP="00D23CF7">
      <w:pPr>
        <w:jc w:val="center"/>
        <w:sectPr w:rsidR="00B068EE" w:rsidSect="00D23CF7">
          <w:footerReference w:type="default" r:id="rId25"/>
          <w:pgSz w:w="12240" w:h="15840" w:code="1"/>
          <w:pgMar w:top="1440" w:right="1440" w:bottom="1440" w:left="1440" w:header="720" w:footer="720" w:gutter="0"/>
          <w:pgNumType w:fmt="lowerRoman"/>
          <w:cols w:space="720"/>
          <w:docGrid w:linePitch="272"/>
        </w:sectPr>
      </w:pPr>
      <w:r>
        <w:rPr>
          <w:noProof/>
        </w:rPr>
        <w:drawing>
          <wp:inline distT="0" distB="0" distL="0" distR="0" wp14:anchorId="71DE48F3" wp14:editId="0B9B2AAA">
            <wp:extent cx="5445878" cy="6296025"/>
            <wp:effectExtent l="0" t="0" r="2540" b="0"/>
            <wp:docPr id="2" name="Picture 2"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454033" cy="6305453"/>
                    </a:xfrm>
                    <a:prstGeom prst="rect">
                      <a:avLst/>
                    </a:prstGeom>
                  </pic:spPr>
                </pic:pic>
              </a:graphicData>
            </a:graphic>
          </wp:inline>
        </w:drawing>
      </w:r>
    </w:p>
    <w:p w14:paraId="41DFE678" w14:textId="32375303" w:rsidR="0060010E" w:rsidRDefault="006F79C9" w:rsidP="00B55A71">
      <w:pPr>
        <w:spacing w:after="240"/>
        <w:jc w:val="center"/>
        <w:rPr>
          <w:rFonts w:eastAsia="Times New Roman"/>
          <w:b/>
          <w:color w:val="040503"/>
          <w:sz w:val="22"/>
        </w:rPr>
      </w:pPr>
      <w:r>
        <w:rPr>
          <w:rFonts w:eastAsia="Times New Roman"/>
          <w:b/>
          <w:color w:val="040503"/>
          <w:sz w:val="22"/>
        </w:rPr>
        <w:t>AERIAL MAP OF DEVELOPMENT LOCATION</w:t>
      </w:r>
    </w:p>
    <w:p w14:paraId="77E51E3D" w14:textId="0D13ECE3" w:rsidR="00AD2204" w:rsidRDefault="00AD2204" w:rsidP="00C71B3E">
      <w:pPr>
        <w:ind w:hanging="360"/>
        <w:rPr>
          <w:rFonts w:eastAsia="Times New Roman"/>
          <w:color w:val="000000"/>
        </w:rPr>
      </w:pPr>
      <w:r>
        <w:rPr>
          <w:rFonts w:eastAsia="Times New Roman"/>
          <w:color w:val="000000"/>
        </w:rPr>
        <w:br w:type="page"/>
      </w:r>
    </w:p>
    <w:p w14:paraId="642A1298" w14:textId="2F984B35" w:rsidR="00AD2204" w:rsidRDefault="00C13B74" w:rsidP="00AD2204">
      <w:pPr>
        <w:spacing w:after="120"/>
        <w:jc w:val="center"/>
        <w:rPr>
          <w:b/>
          <w:sz w:val="22"/>
          <w:vertAlign w:val="superscript"/>
        </w:rPr>
      </w:pPr>
      <w:r>
        <w:rPr>
          <w:b/>
          <w:sz w:val="22"/>
        </w:rPr>
        <w:t>OLYMPIA PUBLIC INFRASTRUCTURE DISTRICT NO. 2 LAND USE PLAN</w:t>
      </w:r>
      <w:r>
        <w:rPr>
          <w:b/>
          <w:sz w:val="22"/>
          <w:vertAlign w:val="superscript"/>
        </w:rPr>
        <w:footnoteReference w:customMarkFollows="1" w:id="1"/>
        <w:t>†</w:t>
      </w:r>
    </w:p>
    <w:p w14:paraId="64E3AC15" w14:textId="3A829091" w:rsidR="009661F4" w:rsidRDefault="00B224A1" w:rsidP="007437CD">
      <w:pPr>
        <w:jc w:val="center"/>
        <w:rPr>
          <w:rFonts w:eastAsia="Times New Roman"/>
          <w:b/>
          <w:color w:val="000000"/>
        </w:rPr>
      </w:pPr>
      <w:r w:rsidRPr="00B224A1">
        <w:rPr>
          <w:rFonts w:eastAsia="Times New Roman"/>
          <w:b/>
          <w:noProof/>
          <w:color w:val="000000"/>
        </w:rPr>
        <w:drawing>
          <wp:inline distT="0" distB="0" distL="0" distR="0" wp14:anchorId="3DF0D933" wp14:editId="50AE6D39">
            <wp:extent cx="6116128" cy="5376438"/>
            <wp:effectExtent l="0" t="0" r="0" b="0"/>
            <wp:docPr id="971699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99984" name=""/>
                    <pic:cNvPicPr/>
                  </pic:nvPicPr>
                  <pic:blipFill>
                    <a:blip r:embed="rId27"/>
                    <a:stretch>
                      <a:fillRect/>
                    </a:stretch>
                  </pic:blipFill>
                  <pic:spPr>
                    <a:xfrm>
                      <a:off x="0" y="0"/>
                      <a:ext cx="6138915" cy="5396469"/>
                    </a:xfrm>
                    <a:prstGeom prst="rect">
                      <a:avLst/>
                    </a:prstGeom>
                  </pic:spPr>
                </pic:pic>
              </a:graphicData>
            </a:graphic>
          </wp:inline>
        </w:drawing>
      </w:r>
      <w:r w:rsidR="003C7BF6">
        <w:rPr>
          <w:rFonts w:eastAsia="Times New Roman"/>
          <w:b/>
          <w:color w:val="000000"/>
        </w:rPr>
        <w:br w:type="page"/>
      </w:r>
    </w:p>
    <w:p w14:paraId="21533EAE" w14:textId="269FBB11" w:rsidR="007730F7" w:rsidRPr="000561DE" w:rsidRDefault="007730F7" w:rsidP="000561DE">
      <w:pPr>
        <w:spacing w:after="120"/>
        <w:jc w:val="center"/>
        <w:rPr>
          <w:b/>
          <w:sz w:val="22"/>
          <w:vertAlign w:val="superscript"/>
        </w:rPr>
      </w:pPr>
      <w:r>
        <w:rPr>
          <w:b/>
          <w:sz w:val="22"/>
        </w:rPr>
        <w:t>OLYMPIA MASTER DEVELOPMENT LAND USE PLAN</w:t>
      </w:r>
      <w:r>
        <w:rPr>
          <w:b/>
          <w:sz w:val="22"/>
          <w:vertAlign w:val="superscript"/>
        </w:rPr>
        <w:footnoteReference w:customMarkFollows="1" w:id="2"/>
        <w:t>†</w:t>
      </w:r>
    </w:p>
    <w:p w14:paraId="125228F8" w14:textId="69141E9A" w:rsidR="00F20718" w:rsidRDefault="00F20718" w:rsidP="00581943">
      <w:pPr>
        <w:ind w:hanging="630"/>
        <w:jc w:val="center"/>
      </w:pPr>
    </w:p>
    <w:p w14:paraId="63C4C4C6" w14:textId="045B3F09" w:rsidR="005A220D" w:rsidRPr="00F20718" w:rsidRDefault="00F30213" w:rsidP="00F30213">
      <w:pPr>
        <w:jc w:val="center"/>
        <w:sectPr w:rsidR="005A220D" w:rsidRPr="00F20718" w:rsidSect="007437CD">
          <w:footerReference w:type="default" r:id="rId28"/>
          <w:pgSz w:w="15840" w:h="12240" w:orient="landscape" w:code="1"/>
          <w:pgMar w:top="1152" w:right="1440" w:bottom="1152" w:left="1440" w:header="720" w:footer="720" w:gutter="0"/>
          <w:pgNumType w:fmt="lowerRoman"/>
          <w:cols w:space="720"/>
          <w:docGrid w:linePitch="272"/>
        </w:sectPr>
      </w:pPr>
      <w:r w:rsidRPr="00F30213">
        <w:rPr>
          <w:rFonts w:eastAsia="Times New Roman"/>
          <w:b/>
          <w:noProof/>
          <w:color w:val="000000"/>
        </w:rPr>
        <w:drawing>
          <wp:inline distT="0" distB="0" distL="0" distR="0" wp14:anchorId="3B8DE15C" wp14:editId="6EE1D85B">
            <wp:extent cx="8229600" cy="5071745"/>
            <wp:effectExtent l="0" t="0" r="0" b="0"/>
            <wp:docPr id="1154329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29327" name=""/>
                    <pic:cNvPicPr/>
                  </pic:nvPicPr>
                  <pic:blipFill>
                    <a:blip r:embed="rId29"/>
                    <a:stretch>
                      <a:fillRect/>
                    </a:stretch>
                  </pic:blipFill>
                  <pic:spPr>
                    <a:xfrm>
                      <a:off x="0" y="0"/>
                      <a:ext cx="8229600" cy="5071745"/>
                    </a:xfrm>
                    <a:prstGeom prst="rect">
                      <a:avLst/>
                    </a:prstGeom>
                  </pic:spPr>
                </pic:pic>
              </a:graphicData>
            </a:graphic>
          </wp:inline>
        </w:drawing>
      </w:r>
    </w:p>
    <w:p w14:paraId="0D50757B" w14:textId="615584AF" w:rsidR="00474B3D" w:rsidRPr="00DA2177" w:rsidRDefault="00C13B74" w:rsidP="00263946">
      <w:pPr>
        <w:pStyle w:val="00Center"/>
        <w:rPr>
          <w:rFonts w:ascii="Times New Roman" w:hAnsi="Times New Roman" w:cs="Times New Roman"/>
          <w:sz w:val="22"/>
          <w:szCs w:val="22"/>
        </w:rPr>
      </w:pPr>
      <w:r>
        <w:rPr>
          <w:rFonts w:ascii="Times New Roman" w:hAnsi="Times New Roman" w:cs="Times New Roman"/>
          <w:sz w:val="22"/>
          <w:szCs w:val="22"/>
        </w:rPr>
        <w:t>OFFICIAL STATEMENT</w:t>
      </w:r>
    </w:p>
    <w:tbl>
      <w:tblPr>
        <w:tblW w:w="4833" w:type="pct"/>
        <w:jc w:val="center"/>
        <w:tblLook w:val="04A0" w:firstRow="1" w:lastRow="0" w:firstColumn="1" w:lastColumn="0" w:noHBand="0" w:noVBand="1"/>
      </w:tblPr>
      <w:tblGrid>
        <w:gridCol w:w="9047"/>
      </w:tblGrid>
      <w:tr w:rsidR="00F938AA" w:rsidRPr="00521F29" w14:paraId="181AB903" w14:textId="77777777" w:rsidTr="008C3E13">
        <w:trPr>
          <w:trHeight w:val="270"/>
          <w:jc w:val="center"/>
        </w:trPr>
        <w:tc>
          <w:tcPr>
            <w:tcW w:w="5000" w:type="pct"/>
          </w:tcPr>
          <w:p w14:paraId="57093A9F" w14:textId="4A840E76" w:rsidR="00F938AA" w:rsidRPr="00521F29" w:rsidRDefault="00C13B74" w:rsidP="00B23B2C">
            <w:pPr>
              <w:spacing w:after="120"/>
              <w:jc w:val="center"/>
              <w:rPr>
                <w:b/>
                <w:sz w:val="28"/>
                <w:szCs w:val="28"/>
              </w:rPr>
            </w:pPr>
            <w:r>
              <w:rPr>
                <w:b/>
                <w:sz w:val="28"/>
                <w:szCs w:val="28"/>
              </w:rPr>
              <w:t>OLYMPIA PUBLIC INFRASTRUCTURE DISTRICT NO. 2</w:t>
            </w:r>
          </w:p>
        </w:tc>
      </w:tr>
      <w:tr w:rsidR="00F938AA" w:rsidRPr="002A560E" w14:paraId="67AF09D9" w14:textId="77777777" w:rsidTr="008C3E13">
        <w:trPr>
          <w:trHeight w:val="270"/>
          <w:jc w:val="center"/>
        </w:trPr>
        <w:tc>
          <w:tcPr>
            <w:tcW w:w="5000" w:type="pct"/>
          </w:tcPr>
          <w:tbl>
            <w:tblPr>
              <w:tblW w:w="4833" w:type="pct"/>
              <w:jc w:val="center"/>
              <w:tblLook w:val="04A0" w:firstRow="1" w:lastRow="0" w:firstColumn="1" w:lastColumn="0" w:noHBand="0" w:noVBand="1"/>
            </w:tblPr>
            <w:tblGrid>
              <w:gridCol w:w="3139"/>
              <w:gridCol w:w="2549"/>
              <w:gridCol w:w="2848"/>
            </w:tblGrid>
            <w:tr w:rsidR="00387BAD" w:rsidRPr="00387BAD" w14:paraId="66E1D389" w14:textId="77777777" w:rsidTr="004B291E">
              <w:trPr>
                <w:trHeight w:val="909"/>
                <w:jc w:val="center"/>
              </w:trPr>
              <w:tc>
                <w:tcPr>
                  <w:tcW w:w="1839" w:type="pct"/>
                </w:tcPr>
                <w:p w14:paraId="6198AB11" w14:textId="77777777" w:rsidR="00387BAD" w:rsidRPr="00387BAD" w:rsidRDefault="00387BAD" w:rsidP="00387BAD">
                  <w:pPr>
                    <w:jc w:val="center"/>
                    <w:rPr>
                      <w:rFonts w:eastAsia="Arial"/>
                      <w:b/>
                      <w:position w:val="1"/>
                      <w:szCs w:val="20"/>
                    </w:rPr>
                  </w:pPr>
                  <w:r w:rsidRPr="00387BAD">
                    <w:rPr>
                      <w:b/>
                      <w:szCs w:val="20"/>
                    </w:rPr>
                    <w:t>$[PAR A-1]</w:t>
                  </w:r>
                </w:p>
                <w:p w14:paraId="38E78BC2" w14:textId="77777777" w:rsidR="00387BAD" w:rsidRPr="00387BAD" w:rsidRDefault="00387BAD" w:rsidP="00387BAD">
                  <w:pPr>
                    <w:jc w:val="center"/>
                    <w:rPr>
                      <w:rFonts w:eastAsia="Arial"/>
                      <w:b/>
                      <w:position w:val="1"/>
                      <w:szCs w:val="20"/>
                    </w:rPr>
                  </w:pPr>
                  <w:r w:rsidRPr="00387BAD">
                    <w:rPr>
                      <w:rFonts w:eastAsia="Arial"/>
                      <w:b/>
                      <w:position w:val="1"/>
                      <w:szCs w:val="20"/>
                    </w:rPr>
                    <w:t xml:space="preserve">LIMITED TAX </w:t>
                  </w:r>
                  <w:r w:rsidRPr="00387BAD">
                    <w:rPr>
                      <w:rFonts w:eastAsia="Arial"/>
                      <w:b/>
                      <w:position w:val="1"/>
                      <w:szCs w:val="20"/>
                    </w:rPr>
                    <w:br/>
                    <w:t>GENERAL OBLIGATION BONDS,</w:t>
                  </w:r>
                </w:p>
                <w:p w14:paraId="25E9707D" w14:textId="77777777" w:rsidR="00387BAD" w:rsidRPr="00387BAD" w:rsidRDefault="00387BAD" w:rsidP="00387BAD">
                  <w:pPr>
                    <w:jc w:val="center"/>
                    <w:rPr>
                      <w:rFonts w:eastAsia="Arial"/>
                      <w:b/>
                      <w:position w:val="1"/>
                      <w:szCs w:val="20"/>
                    </w:rPr>
                  </w:pPr>
                  <w:r w:rsidRPr="00387BAD">
                    <w:rPr>
                      <w:rFonts w:eastAsia="Arial"/>
                      <w:b/>
                      <w:position w:val="1"/>
                      <w:szCs w:val="20"/>
                    </w:rPr>
                    <w:t>SERIES 2026A-1</w:t>
                  </w:r>
                </w:p>
              </w:tc>
              <w:tc>
                <w:tcPr>
                  <w:tcW w:w="1493" w:type="pct"/>
                </w:tcPr>
                <w:p w14:paraId="078D2B2E" w14:textId="77777777" w:rsidR="00387BAD" w:rsidRPr="00387BAD" w:rsidRDefault="00387BAD" w:rsidP="00387BAD">
                  <w:pPr>
                    <w:jc w:val="center"/>
                    <w:rPr>
                      <w:b/>
                      <w:szCs w:val="20"/>
                    </w:rPr>
                  </w:pPr>
                  <w:r w:rsidRPr="00387BAD">
                    <w:rPr>
                      <w:b/>
                      <w:szCs w:val="20"/>
                    </w:rPr>
                    <w:t>$[PAR A-2]</w:t>
                  </w:r>
                </w:p>
                <w:p w14:paraId="4DBE26ED" w14:textId="77777777" w:rsidR="00387BAD" w:rsidRPr="00387BAD" w:rsidRDefault="00387BAD" w:rsidP="00387BAD">
                  <w:pPr>
                    <w:jc w:val="center"/>
                    <w:rPr>
                      <w:szCs w:val="20"/>
                    </w:rPr>
                  </w:pPr>
                  <w:r w:rsidRPr="00387BAD">
                    <w:rPr>
                      <w:b/>
                      <w:szCs w:val="20"/>
                    </w:rPr>
                    <w:t xml:space="preserve">SPECIAL REVENUE BONDS, </w:t>
                  </w:r>
                  <w:r w:rsidRPr="00387BAD">
                    <w:rPr>
                      <w:b/>
                      <w:szCs w:val="20"/>
                    </w:rPr>
                    <w:br/>
                    <w:t>SERIES 2026A-2</w:t>
                  </w:r>
                </w:p>
              </w:tc>
              <w:tc>
                <w:tcPr>
                  <w:tcW w:w="1668" w:type="pct"/>
                </w:tcPr>
                <w:p w14:paraId="12E83A2D" w14:textId="77777777" w:rsidR="00387BAD" w:rsidRPr="00387BAD" w:rsidRDefault="00387BAD" w:rsidP="00387BAD">
                  <w:pPr>
                    <w:jc w:val="center"/>
                    <w:rPr>
                      <w:b/>
                      <w:szCs w:val="20"/>
                    </w:rPr>
                  </w:pPr>
                  <w:r w:rsidRPr="00387BAD">
                    <w:rPr>
                      <w:b/>
                      <w:szCs w:val="20"/>
                    </w:rPr>
                    <w:t>$[PAR B]</w:t>
                  </w:r>
                </w:p>
                <w:p w14:paraId="720C8F49" w14:textId="77777777" w:rsidR="00387BAD" w:rsidRPr="00387BAD" w:rsidRDefault="00387BAD" w:rsidP="00387BAD">
                  <w:pPr>
                    <w:jc w:val="center"/>
                    <w:rPr>
                      <w:b/>
                      <w:szCs w:val="20"/>
                    </w:rPr>
                  </w:pPr>
                  <w:r w:rsidRPr="00387BAD">
                    <w:rPr>
                      <w:b/>
                      <w:szCs w:val="20"/>
                    </w:rPr>
                    <w:t>SUBORDINATE LIMITED TAX GENERAL OBLIGATION BONDS,</w:t>
                  </w:r>
                  <w:r w:rsidRPr="00387BAD">
                    <w:rPr>
                      <w:b/>
                      <w:szCs w:val="20"/>
                    </w:rPr>
                    <w:br/>
                    <w:t>SERIES 2026B</w:t>
                  </w:r>
                </w:p>
              </w:tc>
            </w:tr>
          </w:tbl>
          <w:p w14:paraId="3EE4B98C" w14:textId="77777777" w:rsidR="00F938AA" w:rsidRPr="002A560E" w:rsidRDefault="00F938AA" w:rsidP="008C3E13">
            <w:pPr>
              <w:jc w:val="center"/>
            </w:pPr>
          </w:p>
        </w:tc>
      </w:tr>
    </w:tbl>
    <w:p w14:paraId="7CFD417A" w14:textId="77777777" w:rsidR="00F938AA" w:rsidRPr="00A10D69" w:rsidRDefault="00F938AA" w:rsidP="00A10D69"/>
    <w:p w14:paraId="1D6565E1" w14:textId="566BB4A0" w:rsidR="0075493D" w:rsidRPr="00DA2177" w:rsidRDefault="003904FF" w:rsidP="00244505">
      <w:pPr>
        <w:pStyle w:val="Heading1"/>
        <w:rPr>
          <w:rFonts w:eastAsia="Times New Roman" w:cs="Times New Roman"/>
          <w:sz w:val="22"/>
          <w:szCs w:val="22"/>
        </w:rPr>
      </w:pPr>
      <w:bookmarkStart w:id="12" w:name="_Toc235521010"/>
      <w:r>
        <w:rPr>
          <w:rFonts w:eastAsia="Times New Roman" w:cs="Times New Roman"/>
          <w:sz w:val="22"/>
          <w:szCs w:val="22"/>
        </w:rPr>
        <w:t>INTRODUCTION</w:t>
      </w:r>
      <w:bookmarkEnd w:id="12"/>
    </w:p>
    <w:p w14:paraId="6CE48C76" w14:textId="342443E2" w:rsidR="00B722A2" w:rsidRPr="00DA2177" w:rsidRDefault="00B722A2" w:rsidP="00B722A2">
      <w:pPr>
        <w:pStyle w:val="Heading2"/>
        <w:rPr>
          <w:sz w:val="22"/>
          <w:szCs w:val="22"/>
        </w:rPr>
      </w:pPr>
      <w:bookmarkStart w:id="13" w:name="_Toc235521011"/>
      <w:r>
        <w:rPr>
          <w:sz w:val="22"/>
          <w:szCs w:val="22"/>
        </w:rPr>
        <w:t>General</w:t>
      </w:r>
      <w:bookmarkEnd w:id="13"/>
    </w:p>
    <w:p w14:paraId="560221C2" w14:textId="3394992C" w:rsidR="0075493D" w:rsidRPr="00C75606" w:rsidRDefault="003904FF" w:rsidP="00C60D8B">
      <w:pPr>
        <w:pStyle w:val="00BodyText5"/>
        <w:rPr>
          <w:rFonts w:cs="Times New Roman"/>
          <w:szCs w:val="22"/>
        </w:rPr>
      </w:pPr>
      <w:r w:rsidRPr="00C75606">
        <w:rPr>
          <w:rFonts w:cs="Times New Roman"/>
          <w:szCs w:val="22"/>
        </w:rPr>
        <w:t>This Official Statement is furnished by Olympia Public Infrastructure District No. 2 (the “</w:t>
      </w:r>
      <w:r w:rsidRPr="00C75606">
        <w:rPr>
          <w:rFonts w:cs="Times New Roman"/>
          <w:b/>
          <w:szCs w:val="22"/>
        </w:rPr>
        <w:t>District</w:t>
      </w:r>
      <w:r w:rsidRPr="00C75606">
        <w:rPr>
          <w:rFonts w:cs="Times New Roman"/>
          <w:szCs w:val="22"/>
        </w:rPr>
        <w:t>”) to provide certain information concerning its $[PAR A-1]</w:t>
      </w:r>
      <w:r w:rsidRPr="00C75606">
        <w:rPr>
          <w:rStyle w:val="FootnoteReference"/>
          <w:rFonts w:cs="Times New Roman"/>
          <w:szCs w:val="22"/>
        </w:rPr>
        <w:footnoteReference w:customMarkFollows="1" w:id="3"/>
        <w:t>*</w:t>
      </w:r>
      <w:r w:rsidRPr="00C75606">
        <w:rPr>
          <w:rFonts w:cs="Times New Roman"/>
          <w:szCs w:val="22"/>
        </w:rPr>
        <w:t xml:space="preserve"> Limited Tax General Obligation Bonds, Series 2026A-1 (the “</w:t>
      </w:r>
      <w:r w:rsidR="00787226" w:rsidRPr="00C75606">
        <w:rPr>
          <w:rFonts w:cs="Times New Roman"/>
          <w:b/>
          <w:szCs w:val="22"/>
        </w:rPr>
        <w:t>2026A-1 Senior LT Bond</w:t>
      </w:r>
      <w:r w:rsidRPr="00C75606">
        <w:rPr>
          <w:rFonts w:cs="Times New Roman"/>
          <w:b/>
          <w:szCs w:val="22"/>
        </w:rPr>
        <w:t>s</w:t>
      </w:r>
      <w:r w:rsidRPr="00C75606">
        <w:rPr>
          <w:rFonts w:cs="Times New Roman"/>
          <w:szCs w:val="22"/>
        </w:rPr>
        <w:t>”)</w:t>
      </w:r>
      <w:r w:rsidR="000E6F29" w:rsidRPr="00C75606">
        <w:rPr>
          <w:rFonts w:cs="Times New Roman"/>
          <w:szCs w:val="22"/>
        </w:rPr>
        <w:t>,</w:t>
      </w:r>
      <w:r w:rsidRPr="00C75606">
        <w:rPr>
          <w:rFonts w:cs="Times New Roman"/>
          <w:szCs w:val="22"/>
        </w:rPr>
        <w:t xml:space="preserve"> $[PAR A-2]</w:t>
      </w:r>
      <w:r w:rsidRPr="00C75606">
        <w:rPr>
          <w:rFonts w:cs="Times New Roman"/>
          <w:szCs w:val="22"/>
          <w:vertAlign w:val="superscript"/>
        </w:rPr>
        <w:t>*</w:t>
      </w:r>
      <w:r w:rsidRPr="00C75606">
        <w:rPr>
          <w:rFonts w:cs="Times New Roman"/>
          <w:szCs w:val="22"/>
        </w:rPr>
        <w:t xml:space="preserve"> Special Revenue Bonds, Series 2026A-2 (the “</w:t>
      </w:r>
      <w:r w:rsidRPr="00C75606">
        <w:rPr>
          <w:rFonts w:cs="Times New Roman"/>
          <w:b/>
          <w:szCs w:val="22"/>
        </w:rPr>
        <w:t>2026A-2 SR Bonds</w:t>
      </w:r>
      <w:r w:rsidRPr="00C75606">
        <w:rPr>
          <w:rFonts w:cs="Times New Roman"/>
          <w:szCs w:val="22"/>
        </w:rPr>
        <w:t>”)</w:t>
      </w:r>
      <w:r w:rsidR="000E6F29" w:rsidRPr="00C75606">
        <w:rPr>
          <w:rFonts w:cs="Times New Roman"/>
          <w:szCs w:val="22"/>
        </w:rPr>
        <w:t>, and $[PAR-B]</w:t>
      </w:r>
      <w:r w:rsidR="000E6F29" w:rsidRPr="00C75606">
        <w:rPr>
          <w:rFonts w:cs="Times New Roman"/>
          <w:szCs w:val="22"/>
          <w:vertAlign w:val="superscript"/>
        </w:rPr>
        <w:t>*</w:t>
      </w:r>
      <w:r w:rsidR="000E6F29" w:rsidRPr="00C75606">
        <w:rPr>
          <w:rFonts w:cs="Times New Roman"/>
          <w:szCs w:val="22"/>
        </w:rPr>
        <w:t xml:space="preserve"> Subordinate Limited Tax General Obligation Bonds, Series 2026B (the “</w:t>
      </w:r>
      <w:r w:rsidR="000E6F29" w:rsidRPr="00C75606">
        <w:rPr>
          <w:rFonts w:cs="Times New Roman"/>
          <w:b/>
          <w:szCs w:val="22"/>
        </w:rPr>
        <w:t>2026B Subordinate LT Bonds</w:t>
      </w:r>
      <w:r w:rsidR="000E6F29" w:rsidRPr="00C75606">
        <w:rPr>
          <w:rFonts w:cs="Times New Roman"/>
          <w:szCs w:val="22"/>
        </w:rPr>
        <w:t>” and, together with the 2026A-1 Senior LT Bonds, the “</w:t>
      </w:r>
      <w:r w:rsidR="000E6F29" w:rsidRPr="00C75606">
        <w:rPr>
          <w:rFonts w:cs="Times New Roman"/>
          <w:b/>
          <w:szCs w:val="22"/>
        </w:rPr>
        <w:t>LT Bonds</w:t>
      </w:r>
      <w:r w:rsidR="000E6F29" w:rsidRPr="00C75606">
        <w:rPr>
          <w:rFonts w:cs="Times New Roman"/>
          <w:szCs w:val="22"/>
        </w:rPr>
        <w:t>”). The 2026A-1 Senior LT Bonds, the 2026A-2 SR Bonds, and the 2026B Subordinate LT Bonds are collectively referred to herein as the “</w:t>
      </w:r>
      <w:r w:rsidR="000E6F29" w:rsidRPr="00C75606">
        <w:rPr>
          <w:rFonts w:cs="Times New Roman"/>
          <w:b/>
          <w:szCs w:val="22"/>
        </w:rPr>
        <w:t>Bonds</w:t>
      </w:r>
      <w:r w:rsidR="000E6F29" w:rsidRPr="00C75606">
        <w:rPr>
          <w:rFonts w:cs="Times New Roman"/>
          <w:szCs w:val="22"/>
        </w:rPr>
        <w:t>” and the Senior LT Indenture, the SR Indenture, and the Subordinate LT Indenture are collectively referred to herein as the “</w:t>
      </w:r>
      <w:r w:rsidR="000E6F29" w:rsidRPr="00C75606">
        <w:rPr>
          <w:rFonts w:cs="Times New Roman"/>
          <w:b/>
          <w:szCs w:val="22"/>
        </w:rPr>
        <w:t>Indentures</w:t>
      </w:r>
      <w:r w:rsidR="000E6F29" w:rsidRPr="00C75606">
        <w:rPr>
          <w:rFonts w:cs="Times New Roman"/>
          <w:bCs/>
          <w:szCs w:val="22"/>
        </w:rPr>
        <w:t>.</w:t>
      </w:r>
      <w:r w:rsidR="000E6F29" w:rsidRPr="00C75606">
        <w:rPr>
          <w:rFonts w:cs="Times New Roman"/>
          <w:szCs w:val="22"/>
        </w:rPr>
        <w:t xml:space="preserve">” </w:t>
      </w:r>
      <w:r w:rsidRPr="00C75606">
        <w:rPr>
          <w:rFonts w:cs="Times New Roman"/>
          <w:szCs w:val="22"/>
        </w:rPr>
        <w:t xml:space="preserve">The offering of the Bonds is made only by this Official Statement, which supersedes any other information or materials used in connection with the offer or sale of the Bonds. This Official Statement speaks only as of its date, and the information contained herein is subject to change. </w:t>
      </w:r>
    </w:p>
    <w:p w14:paraId="1B11641E" w14:textId="4157F695" w:rsidR="000E6F29" w:rsidRPr="00C75606" w:rsidRDefault="000E6F29" w:rsidP="000E6F29">
      <w:pPr>
        <w:pStyle w:val="00BodyText5"/>
        <w:rPr>
          <w:rFonts w:cs="Times New Roman"/>
          <w:b/>
          <w:szCs w:val="22"/>
        </w:rPr>
      </w:pPr>
      <w:r w:rsidRPr="00C75606">
        <w:rPr>
          <w:rFonts w:cs="Times New Roman"/>
          <w:b/>
          <w:szCs w:val="22"/>
        </w:rPr>
        <w:t>While a single Official Statement is being used in connection with the offer and sale of the 2026A-1 Senior LT Bonds, the 2026A-2 SR Bonds, and the 2026B Subordinate LT Bonds, such series of Bonds are secured by three separate Indentures: the Senior LT Indenture, the SR Indenture, and the Subordinate LT Indenture, respectively, as more particularly described herein. The use of a single Official Statement does not imply that the Owners of the 2026A-1 Senior LT Bonds, the 2026A-2 SR Bonds, and the 2026B Subordinate LT Bonds are secured by the same revenue sources, funds, or covenants. Owners of the 2026A-1 Senior LT Bonds, the 2026A-2 SR Bonds, and the 2026B Subordinate LT Bonds are afforded different rights under the Senior LT Indenture, the SR Indenture, and the Subordinate LT Indenture, respectively. Potential purchasers of the Bonds are cautioned to review carefully the provisions herein describing the Senior LT Indenture, the SR Indenture, and the Subordinate LT Indenture as applicable to the Bonds to be purchased.</w:t>
      </w:r>
    </w:p>
    <w:p w14:paraId="2AD5F215" w14:textId="311C71BB" w:rsidR="0075493D" w:rsidRPr="00C75606" w:rsidRDefault="003904FF" w:rsidP="00026C73">
      <w:pPr>
        <w:pStyle w:val="00BodyText5"/>
        <w:rPr>
          <w:rFonts w:cs="Times New Roman"/>
          <w:szCs w:val="22"/>
        </w:rPr>
      </w:pPr>
      <w:r w:rsidRPr="00C75606">
        <w:rPr>
          <w:rFonts w:cs="Times New Roman"/>
          <w:szCs w:val="22"/>
        </w:rPr>
        <w:t>The information set forth in this Official Statement has been obtained from the District and the Developer (hereinafter defined), and from other sources believed to be reliable but is not guaranteed as to accuracy or completeness. This Official Statement, including the appendices hereto, contains, in part, estimates and matters of opinion which are not intended as statements of fact, and no representation or warranty is made as to the correctness of such estimates and opinions, or that they will be realized. See “FORWARD-LOOKING STATEMENTS” and “RISK FACTORS.” Any capitalized terms not defined herein have the respective meanings set forth in “</w:t>
      </w:r>
      <w:r w:rsidRPr="00C75606">
        <w:rPr>
          <w:rFonts w:eastAsia="Calibri" w:cs="Times New Roman"/>
          <w:szCs w:val="22"/>
        </w:rPr>
        <w:t>APPENDIX C—SELECTED DEFINITIONS”</w:t>
      </w:r>
      <w:r w:rsidRPr="00C75606">
        <w:rPr>
          <w:rFonts w:cs="Times New Roman"/>
          <w:szCs w:val="22"/>
        </w:rPr>
        <w:t xml:space="preserve"> hereto, unless the context clearly indicates a contrary meaning.</w:t>
      </w:r>
    </w:p>
    <w:p w14:paraId="37846E30" w14:textId="77777777" w:rsidR="00FB181E" w:rsidRPr="00C75606" w:rsidRDefault="00FB181E" w:rsidP="00FB181E">
      <w:pPr>
        <w:pStyle w:val="00BodyText5"/>
        <w:rPr>
          <w:i/>
          <w:szCs w:val="22"/>
        </w:rPr>
      </w:pPr>
      <w:r w:rsidRPr="00C75606">
        <w:rPr>
          <w:i/>
          <w:szCs w:val="22"/>
        </w:rPr>
        <w:t>The following introductory material is only a brief description and summary of certain information contained in this Official Statement, and is qualified in its entirety by reference to the more complete information contained throughout this Official Statement. The order and placement of materials in this Official Statement, including the appendices, are not to be deemed a determination of relevance, materiality or relative importance. A full review should be made of the entire Official Statement and the documents summarized or described herein.</w:t>
      </w:r>
    </w:p>
    <w:p w14:paraId="73A6EFAD" w14:textId="63EF0607" w:rsidR="00244505" w:rsidRPr="00C75606" w:rsidRDefault="003904FF" w:rsidP="00DD1E57">
      <w:pPr>
        <w:pStyle w:val="Heading2"/>
        <w:rPr>
          <w:rFonts w:eastAsia="Times New Roman"/>
          <w:sz w:val="22"/>
          <w:szCs w:val="22"/>
        </w:rPr>
      </w:pPr>
      <w:bookmarkStart w:id="14" w:name="_Toc235521012"/>
      <w:r w:rsidRPr="00C75606">
        <w:rPr>
          <w:rFonts w:eastAsia="Times New Roman"/>
          <w:sz w:val="22"/>
          <w:szCs w:val="22"/>
        </w:rPr>
        <w:t>The District</w:t>
      </w:r>
      <w:bookmarkEnd w:id="14"/>
    </w:p>
    <w:p w14:paraId="5216491F" w14:textId="7FDC5613" w:rsidR="00EA2B3B" w:rsidRPr="00C75606" w:rsidRDefault="008A37C7" w:rsidP="00EA2B3B">
      <w:pPr>
        <w:pStyle w:val="00BodyText5"/>
        <w:rPr>
          <w:rFonts w:cs="Times New Roman"/>
          <w:szCs w:val="22"/>
        </w:rPr>
      </w:pPr>
      <w:r w:rsidRPr="00C75606">
        <w:rPr>
          <w:rFonts w:cs="Times New Roman"/>
          <w:b/>
          <w:i/>
          <w:szCs w:val="22"/>
        </w:rPr>
        <w:t>Formation</w:t>
      </w:r>
      <w:r w:rsidRPr="00C75606">
        <w:rPr>
          <w:rFonts w:cs="Times New Roman"/>
          <w:szCs w:val="22"/>
        </w:rPr>
        <w:t>. On September 29, 2021, the City Council (the “</w:t>
      </w:r>
      <w:r w:rsidRPr="00C75606">
        <w:rPr>
          <w:rFonts w:cs="Times New Roman"/>
          <w:b/>
          <w:bCs/>
          <w:szCs w:val="22"/>
        </w:rPr>
        <w:t>City Council</w:t>
      </w:r>
      <w:r w:rsidRPr="00C75606">
        <w:rPr>
          <w:rFonts w:cs="Times New Roman"/>
          <w:szCs w:val="22"/>
        </w:rPr>
        <w:t>”) of Herriman City, Utah (the “</w:t>
      </w:r>
      <w:r w:rsidRPr="00C75606">
        <w:rPr>
          <w:rFonts w:cs="Times New Roman"/>
          <w:b/>
          <w:szCs w:val="22"/>
        </w:rPr>
        <w:t>City</w:t>
      </w:r>
      <w:r w:rsidRPr="00C75606">
        <w:rPr>
          <w:rFonts w:cs="Times New Roman"/>
          <w:szCs w:val="22"/>
        </w:rPr>
        <w:t>”), adopted a resolution authorizing the creation of the Olympia Public Infrastructure District No. 2 (the “</w:t>
      </w:r>
      <w:r w:rsidRPr="00C75606">
        <w:rPr>
          <w:rFonts w:cs="Times New Roman"/>
          <w:b/>
          <w:szCs w:val="22"/>
        </w:rPr>
        <w:t>District</w:t>
      </w:r>
      <w:r w:rsidRPr="00C75606">
        <w:rPr>
          <w:rFonts w:cs="Times New Roman"/>
          <w:szCs w:val="22"/>
        </w:rPr>
        <w:t xml:space="preserve">”) and the Olympia Public Infrastructure District Nos. </w:t>
      </w:r>
      <w:r w:rsidR="003E7D58" w:rsidRPr="00C75606">
        <w:rPr>
          <w:rFonts w:cs="Times New Roman"/>
          <w:szCs w:val="22"/>
        </w:rPr>
        <w:t>1 and 3</w:t>
      </w:r>
      <w:r w:rsidRPr="00C75606">
        <w:rPr>
          <w:rFonts w:cs="Times New Roman"/>
          <w:szCs w:val="22"/>
        </w:rPr>
        <w:t xml:space="preserve"> through 7 (together with the District, the “</w:t>
      </w:r>
      <w:r w:rsidRPr="00C75606">
        <w:rPr>
          <w:rFonts w:cs="Times New Roman"/>
          <w:b/>
          <w:bCs/>
          <w:szCs w:val="22"/>
        </w:rPr>
        <w:t>Olympia PIDs</w:t>
      </w:r>
      <w:r w:rsidRPr="00C75606">
        <w:rPr>
          <w:rFonts w:cs="Times New Roman"/>
          <w:szCs w:val="22"/>
        </w:rPr>
        <w:t>”), under Title 17D, Chapter 4 (the “</w:t>
      </w:r>
      <w:r w:rsidRPr="00C75606">
        <w:rPr>
          <w:rFonts w:cs="Times New Roman"/>
          <w:b/>
          <w:szCs w:val="22"/>
        </w:rPr>
        <w:t>Public Infrastructure District Act</w:t>
      </w:r>
      <w:r w:rsidRPr="00C75606">
        <w:rPr>
          <w:rFonts w:cs="Times New Roman"/>
          <w:szCs w:val="22"/>
        </w:rPr>
        <w:t>”), Utah Code Annotated 1953, as amended (“</w:t>
      </w:r>
      <w:r w:rsidRPr="00C75606">
        <w:rPr>
          <w:rFonts w:cs="Times New Roman"/>
          <w:b/>
          <w:szCs w:val="22"/>
        </w:rPr>
        <w:t>Utah Code</w:t>
      </w:r>
      <w:r w:rsidRPr="00C75606">
        <w:rPr>
          <w:rFonts w:cs="Times New Roman"/>
          <w:szCs w:val="22"/>
        </w:rPr>
        <w:t>”), and relevant portions of Title 17B, Chapter 1, Utah Code (the “</w:t>
      </w:r>
      <w:r w:rsidRPr="00C75606">
        <w:rPr>
          <w:rFonts w:cs="Times New Roman"/>
          <w:b/>
          <w:bCs/>
          <w:szCs w:val="22"/>
        </w:rPr>
        <w:t>Special District Act</w:t>
      </w:r>
      <w:r w:rsidRPr="00C75606">
        <w:rPr>
          <w:rFonts w:cs="Times New Roman"/>
          <w:szCs w:val="22"/>
        </w:rPr>
        <w:t>” and together with the Public Infrastructure District Act, the “</w:t>
      </w:r>
      <w:r w:rsidRPr="00C75606">
        <w:rPr>
          <w:rFonts w:cs="Times New Roman"/>
          <w:b/>
          <w:bCs/>
          <w:szCs w:val="22"/>
        </w:rPr>
        <w:t>District Act</w:t>
      </w:r>
      <w:r w:rsidRPr="00C75606">
        <w:rPr>
          <w:rFonts w:cs="Times New Roman"/>
          <w:szCs w:val="22"/>
        </w:rPr>
        <w:t>”), and approving the Olympia PIDs</w:t>
      </w:r>
      <w:r w:rsidR="00764F01">
        <w:rPr>
          <w:rFonts w:cs="Times New Roman"/>
          <w:szCs w:val="22"/>
        </w:rPr>
        <w:t>’</w:t>
      </w:r>
      <w:r w:rsidRPr="00C75606">
        <w:rPr>
          <w:rFonts w:cs="Times New Roman"/>
          <w:szCs w:val="22"/>
        </w:rPr>
        <w:t xml:space="preserve"> governing document. The Office of the Lieutenant Governor of the State of Utah issued a Certificate of Creation for the District on October 21, 2021 which was recorded in the real property records of the Salt Lake County Recorder on January 11, 2022. The City and the Olympia PIDs approved a</w:t>
      </w:r>
      <w:r w:rsidR="00F037F5" w:rsidRPr="00C75606">
        <w:rPr>
          <w:rFonts w:cs="Times New Roman"/>
          <w:szCs w:val="22"/>
        </w:rPr>
        <w:t xml:space="preserve"> Third</w:t>
      </w:r>
      <w:r w:rsidRPr="00C75606">
        <w:rPr>
          <w:rFonts w:cs="Times New Roman"/>
          <w:szCs w:val="22"/>
        </w:rPr>
        <w:t xml:space="preserve"> Amended and Restated Governing Document for the Olympia PIDs dated </w:t>
      </w:r>
      <w:r w:rsidR="000F6280">
        <w:rPr>
          <w:rFonts w:cs="Times New Roman"/>
          <w:szCs w:val="22"/>
        </w:rPr>
        <w:t>July 8</w:t>
      </w:r>
      <w:r w:rsidR="00F037F5" w:rsidRPr="00C75606">
        <w:rPr>
          <w:rFonts w:cs="Times New Roman"/>
          <w:szCs w:val="22"/>
        </w:rPr>
        <w:t>, 2026</w:t>
      </w:r>
      <w:r w:rsidRPr="00C75606">
        <w:rPr>
          <w:rFonts w:cs="Times New Roman"/>
          <w:szCs w:val="22"/>
        </w:rPr>
        <w:t xml:space="preserve"> (the “</w:t>
      </w:r>
      <w:r w:rsidRPr="00C75606">
        <w:rPr>
          <w:rFonts w:cs="Times New Roman"/>
          <w:b/>
          <w:bCs/>
          <w:szCs w:val="22"/>
        </w:rPr>
        <w:t>Governing Document</w:t>
      </w:r>
      <w:r w:rsidRPr="00C75606">
        <w:rPr>
          <w:rFonts w:cs="Times New Roman"/>
          <w:szCs w:val="22"/>
        </w:rPr>
        <w:t xml:space="preserve">”). </w:t>
      </w:r>
    </w:p>
    <w:p w14:paraId="6E155F8C" w14:textId="45C2E7CA" w:rsidR="008A37C7" w:rsidRPr="00C75606" w:rsidRDefault="008A37C7" w:rsidP="008A37C7">
      <w:pPr>
        <w:pStyle w:val="00BodyText5"/>
        <w:rPr>
          <w:rFonts w:cs="Times New Roman"/>
          <w:szCs w:val="22"/>
        </w:rPr>
      </w:pPr>
      <w:r w:rsidRPr="00C75606">
        <w:rPr>
          <w:rFonts w:cs="Times New Roman"/>
          <w:szCs w:val="22"/>
        </w:rPr>
        <w:t xml:space="preserve">The Olympia PIDs were established to provide financing for public infrastructure </w:t>
      </w:r>
      <w:r w:rsidR="00F037F5" w:rsidRPr="00C75606">
        <w:rPr>
          <w:rFonts w:cs="Times New Roman"/>
          <w:szCs w:val="22"/>
        </w:rPr>
        <w:t xml:space="preserve">and </w:t>
      </w:r>
      <w:r w:rsidRPr="00C75606">
        <w:rPr>
          <w:rFonts w:cs="Times New Roman"/>
          <w:szCs w:val="22"/>
        </w:rPr>
        <w:t>improvements (the “</w:t>
      </w:r>
      <w:r w:rsidRPr="00C75606">
        <w:rPr>
          <w:rFonts w:cs="Times New Roman"/>
          <w:b/>
          <w:szCs w:val="22"/>
        </w:rPr>
        <w:t>Public Improvements</w:t>
      </w:r>
      <w:r w:rsidRPr="00C75606">
        <w:rPr>
          <w:rFonts w:cs="Times New Roman"/>
          <w:szCs w:val="22"/>
        </w:rPr>
        <w:t>”) to facilitate development within the boundaries of the Olympia PIDs. Pursuant to the Governing Document, the Olympia PIDs have the power to issue bonds for the purpose of paying all or part of the costs of acquiring, acquiring an interest in, improving, or extending certain public improvements, facilities, or property. The Olympia PIDs have entered into a</w:t>
      </w:r>
      <w:r w:rsidR="00F037F5" w:rsidRPr="00C75606">
        <w:rPr>
          <w:rFonts w:cs="Times New Roman"/>
          <w:szCs w:val="22"/>
        </w:rPr>
        <w:t xml:space="preserve"> Third</w:t>
      </w:r>
      <w:r w:rsidRPr="00C75606">
        <w:rPr>
          <w:rFonts w:cs="Times New Roman"/>
          <w:szCs w:val="22"/>
        </w:rPr>
        <w:t xml:space="preserve"> Amended and Restated Interlocal Agreement with the City (the “</w:t>
      </w:r>
      <w:r w:rsidRPr="00C75606">
        <w:rPr>
          <w:rFonts w:cs="Times New Roman"/>
          <w:b/>
          <w:szCs w:val="22"/>
        </w:rPr>
        <w:t>City Interlocal Agreement</w:t>
      </w:r>
      <w:r w:rsidRPr="00C75606">
        <w:rPr>
          <w:rFonts w:cs="Times New Roman"/>
          <w:szCs w:val="22"/>
        </w:rPr>
        <w:t xml:space="preserve">”), dated as of </w:t>
      </w:r>
      <w:r w:rsidR="00BE20CA">
        <w:rPr>
          <w:rFonts w:cs="Times New Roman"/>
          <w:szCs w:val="22"/>
        </w:rPr>
        <w:t>July 8</w:t>
      </w:r>
      <w:r w:rsidR="00F037F5" w:rsidRPr="00C75606">
        <w:rPr>
          <w:rFonts w:cs="Times New Roman"/>
          <w:szCs w:val="22"/>
        </w:rPr>
        <w:t>, 2026</w:t>
      </w:r>
      <w:r w:rsidRPr="00C75606">
        <w:rPr>
          <w:rFonts w:cs="Times New Roman"/>
          <w:szCs w:val="22"/>
        </w:rPr>
        <w:t xml:space="preserve">, which provides, among other things, that some or all of the Public Improvements constructed within the Olympia PIDs will be transferred to the City. </w:t>
      </w:r>
    </w:p>
    <w:p w14:paraId="44FF6B7B" w14:textId="12585482" w:rsidR="008A37C7" w:rsidRPr="00C75606" w:rsidRDefault="008A37C7" w:rsidP="008A37C7">
      <w:pPr>
        <w:pStyle w:val="00BodyText5"/>
        <w:rPr>
          <w:rFonts w:cs="Times New Roman"/>
          <w:szCs w:val="22"/>
        </w:rPr>
      </w:pPr>
      <w:r w:rsidRPr="00C75606">
        <w:rPr>
          <w:rFonts w:cs="Times New Roman"/>
          <w:b/>
          <w:bCs/>
          <w:i/>
          <w:iCs/>
          <w:szCs w:val="22"/>
        </w:rPr>
        <w:t>Property within the District; Assessed Value; Location</w:t>
      </w:r>
      <w:r w:rsidRPr="00C75606">
        <w:rPr>
          <w:rFonts w:cs="Times New Roman"/>
          <w:szCs w:val="22"/>
        </w:rPr>
        <w:t xml:space="preserve">. As of the date of this Official Statement, the District encompasses approximately </w:t>
      </w:r>
      <w:r w:rsidR="00E97FDD" w:rsidRPr="00C75606">
        <w:rPr>
          <w:rFonts w:cs="Times New Roman"/>
          <w:szCs w:val="22"/>
        </w:rPr>
        <w:t>135</w:t>
      </w:r>
      <w:r w:rsidR="002105E6" w:rsidRPr="00C75606">
        <w:rPr>
          <w:rFonts w:cs="Times New Roman"/>
          <w:szCs w:val="22"/>
        </w:rPr>
        <w:t xml:space="preserve"> acre</w:t>
      </w:r>
      <w:r w:rsidRPr="00C75606">
        <w:rPr>
          <w:rFonts w:cs="Times New Roman"/>
          <w:szCs w:val="22"/>
        </w:rPr>
        <w:t xml:space="preserve">s. As of the </w:t>
      </w:r>
      <w:r w:rsidR="002105E6" w:rsidRPr="00C75606">
        <w:rPr>
          <w:rFonts w:cs="Times New Roman"/>
          <w:szCs w:val="22"/>
        </w:rPr>
        <w:t>[</w:t>
      </w:r>
      <w:r w:rsidRPr="00C75606">
        <w:rPr>
          <w:rFonts w:cs="Times New Roman"/>
          <w:szCs w:val="22"/>
        </w:rPr>
        <w:t>202</w:t>
      </w:r>
      <w:r w:rsidR="002105E6" w:rsidRPr="00C75606">
        <w:rPr>
          <w:rFonts w:cs="Times New Roman"/>
          <w:szCs w:val="22"/>
        </w:rPr>
        <w:t>5]</w:t>
      </w:r>
      <w:r w:rsidRPr="00C75606">
        <w:rPr>
          <w:rFonts w:cs="Times New Roman"/>
          <w:szCs w:val="22"/>
        </w:rPr>
        <w:t xml:space="preserve"> tax year, property within the District was assigned a taxable value of $</w:t>
      </w:r>
      <w:bookmarkStart w:id="15" w:name="_Hlk85714032"/>
      <w:r w:rsidR="002105E6" w:rsidRPr="00C75606">
        <w:rPr>
          <w:szCs w:val="22"/>
        </w:rPr>
        <w:t>[TAX VALUE]</w:t>
      </w:r>
      <w:r w:rsidRPr="00C75606">
        <w:rPr>
          <w:rFonts w:cs="Times New Roman"/>
          <w:szCs w:val="22"/>
        </w:rPr>
        <w:t>. See “FINANCIAL INFORMATION—Ad Valorem Property Tax Data</w:t>
      </w:r>
      <w:r w:rsidR="002105E6" w:rsidRPr="00C75606">
        <w:rPr>
          <w:rFonts w:cs="Times New Roman"/>
          <w:szCs w:val="22"/>
        </w:rPr>
        <w:t>.</w:t>
      </w:r>
      <w:r w:rsidRPr="00C75606">
        <w:rPr>
          <w:rFonts w:cs="Times New Roman"/>
          <w:szCs w:val="22"/>
        </w:rPr>
        <w:t xml:space="preserve">” </w:t>
      </w:r>
      <w:bookmarkEnd w:id="15"/>
      <w:r w:rsidRPr="00C75606">
        <w:rPr>
          <w:rFonts w:cs="Times New Roman"/>
          <w:szCs w:val="22"/>
        </w:rPr>
        <w:t>The population of the District is zero.</w:t>
      </w:r>
    </w:p>
    <w:p w14:paraId="15CB1DA3" w14:textId="4C60A929" w:rsidR="008A37C7" w:rsidRPr="00C75606" w:rsidRDefault="008A37C7" w:rsidP="00070A00">
      <w:pPr>
        <w:pStyle w:val="00BodyText5"/>
        <w:rPr>
          <w:rFonts w:cs="Times New Roman"/>
          <w:szCs w:val="22"/>
        </w:rPr>
      </w:pPr>
      <w:r w:rsidRPr="00C75606">
        <w:rPr>
          <w:rFonts w:cs="Times New Roman"/>
          <w:szCs w:val="22"/>
        </w:rPr>
        <w:t>The District is located in Herriman City, Utah, between Herriman Boulevard and Herriman Main Street, and east of Utah State Route 111 (“</w:t>
      </w:r>
      <w:r w:rsidRPr="00C75606">
        <w:rPr>
          <w:rFonts w:cs="Times New Roman"/>
          <w:b/>
          <w:bCs/>
          <w:szCs w:val="22"/>
        </w:rPr>
        <w:t>U-111</w:t>
      </w:r>
      <w:r w:rsidRPr="00C75606">
        <w:rPr>
          <w:rFonts w:cs="Times New Roman"/>
          <w:szCs w:val="22"/>
        </w:rPr>
        <w:t>”). The District is approximately 18 miles southwest of downtown Salt Lake City, Utah and approximately 10 miles northwest of the startup and technology hub referred to as Silicon Slopes in Lehi, Utah. See “District Vicinity Map” above.</w:t>
      </w:r>
    </w:p>
    <w:p w14:paraId="2C3CA26D" w14:textId="1C98F511" w:rsidR="008A37C7" w:rsidRPr="00C75606" w:rsidRDefault="008A37C7" w:rsidP="002105E6">
      <w:pPr>
        <w:pStyle w:val="00BodyText5"/>
        <w:rPr>
          <w:rFonts w:cs="Times New Roman"/>
          <w:szCs w:val="22"/>
        </w:rPr>
      </w:pPr>
      <w:r w:rsidRPr="00C75606">
        <w:rPr>
          <w:rFonts w:cs="Times New Roman"/>
          <w:b/>
          <w:i/>
          <w:szCs w:val="22"/>
        </w:rPr>
        <w:t>Property Ownership within the District</w:t>
      </w:r>
      <w:r w:rsidRPr="00C75606">
        <w:rPr>
          <w:rFonts w:cs="Times New Roman"/>
          <w:szCs w:val="22"/>
        </w:rPr>
        <w:t>. Development within the District is being undertaken by Olympia Land, LLC (the “</w:t>
      </w:r>
      <w:r w:rsidRPr="00C75606">
        <w:rPr>
          <w:rFonts w:cs="Times New Roman"/>
          <w:b/>
          <w:bCs/>
          <w:szCs w:val="22"/>
        </w:rPr>
        <w:t>Developer</w:t>
      </w:r>
      <w:r w:rsidRPr="00C75606">
        <w:rPr>
          <w:rFonts w:cs="Times New Roman"/>
          <w:szCs w:val="22"/>
        </w:rPr>
        <w:t xml:space="preserve">”). The District contains approximately </w:t>
      </w:r>
      <w:r w:rsidR="00E97FDD" w:rsidRPr="00C75606">
        <w:rPr>
          <w:rFonts w:cs="Times New Roman"/>
          <w:szCs w:val="22"/>
        </w:rPr>
        <w:t>135</w:t>
      </w:r>
      <w:r w:rsidR="002105E6" w:rsidRPr="00C75606">
        <w:rPr>
          <w:rFonts w:cs="Times New Roman"/>
          <w:szCs w:val="22"/>
        </w:rPr>
        <w:t xml:space="preserve"> acre</w:t>
      </w:r>
      <w:r w:rsidRPr="00C75606">
        <w:rPr>
          <w:rFonts w:cs="Times New Roman"/>
          <w:szCs w:val="22"/>
        </w:rPr>
        <w:t>s, of which</w:t>
      </w:r>
      <w:r w:rsidR="002105E6" w:rsidRPr="00C75606">
        <w:rPr>
          <w:rFonts w:cs="Times New Roman"/>
          <w:szCs w:val="22"/>
        </w:rPr>
        <w:t xml:space="preserve"> </w:t>
      </w:r>
      <w:r w:rsidR="00310A13">
        <w:rPr>
          <w:rFonts w:cs="Times New Roman"/>
          <w:szCs w:val="22"/>
        </w:rPr>
        <w:t xml:space="preserve">[___] </w:t>
      </w:r>
      <w:r w:rsidR="002105E6" w:rsidRPr="00C75606">
        <w:rPr>
          <w:rFonts w:cs="Times New Roman"/>
          <w:szCs w:val="22"/>
        </w:rPr>
        <w:t>is</w:t>
      </w:r>
      <w:r w:rsidRPr="00C75606">
        <w:rPr>
          <w:rFonts w:cs="Times New Roman"/>
          <w:szCs w:val="22"/>
        </w:rPr>
        <w:t xml:space="preserve"> owned by the Developer</w:t>
      </w:r>
      <w:r w:rsidR="00310A13">
        <w:rPr>
          <w:rFonts w:cs="Times New Roman"/>
          <w:szCs w:val="22"/>
        </w:rPr>
        <w:t xml:space="preserve">, [___] </w:t>
      </w:r>
      <w:r w:rsidR="00310A13" w:rsidRPr="00C75606">
        <w:rPr>
          <w:rFonts w:cs="Times New Roman"/>
          <w:szCs w:val="22"/>
        </w:rPr>
        <w:t>is owned by</w:t>
      </w:r>
      <w:r w:rsidR="00310A13">
        <w:rPr>
          <w:rFonts w:cs="Times New Roman"/>
          <w:szCs w:val="22"/>
        </w:rPr>
        <w:t xml:space="preserve"> </w:t>
      </w:r>
      <w:r w:rsidR="00310A13" w:rsidRPr="00C75606">
        <w:rPr>
          <w:rFonts w:cs="Times New Roman"/>
          <w:szCs w:val="22"/>
        </w:rPr>
        <w:t>Edge Homes Utah, LLC, a Utah limited liability company (“</w:t>
      </w:r>
      <w:r w:rsidR="00310A13" w:rsidRPr="00C75606">
        <w:rPr>
          <w:rFonts w:cs="Times New Roman"/>
          <w:b/>
          <w:bCs/>
          <w:szCs w:val="22"/>
        </w:rPr>
        <w:t>Edge Homes</w:t>
      </w:r>
      <w:r w:rsidR="00310A13" w:rsidRPr="00C75606">
        <w:rPr>
          <w:rFonts w:cs="Times New Roman"/>
          <w:szCs w:val="22"/>
        </w:rPr>
        <w:t>”)</w:t>
      </w:r>
      <w:r w:rsidR="00310A13">
        <w:rPr>
          <w:rFonts w:cs="Times New Roman"/>
          <w:szCs w:val="22"/>
        </w:rPr>
        <w:t xml:space="preserve">, and [___] is owned by </w:t>
      </w:r>
      <w:r w:rsidR="00310A13" w:rsidRPr="00C75606">
        <w:rPr>
          <w:rFonts w:cs="Times New Roman"/>
          <w:szCs w:val="22"/>
        </w:rPr>
        <w:t>Wright &amp; Associates, LLC, a Utah limited liability company dba Wright Homes (“</w:t>
      </w:r>
      <w:r w:rsidR="00310A13" w:rsidRPr="00C75606">
        <w:rPr>
          <w:rFonts w:cs="Times New Roman"/>
          <w:b/>
          <w:bCs/>
          <w:szCs w:val="22"/>
        </w:rPr>
        <w:t>Wright Homes</w:t>
      </w:r>
      <w:r w:rsidR="00310A13" w:rsidRPr="00C75606">
        <w:rPr>
          <w:rFonts w:cs="Times New Roman"/>
          <w:szCs w:val="22"/>
        </w:rPr>
        <w:t>”, and together with Edge Homes and any subsequent homebuilders, the “</w:t>
      </w:r>
      <w:r w:rsidR="00310A13" w:rsidRPr="00C75606">
        <w:rPr>
          <w:rFonts w:cs="Times New Roman"/>
          <w:b/>
          <w:bCs/>
          <w:szCs w:val="22"/>
        </w:rPr>
        <w:t>Homebuilders</w:t>
      </w:r>
      <w:r w:rsidR="00310A13" w:rsidRPr="00C75606">
        <w:rPr>
          <w:rFonts w:cs="Times New Roman"/>
          <w:szCs w:val="22"/>
        </w:rPr>
        <w:t>”)</w:t>
      </w:r>
      <w:r w:rsidR="00310A13">
        <w:rPr>
          <w:rFonts w:cs="Times New Roman"/>
          <w:szCs w:val="22"/>
        </w:rPr>
        <w:t>.</w:t>
      </w:r>
      <w:r w:rsidRPr="00C75606">
        <w:rPr>
          <w:rFonts w:cs="Times New Roman"/>
          <w:szCs w:val="22"/>
        </w:rPr>
        <w:t xml:space="preserve"> The Developer has also entered into purchase and sale agreements with </w:t>
      </w:r>
      <w:r w:rsidR="002105E6" w:rsidRPr="00C75606">
        <w:rPr>
          <w:rFonts w:cs="Times New Roman"/>
          <w:szCs w:val="22"/>
        </w:rPr>
        <w:t xml:space="preserve">Edge Homes </w:t>
      </w:r>
      <w:r w:rsidR="00310A13" w:rsidRPr="00C75606">
        <w:rPr>
          <w:rFonts w:cs="Times New Roman"/>
          <w:szCs w:val="22"/>
        </w:rPr>
        <w:t xml:space="preserve">for approximately [___] acres of the District </w:t>
      </w:r>
      <w:r w:rsidRPr="00C75606">
        <w:rPr>
          <w:rFonts w:cs="Times New Roman"/>
          <w:szCs w:val="22"/>
        </w:rPr>
        <w:t xml:space="preserve">and </w:t>
      </w:r>
      <w:r w:rsidR="002105E6" w:rsidRPr="00C75606">
        <w:rPr>
          <w:rFonts w:cs="Times New Roman"/>
          <w:szCs w:val="22"/>
        </w:rPr>
        <w:t xml:space="preserve">Wright </w:t>
      </w:r>
      <w:r w:rsidR="00310A13">
        <w:rPr>
          <w:rFonts w:cs="Times New Roman"/>
          <w:szCs w:val="22"/>
        </w:rPr>
        <w:t>Homes</w:t>
      </w:r>
      <w:r w:rsidRPr="00C75606">
        <w:rPr>
          <w:rFonts w:cs="Times New Roman"/>
          <w:szCs w:val="22"/>
        </w:rPr>
        <w:t xml:space="preserve"> for approximately </w:t>
      </w:r>
      <w:r w:rsidR="002105E6" w:rsidRPr="00C75606">
        <w:rPr>
          <w:rFonts w:cs="Times New Roman"/>
          <w:szCs w:val="22"/>
        </w:rPr>
        <w:t>[___]</w:t>
      </w:r>
      <w:r w:rsidRPr="00C75606">
        <w:rPr>
          <w:rFonts w:cs="Times New Roman"/>
          <w:szCs w:val="22"/>
        </w:rPr>
        <w:t xml:space="preserve"> acres of the District, as more particularly described in “THE DEVELOPMENT—Planned Development; Land Ownership.” See also “THE DEVELOPMENT—Summary of Anticipated Development” herein.</w:t>
      </w:r>
      <w:r w:rsidR="00310A13">
        <w:rPr>
          <w:rFonts w:cs="Times New Roman"/>
          <w:szCs w:val="22"/>
        </w:rPr>
        <w:t xml:space="preserve"> [</w:t>
      </w:r>
      <w:r w:rsidR="00310A13" w:rsidRPr="00310A13">
        <w:rPr>
          <w:rFonts w:cs="Times New Roman"/>
          <w:szCs w:val="22"/>
          <w:highlight w:val="yellow"/>
        </w:rPr>
        <w:t>KENAI</w:t>
      </w:r>
      <w:r w:rsidR="00310A13">
        <w:rPr>
          <w:rFonts w:cs="Times New Roman"/>
          <w:szCs w:val="22"/>
        </w:rPr>
        <w:t xml:space="preserve"> </w:t>
      </w:r>
      <w:r w:rsidR="00310A13" w:rsidRPr="00310A13">
        <w:rPr>
          <w:rFonts w:cs="Times New Roman"/>
          <w:szCs w:val="22"/>
          <w:highlight w:val="yellow"/>
        </w:rPr>
        <w:t>LOI IF APPLICABLE</w:t>
      </w:r>
      <w:r w:rsidR="00310A13">
        <w:rPr>
          <w:rFonts w:cs="Times New Roman"/>
          <w:szCs w:val="22"/>
        </w:rPr>
        <w:t xml:space="preserve">] </w:t>
      </w:r>
    </w:p>
    <w:p w14:paraId="2D2FE985" w14:textId="2A575A3C" w:rsidR="008A37C7" w:rsidRPr="00C75606" w:rsidRDefault="008A37C7" w:rsidP="008A37C7">
      <w:pPr>
        <w:pStyle w:val="00BodyText5"/>
        <w:rPr>
          <w:rFonts w:cs="Times New Roman"/>
          <w:szCs w:val="22"/>
        </w:rPr>
      </w:pPr>
      <w:r w:rsidRPr="00C75606">
        <w:rPr>
          <w:rFonts w:cs="Times New Roman"/>
          <w:b/>
          <w:i/>
          <w:szCs w:val="22"/>
        </w:rPr>
        <w:t>Debt Limit; Mill Levy Authorization</w:t>
      </w:r>
      <w:r w:rsidRPr="00C75606">
        <w:rPr>
          <w:rFonts w:cs="Times New Roman"/>
          <w:szCs w:val="22"/>
        </w:rPr>
        <w:t xml:space="preserve">. The Governing Document does not limit the amount of debt that may be issued by the Olympia PIDs. The District may not impose ad valorem property taxes exceeding 0.004 per dollar of taxable value on any property within the boundary of the District. Pursuant to the Governing Document, the District is permitted to impose ad valorem property taxes upon the taxable property within the District for payment of limited tax debt and is further permitted to impose fees upon property within the District for the purpose of paying revenue debt. </w:t>
      </w:r>
    </w:p>
    <w:p w14:paraId="221E5674" w14:textId="0C6A4BA4" w:rsidR="008A37C7" w:rsidRPr="00C75606" w:rsidRDefault="008A37C7" w:rsidP="00B471D8">
      <w:pPr>
        <w:pStyle w:val="Heading2"/>
        <w:numPr>
          <w:ilvl w:val="1"/>
          <w:numId w:val="2"/>
        </w:numPr>
        <w:rPr>
          <w:rFonts w:eastAsia="Times New Roman"/>
          <w:sz w:val="22"/>
          <w:szCs w:val="22"/>
        </w:rPr>
      </w:pPr>
      <w:bookmarkStart w:id="16" w:name="_Toc86152130"/>
      <w:bookmarkStart w:id="17" w:name="_Toc235521013"/>
      <w:r w:rsidRPr="00C75606">
        <w:rPr>
          <w:rFonts w:eastAsia="Times New Roman"/>
          <w:sz w:val="22"/>
          <w:szCs w:val="22"/>
        </w:rPr>
        <w:t>The Development</w:t>
      </w:r>
      <w:bookmarkEnd w:id="16"/>
      <w:bookmarkEnd w:id="17"/>
    </w:p>
    <w:p w14:paraId="00E77065" w14:textId="45F8E024" w:rsidR="008A37C7" w:rsidRPr="00C75606" w:rsidRDefault="008A37C7" w:rsidP="008A37C7">
      <w:pPr>
        <w:pStyle w:val="00BodyText5"/>
        <w:rPr>
          <w:rFonts w:cs="Times New Roman"/>
          <w:szCs w:val="22"/>
        </w:rPr>
      </w:pPr>
      <w:r w:rsidRPr="00C75606">
        <w:rPr>
          <w:rFonts w:cs="Times New Roman"/>
          <w:szCs w:val="22"/>
        </w:rPr>
        <w:t xml:space="preserve">The following section contains a summary of the information set forth herein under “THE DEVELOPMENT.” Additional information regarding the Development (defined below) is set forth therein. Certain of the information contained in this subsection has been obtained from public records and from representatives of the Developer. Although believed to be reliable, such information has not been independently verified by the Underwriter or its counsel, Bond Counsel, or Disclosure Counsel, and neither the Underwriter, its counsel, Bond Counsel, nor Disclosure Counsel makes any representation or warranty regarding the accuracy or completeness thereof. Investors are urged to review this Official Statement and the appendices attached hereto carefully and in their entirety before making an investment in the Bonds. See “THE DEVELOPMENT” and “RISK FACTORS.” </w:t>
      </w:r>
    </w:p>
    <w:p w14:paraId="6F9BB75F" w14:textId="7060B2DC" w:rsidR="00A952ED" w:rsidRPr="00C75606" w:rsidRDefault="008A37C7" w:rsidP="00A952ED">
      <w:pPr>
        <w:pStyle w:val="00BodyText5"/>
        <w:rPr>
          <w:szCs w:val="22"/>
        </w:rPr>
      </w:pPr>
      <w:r w:rsidRPr="00C75606">
        <w:rPr>
          <w:rFonts w:cs="Times New Roman"/>
          <w:b/>
          <w:i/>
          <w:szCs w:val="22"/>
        </w:rPr>
        <w:t>General Description</w:t>
      </w:r>
      <w:r w:rsidRPr="00C75606">
        <w:rPr>
          <w:rFonts w:cs="Times New Roman"/>
          <w:szCs w:val="22"/>
        </w:rPr>
        <w:t xml:space="preserve">. </w:t>
      </w:r>
      <w:r w:rsidRPr="00C75606">
        <w:rPr>
          <w:szCs w:val="22"/>
        </w:rPr>
        <w:t>Property within the District (the “</w:t>
      </w:r>
      <w:r w:rsidRPr="00C75606">
        <w:rPr>
          <w:b/>
          <w:szCs w:val="22"/>
        </w:rPr>
        <w:t>Development</w:t>
      </w:r>
      <w:r w:rsidRPr="00C75606">
        <w:rPr>
          <w:szCs w:val="22"/>
        </w:rPr>
        <w:t>”) is anticipated to be developed as a portion of a master planned residential and commercial development being marketed as “Olympia” (the “</w:t>
      </w:r>
      <w:r w:rsidRPr="00C75606">
        <w:rPr>
          <w:b/>
          <w:bCs/>
          <w:szCs w:val="22"/>
        </w:rPr>
        <w:t>Olympia Master Development</w:t>
      </w:r>
      <w:r w:rsidRPr="00C75606">
        <w:rPr>
          <w:szCs w:val="22"/>
        </w:rPr>
        <w:t>”). Generally located on the western edge of Herriman City, Utah, the Development is approximately 30 minutes from downtown Salt Lake City, Utah and 20 minutes from the Silicon Slopes in Lehi, Utah. See “DISTRICT VICINITY MAP” and “DISTRICT AERIAL MAP” herein.</w:t>
      </w:r>
      <w:r w:rsidR="00161EFE">
        <w:rPr>
          <w:szCs w:val="22"/>
        </w:rPr>
        <w:t xml:space="preserve"> [</w:t>
      </w:r>
      <w:r w:rsidR="00161EFE" w:rsidRPr="00161EFE">
        <w:rPr>
          <w:szCs w:val="22"/>
          <w:highlight w:val="yellow"/>
        </w:rPr>
        <w:t>CONFIRM SORRENTO OUTSIDE OF OLYMPIA/MDA</w:t>
      </w:r>
      <w:r w:rsidR="00161EFE">
        <w:rPr>
          <w:szCs w:val="22"/>
        </w:rPr>
        <w:t>]</w:t>
      </w:r>
    </w:p>
    <w:p w14:paraId="43D6B278" w14:textId="73B109A4" w:rsidR="00A952ED" w:rsidRPr="00C75606" w:rsidRDefault="00A952ED" w:rsidP="005C0377">
      <w:pPr>
        <w:pStyle w:val="00BodyText5"/>
        <w:rPr>
          <w:szCs w:val="22"/>
        </w:rPr>
      </w:pPr>
      <w:r w:rsidRPr="00C75606">
        <w:rPr>
          <w:szCs w:val="22"/>
        </w:rPr>
        <w:t>The Development is being undertaken by the Developer. According to the Developer, at full buildout the Development is planned to contain 1,074 residential units, consisting of 722 townhomes</w:t>
      </w:r>
      <w:r w:rsidR="005965EB" w:rsidRPr="00C75606">
        <w:rPr>
          <w:szCs w:val="22"/>
        </w:rPr>
        <w:t xml:space="preserve"> and 352 </w:t>
      </w:r>
      <w:r w:rsidRPr="00C75606">
        <w:rPr>
          <w:szCs w:val="22"/>
        </w:rPr>
        <w:t xml:space="preserve">single family detached homes. No vertical construction in the Development has occurred. Construction of the Public Improvements within the Development commenced in the </w:t>
      </w:r>
      <w:r w:rsidR="00DF316A">
        <w:rPr>
          <w:szCs w:val="22"/>
        </w:rPr>
        <w:t>third</w:t>
      </w:r>
      <w:r w:rsidRPr="00C75606">
        <w:rPr>
          <w:szCs w:val="22"/>
        </w:rPr>
        <w:t xml:space="preserve"> quarter of 202</w:t>
      </w:r>
      <w:r w:rsidR="00DF316A">
        <w:rPr>
          <w:szCs w:val="22"/>
        </w:rPr>
        <w:t>6</w:t>
      </w:r>
      <w:r w:rsidRPr="00C75606">
        <w:rPr>
          <w:szCs w:val="22"/>
        </w:rPr>
        <w:t xml:space="preserve">. Vertical construction within the Development is dependent upon the completion of the horizontal infrastructure and is anticipated to commence in </w:t>
      </w:r>
      <w:r w:rsidR="00DF316A">
        <w:rPr>
          <w:szCs w:val="22"/>
        </w:rPr>
        <w:t>the fourth</w:t>
      </w:r>
      <w:r w:rsidRPr="00C75606">
        <w:rPr>
          <w:szCs w:val="22"/>
        </w:rPr>
        <w:t xml:space="preserve"> quarter 202</w:t>
      </w:r>
      <w:r w:rsidR="00DF316A">
        <w:rPr>
          <w:szCs w:val="22"/>
        </w:rPr>
        <w:t>6</w:t>
      </w:r>
      <w:r w:rsidRPr="00C75606">
        <w:rPr>
          <w:szCs w:val="22"/>
        </w:rPr>
        <w:t xml:space="preserve"> with full buildout of the Development anticipated in the </w:t>
      </w:r>
      <w:r w:rsidR="003572E6" w:rsidRPr="00C75606">
        <w:rPr>
          <w:szCs w:val="22"/>
        </w:rPr>
        <w:t>third quarter 2031</w:t>
      </w:r>
      <w:r w:rsidRPr="00C75606">
        <w:rPr>
          <w:szCs w:val="22"/>
        </w:rPr>
        <w:t>.</w:t>
      </w:r>
    </w:p>
    <w:p w14:paraId="1E898248" w14:textId="65BC885A" w:rsidR="00A952ED" w:rsidRPr="00C75606" w:rsidRDefault="00A952ED" w:rsidP="00A952ED">
      <w:pPr>
        <w:pStyle w:val="00BodyText5"/>
        <w:rPr>
          <w:rFonts w:cs="Times New Roman"/>
          <w:szCs w:val="22"/>
        </w:rPr>
      </w:pPr>
      <w:r w:rsidRPr="00C75606">
        <w:rPr>
          <w:szCs w:val="22"/>
        </w:rPr>
        <w:t xml:space="preserve">Notwithstanding any of the foregoing, neither the Developer nor any other owner of property within the Development is obligated to construct buildings thereon in any particular timeframe or at all. </w:t>
      </w:r>
      <w:r w:rsidRPr="00C75606">
        <w:rPr>
          <w:bCs/>
          <w:szCs w:val="22"/>
        </w:rPr>
        <w:t>See “</w:t>
      </w:r>
      <w:r w:rsidRPr="00C75606">
        <w:rPr>
          <w:rFonts w:cs="Times New Roman"/>
          <w:szCs w:val="22"/>
        </w:rPr>
        <w:t>THE DEVELOPMENT</w:t>
      </w:r>
      <w:r w:rsidRPr="00C75606">
        <w:rPr>
          <w:bCs/>
          <w:szCs w:val="22"/>
        </w:rPr>
        <w:t>—Planned Development; Land Ownership,” “—Zoning, Public Approvals, and Platting,” “—Plan of Finance for the Development” and “</w:t>
      </w:r>
      <w:r w:rsidRPr="00C75606">
        <w:rPr>
          <w:szCs w:val="22"/>
        </w:rPr>
        <w:t>RISK FACTORS—Development Not Assured.”</w:t>
      </w:r>
    </w:p>
    <w:p w14:paraId="1C57D216" w14:textId="77777777" w:rsidR="00A952ED" w:rsidRPr="00C75606" w:rsidRDefault="00A952ED" w:rsidP="00A952ED">
      <w:pPr>
        <w:pStyle w:val="00BodyText5"/>
        <w:rPr>
          <w:szCs w:val="22"/>
        </w:rPr>
      </w:pPr>
      <w:r w:rsidRPr="00C75606">
        <w:rPr>
          <w:szCs w:val="22"/>
        </w:rPr>
        <w:t>The following table summarizes the existing and anticipated current land use plan within the Development as reflected herein and in the Market Study.</w:t>
      </w:r>
    </w:p>
    <w:p w14:paraId="6DAA05EE" w14:textId="77777777" w:rsidR="00BD57AA" w:rsidRPr="00C75606" w:rsidRDefault="00BD57AA" w:rsidP="0033541B">
      <w:pPr>
        <w:keepLines/>
        <w:jc w:val="center"/>
        <w:rPr>
          <w:rStyle w:val="Heading2Char"/>
          <w:sz w:val="22"/>
          <w:szCs w:val="22"/>
        </w:rPr>
      </w:pPr>
    </w:p>
    <w:p w14:paraId="50001E19" w14:textId="77777777" w:rsidR="00BD57AA" w:rsidRPr="00C75606" w:rsidRDefault="00BD57AA" w:rsidP="00BD57AA">
      <w:pPr>
        <w:jc w:val="center"/>
        <w:rPr>
          <w:rFonts w:cs="Times New Roman"/>
          <w:sz w:val="22"/>
          <w:szCs w:val="22"/>
        </w:rPr>
      </w:pPr>
      <w:bookmarkStart w:id="18" w:name="_Hlk147158062"/>
      <w:r w:rsidRPr="00C75606">
        <w:rPr>
          <w:rFonts w:cs="Times New Roman"/>
          <w:sz w:val="22"/>
          <w:szCs w:val="22"/>
        </w:rPr>
        <w:t>(The remainder of this page intentionally left blank.)</w:t>
      </w:r>
    </w:p>
    <w:bookmarkEnd w:id="18"/>
    <w:p w14:paraId="3CB7169B" w14:textId="7425EAB5" w:rsidR="0033541B" w:rsidRDefault="0033541B" w:rsidP="0033541B">
      <w:pPr>
        <w:keepLines/>
        <w:jc w:val="center"/>
        <w:rPr>
          <w:rStyle w:val="Heading2Char"/>
          <w:sz w:val="22"/>
        </w:rPr>
      </w:pPr>
      <w:r w:rsidRPr="00C75606">
        <w:rPr>
          <w:rStyle w:val="Heading2Char"/>
          <w:sz w:val="22"/>
          <w:szCs w:val="22"/>
        </w:rPr>
        <w:br w:type="page"/>
      </w:r>
    </w:p>
    <w:p w14:paraId="735EDB79" w14:textId="70F5DD1F" w:rsidR="00514DBA" w:rsidRPr="00DA2177" w:rsidRDefault="00514DBA" w:rsidP="00514DBA">
      <w:pPr>
        <w:keepNext/>
        <w:keepLines/>
        <w:spacing w:after="120"/>
        <w:jc w:val="center"/>
        <w:rPr>
          <w:rFonts w:ascii="Times New Roman Bold" w:hAnsi="Times New Roman Bold"/>
          <w:sz w:val="22"/>
        </w:rPr>
      </w:pPr>
      <w:bookmarkStart w:id="19" w:name="_Toc235521014"/>
      <w:r>
        <w:rPr>
          <w:rStyle w:val="Heading2Char"/>
          <w:sz w:val="22"/>
        </w:rPr>
        <w:t>Summary of Anticipated Development</w:t>
      </w:r>
      <w:bookmarkEnd w:id="19"/>
      <w:r w:rsidR="00AB657C" w:rsidRPr="00AB657C">
        <w:rPr>
          <w:rFonts w:eastAsiaTheme="majorEastAsia" w:cs="Times New Roman"/>
          <w:b/>
          <w:bCs/>
          <w:color w:val="000000"/>
          <w:sz w:val="22"/>
          <w:szCs w:val="26"/>
          <w:vertAlign w:val="superscript"/>
        </w:rPr>
        <w:t>1</w:t>
      </w:r>
    </w:p>
    <w:tbl>
      <w:tblPr>
        <w:tblW w:w="9838" w:type="dxa"/>
        <w:jc w:val="center"/>
        <w:tblLook w:val="04A0" w:firstRow="1" w:lastRow="0" w:firstColumn="1" w:lastColumn="0" w:noHBand="0" w:noVBand="1"/>
      </w:tblPr>
      <w:tblGrid>
        <w:gridCol w:w="1324"/>
        <w:gridCol w:w="1599"/>
        <w:gridCol w:w="1166"/>
        <w:gridCol w:w="1170"/>
        <w:gridCol w:w="1000"/>
        <w:gridCol w:w="1190"/>
        <w:gridCol w:w="1191"/>
        <w:gridCol w:w="1198"/>
      </w:tblGrid>
      <w:tr w:rsidR="00514DBA" w:rsidRPr="00B104F6" w14:paraId="2C0631F8" w14:textId="77777777" w:rsidTr="00B104F6">
        <w:trPr>
          <w:trHeight w:val="780"/>
          <w:jc w:val="center"/>
        </w:trPr>
        <w:tc>
          <w:tcPr>
            <w:tcW w:w="1324" w:type="dxa"/>
            <w:tcBorders>
              <w:top w:val="nil"/>
              <w:left w:val="nil"/>
              <w:bottom w:val="single" w:sz="8" w:space="0" w:color="auto"/>
              <w:right w:val="nil"/>
            </w:tcBorders>
            <w:vAlign w:val="center"/>
            <w:hideMark/>
          </w:tcPr>
          <w:p w14:paraId="1916B967" w14:textId="77777777" w:rsidR="00514DBA" w:rsidRPr="00B104F6" w:rsidRDefault="00514DBA"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Area/Product Type</w:t>
            </w:r>
          </w:p>
        </w:tc>
        <w:tc>
          <w:tcPr>
            <w:tcW w:w="1599" w:type="dxa"/>
            <w:tcBorders>
              <w:top w:val="nil"/>
              <w:left w:val="nil"/>
              <w:bottom w:val="single" w:sz="8" w:space="0" w:color="auto"/>
              <w:right w:val="nil"/>
            </w:tcBorders>
            <w:vAlign w:val="center"/>
            <w:hideMark/>
          </w:tcPr>
          <w:p w14:paraId="17D3756B" w14:textId="543691D7" w:rsidR="00514DBA" w:rsidRPr="00B104F6" w:rsidRDefault="00514DBA" w:rsidP="00377598">
            <w:pPr>
              <w:jc w:val="center"/>
              <w:rPr>
                <w:rFonts w:eastAsia="Times New Roman" w:cs="Times New Roman"/>
                <w:b/>
                <w:bCs/>
                <w:color w:val="000000"/>
                <w:sz w:val="19"/>
                <w:szCs w:val="19"/>
              </w:rPr>
            </w:pPr>
            <w:hyperlink r:id="rId30" w:anchor="RANGE!#REF!" w:history="1">
              <w:r w:rsidRPr="00B104F6">
                <w:rPr>
                  <w:rFonts w:eastAsia="Times New Roman" w:cs="Times New Roman"/>
                  <w:b/>
                  <w:bCs/>
                  <w:color w:val="000000"/>
                  <w:sz w:val="19"/>
                  <w:szCs w:val="19"/>
                </w:rPr>
                <w:t>Property Owner</w:t>
              </w:r>
            </w:hyperlink>
            <w:r w:rsidR="00AB657C">
              <w:rPr>
                <w:rFonts w:eastAsia="Times New Roman" w:cs="Times New Roman"/>
                <w:b/>
                <w:bCs/>
                <w:color w:val="000000"/>
                <w:sz w:val="19"/>
                <w:szCs w:val="19"/>
                <w:vertAlign w:val="superscript"/>
              </w:rPr>
              <w:t>2</w:t>
            </w:r>
          </w:p>
        </w:tc>
        <w:tc>
          <w:tcPr>
            <w:tcW w:w="1166" w:type="dxa"/>
            <w:tcBorders>
              <w:top w:val="nil"/>
              <w:left w:val="nil"/>
              <w:bottom w:val="single" w:sz="8" w:space="0" w:color="auto"/>
              <w:right w:val="nil"/>
            </w:tcBorders>
            <w:vAlign w:val="center"/>
            <w:hideMark/>
          </w:tcPr>
          <w:p w14:paraId="264C4AE9" w14:textId="77777777" w:rsidR="00514DBA" w:rsidRPr="00B104F6" w:rsidRDefault="00514DBA"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Anticipated Builder</w:t>
            </w:r>
            <w:r w:rsidRPr="00B104F6">
              <w:rPr>
                <w:rFonts w:eastAsia="Times New Roman" w:cs="Times New Roman"/>
                <w:b/>
                <w:bCs/>
                <w:color w:val="000000"/>
                <w:sz w:val="19"/>
                <w:szCs w:val="19"/>
                <w:vertAlign w:val="superscript"/>
              </w:rPr>
              <w:t>2</w:t>
            </w:r>
          </w:p>
        </w:tc>
        <w:tc>
          <w:tcPr>
            <w:tcW w:w="1170" w:type="dxa"/>
            <w:tcBorders>
              <w:top w:val="nil"/>
              <w:left w:val="nil"/>
              <w:bottom w:val="single" w:sz="8" w:space="0" w:color="auto"/>
              <w:right w:val="nil"/>
            </w:tcBorders>
            <w:vAlign w:val="center"/>
            <w:hideMark/>
          </w:tcPr>
          <w:p w14:paraId="57E29998" w14:textId="77777777" w:rsidR="00514DBA" w:rsidRPr="00B104F6" w:rsidRDefault="00514DBA"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Contract Status</w:t>
            </w:r>
            <w:r w:rsidRPr="00B104F6">
              <w:rPr>
                <w:rFonts w:eastAsia="Times New Roman" w:cs="Times New Roman"/>
                <w:b/>
                <w:bCs/>
                <w:color w:val="000000"/>
                <w:sz w:val="19"/>
                <w:szCs w:val="19"/>
                <w:vertAlign w:val="superscript"/>
              </w:rPr>
              <w:t>2</w:t>
            </w:r>
          </w:p>
        </w:tc>
        <w:tc>
          <w:tcPr>
            <w:tcW w:w="1000" w:type="dxa"/>
            <w:tcBorders>
              <w:top w:val="nil"/>
              <w:left w:val="nil"/>
              <w:bottom w:val="single" w:sz="8" w:space="0" w:color="auto"/>
              <w:right w:val="nil"/>
            </w:tcBorders>
            <w:vAlign w:val="center"/>
            <w:hideMark/>
          </w:tcPr>
          <w:p w14:paraId="2B2B4AF7" w14:textId="77777777" w:rsidR="00514DBA" w:rsidRPr="00B104F6" w:rsidRDefault="00514DBA"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Total Planned Units</w:t>
            </w:r>
          </w:p>
        </w:tc>
        <w:tc>
          <w:tcPr>
            <w:tcW w:w="1190" w:type="dxa"/>
            <w:tcBorders>
              <w:top w:val="nil"/>
              <w:left w:val="nil"/>
              <w:bottom w:val="single" w:sz="8" w:space="0" w:color="auto"/>
              <w:right w:val="nil"/>
            </w:tcBorders>
            <w:vAlign w:val="center"/>
            <w:hideMark/>
          </w:tcPr>
          <w:p w14:paraId="36E7AB0A" w14:textId="77777777" w:rsidR="00514DBA" w:rsidRPr="00B104F6" w:rsidRDefault="00514DBA"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Anticipated Completion Quarter</w:t>
            </w:r>
          </w:p>
        </w:tc>
        <w:tc>
          <w:tcPr>
            <w:tcW w:w="1191" w:type="dxa"/>
            <w:tcBorders>
              <w:top w:val="nil"/>
              <w:left w:val="nil"/>
              <w:bottom w:val="single" w:sz="8" w:space="0" w:color="auto"/>
              <w:right w:val="nil"/>
            </w:tcBorders>
            <w:vAlign w:val="center"/>
            <w:hideMark/>
          </w:tcPr>
          <w:p w14:paraId="70997925" w14:textId="77777777" w:rsidR="00514DBA" w:rsidRPr="00B104F6" w:rsidRDefault="00514DBA" w:rsidP="00377598">
            <w:pPr>
              <w:jc w:val="center"/>
              <w:rPr>
                <w:rFonts w:eastAsia="Times New Roman" w:cs="Times New Roman"/>
                <w:b/>
                <w:bCs/>
                <w:color w:val="000000"/>
                <w:sz w:val="19"/>
                <w:szCs w:val="19"/>
              </w:rPr>
            </w:pPr>
            <w:hyperlink r:id="rId31" w:anchor="RANGE!#REF!" w:history="1">
              <w:r w:rsidRPr="00B104F6">
                <w:rPr>
                  <w:rFonts w:eastAsia="Times New Roman" w:cs="Times New Roman"/>
                  <w:b/>
                  <w:bCs/>
                  <w:color w:val="000000"/>
                  <w:sz w:val="19"/>
                  <w:szCs w:val="19"/>
                </w:rPr>
                <w:t>Zoning Status</w:t>
              </w:r>
              <w:r w:rsidRPr="00B104F6">
                <w:rPr>
                  <w:rFonts w:eastAsia="Times New Roman" w:cs="Times New Roman"/>
                  <w:b/>
                  <w:bCs/>
                  <w:color w:val="000000"/>
                  <w:sz w:val="19"/>
                  <w:szCs w:val="19"/>
                  <w:vertAlign w:val="superscript"/>
                </w:rPr>
                <w:t>3</w:t>
              </w:r>
            </w:hyperlink>
          </w:p>
        </w:tc>
        <w:tc>
          <w:tcPr>
            <w:tcW w:w="1198" w:type="dxa"/>
            <w:tcBorders>
              <w:top w:val="nil"/>
              <w:left w:val="nil"/>
              <w:bottom w:val="single" w:sz="8" w:space="0" w:color="auto"/>
              <w:right w:val="nil"/>
            </w:tcBorders>
            <w:vAlign w:val="center"/>
            <w:hideMark/>
          </w:tcPr>
          <w:p w14:paraId="4AC96A77" w14:textId="77777777" w:rsidR="00514DBA" w:rsidRPr="00B104F6" w:rsidRDefault="00514DBA"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Platting Status</w:t>
            </w:r>
            <w:r w:rsidRPr="00B104F6">
              <w:rPr>
                <w:rFonts w:eastAsia="Times New Roman" w:cs="Times New Roman"/>
                <w:b/>
                <w:bCs/>
                <w:color w:val="000000"/>
                <w:sz w:val="19"/>
                <w:szCs w:val="19"/>
                <w:vertAlign w:val="superscript"/>
              </w:rPr>
              <w:t>3</w:t>
            </w:r>
          </w:p>
        </w:tc>
      </w:tr>
      <w:tr w:rsidR="00514DBA" w:rsidRPr="00B104F6" w14:paraId="3C45A643" w14:textId="77777777" w:rsidTr="00B104F6">
        <w:trPr>
          <w:trHeight w:val="300"/>
          <w:jc w:val="center"/>
        </w:trPr>
        <w:tc>
          <w:tcPr>
            <w:tcW w:w="2923" w:type="dxa"/>
            <w:gridSpan w:val="2"/>
            <w:tcBorders>
              <w:top w:val="single" w:sz="8" w:space="0" w:color="auto"/>
              <w:left w:val="nil"/>
              <w:bottom w:val="nil"/>
              <w:right w:val="nil"/>
            </w:tcBorders>
            <w:shd w:val="clear" w:color="000000" w:fill="F2F2F2"/>
            <w:vAlign w:val="center"/>
            <w:hideMark/>
          </w:tcPr>
          <w:p w14:paraId="04B7CFAA"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Sorrento</w:t>
            </w:r>
          </w:p>
        </w:tc>
        <w:tc>
          <w:tcPr>
            <w:tcW w:w="1166" w:type="dxa"/>
            <w:tcBorders>
              <w:top w:val="nil"/>
              <w:left w:val="nil"/>
              <w:bottom w:val="nil"/>
              <w:right w:val="nil"/>
            </w:tcBorders>
            <w:shd w:val="clear" w:color="000000" w:fill="F2F2F2"/>
            <w:vAlign w:val="center"/>
            <w:hideMark/>
          </w:tcPr>
          <w:p w14:paraId="1AA654B2"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7A0C0362"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39EAB4D2"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7C27BD9E"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1BA254BB"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3D994700"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514DBA" w:rsidRPr="00B104F6" w14:paraId="7D32E998" w14:textId="77777777" w:rsidTr="00B104F6">
        <w:trPr>
          <w:trHeight w:val="300"/>
          <w:jc w:val="center"/>
        </w:trPr>
        <w:tc>
          <w:tcPr>
            <w:tcW w:w="1324" w:type="dxa"/>
            <w:tcBorders>
              <w:top w:val="nil"/>
              <w:left w:val="nil"/>
              <w:bottom w:val="nil"/>
              <w:right w:val="nil"/>
            </w:tcBorders>
            <w:vAlign w:val="center"/>
            <w:hideMark/>
          </w:tcPr>
          <w:p w14:paraId="57083B5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40’ SFD</w:t>
            </w:r>
          </w:p>
        </w:tc>
        <w:tc>
          <w:tcPr>
            <w:tcW w:w="1599" w:type="dxa"/>
            <w:tcBorders>
              <w:top w:val="nil"/>
              <w:left w:val="nil"/>
              <w:bottom w:val="nil"/>
              <w:right w:val="nil"/>
            </w:tcBorders>
            <w:vAlign w:val="center"/>
            <w:hideMark/>
          </w:tcPr>
          <w:p w14:paraId="71D8909A"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1C305FA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06D25F5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4F9F4B2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17</w:t>
            </w:r>
          </w:p>
        </w:tc>
        <w:tc>
          <w:tcPr>
            <w:tcW w:w="1190" w:type="dxa"/>
            <w:tcBorders>
              <w:top w:val="nil"/>
              <w:left w:val="nil"/>
              <w:bottom w:val="nil"/>
              <w:right w:val="nil"/>
            </w:tcBorders>
            <w:vAlign w:val="center"/>
            <w:hideMark/>
          </w:tcPr>
          <w:p w14:paraId="2D127E1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Q1 2030</w:t>
            </w:r>
          </w:p>
        </w:tc>
        <w:tc>
          <w:tcPr>
            <w:tcW w:w="1191" w:type="dxa"/>
            <w:tcBorders>
              <w:top w:val="nil"/>
              <w:left w:val="nil"/>
              <w:bottom w:val="nil"/>
              <w:right w:val="nil"/>
            </w:tcBorders>
            <w:vAlign w:val="center"/>
            <w:hideMark/>
          </w:tcPr>
          <w:p w14:paraId="397B31C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631BD2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2C489E48" w14:textId="77777777" w:rsidTr="00B104F6">
        <w:trPr>
          <w:trHeight w:val="300"/>
          <w:jc w:val="center"/>
        </w:trPr>
        <w:tc>
          <w:tcPr>
            <w:tcW w:w="1324" w:type="dxa"/>
            <w:tcBorders>
              <w:top w:val="nil"/>
              <w:left w:val="nil"/>
              <w:bottom w:val="nil"/>
              <w:right w:val="nil"/>
            </w:tcBorders>
            <w:vAlign w:val="center"/>
            <w:hideMark/>
          </w:tcPr>
          <w:p w14:paraId="2538574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45’ SFD</w:t>
            </w:r>
          </w:p>
        </w:tc>
        <w:tc>
          <w:tcPr>
            <w:tcW w:w="1599" w:type="dxa"/>
            <w:tcBorders>
              <w:top w:val="nil"/>
              <w:left w:val="nil"/>
              <w:bottom w:val="nil"/>
              <w:right w:val="nil"/>
            </w:tcBorders>
            <w:vAlign w:val="center"/>
            <w:hideMark/>
          </w:tcPr>
          <w:p w14:paraId="7D79A17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3E33A46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5E35CA6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50A3590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23</w:t>
            </w:r>
          </w:p>
        </w:tc>
        <w:tc>
          <w:tcPr>
            <w:tcW w:w="1190" w:type="dxa"/>
            <w:tcBorders>
              <w:top w:val="nil"/>
              <w:left w:val="nil"/>
              <w:bottom w:val="nil"/>
              <w:right w:val="nil"/>
            </w:tcBorders>
            <w:vAlign w:val="center"/>
            <w:hideMark/>
          </w:tcPr>
          <w:p w14:paraId="259AC8BE" w14:textId="196661F9"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w:t>
            </w:r>
            <w:r w:rsidR="00E066FC" w:rsidRPr="00B104F6">
              <w:rPr>
                <w:rFonts w:eastAsia="Times New Roman" w:cs="Times New Roman"/>
                <w:color w:val="000000"/>
                <w:sz w:val="19"/>
                <w:szCs w:val="19"/>
              </w:rPr>
              <w:t xml:space="preserve"> </w:t>
            </w:r>
            <w:r w:rsidRPr="00B104F6">
              <w:rPr>
                <w:rFonts w:eastAsia="Times New Roman" w:cs="Times New Roman"/>
                <w:color w:val="000000"/>
                <w:sz w:val="19"/>
                <w:szCs w:val="19"/>
              </w:rPr>
              <w:t>2030</w:t>
            </w:r>
          </w:p>
        </w:tc>
        <w:tc>
          <w:tcPr>
            <w:tcW w:w="1191" w:type="dxa"/>
            <w:tcBorders>
              <w:top w:val="nil"/>
              <w:left w:val="nil"/>
              <w:bottom w:val="nil"/>
              <w:right w:val="nil"/>
            </w:tcBorders>
            <w:vAlign w:val="center"/>
            <w:hideMark/>
          </w:tcPr>
          <w:p w14:paraId="3E13F62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1ED6AA1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5571E94E" w14:textId="77777777" w:rsidTr="00B104F6">
        <w:trPr>
          <w:trHeight w:val="300"/>
          <w:jc w:val="center"/>
        </w:trPr>
        <w:tc>
          <w:tcPr>
            <w:tcW w:w="1324" w:type="dxa"/>
            <w:tcBorders>
              <w:top w:val="nil"/>
              <w:left w:val="nil"/>
              <w:bottom w:val="nil"/>
              <w:right w:val="nil"/>
            </w:tcBorders>
            <w:vAlign w:val="center"/>
            <w:hideMark/>
          </w:tcPr>
          <w:p w14:paraId="78ED0D2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48’ SFD</w:t>
            </w:r>
          </w:p>
        </w:tc>
        <w:tc>
          <w:tcPr>
            <w:tcW w:w="1599" w:type="dxa"/>
            <w:tcBorders>
              <w:top w:val="nil"/>
              <w:left w:val="nil"/>
              <w:bottom w:val="nil"/>
              <w:right w:val="nil"/>
            </w:tcBorders>
            <w:vAlign w:val="center"/>
            <w:hideMark/>
          </w:tcPr>
          <w:p w14:paraId="391E07E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5021087F"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1E4FCE1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76A2666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15</w:t>
            </w:r>
          </w:p>
        </w:tc>
        <w:tc>
          <w:tcPr>
            <w:tcW w:w="1190" w:type="dxa"/>
            <w:tcBorders>
              <w:top w:val="nil"/>
              <w:left w:val="nil"/>
              <w:bottom w:val="nil"/>
              <w:right w:val="nil"/>
            </w:tcBorders>
            <w:vAlign w:val="center"/>
            <w:hideMark/>
          </w:tcPr>
          <w:p w14:paraId="4F3E742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Q4 2029</w:t>
            </w:r>
          </w:p>
        </w:tc>
        <w:tc>
          <w:tcPr>
            <w:tcW w:w="1191" w:type="dxa"/>
            <w:tcBorders>
              <w:top w:val="nil"/>
              <w:left w:val="nil"/>
              <w:bottom w:val="nil"/>
              <w:right w:val="nil"/>
            </w:tcBorders>
            <w:vAlign w:val="center"/>
            <w:hideMark/>
          </w:tcPr>
          <w:p w14:paraId="29FAB8A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128A0F1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675B4345" w14:textId="77777777" w:rsidTr="00B104F6">
        <w:trPr>
          <w:trHeight w:val="300"/>
          <w:jc w:val="center"/>
        </w:trPr>
        <w:tc>
          <w:tcPr>
            <w:tcW w:w="1324" w:type="dxa"/>
            <w:tcBorders>
              <w:top w:val="nil"/>
              <w:left w:val="nil"/>
              <w:bottom w:val="nil"/>
              <w:right w:val="nil"/>
            </w:tcBorders>
            <w:vAlign w:val="center"/>
            <w:hideMark/>
          </w:tcPr>
          <w:p w14:paraId="0E102A2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50’ SFD</w:t>
            </w:r>
          </w:p>
        </w:tc>
        <w:tc>
          <w:tcPr>
            <w:tcW w:w="1599" w:type="dxa"/>
            <w:tcBorders>
              <w:top w:val="nil"/>
              <w:left w:val="nil"/>
              <w:bottom w:val="nil"/>
              <w:right w:val="nil"/>
            </w:tcBorders>
            <w:vAlign w:val="center"/>
            <w:hideMark/>
          </w:tcPr>
          <w:p w14:paraId="1D2E0BB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0A83198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627751E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168D8FB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26</w:t>
            </w:r>
          </w:p>
        </w:tc>
        <w:tc>
          <w:tcPr>
            <w:tcW w:w="1190" w:type="dxa"/>
            <w:tcBorders>
              <w:top w:val="nil"/>
              <w:left w:val="nil"/>
              <w:bottom w:val="nil"/>
              <w:right w:val="nil"/>
            </w:tcBorders>
            <w:vAlign w:val="center"/>
            <w:hideMark/>
          </w:tcPr>
          <w:p w14:paraId="4FCF2AEF"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 2030</w:t>
            </w:r>
          </w:p>
        </w:tc>
        <w:tc>
          <w:tcPr>
            <w:tcW w:w="1191" w:type="dxa"/>
            <w:tcBorders>
              <w:top w:val="nil"/>
              <w:left w:val="nil"/>
              <w:bottom w:val="nil"/>
              <w:right w:val="nil"/>
            </w:tcBorders>
            <w:vAlign w:val="center"/>
            <w:hideMark/>
          </w:tcPr>
          <w:p w14:paraId="59AEE94A"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638AD4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79CA8624" w14:textId="77777777" w:rsidTr="00B104F6">
        <w:trPr>
          <w:trHeight w:val="300"/>
          <w:jc w:val="center"/>
        </w:trPr>
        <w:tc>
          <w:tcPr>
            <w:tcW w:w="1324" w:type="dxa"/>
            <w:tcBorders>
              <w:top w:val="nil"/>
              <w:left w:val="nil"/>
              <w:bottom w:val="nil"/>
              <w:right w:val="nil"/>
            </w:tcBorders>
            <w:vAlign w:val="center"/>
            <w:hideMark/>
          </w:tcPr>
          <w:p w14:paraId="333091C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60’ SFD</w:t>
            </w:r>
          </w:p>
        </w:tc>
        <w:tc>
          <w:tcPr>
            <w:tcW w:w="1599" w:type="dxa"/>
            <w:tcBorders>
              <w:top w:val="nil"/>
              <w:left w:val="nil"/>
              <w:bottom w:val="nil"/>
              <w:right w:val="nil"/>
            </w:tcBorders>
            <w:vAlign w:val="center"/>
            <w:hideMark/>
          </w:tcPr>
          <w:p w14:paraId="69560FE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25AC239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57DE7DE5"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0D90A7D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24</w:t>
            </w:r>
          </w:p>
        </w:tc>
        <w:tc>
          <w:tcPr>
            <w:tcW w:w="1190" w:type="dxa"/>
            <w:tcBorders>
              <w:top w:val="nil"/>
              <w:left w:val="nil"/>
              <w:bottom w:val="nil"/>
              <w:right w:val="nil"/>
            </w:tcBorders>
            <w:vAlign w:val="center"/>
            <w:hideMark/>
          </w:tcPr>
          <w:p w14:paraId="0182A67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Q4 2029</w:t>
            </w:r>
          </w:p>
        </w:tc>
        <w:tc>
          <w:tcPr>
            <w:tcW w:w="1191" w:type="dxa"/>
            <w:tcBorders>
              <w:top w:val="nil"/>
              <w:left w:val="nil"/>
              <w:bottom w:val="nil"/>
              <w:right w:val="nil"/>
            </w:tcBorders>
            <w:vAlign w:val="center"/>
            <w:hideMark/>
          </w:tcPr>
          <w:p w14:paraId="0C37E24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56F1154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6967394D" w14:textId="77777777" w:rsidTr="00B104F6">
        <w:trPr>
          <w:trHeight w:val="300"/>
          <w:jc w:val="center"/>
        </w:trPr>
        <w:tc>
          <w:tcPr>
            <w:tcW w:w="1324" w:type="dxa"/>
            <w:tcBorders>
              <w:top w:val="nil"/>
              <w:left w:val="nil"/>
              <w:bottom w:val="nil"/>
              <w:right w:val="nil"/>
            </w:tcBorders>
            <w:vAlign w:val="center"/>
            <w:hideMark/>
          </w:tcPr>
          <w:p w14:paraId="69891BE5"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65’ SFD</w:t>
            </w:r>
          </w:p>
        </w:tc>
        <w:tc>
          <w:tcPr>
            <w:tcW w:w="1599" w:type="dxa"/>
            <w:tcBorders>
              <w:top w:val="nil"/>
              <w:left w:val="nil"/>
              <w:bottom w:val="nil"/>
              <w:right w:val="nil"/>
            </w:tcBorders>
            <w:vAlign w:val="center"/>
            <w:hideMark/>
          </w:tcPr>
          <w:p w14:paraId="4C00141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3A10299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1917B71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3DD8645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8</w:t>
            </w:r>
          </w:p>
        </w:tc>
        <w:tc>
          <w:tcPr>
            <w:tcW w:w="1190" w:type="dxa"/>
            <w:tcBorders>
              <w:top w:val="nil"/>
              <w:left w:val="nil"/>
              <w:bottom w:val="nil"/>
              <w:right w:val="nil"/>
            </w:tcBorders>
            <w:vAlign w:val="center"/>
            <w:hideMark/>
          </w:tcPr>
          <w:p w14:paraId="318D6BA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Q1 2029</w:t>
            </w:r>
          </w:p>
        </w:tc>
        <w:tc>
          <w:tcPr>
            <w:tcW w:w="1191" w:type="dxa"/>
            <w:tcBorders>
              <w:top w:val="nil"/>
              <w:left w:val="nil"/>
              <w:bottom w:val="nil"/>
              <w:right w:val="nil"/>
            </w:tcBorders>
            <w:vAlign w:val="center"/>
            <w:hideMark/>
          </w:tcPr>
          <w:p w14:paraId="196741D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95628C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1ACB2DDC" w14:textId="77777777" w:rsidTr="00B104F6">
        <w:trPr>
          <w:trHeight w:val="300"/>
          <w:jc w:val="center"/>
        </w:trPr>
        <w:tc>
          <w:tcPr>
            <w:tcW w:w="2923" w:type="dxa"/>
            <w:gridSpan w:val="2"/>
            <w:tcBorders>
              <w:top w:val="nil"/>
              <w:left w:val="nil"/>
              <w:bottom w:val="nil"/>
              <w:right w:val="nil"/>
            </w:tcBorders>
            <w:shd w:val="clear" w:color="000000" w:fill="F2F2F2"/>
            <w:vAlign w:val="center"/>
            <w:hideMark/>
          </w:tcPr>
          <w:p w14:paraId="380E251A"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Cascades</w:t>
            </w:r>
          </w:p>
        </w:tc>
        <w:tc>
          <w:tcPr>
            <w:tcW w:w="1166" w:type="dxa"/>
            <w:tcBorders>
              <w:top w:val="nil"/>
              <w:left w:val="nil"/>
              <w:bottom w:val="nil"/>
              <w:right w:val="nil"/>
            </w:tcBorders>
            <w:shd w:val="clear" w:color="000000" w:fill="F2F2F2"/>
            <w:vAlign w:val="center"/>
            <w:hideMark/>
          </w:tcPr>
          <w:p w14:paraId="11B22007"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79836E40"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422998EB"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50DC3906"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2B848A3A"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16B78DE4"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514DBA" w:rsidRPr="00B104F6" w14:paraId="5191F12B" w14:textId="77777777" w:rsidTr="00B104F6">
        <w:trPr>
          <w:trHeight w:val="300"/>
          <w:jc w:val="center"/>
        </w:trPr>
        <w:tc>
          <w:tcPr>
            <w:tcW w:w="1324" w:type="dxa"/>
            <w:tcBorders>
              <w:top w:val="nil"/>
              <w:left w:val="nil"/>
              <w:bottom w:val="nil"/>
              <w:right w:val="nil"/>
            </w:tcBorders>
            <w:vAlign w:val="center"/>
            <w:hideMark/>
          </w:tcPr>
          <w:p w14:paraId="7FAB161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50’ SFD</w:t>
            </w:r>
          </w:p>
        </w:tc>
        <w:tc>
          <w:tcPr>
            <w:tcW w:w="1599" w:type="dxa"/>
            <w:tcBorders>
              <w:top w:val="nil"/>
              <w:left w:val="nil"/>
              <w:bottom w:val="nil"/>
              <w:right w:val="nil"/>
            </w:tcBorders>
            <w:vAlign w:val="center"/>
            <w:hideMark/>
          </w:tcPr>
          <w:p w14:paraId="617AF03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Developer/Wright</w:t>
            </w:r>
          </w:p>
        </w:tc>
        <w:tc>
          <w:tcPr>
            <w:tcW w:w="1166" w:type="dxa"/>
            <w:tcBorders>
              <w:top w:val="nil"/>
              <w:left w:val="nil"/>
              <w:bottom w:val="nil"/>
              <w:right w:val="nil"/>
            </w:tcBorders>
            <w:vAlign w:val="center"/>
            <w:hideMark/>
          </w:tcPr>
          <w:p w14:paraId="445DED4E"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6265B12F"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724B4ED5"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113</w:t>
            </w:r>
          </w:p>
        </w:tc>
        <w:tc>
          <w:tcPr>
            <w:tcW w:w="1190" w:type="dxa"/>
            <w:tcBorders>
              <w:top w:val="nil"/>
              <w:left w:val="nil"/>
              <w:bottom w:val="nil"/>
              <w:right w:val="nil"/>
            </w:tcBorders>
            <w:vAlign w:val="center"/>
            <w:hideMark/>
          </w:tcPr>
          <w:p w14:paraId="4E1C3DC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Q2 2031</w:t>
            </w:r>
          </w:p>
        </w:tc>
        <w:tc>
          <w:tcPr>
            <w:tcW w:w="1191" w:type="dxa"/>
            <w:tcBorders>
              <w:top w:val="nil"/>
              <w:left w:val="nil"/>
              <w:bottom w:val="nil"/>
              <w:right w:val="nil"/>
            </w:tcBorders>
            <w:vAlign w:val="center"/>
            <w:hideMark/>
          </w:tcPr>
          <w:p w14:paraId="2C7A296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6592F37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w:t>
            </w:r>
          </w:p>
        </w:tc>
      </w:tr>
      <w:tr w:rsidR="00514DBA" w:rsidRPr="00B104F6" w14:paraId="15CB19B5" w14:textId="77777777" w:rsidTr="00B104F6">
        <w:trPr>
          <w:trHeight w:val="300"/>
          <w:jc w:val="center"/>
        </w:trPr>
        <w:tc>
          <w:tcPr>
            <w:tcW w:w="2923" w:type="dxa"/>
            <w:gridSpan w:val="2"/>
            <w:tcBorders>
              <w:top w:val="nil"/>
              <w:left w:val="nil"/>
              <w:bottom w:val="nil"/>
              <w:right w:val="nil"/>
            </w:tcBorders>
            <w:shd w:val="clear" w:color="000000" w:fill="F2F2F2"/>
            <w:vAlign w:val="center"/>
            <w:hideMark/>
          </w:tcPr>
          <w:p w14:paraId="66DDE486"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Yosemite</w:t>
            </w:r>
          </w:p>
        </w:tc>
        <w:tc>
          <w:tcPr>
            <w:tcW w:w="1166" w:type="dxa"/>
            <w:tcBorders>
              <w:top w:val="nil"/>
              <w:left w:val="nil"/>
              <w:bottom w:val="nil"/>
              <w:right w:val="nil"/>
            </w:tcBorders>
            <w:shd w:val="clear" w:color="000000" w:fill="F2F2F2"/>
            <w:vAlign w:val="center"/>
            <w:hideMark/>
          </w:tcPr>
          <w:p w14:paraId="6994C3B7"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0B2537EC"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2DDF168D"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6270F371"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22381630"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5CB7E4A3"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514DBA" w:rsidRPr="00B104F6" w14:paraId="770079F4" w14:textId="77777777" w:rsidTr="00B104F6">
        <w:trPr>
          <w:trHeight w:val="300"/>
          <w:jc w:val="center"/>
        </w:trPr>
        <w:tc>
          <w:tcPr>
            <w:tcW w:w="1324" w:type="dxa"/>
            <w:tcBorders>
              <w:top w:val="nil"/>
              <w:left w:val="nil"/>
              <w:bottom w:val="nil"/>
              <w:right w:val="nil"/>
            </w:tcBorders>
            <w:vAlign w:val="center"/>
            <w:hideMark/>
          </w:tcPr>
          <w:p w14:paraId="2BA5FC1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19C4AED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29740F3A"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6478E27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0C9594A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120</w:t>
            </w:r>
          </w:p>
        </w:tc>
        <w:tc>
          <w:tcPr>
            <w:tcW w:w="1190" w:type="dxa"/>
            <w:tcBorders>
              <w:top w:val="nil"/>
              <w:left w:val="nil"/>
              <w:bottom w:val="nil"/>
              <w:right w:val="nil"/>
            </w:tcBorders>
            <w:vAlign w:val="center"/>
            <w:hideMark/>
          </w:tcPr>
          <w:p w14:paraId="617489D5"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Q1 2031</w:t>
            </w:r>
          </w:p>
        </w:tc>
        <w:tc>
          <w:tcPr>
            <w:tcW w:w="1191" w:type="dxa"/>
            <w:tcBorders>
              <w:top w:val="nil"/>
              <w:left w:val="nil"/>
              <w:bottom w:val="nil"/>
              <w:right w:val="nil"/>
            </w:tcBorders>
            <w:vAlign w:val="center"/>
            <w:hideMark/>
          </w:tcPr>
          <w:p w14:paraId="4ED88EF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64F06FDE"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Design</w:t>
            </w:r>
          </w:p>
        </w:tc>
      </w:tr>
      <w:tr w:rsidR="00514DBA" w:rsidRPr="00B104F6" w14:paraId="7EEBE56D" w14:textId="77777777" w:rsidTr="00B104F6">
        <w:trPr>
          <w:trHeight w:val="300"/>
          <w:jc w:val="center"/>
        </w:trPr>
        <w:tc>
          <w:tcPr>
            <w:tcW w:w="1324" w:type="dxa"/>
            <w:tcBorders>
              <w:top w:val="nil"/>
              <w:left w:val="nil"/>
              <w:bottom w:val="nil"/>
              <w:right w:val="nil"/>
            </w:tcBorders>
            <w:vAlign w:val="center"/>
            <w:hideMark/>
          </w:tcPr>
          <w:p w14:paraId="68536B7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634EAEB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5C9261D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76BFBB55"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3482AA5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82</w:t>
            </w:r>
          </w:p>
        </w:tc>
        <w:tc>
          <w:tcPr>
            <w:tcW w:w="1190" w:type="dxa"/>
            <w:tcBorders>
              <w:top w:val="nil"/>
              <w:left w:val="nil"/>
              <w:bottom w:val="nil"/>
              <w:right w:val="nil"/>
            </w:tcBorders>
            <w:vAlign w:val="center"/>
            <w:hideMark/>
          </w:tcPr>
          <w:p w14:paraId="13CE564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Q4 2029</w:t>
            </w:r>
          </w:p>
        </w:tc>
        <w:tc>
          <w:tcPr>
            <w:tcW w:w="1191" w:type="dxa"/>
            <w:tcBorders>
              <w:top w:val="nil"/>
              <w:left w:val="nil"/>
              <w:bottom w:val="nil"/>
              <w:right w:val="nil"/>
            </w:tcBorders>
            <w:vAlign w:val="center"/>
            <w:hideMark/>
          </w:tcPr>
          <w:p w14:paraId="6DD0A6E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789ECB5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Design</w:t>
            </w:r>
          </w:p>
        </w:tc>
      </w:tr>
      <w:tr w:rsidR="00514DBA" w:rsidRPr="00B104F6" w14:paraId="337D0A75" w14:textId="77777777" w:rsidTr="00B104F6">
        <w:trPr>
          <w:trHeight w:val="300"/>
          <w:jc w:val="center"/>
        </w:trPr>
        <w:tc>
          <w:tcPr>
            <w:tcW w:w="2923" w:type="dxa"/>
            <w:gridSpan w:val="2"/>
            <w:tcBorders>
              <w:top w:val="nil"/>
              <w:left w:val="nil"/>
              <w:bottom w:val="nil"/>
              <w:right w:val="nil"/>
            </w:tcBorders>
            <w:shd w:val="clear" w:color="000000" w:fill="F2F2F2"/>
            <w:vAlign w:val="center"/>
            <w:hideMark/>
          </w:tcPr>
          <w:p w14:paraId="3ACD8D8B"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Acadia</w:t>
            </w:r>
          </w:p>
        </w:tc>
        <w:tc>
          <w:tcPr>
            <w:tcW w:w="1166" w:type="dxa"/>
            <w:tcBorders>
              <w:top w:val="nil"/>
              <w:left w:val="nil"/>
              <w:bottom w:val="nil"/>
              <w:right w:val="nil"/>
            </w:tcBorders>
            <w:shd w:val="clear" w:color="000000" w:fill="F2F2F2"/>
            <w:vAlign w:val="center"/>
            <w:hideMark/>
          </w:tcPr>
          <w:p w14:paraId="7ABBEC94"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166FD6DD"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5B92A1BE"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2353DE7A"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638AA9BD"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599E9312"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514DBA" w:rsidRPr="00B104F6" w14:paraId="2C462F5C" w14:textId="77777777" w:rsidTr="00B104F6">
        <w:trPr>
          <w:trHeight w:val="300"/>
          <w:jc w:val="center"/>
        </w:trPr>
        <w:tc>
          <w:tcPr>
            <w:tcW w:w="1324" w:type="dxa"/>
            <w:tcBorders>
              <w:top w:val="nil"/>
              <w:left w:val="nil"/>
              <w:bottom w:val="nil"/>
              <w:right w:val="nil"/>
            </w:tcBorders>
            <w:vAlign w:val="center"/>
            <w:hideMark/>
          </w:tcPr>
          <w:p w14:paraId="5F06FA1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B2B TH</w:t>
            </w:r>
          </w:p>
        </w:tc>
        <w:tc>
          <w:tcPr>
            <w:tcW w:w="1599" w:type="dxa"/>
            <w:tcBorders>
              <w:top w:val="nil"/>
              <w:left w:val="nil"/>
              <w:bottom w:val="nil"/>
              <w:right w:val="nil"/>
            </w:tcBorders>
            <w:vAlign w:val="center"/>
            <w:hideMark/>
          </w:tcPr>
          <w:p w14:paraId="29B4A75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128542F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1D66258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72BB00F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92</w:t>
            </w:r>
          </w:p>
        </w:tc>
        <w:tc>
          <w:tcPr>
            <w:tcW w:w="1190" w:type="dxa"/>
            <w:tcBorders>
              <w:top w:val="nil"/>
              <w:left w:val="nil"/>
              <w:bottom w:val="nil"/>
              <w:right w:val="nil"/>
            </w:tcBorders>
            <w:vAlign w:val="center"/>
            <w:hideMark/>
          </w:tcPr>
          <w:p w14:paraId="0B21CC4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Q2 2030</w:t>
            </w:r>
          </w:p>
        </w:tc>
        <w:tc>
          <w:tcPr>
            <w:tcW w:w="1191" w:type="dxa"/>
            <w:tcBorders>
              <w:top w:val="nil"/>
              <w:left w:val="nil"/>
              <w:bottom w:val="nil"/>
              <w:right w:val="nil"/>
            </w:tcBorders>
            <w:vAlign w:val="center"/>
            <w:hideMark/>
          </w:tcPr>
          <w:p w14:paraId="2AA71FC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687A060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57DEDB0B" w14:textId="77777777" w:rsidTr="00B104F6">
        <w:trPr>
          <w:trHeight w:val="300"/>
          <w:jc w:val="center"/>
        </w:trPr>
        <w:tc>
          <w:tcPr>
            <w:tcW w:w="1324" w:type="dxa"/>
            <w:tcBorders>
              <w:top w:val="nil"/>
              <w:left w:val="nil"/>
              <w:bottom w:val="nil"/>
              <w:right w:val="nil"/>
            </w:tcBorders>
            <w:vAlign w:val="center"/>
            <w:hideMark/>
          </w:tcPr>
          <w:p w14:paraId="1B9396B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0809D07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7B8EFA8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372D3D8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5D9EE22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137</w:t>
            </w:r>
          </w:p>
        </w:tc>
        <w:tc>
          <w:tcPr>
            <w:tcW w:w="1190" w:type="dxa"/>
            <w:tcBorders>
              <w:top w:val="nil"/>
              <w:left w:val="nil"/>
              <w:bottom w:val="nil"/>
              <w:right w:val="nil"/>
            </w:tcBorders>
            <w:vAlign w:val="center"/>
            <w:hideMark/>
          </w:tcPr>
          <w:p w14:paraId="3355BD4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Q2 2030</w:t>
            </w:r>
          </w:p>
        </w:tc>
        <w:tc>
          <w:tcPr>
            <w:tcW w:w="1191" w:type="dxa"/>
            <w:tcBorders>
              <w:top w:val="nil"/>
              <w:left w:val="nil"/>
              <w:bottom w:val="nil"/>
              <w:right w:val="nil"/>
            </w:tcBorders>
            <w:vAlign w:val="center"/>
            <w:hideMark/>
          </w:tcPr>
          <w:p w14:paraId="7B4BADA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151BD7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3DF55AA3" w14:textId="77777777" w:rsidTr="00B104F6">
        <w:trPr>
          <w:trHeight w:val="300"/>
          <w:jc w:val="center"/>
        </w:trPr>
        <w:tc>
          <w:tcPr>
            <w:tcW w:w="1324" w:type="dxa"/>
            <w:tcBorders>
              <w:top w:val="nil"/>
              <w:left w:val="nil"/>
              <w:bottom w:val="nil"/>
              <w:right w:val="nil"/>
            </w:tcBorders>
            <w:vAlign w:val="center"/>
            <w:hideMark/>
          </w:tcPr>
          <w:p w14:paraId="1B861A2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02A605E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363CA66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4FC8046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475DA52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66</w:t>
            </w:r>
          </w:p>
        </w:tc>
        <w:tc>
          <w:tcPr>
            <w:tcW w:w="1190" w:type="dxa"/>
            <w:tcBorders>
              <w:top w:val="nil"/>
              <w:left w:val="nil"/>
              <w:bottom w:val="nil"/>
              <w:right w:val="nil"/>
            </w:tcBorders>
            <w:vAlign w:val="center"/>
            <w:hideMark/>
          </w:tcPr>
          <w:p w14:paraId="6E94C84A"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 2029</w:t>
            </w:r>
          </w:p>
        </w:tc>
        <w:tc>
          <w:tcPr>
            <w:tcW w:w="1191" w:type="dxa"/>
            <w:tcBorders>
              <w:top w:val="nil"/>
              <w:left w:val="nil"/>
              <w:bottom w:val="nil"/>
              <w:right w:val="nil"/>
            </w:tcBorders>
            <w:vAlign w:val="center"/>
            <w:hideMark/>
          </w:tcPr>
          <w:p w14:paraId="5CD4AEE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66469CA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250B8A49" w14:textId="77777777" w:rsidTr="00B104F6">
        <w:trPr>
          <w:trHeight w:val="300"/>
          <w:jc w:val="center"/>
        </w:trPr>
        <w:tc>
          <w:tcPr>
            <w:tcW w:w="1324" w:type="dxa"/>
            <w:tcBorders>
              <w:top w:val="nil"/>
              <w:left w:val="nil"/>
              <w:bottom w:val="nil"/>
              <w:right w:val="nil"/>
            </w:tcBorders>
            <w:vAlign w:val="center"/>
            <w:hideMark/>
          </w:tcPr>
          <w:p w14:paraId="08A2E52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32’ SFD</w:t>
            </w:r>
          </w:p>
        </w:tc>
        <w:tc>
          <w:tcPr>
            <w:tcW w:w="1599" w:type="dxa"/>
            <w:tcBorders>
              <w:top w:val="nil"/>
              <w:left w:val="nil"/>
              <w:bottom w:val="nil"/>
              <w:right w:val="nil"/>
            </w:tcBorders>
            <w:vAlign w:val="center"/>
            <w:hideMark/>
          </w:tcPr>
          <w:p w14:paraId="6C3CC22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71F167F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552DB30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55395CE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46</w:t>
            </w:r>
          </w:p>
        </w:tc>
        <w:tc>
          <w:tcPr>
            <w:tcW w:w="1190" w:type="dxa"/>
            <w:tcBorders>
              <w:top w:val="nil"/>
              <w:left w:val="nil"/>
              <w:bottom w:val="nil"/>
              <w:right w:val="nil"/>
            </w:tcBorders>
            <w:vAlign w:val="center"/>
            <w:hideMark/>
          </w:tcPr>
          <w:p w14:paraId="14AE939E"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 2029</w:t>
            </w:r>
          </w:p>
        </w:tc>
        <w:tc>
          <w:tcPr>
            <w:tcW w:w="1191" w:type="dxa"/>
            <w:tcBorders>
              <w:top w:val="nil"/>
              <w:left w:val="nil"/>
              <w:bottom w:val="nil"/>
              <w:right w:val="nil"/>
            </w:tcBorders>
            <w:vAlign w:val="center"/>
            <w:hideMark/>
          </w:tcPr>
          <w:p w14:paraId="0861CBA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ACD6795"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37FAB897" w14:textId="77777777" w:rsidTr="00B104F6">
        <w:trPr>
          <w:trHeight w:val="300"/>
          <w:jc w:val="center"/>
        </w:trPr>
        <w:tc>
          <w:tcPr>
            <w:tcW w:w="1324" w:type="dxa"/>
            <w:tcBorders>
              <w:top w:val="nil"/>
              <w:left w:val="nil"/>
              <w:bottom w:val="nil"/>
              <w:right w:val="nil"/>
            </w:tcBorders>
            <w:vAlign w:val="center"/>
            <w:hideMark/>
          </w:tcPr>
          <w:p w14:paraId="46C4CD1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37’ SFD</w:t>
            </w:r>
          </w:p>
        </w:tc>
        <w:tc>
          <w:tcPr>
            <w:tcW w:w="1599" w:type="dxa"/>
            <w:tcBorders>
              <w:top w:val="nil"/>
              <w:left w:val="nil"/>
              <w:bottom w:val="nil"/>
              <w:right w:val="nil"/>
            </w:tcBorders>
            <w:vAlign w:val="center"/>
            <w:hideMark/>
          </w:tcPr>
          <w:p w14:paraId="06FDAD0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4CE390B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513314D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2FB378F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6</w:t>
            </w:r>
          </w:p>
        </w:tc>
        <w:tc>
          <w:tcPr>
            <w:tcW w:w="1190" w:type="dxa"/>
            <w:tcBorders>
              <w:top w:val="nil"/>
              <w:left w:val="nil"/>
              <w:bottom w:val="nil"/>
              <w:right w:val="nil"/>
            </w:tcBorders>
            <w:vAlign w:val="center"/>
            <w:hideMark/>
          </w:tcPr>
          <w:p w14:paraId="13335A3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Q2 2029</w:t>
            </w:r>
          </w:p>
        </w:tc>
        <w:tc>
          <w:tcPr>
            <w:tcW w:w="1191" w:type="dxa"/>
            <w:tcBorders>
              <w:top w:val="nil"/>
              <w:left w:val="nil"/>
              <w:bottom w:val="nil"/>
              <w:right w:val="nil"/>
            </w:tcBorders>
            <w:vAlign w:val="center"/>
            <w:hideMark/>
          </w:tcPr>
          <w:p w14:paraId="3417DCD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127F480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6BDEFE2E" w14:textId="77777777" w:rsidTr="00B104F6">
        <w:trPr>
          <w:trHeight w:val="300"/>
          <w:jc w:val="center"/>
        </w:trPr>
        <w:tc>
          <w:tcPr>
            <w:tcW w:w="1324" w:type="dxa"/>
            <w:tcBorders>
              <w:top w:val="nil"/>
              <w:left w:val="nil"/>
              <w:bottom w:val="nil"/>
              <w:right w:val="nil"/>
            </w:tcBorders>
            <w:vAlign w:val="center"/>
            <w:hideMark/>
          </w:tcPr>
          <w:p w14:paraId="28884B5A"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50’ SFD</w:t>
            </w:r>
          </w:p>
        </w:tc>
        <w:tc>
          <w:tcPr>
            <w:tcW w:w="1599" w:type="dxa"/>
            <w:tcBorders>
              <w:top w:val="nil"/>
              <w:left w:val="nil"/>
              <w:bottom w:val="nil"/>
              <w:right w:val="nil"/>
            </w:tcBorders>
            <w:vAlign w:val="center"/>
            <w:hideMark/>
          </w:tcPr>
          <w:p w14:paraId="0FBF950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43C45B5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5EF1353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6692FDD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34</w:t>
            </w:r>
          </w:p>
        </w:tc>
        <w:tc>
          <w:tcPr>
            <w:tcW w:w="1190" w:type="dxa"/>
            <w:tcBorders>
              <w:top w:val="nil"/>
              <w:left w:val="nil"/>
              <w:bottom w:val="nil"/>
              <w:right w:val="nil"/>
            </w:tcBorders>
            <w:vAlign w:val="center"/>
            <w:hideMark/>
          </w:tcPr>
          <w:p w14:paraId="30219EF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Q4 2030</w:t>
            </w:r>
          </w:p>
        </w:tc>
        <w:tc>
          <w:tcPr>
            <w:tcW w:w="1191" w:type="dxa"/>
            <w:tcBorders>
              <w:top w:val="nil"/>
              <w:left w:val="nil"/>
              <w:bottom w:val="nil"/>
              <w:right w:val="nil"/>
            </w:tcBorders>
            <w:vAlign w:val="center"/>
            <w:hideMark/>
          </w:tcPr>
          <w:p w14:paraId="14DC2C7F"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5DA3B18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514DBA" w:rsidRPr="00B104F6" w14:paraId="520781D4" w14:textId="77777777" w:rsidTr="00B104F6">
        <w:trPr>
          <w:trHeight w:val="300"/>
          <w:jc w:val="center"/>
        </w:trPr>
        <w:tc>
          <w:tcPr>
            <w:tcW w:w="2923" w:type="dxa"/>
            <w:gridSpan w:val="2"/>
            <w:tcBorders>
              <w:top w:val="nil"/>
              <w:left w:val="nil"/>
              <w:bottom w:val="nil"/>
              <w:right w:val="nil"/>
            </w:tcBorders>
            <w:shd w:val="clear" w:color="000000" w:fill="F2F2F2"/>
            <w:vAlign w:val="center"/>
            <w:hideMark/>
          </w:tcPr>
          <w:p w14:paraId="64CA1EFF"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Joshua Tree Phase 4</w:t>
            </w:r>
          </w:p>
        </w:tc>
        <w:tc>
          <w:tcPr>
            <w:tcW w:w="1166" w:type="dxa"/>
            <w:tcBorders>
              <w:top w:val="nil"/>
              <w:left w:val="nil"/>
              <w:bottom w:val="nil"/>
              <w:right w:val="nil"/>
            </w:tcBorders>
            <w:shd w:val="clear" w:color="000000" w:fill="F2F2F2"/>
            <w:vAlign w:val="center"/>
            <w:hideMark/>
          </w:tcPr>
          <w:p w14:paraId="3914193E"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70" w:type="dxa"/>
            <w:tcBorders>
              <w:top w:val="nil"/>
              <w:left w:val="nil"/>
              <w:bottom w:val="nil"/>
              <w:right w:val="nil"/>
            </w:tcBorders>
            <w:shd w:val="clear" w:color="000000" w:fill="F2F2F2"/>
            <w:vAlign w:val="center"/>
            <w:hideMark/>
          </w:tcPr>
          <w:p w14:paraId="53193BFC"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000" w:type="dxa"/>
            <w:tcBorders>
              <w:top w:val="nil"/>
              <w:left w:val="nil"/>
              <w:bottom w:val="nil"/>
              <w:right w:val="nil"/>
            </w:tcBorders>
            <w:shd w:val="clear" w:color="000000" w:fill="F2F2F2"/>
            <w:vAlign w:val="center"/>
            <w:hideMark/>
          </w:tcPr>
          <w:p w14:paraId="0A1F11EF"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90" w:type="dxa"/>
            <w:tcBorders>
              <w:top w:val="nil"/>
              <w:left w:val="nil"/>
              <w:bottom w:val="nil"/>
              <w:right w:val="nil"/>
            </w:tcBorders>
            <w:shd w:val="clear" w:color="000000" w:fill="F2F2F2"/>
            <w:vAlign w:val="center"/>
            <w:hideMark/>
          </w:tcPr>
          <w:p w14:paraId="64FFBA11"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91" w:type="dxa"/>
            <w:tcBorders>
              <w:top w:val="nil"/>
              <w:left w:val="nil"/>
              <w:bottom w:val="nil"/>
              <w:right w:val="nil"/>
            </w:tcBorders>
            <w:shd w:val="clear" w:color="000000" w:fill="F2F2F2"/>
            <w:vAlign w:val="center"/>
            <w:hideMark/>
          </w:tcPr>
          <w:p w14:paraId="4191F983"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98" w:type="dxa"/>
            <w:tcBorders>
              <w:top w:val="nil"/>
              <w:left w:val="nil"/>
              <w:bottom w:val="nil"/>
              <w:right w:val="nil"/>
            </w:tcBorders>
            <w:shd w:val="clear" w:color="000000" w:fill="F2F2F2"/>
            <w:vAlign w:val="center"/>
            <w:hideMark/>
          </w:tcPr>
          <w:p w14:paraId="181E008B"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r>
      <w:tr w:rsidR="00514DBA" w:rsidRPr="00B104F6" w14:paraId="701A2064" w14:textId="77777777" w:rsidTr="00B104F6">
        <w:trPr>
          <w:trHeight w:val="300"/>
          <w:jc w:val="center"/>
        </w:trPr>
        <w:tc>
          <w:tcPr>
            <w:tcW w:w="1324" w:type="dxa"/>
            <w:tcBorders>
              <w:top w:val="nil"/>
              <w:left w:val="nil"/>
              <w:bottom w:val="nil"/>
              <w:right w:val="nil"/>
            </w:tcBorders>
            <w:vAlign w:val="center"/>
            <w:hideMark/>
          </w:tcPr>
          <w:p w14:paraId="050C77B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4A5A395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66" w:type="dxa"/>
            <w:tcBorders>
              <w:top w:val="nil"/>
              <w:left w:val="nil"/>
              <w:bottom w:val="nil"/>
              <w:right w:val="nil"/>
            </w:tcBorders>
            <w:vAlign w:val="center"/>
            <w:hideMark/>
          </w:tcPr>
          <w:p w14:paraId="0256BAD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544A83B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[Closed]</w:t>
            </w:r>
          </w:p>
        </w:tc>
        <w:tc>
          <w:tcPr>
            <w:tcW w:w="1000" w:type="dxa"/>
            <w:tcBorders>
              <w:top w:val="nil"/>
              <w:left w:val="nil"/>
              <w:bottom w:val="nil"/>
              <w:right w:val="nil"/>
            </w:tcBorders>
            <w:vAlign w:val="center"/>
            <w:hideMark/>
          </w:tcPr>
          <w:p w14:paraId="49AC443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8</w:t>
            </w:r>
          </w:p>
        </w:tc>
        <w:tc>
          <w:tcPr>
            <w:tcW w:w="1190" w:type="dxa"/>
            <w:tcBorders>
              <w:top w:val="nil"/>
              <w:left w:val="nil"/>
              <w:bottom w:val="nil"/>
              <w:right w:val="nil"/>
            </w:tcBorders>
            <w:vAlign w:val="center"/>
            <w:hideMark/>
          </w:tcPr>
          <w:p w14:paraId="70C129E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Q2 2031</w:t>
            </w:r>
          </w:p>
        </w:tc>
        <w:tc>
          <w:tcPr>
            <w:tcW w:w="1191" w:type="dxa"/>
            <w:tcBorders>
              <w:top w:val="nil"/>
              <w:left w:val="nil"/>
              <w:bottom w:val="nil"/>
              <w:right w:val="nil"/>
            </w:tcBorders>
            <w:vAlign w:val="center"/>
            <w:hideMark/>
          </w:tcPr>
          <w:p w14:paraId="3D71406F"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3CC1C11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w:t>
            </w:r>
          </w:p>
        </w:tc>
      </w:tr>
      <w:tr w:rsidR="00514DBA" w:rsidRPr="00B104F6" w14:paraId="5992CCC2" w14:textId="77777777" w:rsidTr="00B104F6">
        <w:trPr>
          <w:trHeight w:val="300"/>
          <w:jc w:val="center"/>
        </w:trPr>
        <w:tc>
          <w:tcPr>
            <w:tcW w:w="1324" w:type="dxa"/>
            <w:tcBorders>
              <w:top w:val="nil"/>
              <w:left w:val="nil"/>
              <w:bottom w:val="nil"/>
              <w:right w:val="nil"/>
            </w:tcBorders>
            <w:vAlign w:val="center"/>
            <w:hideMark/>
          </w:tcPr>
          <w:p w14:paraId="355998A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494165E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66" w:type="dxa"/>
            <w:tcBorders>
              <w:top w:val="nil"/>
              <w:left w:val="nil"/>
              <w:bottom w:val="nil"/>
              <w:right w:val="nil"/>
            </w:tcBorders>
            <w:vAlign w:val="center"/>
            <w:hideMark/>
          </w:tcPr>
          <w:p w14:paraId="6CEE3935"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0A15A99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[Closed]</w:t>
            </w:r>
          </w:p>
        </w:tc>
        <w:tc>
          <w:tcPr>
            <w:tcW w:w="1000" w:type="dxa"/>
            <w:tcBorders>
              <w:top w:val="nil"/>
              <w:left w:val="nil"/>
              <w:bottom w:val="nil"/>
              <w:right w:val="nil"/>
            </w:tcBorders>
            <w:vAlign w:val="center"/>
            <w:hideMark/>
          </w:tcPr>
          <w:p w14:paraId="7C1862D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32</w:t>
            </w:r>
          </w:p>
        </w:tc>
        <w:tc>
          <w:tcPr>
            <w:tcW w:w="1190" w:type="dxa"/>
            <w:tcBorders>
              <w:top w:val="nil"/>
              <w:left w:val="nil"/>
              <w:bottom w:val="nil"/>
              <w:right w:val="nil"/>
            </w:tcBorders>
            <w:vAlign w:val="center"/>
            <w:hideMark/>
          </w:tcPr>
          <w:p w14:paraId="4E93DF0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 2030</w:t>
            </w:r>
          </w:p>
        </w:tc>
        <w:tc>
          <w:tcPr>
            <w:tcW w:w="1191" w:type="dxa"/>
            <w:tcBorders>
              <w:top w:val="nil"/>
              <w:left w:val="nil"/>
              <w:bottom w:val="nil"/>
              <w:right w:val="nil"/>
            </w:tcBorders>
            <w:vAlign w:val="center"/>
            <w:hideMark/>
          </w:tcPr>
          <w:p w14:paraId="19DF764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CC9ECE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Final</w:t>
            </w:r>
          </w:p>
        </w:tc>
      </w:tr>
      <w:tr w:rsidR="00514DBA" w:rsidRPr="00B104F6" w14:paraId="26C8AD66" w14:textId="77777777" w:rsidTr="00B104F6">
        <w:trPr>
          <w:trHeight w:val="300"/>
          <w:jc w:val="center"/>
        </w:trPr>
        <w:tc>
          <w:tcPr>
            <w:tcW w:w="2923" w:type="dxa"/>
            <w:gridSpan w:val="2"/>
            <w:tcBorders>
              <w:top w:val="nil"/>
              <w:left w:val="nil"/>
              <w:bottom w:val="nil"/>
              <w:right w:val="nil"/>
            </w:tcBorders>
            <w:shd w:val="clear" w:color="000000" w:fill="F2F2F2"/>
            <w:vAlign w:val="center"/>
            <w:hideMark/>
          </w:tcPr>
          <w:p w14:paraId="6FC62310" w14:textId="77777777" w:rsidR="00514DBA" w:rsidRPr="00B104F6" w:rsidRDefault="00514DBA"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Kenai</w:t>
            </w:r>
          </w:p>
        </w:tc>
        <w:tc>
          <w:tcPr>
            <w:tcW w:w="1166" w:type="dxa"/>
            <w:tcBorders>
              <w:top w:val="nil"/>
              <w:left w:val="nil"/>
              <w:bottom w:val="nil"/>
              <w:right w:val="nil"/>
            </w:tcBorders>
            <w:shd w:val="clear" w:color="000000" w:fill="F2F2F2"/>
            <w:vAlign w:val="center"/>
            <w:hideMark/>
          </w:tcPr>
          <w:p w14:paraId="1F3C0EEE"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5E158C83"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7BBC6570"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058C7074"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77C2C1DE"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0594568A" w14:textId="77777777" w:rsidR="00514DBA" w:rsidRPr="00B104F6" w:rsidRDefault="00514DBA"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514DBA" w:rsidRPr="00B104F6" w14:paraId="4A9C9B7A" w14:textId="77777777" w:rsidTr="00B104F6">
        <w:trPr>
          <w:trHeight w:val="300"/>
          <w:jc w:val="center"/>
        </w:trPr>
        <w:tc>
          <w:tcPr>
            <w:tcW w:w="1324" w:type="dxa"/>
            <w:tcBorders>
              <w:top w:val="nil"/>
              <w:left w:val="nil"/>
              <w:bottom w:val="nil"/>
              <w:right w:val="nil"/>
            </w:tcBorders>
            <w:vAlign w:val="center"/>
            <w:hideMark/>
          </w:tcPr>
          <w:p w14:paraId="7BB0DD8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4B30263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1137DF0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nil"/>
              <w:right w:val="nil"/>
            </w:tcBorders>
            <w:vAlign w:val="center"/>
            <w:hideMark/>
          </w:tcPr>
          <w:p w14:paraId="27740CD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nil"/>
              <w:right w:val="nil"/>
            </w:tcBorders>
            <w:vAlign w:val="center"/>
            <w:hideMark/>
          </w:tcPr>
          <w:p w14:paraId="2A1CC91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60</w:t>
            </w:r>
          </w:p>
        </w:tc>
        <w:tc>
          <w:tcPr>
            <w:tcW w:w="1190" w:type="dxa"/>
            <w:tcBorders>
              <w:top w:val="nil"/>
              <w:left w:val="nil"/>
              <w:bottom w:val="nil"/>
              <w:right w:val="nil"/>
            </w:tcBorders>
            <w:vAlign w:val="center"/>
            <w:hideMark/>
          </w:tcPr>
          <w:p w14:paraId="2D5BCB1B"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 2031</w:t>
            </w:r>
          </w:p>
        </w:tc>
        <w:tc>
          <w:tcPr>
            <w:tcW w:w="1191" w:type="dxa"/>
            <w:tcBorders>
              <w:top w:val="nil"/>
              <w:left w:val="nil"/>
              <w:bottom w:val="nil"/>
              <w:right w:val="nil"/>
            </w:tcBorders>
            <w:vAlign w:val="center"/>
            <w:hideMark/>
          </w:tcPr>
          <w:p w14:paraId="358B8A6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54A333E"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514DBA" w:rsidRPr="00B104F6" w14:paraId="4B91E75C" w14:textId="77777777" w:rsidTr="00B104F6">
        <w:trPr>
          <w:trHeight w:val="300"/>
          <w:jc w:val="center"/>
        </w:trPr>
        <w:tc>
          <w:tcPr>
            <w:tcW w:w="1324" w:type="dxa"/>
            <w:tcBorders>
              <w:top w:val="nil"/>
              <w:left w:val="nil"/>
              <w:bottom w:val="nil"/>
              <w:right w:val="nil"/>
            </w:tcBorders>
            <w:vAlign w:val="center"/>
            <w:hideMark/>
          </w:tcPr>
          <w:p w14:paraId="75057BDF"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6E6E111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0F91D18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nil"/>
              <w:right w:val="nil"/>
            </w:tcBorders>
            <w:vAlign w:val="center"/>
            <w:hideMark/>
          </w:tcPr>
          <w:p w14:paraId="681F2657"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nil"/>
              <w:right w:val="nil"/>
            </w:tcBorders>
            <w:vAlign w:val="center"/>
            <w:hideMark/>
          </w:tcPr>
          <w:p w14:paraId="0E0EC7B4"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75</w:t>
            </w:r>
          </w:p>
        </w:tc>
        <w:tc>
          <w:tcPr>
            <w:tcW w:w="1190" w:type="dxa"/>
            <w:tcBorders>
              <w:top w:val="nil"/>
              <w:left w:val="nil"/>
              <w:bottom w:val="nil"/>
              <w:right w:val="nil"/>
            </w:tcBorders>
            <w:vAlign w:val="center"/>
            <w:hideMark/>
          </w:tcPr>
          <w:p w14:paraId="680FEDA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 2031</w:t>
            </w:r>
          </w:p>
        </w:tc>
        <w:tc>
          <w:tcPr>
            <w:tcW w:w="1191" w:type="dxa"/>
            <w:tcBorders>
              <w:top w:val="nil"/>
              <w:left w:val="nil"/>
              <w:bottom w:val="nil"/>
              <w:right w:val="nil"/>
            </w:tcBorders>
            <w:vAlign w:val="center"/>
            <w:hideMark/>
          </w:tcPr>
          <w:p w14:paraId="461DE2E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0396CF0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514DBA" w:rsidRPr="00B104F6" w14:paraId="2E955A87" w14:textId="77777777" w:rsidTr="00B104F6">
        <w:trPr>
          <w:trHeight w:val="300"/>
          <w:jc w:val="center"/>
        </w:trPr>
        <w:tc>
          <w:tcPr>
            <w:tcW w:w="1324" w:type="dxa"/>
            <w:tcBorders>
              <w:top w:val="nil"/>
              <w:left w:val="nil"/>
              <w:bottom w:val="nil"/>
              <w:right w:val="nil"/>
            </w:tcBorders>
            <w:vAlign w:val="center"/>
            <w:hideMark/>
          </w:tcPr>
          <w:p w14:paraId="376592C2"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B2B TH</w:t>
            </w:r>
          </w:p>
        </w:tc>
        <w:tc>
          <w:tcPr>
            <w:tcW w:w="1599" w:type="dxa"/>
            <w:tcBorders>
              <w:top w:val="nil"/>
              <w:left w:val="nil"/>
              <w:bottom w:val="nil"/>
              <w:right w:val="nil"/>
            </w:tcBorders>
            <w:vAlign w:val="center"/>
            <w:hideMark/>
          </w:tcPr>
          <w:p w14:paraId="4EBBEA4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1A1687EC"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nil"/>
              <w:right w:val="nil"/>
            </w:tcBorders>
            <w:vAlign w:val="center"/>
            <w:hideMark/>
          </w:tcPr>
          <w:p w14:paraId="6D692713"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nil"/>
              <w:right w:val="nil"/>
            </w:tcBorders>
            <w:vAlign w:val="center"/>
            <w:hideMark/>
          </w:tcPr>
          <w:p w14:paraId="760CE289"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50</w:t>
            </w:r>
          </w:p>
        </w:tc>
        <w:tc>
          <w:tcPr>
            <w:tcW w:w="1190" w:type="dxa"/>
            <w:tcBorders>
              <w:top w:val="nil"/>
              <w:left w:val="nil"/>
              <w:bottom w:val="nil"/>
              <w:right w:val="nil"/>
            </w:tcBorders>
            <w:vAlign w:val="center"/>
            <w:hideMark/>
          </w:tcPr>
          <w:p w14:paraId="675B8B7E"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Q3 2031</w:t>
            </w:r>
          </w:p>
        </w:tc>
        <w:tc>
          <w:tcPr>
            <w:tcW w:w="1191" w:type="dxa"/>
            <w:tcBorders>
              <w:top w:val="nil"/>
              <w:left w:val="nil"/>
              <w:bottom w:val="nil"/>
              <w:right w:val="nil"/>
            </w:tcBorders>
            <w:vAlign w:val="center"/>
            <w:hideMark/>
          </w:tcPr>
          <w:p w14:paraId="3E03460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1EA1570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514DBA" w:rsidRPr="00B104F6" w14:paraId="60A0EC29" w14:textId="77777777" w:rsidTr="00B104F6">
        <w:trPr>
          <w:trHeight w:val="315"/>
          <w:jc w:val="center"/>
        </w:trPr>
        <w:tc>
          <w:tcPr>
            <w:tcW w:w="1324" w:type="dxa"/>
            <w:tcBorders>
              <w:top w:val="nil"/>
              <w:left w:val="nil"/>
              <w:bottom w:val="single" w:sz="8" w:space="0" w:color="auto"/>
              <w:right w:val="nil"/>
            </w:tcBorders>
            <w:vAlign w:val="center"/>
            <w:hideMark/>
          </w:tcPr>
          <w:p w14:paraId="32BEA77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SFD</w:t>
            </w:r>
          </w:p>
        </w:tc>
        <w:tc>
          <w:tcPr>
            <w:tcW w:w="1599" w:type="dxa"/>
            <w:tcBorders>
              <w:top w:val="nil"/>
              <w:left w:val="nil"/>
              <w:bottom w:val="single" w:sz="8" w:space="0" w:color="auto"/>
              <w:right w:val="nil"/>
            </w:tcBorders>
            <w:vAlign w:val="center"/>
            <w:hideMark/>
          </w:tcPr>
          <w:p w14:paraId="572C33F6"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single" w:sz="8" w:space="0" w:color="auto"/>
              <w:right w:val="nil"/>
            </w:tcBorders>
            <w:vAlign w:val="center"/>
            <w:hideMark/>
          </w:tcPr>
          <w:p w14:paraId="55D23E21"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single" w:sz="8" w:space="0" w:color="auto"/>
              <w:right w:val="nil"/>
            </w:tcBorders>
            <w:vAlign w:val="center"/>
            <w:hideMark/>
          </w:tcPr>
          <w:p w14:paraId="7DA6690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single" w:sz="8" w:space="0" w:color="auto"/>
              <w:right w:val="nil"/>
            </w:tcBorders>
            <w:vAlign w:val="center"/>
            <w:hideMark/>
          </w:tcPr>
          <w:p w14:paraId="74191B98"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40</w:t>
            </w:r>
          </w:p>
        </w:tc>
        <w:tc>
          <w:tcPr>
            <w:tcW w:w="1190" w:type="dxa"/>
            <w:tcBorders>
              <w:top w:val="nil"/>
              <w:left w:val="nil"/>
              <w:bottom w:val="single" w:sz="8" w:space="0" w:color="auto"/>
              <w:right w:val="nil"/>
            </w:tcBorders>
            <w:vAlign w:val="center"/>
            <w:hideMark/>
          </w:tcPr>
          <w:p w14:paraId="02448A70"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Q1 2031</w:t>
            </w:r>
          </w:p>
        </w:tc>
        <w:tc>
          <w:tcPr>
            <w:tcW w:w="1191" w:type="dxa"/>
            <w:tcBorders>
              <w:top w:val="nil"/>
              <w:left w:val="nil"/>
              <w:bottom w:val="single" w:sz="8" w:space="0" w:color="auto"/>
              <w:right w:val="nil"/>
            </w:tcBorders>
            <w:vAlign w:val="center"/>
            <w:hideMark/>
          </w:tcPr>
          <w:p w14:paraId="1A7F93AD"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single" w:sz="8" w:space="0" w:color="auto"/>
              <w:right w:val="nil"/>
            </w:tcBorders>
            <w:vAlign w:val="center"/>
            <w:hideMark/>
          </w:tcPr>
          <w:p w14:paraId="2B51150A" w14:textId="77777777" w:rsidR="00514DBA" w:rsidRPr="00B104F6" w:rsidRDefault="00514DBA"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514DBA" w:rsidRPr="00B104F6" w14:paraId="1BF2BEBD" w14:textId="77777777" w:rsidTr="00B104F6">
        <w:trPr>
          <w:trHeight w:val="288"/>
          <w:jc w:val="center"/>
        </w:trPr>
        <w:tc>
          <w:tcPr>
            <w:tcW w:w="1324" w:type="dxa"/>
            <w:tcBorders>
              <w:top w:val="nil"/>
              <w:left w:val="nil"/>
              <w:bottom w:val="nil"/>
              <w:right w:val="nil"/>
            </w:tcBorders>
            <w:vAlign w:val="center"/>
            <w:hideMark/>
          </w:tcPr>
          <w:p w14:paraId="1890BE55" w14:textId="77777777" w:rsidR="00514DBA" w:rsidRPr="00B104F6" w:rsidRDefault="00514DBA" w:rsidP="00377598">
            <w:pPr>
              <w:rPr>
                <w:rFonts w:eastAsia="Times New Roman" w:cs="Times New Roman"/>
                <w:b/>
                <w:bCs/>
                <w:color w:val="000000"/>
                <w:sz w:val="19"/>
                <w:szCs w:val="19"/>
              </w:rPr>
            </w:pPr>
            <w:r w:rsidRPr="00B104F6">
              <w:rPr>
                <w:rFonts w:eastAsia="Times New Roman" w:cs="Times New Roman"/>
                <w:b/>
                <w:bCs/>
                <w:color w:val="000000"/>
                <w:sz w:val="19"/>
                <w:szCs w:val="19"/>
              </w:rPr>
              <w:t>Total</w:t>
            </w:r>
          </w:p>
        </w:tc>
        <w:tc>
          <w:tcPr>
            <w:tcW w:w="1599" w:type="dxa"/>
            <w:tcBorders>
              <w:top w:val="nil"/>
              <w:left w:val="nil"/>
              <w:bottom w:val="nil"/>
              <w:right w:val="nil"/>
            </w:tcBorders>
            <w:vAlign w:val="center"/>
            <w:hideMark/>
          </w:tcPr>
          <w:p w14:paraId="03E289C4" w14:textId="77777777" w:rsidR="00514DBA" w:rsidRPr="00B104F6" w:rsidRDefault="00514DBA" w:rsidP="00377598">
            <w:pPr>
              <w:rPr>
                <w:rFonts w:eastAsia="Times New Roman" w:cs="Times New Roman"/>
                <w:b/>
                <w:bCs/>
                <w:color w:val="000000"/>
                <w:sz w:val="19"/>
                <w:szCs w:val="19"/>
              </w:rPr>
            </w:pPr>
          </w:p>
        </w:tc>
        <w:tc>
          <w:tcPr>
            <w:tcW w:w="1166" w:type="dxa"/>
            <w:tcBorders>
              <w:top w:val="nil"/>
              <w:left w:val="nil"/>
              <w:bottom w:val="nil"/>
              <w:right w:val="nil"/>
            </w:tcBorders>
            <w:vAlign w:val="center"/>
            <w:hideMark/>
          </w:tcPr>
          <w:p w14:paraId="24CBD13D" w14:textId="77777777" w:rsidR="00514DBA" w:rsidRPr="00B104F6" w:rsidRDefault="00514DBA" w:rsidP="00377598">
            <w:pPr>
              <w:rPr>
                <w:rFonts w:eastAsia="Times New Roman" w:cs="Times New Roman"/>
                <w:sz w:val="19"/>
                <w:szCs w:val="19"/>
              </w:rPr>
            </w:pPr>
          </w:p>
        </w:tc>
        <w:tc>
          <w:tcPr>
            <w:tcW w:w="1170" w:type="dxa"/>
            <w:tcBorders>
              <w:top w:val="nil"/>
              <w:left w:val="nil"/>
              <w:bottom w:val="nil"/>
              <w:right w:val="nil"/>
            </w:tcBorders>
            <w:vAlign w:val="center"/>
            <w:hideMark/>
          </w:tcPr>
          <w:p w14:paraId="3A26CB01" w14:textId="77777777" w:rsidR="00514DBA" w:rsidRPr="00B104F6" w:rsidRDefault="00514DBA" w:rsidP="00377598">
            <w:pPr>
              <w:rPr>
                <w:rFonts w:eastAsia="Times New Roman" w:cs="Times New Roman"/>
                <w:sz w:val="19"/>
                <w:szCs w:val="19"/>
              </w:rPr>
            </w:pPr>
          </w:p>
        </w:tc>
        <w:tc>
          <w:tcPr>
            <w:tcW w:w="1000" w:type="dxa"/>
            <w:tcBorders>
              <w:top w:val="nil"/>
              <w:left w:val="nil"/>
              <w:bottom w:val="nil"/>
              <w:right w:val="nil"/>
            </w:tcBorders>
            <w:vAlign w:val="center"/>
            <w:hideMark/>
          </w:tcPr>
          <w:p w14:paraId="7D46C7E4" w14:textId="77777777" w:rsidR="00514DBA" w:rsidRPr="00B104F6" w:rsidRDefault="00514DBA"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 xml:space="preserve">1,074 </w:t>
            </w:r>
          </w:p>
        </w:tc>
        <w:tc>
          <w:tcPr>
            <w:tcW w:w="1190" w:type="dxa"/>
            <w:tcBorders>
              <w:top w:val="nil"/>
              <w:left w:val="nil"/>
              <w:bottom w:val="nil"/>
              <w:right w:val="nil"/>
            </w:tcBorders>
            <w:vAlign w:val="center"/>
            <w:hideMark/>
          </w:tcPr>
          <w:p w14:paraId="1F6F7090" w14:textId="77777777" w:rsidR="00514DBA" w:rsidRPr="00B104F6" w:rsidRDefault="00514DBA" w:rsidP="00377598">
            <w:pPr>
              <w:jc w:val="center"/>
              <w:rPr>
                <w:rFonts w:eastAsia="Times New Roman" w:cs="Times New Roman"/>
                <w:b/>
                <w:bCs/>
                <w:color w:val="000000"/>
                <w:sz w:val="19"/>
                <w:szCs w:val="19"/>
              </w:rPr>
            </w:pPr>
          </w:p>
        </w:tc>
        <w:tc>
          <w:tcPr>
            <w:tcW w:w="1191" w:type="dxa"/>
            <w:tcBorders>
              <w:top w:val="nil"/>
              <w:left w:val="nil"/>
              <w:bottom w:val="nil"/>
              <w:right w:val="nil"/>
            </w:tcBorders>
            <w:vAlign w:val="center"/>
            <w:hideMark/>
          </w:tcPr>
          <w:p w14:paraId="113E0C2C" w14:textId="77777777" w:rsidR="00514DBA" w:rsidRPr="00B104F6" w:rsidRDefault="00514DBA" w:rsidP="00377598">
            <w:pPr>
              <w:rPr>
                <w:rFonts w:eastAsia="Times New Roman" w:cs="Times New Roman"/>
                <w:sz w:val="19"/>
                <w:szCs w:val="19"/>
              </w:rPr>
            </w:pPr>
          </w:p>
        </w:tc>
        <w:tc>
          <w:tcPr>
            <w:tcW w:w="1198" w:type="dxa"/>
            <w:tcBorders>
              <w:top w:val="nil"/>
              <w:left w:val="nil"/>
              <w:bottom w:val="nil"/>
              <w:right w:val="nil"/>
            </w:tcBorders>
            <w:vAlign w:val="center"/>
            <w:hideMark/>
          </w:tcPr>
          <w:p w14:paraId="1465AEE2" w14:textId="77777777" w:rsidR="00514DBA" w:rsidRPr="00B104F6" w:rsidRDefault="00514DBA" w:rsidP="00377598">
            <w:pPr>
              <w:rPr>
                <w:rFonts w:eastAsia="Times New Roman" w:cs="Times New Roman"/>
                <w:sz w:val="19"/>
                <w:szCs w:val="19"/>
              </w:rPr>
            </w:pPr>
          </w:p>
        </w:tc>
      </w:tr>
    </w:tbl>
    <w:p w14:paraId="7A0158F0" w14:textId="17F08F4F" w:rsidR="00AB657C" w:rsidRDefault="00AB657C" w:rsidP="00AB657C">
      <w:pPr>
        <w:pStyle w:val="FootnoteText"/>
        <w:jc w:val="both"/>
        <w:rPr>
          <w:sz w:val="19"/>
          <w:szCs w:val="19"/>
        </w:rPr>
      </w:pPr>
      <w:r>
        <w:rPr>
          <w:sz w:val="19"/>
          <w:szCs w:val="19"/>
        </w:rPr>
        <w:t>___________________________</w:t>
      </w:r>
    </w:p>
    <w:p w14:paraId="54C35CAF" w14:textId="37776242" w:rsidR="00AB657C" w:rsidRPr="00B104F6" w:rsidRDefault="00AB657C" w:rsidP="00AB657C">
      <w:pPr>
        <w:pStyle w:val="FootnoteText"/>
        <w:jc w:val="both"/>
        <w:rPr>
          <w:sz w:val="19"/>
          <w:szCs w:val="19"/>
        </w:rPr>
      </w:pPr>
      <w:r w:rsidRPr="00B104F6">
        <w:rPr>
          <w:rStyle w:val="FootnoteReference"/>
          <w:sz w:val="19"/>
          <w:szCs w:val="19"/>
        </w:rPr>
        <w:footnoteRef/>
      </w:r>
      <w:r w:rsidRPr="00B104F6">
        <w:rPr>
          <w:sz w:val="19"/>
          <w:szCs w:val="19"/>
        </w:rPr>
        <w:t xml:space="preserve"> As of July [__], 2026. Abbreviations are as follows: B2B – back-to-back; Edge – Edge Homes; [LOI – letter of intent]; PSA – purchase and sale agreement; SFD – single family detached; TH – townhome; TBD – to be determined; Wright – Wright Homes.</w:t>
      </w:r>
    </w:p>
    <w:p w14:paraId="65C78FAC" w14:textId="77777777" w:rsidR="00AB657C" w:rsidRPr="00B104F6" w:rsidRDefault="00AB657C" w:rsidP="00AB657C">
      <w:pPr>
        <w:pStyle w:val="FootnoteText"/>
        <w:jc w:val="both"/>
        <w:rPr>
          <w:sz w:val="19"/>
          <w:szCs w:val="19"/>
        </w:rPr>
      </w:pPr>
      <w:r w:rsidRPr="00B104F6">
        <w:rPr>
          <w:rStyle w:val="FootnoteReference"/>
          <w:sz w:val="19"/>
          <w:szCs w:val="19"/>
        </w:rPr>
        <w:t>2</w:t>
      </w:r>
      <w:r w:rsidRPr="00B104F6">
        <w:rPr>
          <w:sz w:val="19"/>
          <w:szCs w:val="19"/>
        </w:rPr>
        <w:t xml:space="preserve"> All property within the Development is owned by the Developer, Edge Homes, or Wright Homes. Except for property within Kenai, all property owned by the Developer is under contract with Edge Homes or Wright Homes. [LOI IF APPLICABLE] It is anticipated that the Developer will enter into a binding contract with respect to Kenai closer to the anticipated buildout of such area. See “THE DEVELOPMENT—Planned Development; Land Ownership” below.</w:t>
      </w:r>
    </w:p>
    <w:p w14:paraId="25B22E91" w14:textId="33DF9B1E" w:rsidR="00AB657C" w:rsidRDefault="00AB657C" w:rsidP="00AB657C">
      <w:pPr>
        <w:spacing w:after="240"/>
        <w:jc w:val="both"/>
        <w:rPr>
          <w:rFonts w:cs="Times New Roman"/>
          <w:i/>
          <w:sz w:val="22"/>
          <w:szCs w:val="20"/>
        </w:rPr>
      </w:pPr>
      <w:r w:rsidRPr="00B104F6">
        <w:rPr>
          <w:rStyle w:val="FootnoteReference"/>
          <w:sz w:val="19"/>
          <w:szCs w:val="19"/>
        </w:rPr>
        <w:t>3</w:t>
      </w:r>
      <w:r w:rsidRPr="00B104F6">
        <w:rPr>
          <w:sz w:val="19"/>
          <w:szCs w:val="19"/>
        </w:rPr>
        <w:t xml:space="preserve"> According to the Developer, all property within the Development is zoned for its intended use. Final plats have been approved with respect Sorrento Phase 1, all of Cascades, Acadia Phase 1, and Joshua Tree Phase 4. Draft plats have been prepared with respect to remaining Phases of Sorrento and Acadia and all of Yosemite. The Developer has prepared concept plans for Kenai, but does not anticipate preparing final plats until closer to the anticipated buildout of such area. See “THE DEVELOPMENT—Zoning, Public Approvals, and Platting</w:t>
      </w:r>
      <w:r w:rsidRPr="00B104F6">
        <w:rPr>
          <w:i/>
          <w:sz w:val="19"/>
          <w:szCs w:val="19"/>
        </w:rPr>
        <w:t>.</w:t>
      </w:r>
      <w:r w:rsidRPr="00B104F6">
        <w:rPr>
          <w:sz w:val="19"/>
          <w:szCs w:val="19"/>
        </w:rPr>
        <w:t>”</w:t>
      </w:r>
    </w:p>
    <w:p w14:paraId="3D6DFDFF" w14:textId="2330E447" w:rsidR="00A952ED" w:rsidRPr="00DA2177" w:rsidRDefault="00A952ED" w:rsidP="00A952ED">
      <w:pPr>
        <w:spacing w:before="240" w:after="240"/>
        <w:ind w:firstLine="720"/>
        <w:jc w:val="both"/>
        <w:rPr>
          <w:rFonts w:eastAsia="Calibri" w:cs="Times New Roman"/>
          <w:sz w:val="22"/>
          <w:szCs w:val="20"/>
        </w:rPr>
      </w:pPr>
      <w:r>
        <w:rPr>
          <w:rFonts w:cs="Times New Roman"/>
          <w:i/>
          <w:sz w:val="22"/>
          <w:szCs w:val="20"/>
        </w:rPr>
        <w:t xml:space="preserve">Notwithstanding any of the foregoing, neither the Developer nor any other property owner is contractually obligated to pursue the development of the property comprising the Development, and no assurance is given that development will occur in accordance with the present permitted land uses, modifications thereof, or at all. </w:t>
      </w:r>
      <w:r>
        <w:rPr>
          <w:rFonts w:eastAsia="Calibri" w:cs="Times New Roman"/>
          <w:sz w:val="22"/>
          <w:szCs w:val="20"/>
        </w:rPr>
        <w:t>No assurance is given that the Development will be completed in the manner and the timeframes, or will result in the anticipated values, described above and in the Market Study, in the Financial Forecasts, or at all. See “RISK FACTORS—Development Not Assured.”</w:t>
      </w:r>
    </w:p>
    <w:p w14:paraId="26114A96" w14:textId="1EBE97F7" w:rsidR="00546E7B" w:rsidRPr="00546E7B" w:rsidRDefault="00794CA7" w:rsidP="00546E7B">
      <w:pPr>
        <w:pStyle w:val="00BodyText5"/>
        <w:rPr>
          <w:rFonts w:cs="Times New Roman"/>
          <w:bCs/>
          <w:iCs/>
          <w:szCs w:val="22"/>
        </w:rPr>
      </w:pPr>
      <w:r>
        <w:rPr>
          <w:rFonts w:cs="Times New Roman"/>
          <w:b/>
          <w:i/>
          <w:szCs w:val="22"/>
        </w:rPr>
        <w:t>Status of Entitlements in the Development</w:t>
      </w:r>
      <w:r>
        <w:rPr>
          <w:rFonts w:cs="Times New Roman"/>
          <w:szCs w:val="22"/>
        </w:rPr>
        <w:t xml:space="preserve">. </w:t>
      </w:r>
      <w:r>
        <w:rPr>
          <w:rFonts w:cs="Times New Roman"/>
          <w:bCs/>
          <w:iCs/>
          <w:szCs w:val="22"/>
        </w:rPr>
        <w:t xml:space="preserve">According to the Developer, all property within the Development is zoned for its anticipated uses. </w:t>
      </w:r>
      <w:r w:rsidR="00381A2D">
        <w:rPr>
          <w:rFonts w:cs="Times New Roman"/>
          <w:bCs/>
          <w:iCs/>
          <w:szCs w:val="22"/>
        </w:rPr>
        <w:t xml:space="preserve">[PLAT STATUS]. </w:t>
      </w:r>
      <w:r w:rsidR="00546E7B">
        <w:rPr>
          <w:rFonts w:cs="Times New Roman"/>
          <w:bCs/>
          <w:iCs/>
          <w:szCs w:val="22"/>
        </w:rPr>
        <w:t>See “THE DEVELOPMENT—Zoning, Public Approvals, and Platting,” and “—Master Development Agreement—</w:t>
      </w:r>
      <w:r w:rsidR="00546E7B">
        <w:rPr>
          <w:rFonts w:cs="Times New Roman"/>
          <w:bCs/>
          <w:i/>
          <w:iCs/>
          <w:szCs w:val="22"/>
        </w:rPr>
        <w:t>Development Applications</w:t>
      </w:r>
      <w:r w:rsidR="00546E7B">
        <w:rPr>
          <w:rFonts w:cs="Times New Roman"/>
          <w:bCs/>
          <w:iCs/>
          <w:szCs w:val="22"/>
        </w:rPr>
        <w:t>.”</w:t>
      </w:r>
    </w:p>
    <w:p w14:paraId="5D61042D" w14:textId="51769AEC" w:rsidR="00794CA7" w:rsidRPr="00DA2177" w:rsidRDefault="00794CA7" w:rsidP="00794CA7">
      <w:pPr>
        <w:pStyle w:val="00BodyText5"/>
        <w:rPr>
          <w:rFonts w:cs="Times New Roman"/>
          <w:szCs w:val="22"/>
        </w:rPr>
      </w:pPr>
      <w:r>
        <w:rPr>
          <w:rFonts w:cs="Times New Roman"/>
          <w:b/>
          <w:i/>
          <w:szCs w:val="22"/>
        </w:rPr>
        <w:t>Public Infrastructure and Private Improvements</w:t>
      </w:r>
      <w:r>
        <w:rPr>
          <w:rFonts w:cs="Times New Roman"/>
          <w:szCs w:val="22"/>
        </w:rPr>
        <w:t xml:space="preserve">. The Developer </w:t>
      </w:r>
      <w:r w:rsidR="00F12675">
        <w:rPr>
          <w:rFonts w:cs="Times New Roman"/>
          <w:szCs w:val="22"/>
        </w:rPr>
        <w:t xml:space="preserve">and Homebuilders are </w:t>
      </w:r>
      <w:r>
        <w:rPr>
          <w:rFonts w:cs="Times New Roman"/>
          <w:szCs w:val="22"/>
        </w:rPr>
        <w:t xml:space="preserve"> anticipated to be responsible for construction of Public Improvements</w:t>
      </w:r>
      <w:r w:rsidR="00F12675">
        <w:rPr>
          <w:rFonts w:cs="Times New Roman"/>
          <w:szCs w:val="22"/>
        </w:rPr>
        <w:t xml:space="preserve"> and private improvements (collectively, the “</w:t>
      </w:r>
      <w:r w:rsidR="00F12675" w:rsidRPr="00476F13">
        <w:rPr>
          <w:rFonts w:cs="Times New Roman"/>
          <w:b/>
          <w:bCs/>
          <w:szCs w:val="22"/>
        </w:rPr>
        <w:t>Improvements</w:t>
      </w:r>
      <w:r w:rsidR="00F12675">
        <w:rPr>
          <w:rFonts w:cs="Times New Roman"/>
          <w:szCs w:val="22"/>
        </w:rPr>
        <w:t>”)</w:t>
      </w:r>
      <w:r>
        <w:rPr>
          <w:rFonts w:cs="Times New Roman"/>
          <w:szCs w:val="22"/>
        </w:rPr>
        <w:t xml:space="preserve">, including roads, public </w:t>
      </w:r>
      <w:r w:rsidR="00F12675">
        <w:rPr>
          <w:rFonts w:cs="Times New Roman"/>
          <w:szCs w:val="22"/>
        </w:rPr>
        <w:t xml:space="preserve">and private </w:t>
      </w:r>
      <w:r>
        <w:rPr>
          <w:rFonts w:cs="Times New Roman"/>
          <w:szCs w:val="22"/>
        </w:rPr>
        <w:t xml:space="preserve">utilities, </w:t>
      </w:r>
      <w:r w:rsidR="00F12675">
        <w:rPr>
          <w:rFonts w:cs="Times New Roman"/>
          <w:szCs w:val="22"/>
        </w:rPr>
        <w:t xml:space="preserve">and </w:t>
      </w:r>
      <w:r>
        <w:rPr>
          <w:rFonts w:cs="Times New Roman"/>
          <w:szCs w:val="22"/>
        </w:rPr>
        <w:t xml:space="preserve">storm water improvements. As of </w:t>
      </w:r>
      <w:r w:rsidR="00381A2D">
        <w:rPr>
          <w:rFonts w:cs="Times New Roman"/>
          <w:szCs w:val="22"/>
        </w:rPr>
        <w:t xml:space="preserve">July </w:t>
      </w:r>
      <w:r w:rsidR="006E1A6A">
        <w:rPr>
          <w:rFonts w:cs="Times New Roman"/>
          <w:szCs w:val="22"/>
        </w:rPr>
        <w:t>1</w:t>
      </w:r>
      <w:r w:rsidR="00381A2D">
        <w:rPr>
          <w:rFonts w:cs="Times New Roman"/>
          <w:szCs w:val="22"/>
        </w:rPr>
        <w:t>, 2026</w:t>
      </w:r>
      <w:r>
        <w:rPr>
          <w:rFonts w:cs="Times New Roman"/>
          <w:szCs w:val="22"/>
        </w:rPr>
        <w:t>, approximately $</w:t>
      </w:r>
      <w:r w:rsidR="006E1A6A">
        <w:rPr>
          <w:rFonts w:cs="Times New Roman"/>
          <w:szCs w:val="22"/>
        </w:rPr>
        <w:t>16,750,930</w:t>
      </w:r>
      <w:r>
        <w:rPr>
          <w:rFonts w:cs="Times New Roman"/>
          <w:szCs w:val="22"/>
        </w:rPr>
        <w:t xml:space="preserve"> of Improvements have been completed, </w:t>
      </w:r>
      <w:r w:rsidR="006E1A6A">
        <w:rPr>
          <w:rFonts w:cs="Times New Roman"/>
          <w:szCs w:val="22"/>
        </w:rPr>
        <w:t>consisting of road, water tank, and utility improvements, and related improvements</w:t>
      </w:r>
      <w:r>
        <w:rPr>
          <w:rFonts w:cs="Times New Roman"/>
          <w:szCs w:val="22"/>
        </w:rPr>
        <w:t>.</w:t>
      </w:r>
    </w:p>
    <w:p w14:paraId="6DEA2BE1" w14:textId="0E150FED" w:rsidR="00794CA7" w:rsidRPr="00DA2177" w:rsidRDefault="00794CA7" w:rsidP="00205FE0">
      <w:pPr>
        <w:pStyle w:val="00BodyText5"/>
        <w:rPr>
          <w:rFonts w:cs="Times New Roman"/>
          <w:szCs w:val="22"/>
        </w:rPr>
      </w:pPr>
      <w:r>
        <w:rPr>
          <w:rFonts w:cs="Times New Roman"/>
          <w:szCs w:val="22"/>
        </w:rPr>
        <w:t>According to the Developer, the total cost of Improvements required to serve the Development is estimated at approximately $</w:t>
      </w:r>
      <w:r w:rsidR="00EC5B5F">
        <w:rPr>
          <w:rFonts w:cs="Times New Roman"/>
          <w:szCs w:val="22"/>
        </w:rPr>
        <w:t>130,088,548</w:t>
      </w:r>
      <w:r>
        <w:rPr>
          <w:rFonts w:cs="Times New Roman"/>
          <w:szCs w:val="22"/>
        </w:rPr>
        <w:t xml:space="preserve">, </w:t>
      </w:r>
      <w:r w:rsidR="00205FE0">
        <w:rPr>
          <w:rFonts w:cs="Times New Roman"/>
          <w:szCs w:val="22"/>
        </w:rPr>
        <w:t>of which approximately $71,088,548 constitute on-site and regional Improvements anticipated to be financed by the Developer, including from proceeds of the Bonds (the “</w:t>
      </w:r>
      <w:r w:rsidR="00205FE0" w:rsidRPr="00C153D9">
        <w:rPr>
          <w:rFonts w:cs="Times New Roman"/>
          <w:b/>
          <w:bCs/>
          <w:szCs w:val="22"/>
        </w:rPr>
        <w:t>Developer Improvements</w:t>
      </w:r>
      <w:r w:rsidR="00205FE0">
        <w:rPr>
          <w:rFonts w:cs="Times New Roman"/>
          <w:szCs w:val="22"/>
        </w:rPr>
        <w:t>”), and approximately $59,000,000 constitute subdivision specific Improvements which are anticipated to be financed by the Homebuilders (the “</w:t>
      </w:r>
      <w:r w:rsidR="00205FE0" w:rsidRPr="00C153D9">
        <w:rPr>
          <w:rFonts w:cs="Times New Roman"/>
          <w:b/>
          <w:bCs/>
          <w:szCs w:val="22"/>
        </w:rPr>
        <w:t>Homebuilder Improvements</w:t>
      </w:r>
      <w:r w:rsidR="00205FE0">
        <w:rPr>
          <w:rFonts w:cs="Times New Roman"/>
          <w:szCs w:val="22"/>
        </w:rPr>
        <w:t>”). It is anticipated that a portion of the Developer Improvements in the amount of $[NET PROCEEDS]</w:t>
      </w:r>
      <w:r w:rsidR="00205FE0">
        <w:rPr>
          <w:rStyle w:val="FootnoteReference"/>
          <w:rFonts w:eastAsia="Calibri" w:cs="Times New Roman"/>
          <w:szCs w:val="22"/>
        </w:rPr>
        <w:footnoteReference w:customMarkFollows="1" w:id="4"/>
        <w:t>*</w:t>
      </w:r>
      <w:r w:rsidR="00205FE0">
        <w:rPr>
          <w:rFonts w:cs="Times New Roman"/>
          <w:szCs w:val="22"/>
        </w:rPr>
        <w:t xml:space="preserve"> will be financed by the District and the remaining $[________]</w:t>
      </w:r>
      <w:r w:rsidR="00205FE0">
        <w:rPr>
          <w:rFonts w:cs="Times New Roman"/>
          <w:szCs w:val="22"/>
          <w:vertAlign w:val="superscript"/>
        </w:rPr>
        <w:t>*</w:t>
      </w:r>
      <w:r w:rsidR="00205FE0">
        <w:rPr>
          <w:rFonts w:cs="Times New Roman"/>
          <w:szCs w:val="22"/>
        </w:rPr>
        <w:t xml:space="preserve"> Developer Improvements are anticipated to be financed by the Developer.</w:t>
      </w:r>
      <w:r>
        <w:rPr>
          <w:rFonts w:cs="Times New Roman"/>
          <w:szCs w:val="22"/>
        </w:rPr>
        <w:t xml:space="preserve"> </w:t>
      </w:r>
      <w:r w:rsidR="00381A2D">
        <w:rPr>
          <w:rFonts w:cs="Times New Roman"/>
          <w:szCs w:val="22"/>
        </w:rPr>
        <w:t>[</w:t>
      </w:r>
      <w:r>
        <w:rPr>
          <w:rFonts w:cs="Times New Roman"/>
          <w:szCs w:val="22"/>
        </w:rPr>
        <w:t>The foregoing estimates do not include costs of improvements relating to relocation of U-111 and construction of 6400 West (other than segment one, which is included) and related road improvements, which are anticipated to be funded or reimbursed from funds appropriated by the Utah legislature and the County</w:t>
      </w:r>
      <w:r w:rsidR="00381A2D">
        <w:rPr>
          <w:rFonts w:cs="Times New Roman"/>
          <w:szCs w:val="22"/>
        </w:rPr>
        <w:t>]</w:t>
      </w:r>
      <w:r>
        <w:rPr>
          <w:rFonts w:cs="Times New Roman"/>
          <w:szCs w:val="22"/>
        </w:rPr>
        <w:t xml:space="preserve">. See </w:t>
      </w:r>
      <w:r>
        <w:rPr>
          <w:rFonts w:cs="Times New Roman"/>
          <w:bCs/>
          <w:szCs w:val="22"/>
        </w:rPr>
        <w:t>“THE DEVELOPMENT—Plan of Finance for the Development—</w:t>
      </w:r>
      <w:r w:rsidR="00476F13">
        <w:rPr>
          <w:rFonts w:cs="Times New Roman"/>
          <w:bCs/>
          <w:i/>
          <w:iCs/>
          <w:szCs w:val="22"/>
        </w:rPr>
        <w:t>Improvements</w:t>
      </w:r>
      <w:r>
        <w:rPr>
          <w:rFonts w:cs="Times New Roman"/>
          <w:bCs/>
          <w:szCs w:val="22"/>
        </w:rPr>
        <w:t>.”</w:t>
      </w:r>
    </w:p>
    <w:p w14:paraId="56EF4D21" w14:textId="77777777" w:rsidR="00C618D7" w:rsidRDefault="00794CA7" w:rsidP="00794CA7">
      <w:pPr>
        <w:pStyle w:val="00BodyText5"/>
        <w:rPr>
          <w:rFonts w:cs="Times New Roman"/>
          <w:szCs w:val="22"/>
        </w:rPr>
      </w:pPr>
      <w:r>
        <w:rPr>
          <w:rFonts w:cs="Times New Roman"/>
          <w:szCs w:val="22"/>
        </w:rPr>
        <w:t xml:space="preserve">The following table sets forth the various public infrastructure that are being undertaken in connection with the Development and the sources of funding for that infrastructure. No assurance can be given with respect to the completion of the Public Infrastructure or other improvements in the Development or the ability of the Developer or the other property owners within the Development to obtain funding to complete their respective projects within the Development. See “RISK FACTORS—Development Not Assured.” Furthermore, no independent investigation of the financial condition of the Developer or any of the other property owners within the Development has been made and no information with respect thereto is included herein. </w:t>
      </w:r>
    </w:p>
    <w:p w14:paraId="78534A39" w14:textId="77777777" w:rsidR="00C618D7" w:rsidRDefault="00C618D7" w:rsidP="00794CA7">
      <w:pPr>
        <w:pStyle w:val="00BodyText5"/>
        <w:rPr>
          <w:rFonts w:cs="Times New Roman"/>
          <w:szCs w:val="22"/>
        </w:rPr>
      </w:pPr>
    </w:p>
    <w:p w14:paraId="4BA24867" w14:textId="51AB56A2" w:rsidR="006F061F" w:rsidRPr="00C618D7" w:rsidRDefault="00C618D7" w:rsidP="00C618D7">
      <w:pPr>
        <w:jc w:val="center"/>
        <w:rPr>
          <w:rFonts w:cs="Times New Roman"/>
          <w:sz w:val="22"/>
          <w:szCs w:val="22"/>
        </w:rPr>
      </w:pPr>
      <w:r>
        <w:rPr>
          <w:rFonts w:cs="Times New Roman"/>
          <w:sz w:val="22"/>
          <w:szCs w:val="22"/>
        </w:rPr>
        <w:t>(The remainder of this page intentionally left blank.)</w:t>
      </w:r>
      <w:r w:rsidR="006F061F">
        <w:rPr>
          <w:rFonts w:cs="Times New Roman"/>
          <w:szCs w:val="22"/>
        </w:rPr>
        <w:br w:type="page"/>
      </w:r>
    </w:p>
    <w:p w14:paraId="4BEE6151" w14:textId="199545E1" w:rsidR="00204287" w:rsidRDefault="00204287" w:rsidP="00204287">
      <w:pPr>
        <w:pStyle w:val="00Center"/>
        <w:rPr>
          <w:rFonts w:ascii="Times New Roman" w:hAnsi="Times New Roman" w:cs="Times New Roman"/>
          <w:caps w:val="0"/>
          <w:sz w:val="22"/>
          <w:szCs w:val="22"/>
          <w:vertAlign w:val="superscript"/>
        </w:rPr>
      </w:pPr>
      <w:r>
        <w:rPr>
          <w:rFonts w:ascii="Times New Roman" w:hAnsi="Times New Roman" w:cs="Times New Roman"/>
          <w:caps w:val="0"/>
          <w:sz w:val="22"/>
          <w:szCs w:val="22"/>
        </w:rPr>
        <w:t>Public Improvement and Private Improvement – Funding Sources and Uses</w:t>
      </w:r>
      <w:r>
        <w:rPr>
          <w:rFonts w:ascii="Times New Roman" w:hAnsi="Times New Roman" w:cs="Times New Roman"/>
          <w:caps w:val="0"/>
          <w:sz w:val="22"/>
          <w:szCs w:val="22"/>
          <w:vertAlign w:val="superscript"/>
        </w:rPr>
        <w:t>*, 1</w:t>
      </w:r>
    </w:p>
    <w:tbl>
      <w:tblPr>
        <w:tblW w:w="5420" w:type="dxa"/>
        <w:jc w:val="center"/>
        <w:tblLook w:val="04A0" w:firstRow="1" w:lastRow="0" w:firstColumn="1" w:lastColumn="0" w:noHBand="0" w:noVBand="1"/>
      </w:tblPr>
      <w:tblGrid>
        <w:gridCol w:w="3940"/>
        <w:gridCol w:w="1480"/>
      </w:tblGrid>
      <w:tr w:rsidR="00EB1E0F" w:rsidRPr="00EB1E0F" w14:paraId="0EFEBA04" w14:textId="77777777" w:rsidTr="00516CA8">
        <w:trPr>
          <w:trHeight w:val="315"/>
          <w:jc w:val="center"/>
        </w:trPr>
        <w:tc>
          <w:tcPr>
            <w:tcW w:w="3940" w:type="dxa"/>
            <w:tcBorders>
              <w:top w:val="nil"/>
              <w:left w:val="nil"/>
              <w:bottom w:val="nil"/>
              <w:right w:val="nil"/>
            </w:tcBorders>
            <w:vAlign w:val="center"/>
            <w:hideMark/>
          </w:tcPr>
          <w:p w14:paraId="3243D470" w14:textId="77777777" w:rsidR="00EB1E0F" w:rsidRPr="00EB1E0F" w:rsidRDefault="00EB1E0F" w:rsidP="00EB1E0F">
            <w:pPr>
              <w:rPr>
                <w:rFonts w:eastAsia="Times New Roman" w:cs="Times New Roman"/>
                <w:i/>
                <w:iCs/>
                <w:color w:val="000000"/>
                <w:sz w:val="22"/>
                <w:szCs w:val="22"/>
              </w:rPr>
            </w:pPr>
            <w:r w:rsidRPr="00EB1E0F">
              <w:rPr>
                <w:rFonts w:eastAsia="Times New Roman" w:cs="Times New Roman"/>
                <w:i/>
                <w:iCs/>
                <w:color w:val="000000"/>
                <w:sz w:val="22"/>
                <w:szCs w:val="22"/>
              </w:rPr>
              <w:t>Funding Sources</w:t>
            </w:r>
          </w:p>
        </w:tc>
        <w:tc>
          <w:tcPr>
            <w:tcW w:w="1480" w:type="dxa"/>
            <w:tcBorders>
              <w:top w:val="nil"/>
              <w:left w:val="nil"/>
              <w:bottom w:val="nil"/>
              <w:right w:val="nil"/>
            </w:tcBorders>
            <w:vAlign w:val="center"/>
            <w:hideMark/>
          </w:tcPr>
          <w:p w14:paraId="6F399464" w14:textId="77777777" w:rsidR="00EB1E0F" w:rsidRPr="00EB1E0F" w:rsidRDefault="00EB1E0F" w:rsidP="00516CA8">
            <w:pPr>
              <w:jc w:val="right"/>
              <w:rPr>
                <w:rFonts w:eastAsia="Times New Roman" w:cs="Times New Roman"/>
                <w:i/>
                <w:iCs/>
                <w:color w:val="000000"/>
                <w:sz w:val="22"/>
                <w:szCs w:val="22"/>
              </w:rPr>
            </w:pPr>
          </w:p>
        </w:tc>
      </w:tr>
      <w:tr w:rsidR="00EB1E0F" w:rsidRPr="00EB1E0F" w14:paraId="18B9FC9E" w14:textId="77777777" w:rsidTr="00516CA8">
        <w:trPr>
          <w:trHeight w:val="300"/>
          <w:jc w:val="center"/>
        </w:trPr>
        <w:tc>
          <w:tcPr>
            <w:tcW w:w="3940" w:type="dxa"/>
            <w:tcBorders>
              <w:top w:val="nil"/>
              <w:left w:val="nil"/>
              <w:bottom w:val="nil"/>
              <w:right w:val="nil"/>
            </w:tcBorders>
            <w:vAlign w:val="center"/>
            <w:hideMark/>
          </w:tcPr>
          <w:p w14:paraId="5D32DE54"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2026A-1 Senior LT Bond Proceeds</w:t>
            </w:r>
          </w:p>
        </w:tc>
        <w:tc>
          <w:tcPr>
            <w:tcW w:w="1480" w:type="dxa"/>
            <w:tcBorders>
              <w:top w:val="nil"/>
              <w:left w:val="nil"/>
              <w:bottom w:val="nil"/>
              <w:right w:val="nil"/>
            </w:tcBorders>
            <w:vAlign w:val="center"/>
            <w:hideMark/>
          </w:tcPr>
          <w:p w14:paraId="0388232C" w14:textId="77777777" w:rsidR="00EB1E0F" w:rsidRPr="00EB1E0F" w:rsidRDefault="00EB1E0F" w:rsidP="00516CA8">
            <w:pPr>
              <w:jc w:val="right"/>
              <w:rPr>
                <w:rFonts w:eastAsia="Times New Roman" w:cs="Times New Roman"/>
                <w:color w:val="000000"/>
                <w:sz w:val="22"/>
                <w:szCs w:val="22"/>
              </w:rPr>
            </w:pPr>
          </w:p>
        </w:tc>
      </w:tr>
      <w:tr w:rsidR="00EB1E0F" w:rsidRPr="00EB1E0F" w14:paraId="31BD0817" w14:textId="77777777" w:rsidTr="00516CA8">
        <w:trPr>
          <w:trHeight w:val="300"/>
          <w:jc w:val="center"/>
        </w:trPr>
        <w:tc>
          <w:tcPr>
            <w:tcW w:w="3940" w:type="dxa"/>
            <w:tcBorders>
              <w:top w:val="nil"/>
              <w:left w:val="nil"/>
              <w:bottom w:val="nil"/>
              <w:right w:val="nil"/>
            </w:tcBorders>
            <w:vAlign w:val="center"/>
            <w:hideMark/>
          </w:tcPr>
          <w:p w14:paraId="321D04A1"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2026A-2 SR Bond Proceeds</w:t>
            </w:r>
          </w:p>
        </w:tc>
        <w:tc>
          <w:tcPr>
            <w:tcW w:w="1480" w:type="dxa"/>
            <w:tcBorders>
              <w:top w:val="nil"/>
              <w:left w:val="nil"/>
              <w:bottom w:val="nil"/>
              <w:right w:val="nil"/>
            </w:tcBorders>
            <w:vAlign w:val="center"/>
            <w:hideMark/>
          </w:tcPr>
          <w:p w14:paraId="1E47560E" w14:textId="77777777" w:rsidR="00EB1E0F" w:rsidRPr="00EB1E0F" w:rsidRDefault="00EB1E0F" w:rsidP="00516CA8">
            <w:pPr>
              <w:jc w:val="right"/>
              <w:rPr>
                <w:rFonts w:eastAsia="Times New Roman" w:cs="Times New Roman"/>
                <w:color w:val="000000"/>
                <w:sz w:val="22"/>
                <w:szCs w:val="22"/>
              </w:rPr>
            </w:pPr>
          </w:p>
        </w:tc>
      </w:tr>
      <w:tr w:rsidR="00EB1E0F" w:rsidRPr="00EB1E0F" w14:paraId="06F899BA" w14:textId="77777777" w:rsidTr="00516CA8">
        <w:trPr>
          <w:trHeight w:val="300"/>
          <w:jc w:val="center"/>
        </w:trPr>
        <w:tc>
          <w:tcPr>
            <w:tcW w:w="3940" w:type="dxa"/>
            <w:tcBorders>
              <w:top w:val="nil"/>
              <w:left w:val="nil"/>
              <w:bottom w:val="nil"/>
              <w:right w:val="nil"/>
            </w:tcBorders>
            <w:vAlign w:val="center"/>
            <w:hideMark/>
          </w:tcPr>
          <w:p w14:paraId="3BEC2C41"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2026B Subordinate LT Bond Proceeds</w:t>
            </w:r>
          </w:p>
        </w:tc>
        <w:tc>
          <w:tcPr>
            <w:tcW w:w="1480" w:type="dxa"/>
            <w:tcBorders>
              <w:top w:val="nil"/>
              <w:left w:val="nil"/>
              <w:bottom w:val="nil"/>
              <w:right w:val="nil"/>
            </w:tcBorders>
            <w:vAlign w:val="center"/>
            <w:hideMark/>
          </w:tcPr>
          <w:p w14:paraId="6E6A818B" w14:textId="77777777" w:rsidR="00EB1E0F" w:rsidRPr="00EB1E0F" w:rsidRDefault="00EB1E0F" w:rsidP="00516CA8">
            <w:pPr>
              <w:jc w:val="right"/>
              <w:rPr>
                <w:rFonts w:eastAsia="Times New Roman" w:cs="Times New Roman"/>
                <w:color w:val="000000"/>
                <w:sz w:val="22"/>
                <w:szCs w:val="22"/>
              </w:rPr>
            </w:pPr>
          </w:p>
        </w:tc>
      </w:tr>
      <w:tr w:rsidR="00EB1E0F" w:rsidRPr="00EB1E0F" w14:paraId="6D47B519" w14:textId="77777777" w:rsidTr="00516CA8">
        <w:trPr>
          <w:trHeight w:val="300"/>
          <w:jc w:val="center"/>
        </w:trPr>
        <w:tc>
          <w:tcPr>
            <w:tcW w:w="3940" w:type="dxa"/>
            <w:tcBorders>
              <w:top w:val="nil"/>
              <w:left w:val="nil"/>
              <w:bottom w:val="nil"/>
              <w:right w:val="nil"/>
            </w:tcBorders>
            <w:vAlign w:val="center"/>
            <w:hideMark/>
          </w:tcPr>
          <w:p w14:paraId="0A2E1B29"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State and County Appropriations</w:t>
            </w:r>
          </w:p>
        </w:tc>
        <w:tc>
          <w:tcPr>
            <w:tcW w:w="1480" w:type="dxa"/>
            <w:tcBorders>
              <w:top w:val="nil"/>
              <w:left w:val="nil"/>
              <w:bottom w:val="nil"/>
              <w:right w:val="nil"/>
            </w:tcBorders>
            <w:vAlign w:val="center"/>
            <w:hideMark/>
          </w:tcPr>
          <w:p w14:paraId="25D4BC47" w14:textId="77777777" w:rsidR="00EB1E0F" w:rsidRPr="00EB1E0F" w:rsidRDefault="00EB1E0F" w:rsidP="00516CA8">
            <w:pPr>
              <w:jc w:val="right"/>
              <w:rPr>
                <w:rFonts w:eastAsia="Times New Roman" w:cs="Times New Roman"/>
                <w:color w:val="000000"/>
                <w:sz w:val="22"/>
                <w:szCs w:val="22"/>
              </w:rPr>
            </w:pPr>
          </w:p>
        </w:tc>
      </w:tr>
      <w:tr w:rsidR="00EB1E0F" w:rsidRPr="00EB1E0F" w14:paraId="4EF2E448" w14:textId="77777777" w:rsidTr="00516CA8">
        <w:trPr>
          <w:trHeight w:val="300"/>
          <w:jc w:val="center"/>
        </w:trPr>
        <w:tc>
          <w:tcPr>
            <w:tcW w:w="3940" w:type="dxa"/>
            <w:tcBorders>
              <w:top w:val="nil"/>
              <w:left w:val="nil"/>
              <w:bottom w:val="nil"/>
              <w:right w:val="nil"/>
            </w:tcBorders>
            <w:vAlign w:val="center"/>
            <w:hideMark/>
          </w:tcPr>
          <w:p w14:paraId="72FB80F5"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Developer Debt and Equity</w:t>
            </w:r>
          </w:p>
        </w:tc>
        <w:tc>
          <w:tcPr>
            <w:tcW w:w="1480" w:type="dxa"/>
            <w:tcBorders>
              <w:top w:val="nil"/>
              <w:left w:val="nil"/>
              <w:bottom w:val="nil"/>
              <w:right w:val="nil"/>
            </w:tcBorders>
            <w:vAlign w:val="center"/>
            <w:hideMark/>
          </w:tcPr>
          <w:p w14:paraId="358F2107" w14:textId="77777777" w:rsidR="00EB1E0F" w:rsidRPr="00EB1E0F" w:rsidRDefault="00EB1E0F" w:rsidP="00516CA8">
            <w:pPr>
              <w:jc w:val="right"/>
              <w:rPr>
                <w:rFonts w:eastAsia="Times New Roman" w:cs="Times New Roman"/>
                <w:color w:val="000000"/>
                <w:sz w:val="22"/>
                <w:szCs w:val="22"/>
              </w:rPr>
            </w:pPr>
          </w:p>
        </w:tc>
      </w:tr>
      <w:tr w:rsidR="00EB1E0F" w:rsidRPr="00EB1E0F" w14:paraId="4BE9FEF2" w14:textId="77777777" w:rsidTr="00516CA8">
        <w:trPr>
          <w:trHeight w:val="315"/>
          <w:jc w:val="center"/>
        </w:trPr>
        <w:tc>
          <w:tcPr>
            <w:tcW w:w="3940" w:type="dxa"/>
            <w:tcBorders>
              <w:top w:val="nil"/>
              <w:left w:val="nil"/>
              <w:bottom w:val="nil"/>
              <w:right w:val="nil"/>
            </w:tcBorders>
            <w:vAlign w:val="center"/>
            <w:hideMark/>
          </w:tcPr>
          <w:p w14:paraId="572C76B8"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Homebuilder Debt and Equity</w:t>
            </w:r>
          </w:p>
        </w:tc>
        <w:tc>
          <w:tcPr>
            <w:tcW w:w="1480" w:type="dxa"/>
            <w:tcBorders>
              <w:top w:val="nil"/>
              <w:left w:val="nil"/>
              <w:bottom w:val="double" w:sz="6" w:space="0" w:color="auto"/>
              <w:right w:val="nil"/>
            </w:tcBorders>
            <w:noWrap/>
            <w:vAlign w:val="center"/>
            <w:hideMark/>
          </w:tcPr>
          <w:p w14:paraId="5FD36581" w14:textId="0768FA1A" w:rsidR="00EB1E0F" w:rsidRPr="00EB1E0F" w:rsidRDefault="00EB1E0F" w:rsidP="00516CA8">
            <w:pPr>
              <w:jc w:val="right"/>
              <w:rPr>
                <w:rFonts w:eastAsia="Times New Roman" w:cs="Times New Roman"/>
                <w:color w:val="000000"/>
                <w:sz w:val="22"/>
                <w:szCs w:val="22"/>
              </w:rPr>
            </w:pPr>
            <w:r w:rsidRPr="00EB1E0F">
              <w:rPr>
                <w:rFonts w:eastAsia="Times New Roman" w:cs="Times New Roman"/>
                <w:color w:val="000000"/>
                <w:sz w:val="22"/>
                <w:szCs w:val="22"/>
              </w:rPr>
              <w:t xml:space="preserve">59,000,000 </w:t>
            </w:r>
          </w:p>
        </w:tc>
      </w:tr>
      <w:tr w:rsidR="00EB1E0F" w:rsidRPr="00EB1E0F" w14:paraId="392DDED2" w14:textId="77777777" w:rsidTr="00516CA8">
        <w:trPr>
          <w:trHeight w:val="315"/>
          <w:jc w:val="center"/>
        </w:trPr>
        <w:tc>
          <w:tcPr>
            <w:tcW w:w="3940" w:type="dxa"/>
            <w:tcBorders>
              <w:top w:val="nil"/>
              <w:left w:val="nil"/>
              <w:bottom w:val="nil"/>
              <w:right w:val="nil"/>
            </w:tcBorders>
            <w:vAlign w:val="center"/>
            <w:hideMark/>
          </w:tcPr>
          <w:p w14:paraId="6AE67822"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Total</w:t>
            </w:r>
          </w:p>
        </w:tc>
        <w:tc>
          <w:tcPr>
            <w:tcW w:w="1480" w:type="dxa"/>
            <w:tcBorders>
              <w:top w:val="nil"/>
              <w:left w:val="nil"/>
              <w:bottom w:val="nil"/>
              <w:right w:val="nil"/>
            </w:tcBorders>
            <w:vAlign w:val="center"/>
            <w:hideMark/>
          </w:tcPr>
          <w:p w14:paraId="269B919C" w14:textId="77777777" w:rsidR="00EB1E0F" w:rsidRPr="00EB1E0F" w:rsidRDefault="00EB1E0F" w:rsidP="00516CA8">
            <w:pPr>
              <w:jc w:val="right"/>
              <w:rPr>
                <w:rFonts w:eastAsia="Times New Roman" w:cs="Times New Roman"/>
                <w:color w:val="000000"/>
                <w:sz w:val="22"/>
                <w:szCs w:val="22"/>
              </w:rPr>
            </w:pPr>
          </w:p>
        </w:tc>
      </w:tr>
      <w:tr w:rsidR="00EB1E0F" w:rsidRPr="00EB1E0F" w14:paraId="4755C1A3" w14:textId="77777777" w:rsidTr="00516CA8">
        <w:trPr>
          <w:trHeight w:val="315"/>
          <w:jc w:val="center"/>
        </w:trPr>
        <w:tc>
          <w:tcPr>
            <w:tcW w:w="3940" w:type="dxa"/>
            <w:tcBorders>
              <w:top w:val="nil"/>
              <w:left w:val="nil"/>
              <w:bottom w:val="nil"/>
              <w:right w:val="nil"/>
            </w:tcBorders>
            <w:vAlign w:val="center"/>
            <w:hideMark/>
          </w:tcPr>
          <w:p w14:paraId="2FC9ED44" w14:textId="77777777" w:rsidR="00EB1E0F" w:rsidRPr="00EB1E0F" w:rsidRDefault="00EB1E0F" w:rsidP="00EB1E0F">
            <w:pPr>
              <w:jc w:val="right"/>
              <w:rPr>
                <w:rFonts w:eastAsia="Times New Roman" w:cs="Times New Roman"/>
                <w:szCs w:val="20"/>
              </w:rPr>
            </w:pPr>
          </w:p>
        </w:tc>
        <w:tc>
          <w:tcPr>
            <w:tcW w:w="1480" w:type="dxa"/>
            <w:tcBorders>
              <w:top w:val="nil"/>
              <w:left w:val="nil"/>
              <w:bottom w:val="nil"/>
              <w:right w:val="nil"/>
            </w:tcBorders>
            <w:vAlign w:val="center"/>
            <w:hideMark/>
          </w:tcPr>
          <w:p w14:paraId="70A00E69" w14:textId="77777777" w:rsidR="00EB1E0F" w:rsidRPr="00EB1E0F" w:rsidRDefault="00EB1E0F" w:rsidP="00516CA8">
            <w:pPr>
              <w:jc w:val="right"/>
              <w:rPr>
                <w:rFonts w:eastAsia="Times New Roman" w:cs="Times New Roman"/>
                <w:szCs w:val="20"/>
              </w:rPr>
            </w:pPr>
          </w:p>
        </w:tc>
      </w:tr>
      <w:tr w:rsidR="00EB1E0F" w:rsidRPr="00EB1E0F" w14:paraId="7311021E" w14:textId="77777777" w:rsidTr="00516CA8">
        <w:trPr>
          <w:trHeight w:val="315"/>
          <w:jc w:val="center"/>
        </w:trPr>
        <w:tc>
          <w:tcPr>
            <w:tcW w:w="3940" w:type="dxa"/>
            <w:tcBorders>
              <w:top w:val="nil"/>
              <w:left w:val="nil"/>
              <w:bottom w:val="nil"/>
              <w:right w:val="nil"/>
            </w:tcBorders>
            <w:vAlign w:val="center"/>
            <w:hideMark/>
          </w:tcPr>
          <w:p w14:paraId="3FF26ED8" w14:textId="77777777" w:rsidR="00EB1E0F" w:rsidRPr="00EB1E0F" w:rsidRDefault="00EB1E0F" w:rsidP="00EB1E0F">
            <w:pPr>
              <w:rPr>
                <w:rFonts w:eastAsia="Times New Roman" w:cs="Times New Roman"/>
                <w:i/>
                <w:iCs/>
                <w:color w:val="000000"/>
                <w:sz w:val="22"/>
                <w:szCs w:val="22"/>
              </w:rPr>
            </w:pPr>
            <w:r w:rsidRPr="00EB1E0F">
              <w:rPr>
                <w:rFonts w:eastAsia="Times New Roman" w:cs="Times New Roman"/>
                <w:i/>
                <w:iCs/>
                <w:color w:val="000000"/>
                <w:sz w:val="22"/>
                <w:szCs w:val="22"/>
              </w:rPr>
              <w:t>Developer Improvements</w:t>
            </w:r>
            <w:r w:rsidRPr="00EB1E0F">
              <w:rPr>
                <w:rFonts w:eastAsia="Times New Roman" w:cs="Times New Roman"/>
                <w:i/>
                <w:iCs/>
                <w:color w:val="000000"/>
                <w:sz w:val="22"/>
                <w:szCs w:val="22"/>
                <w:vertAlign w:val="superscript"/>
              </w:rPr>
              <w:t>2</w:t>
            </w:r>
          </w:p>
        </w:tc>
        <w:tc>
          <w:tcPr>
            <w:tcW w:w="1480" w:type="dxa"/>
            <w:tcBorders>
              <w:top w:val="nil"/>
              <w:left w:val="nil"/>
              <w:bottom w:val="nil"/>
              <w:right w:val="nil"/>
            </w:tcBorders>
            <w:vAlign w:val="center"/>
            <w:hideMark/>
          </w:tcPr>
          <w:p w14:paraId="52932C22" w14:textId="77777777" w:rsidR="00EB1E0F" w:rsidRPr="00EB1E0F" w:rsidRDefault="00EB1E0F" w:rsidP="00516CA8">
            <w:pPr>
              <w:jc w:val="right"/>
              <w:rPr>
                <w:rFonts w:eastAsia="Times New Roman" w:cs="Times New Roman"/>
                <w:i/>
                <w:iCs/>
                <w:color w:val="000000"/>
                <w:sz w:val="22"/>
                <w:szCs w:val="22"/>
              </w:rPr>
            </w:pPr>
          </w:p>
        </w:tc>
      </w:tr>
      <w:tr w:rsidR="00EB1E0F" w:rsidRPr="00EB1E0F" w14:paraId="5B468091" w14:textId="77777777" w:rsidTr="00516CA8">
        <w:trPr>
          <w:trHeight w:val="300"/>
          <w:jc w:val="center"/>
        </w:trPr>
        <w:tc>
          <w:tcPr>
            <w:tcW w:w="3940" w:type="dxa"/>
            <w:tcBorders>
              <w:top w:val="nil"/>
              <w:left w:val="nil"/>
              <w:bottom w:val="nil"/>
              <w:right w:val="nil"/>
            </w:tcBorders>
            <w:vAlign w:val="center"/>
            <w:hideMark/>
          </w:tcPr>
          <w:p w14:paraId="6E8B3D12" w14:textId="454422F9"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Public Improvements</w:t>
            </w:r>
          </w:p>
        </w:tc>
        <w:tc>
          <w:tcPr>
            <w:tcW w:w="1480" w:type="dxa"/>
            <w:tcBorders>
              <w:top w:val="nil"/>
              <w:left w:val="nil"/>
              <w:bottom w:val="nil"/>
              <w:right w:val="nil"/>
            </w:tcBorders>
            <w:noWrap/>
            <w:vAlign w:val="center"/>
            <w:hideMark/>
          </w:tcPr>
          <w:p w14:paraId="6EB2C543" w14:textId="799EDE77" w:rsidR="00EB1E0F" w:rsidRPr="00EB1E0F" w:rsidRDefault="00EB1E0F" w:rsidP="00516CA8">
            <w:pPr>
              <w:jc w:val="right"/>
              <w:rPr>
                <w:rFonts w:eastAsia="Times New Roman" w:cs="Times New Roman"/>
                <w:color w:val="000000"/>
                <w:sz w:val="22"/>
                <w:szCs w:val="22"/>
              </w:rPr>
            </w:pPr>
            <w:r>
              <w:rPr>
                <w:rFonts w:eastAsia="Times New Roman" w:cs="Times New Roman"/>
                <w:color w:val="000000"/>
                <w:sz w:val="22"/>
                <w:szCs w:val="22"/>
              </w:rPr>
              <w:t>$</w:t>
            </w:r>
            <w:r w:rsidR="00516CA8" w:rsidRPr="00516CA8">
              <w:rPr>
                <w:rFonts w:eastAsia="Times New Roman" w:cs="Times New Roman"/>
                <w:color w:val="000000"/>
                <w:sz w:val="22"/>
                <w:szCs w:val="22"/>
              </w:rPr>
              <w:t xml:space="preserve">68,920,000 </w:t>
            </w:r>
            <w:r w:rsidRPr="00EB1E0F">
              <w:rPr>
                <w:rFonts w:eastAsia="Times New Roman" w:cs="Times New Roman"/>
                <w:color w:val="000000"/>
                <w:sz w:val="22"/>
                <w:szCs w:val="22"/>
              </w:rPr>
              <w:t xml:space="preserve"> </w:t>
            </w:r>
          </w:p>
        </w:tc>
      </w:tr>
      <w:tr w:rsidR="00EB1E0F" w:rsidRPr="00EB1E0F" w14:paraId="3A883432" w14:textId="77777777" w:rsidTr="00516CA8">
        <w:trPr>
          <w:trHeight w:val="315"/>
          <w:jc w:val="center"/>
        </w:trPr>
        <w:tc>
          <w:tcPr>
            <w:tcW w:w="3940" w:type="dxa"/>
            <w:tcBorders>
              <w:top w:val="nil"/>
              <w:left w:val="nil"/>
              <w:bottom w:val="nil"/>
              <w:right w:val="nil"/>
            </w:tcBorders>
            <w:vAlign w:val="center"/>
            <w:hideMark/>
          </w:tcPr>
          <w:p w14:paraId="7D8BAB8A"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Private Improvements</w:t>
            </w:r>
          </w:p>
        </w:tc>
        <w:tc>
          <w:tcPr>
            <w:tcW w:w="1480" w:type="dxa"/>
            <w:tcBorders>
              <w:top w:val="nil"/>
              <w:left w:val="nil"/>
              <w:bottom w:val="double" w:sz="6" w:space="0" w:color="auto"/>
              <w:right w:val="nil"/>
            </w:tcBorders>
            <w:noWrap/>
            <w:vAlign w:val="center"/>
            <w:hideMark/>
          </w:tcPr>
          <w:p w14:paraId="7240C9BC" w14:textId="37065615" w:rsidR="00EB1E0F" w:rsidRPr="00EB1E0F" w:rsidRDefault="00EB1E0F" w:rsidP="00516CA8">
            <w:pPr>
              <w:jc w:val="right"/>
              <w:rPr>
                <w:rFonts w:eastAsia="Times New Roman" w:cs="Times New Roman"/>
                <w:color w:val="000000"/>
                <w:sz w:val="22"/>
                <w:szCs w:val="22"/>
              </w:rPr>
            </w:pPr>
            <w:r w:rsidRPr="00EB1E0F">
              <w:rPr>
                <w:rFonts w:eastAsia="Times New Roman" w:cs="Times New Roman"/>
                <w:color w:val="000000"/>
                <w:sz w:val="22"/>
                <w:szCs w:val="22"/>
              </w:rPr>
              <w:t xml:space="preserve">2,168,548 </w:t>
            </w:r>
          </w:p>
        </w:tc>
      </w:tr>
      <w:tr w:rsidR="00EB1E0F" w:rsidRPr="00EB1E0F" w14:paraId="1303E44B" w14:textId="77777777" w:rsidTr="00516CA8">
        <w:trPr>
          <w:trHeight w:val="315"/>
          <w:jc w:val="center"/>
        </w:trPr>
        <w:tc>
          <w:tcPr>
            <w:tcW w:w="3940" w:type="dxa"/>
            <w:tcBorders>
              <w:top w:val="nil"/>
              <w:left w:val="nil"/>
              <w:bottom w:val="nil"/>
              <w:right w:val="nil"/>
            </w:tcBorders>
            <w:vAlign w:val="center"/>
            <w:hideMark/>
          </w:tcPr>
          <w:p w14:paraId="16474898"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Total</w:t>
            </w:r>
          </w:p>
        </w:tc>
        <w:tc>
          <w:tcPr>
            <w:tcW w:w="1480" w:type="dxa"/>
            <w:tcBorders>
              <w:top w:val="nil"/>
              <w:left w:val="nil"/>
              <w:bottom w:val="nil"/>
              <w:right w:val="nil"/>
            </w:tcBorders>
            <w:vAlign w:val="center"/>
            <w:hideMark/>
          </w:tcPr>
          <w:p w14:paraId="47B8AE4F" w14:textId="04626DA3" w:rsidR="00EB1E0F" w:rsidRPr="00EB1E0F" w:rsidRDefault="00EB1E0F" w:rsidP="00516CA8">
            <w:pPr>
              <w:jc w:val="right"/>
              <w:rPr>
                <w:rFonts w:eastAsia="Times New Roman" w:cs="Times New Roman"/>
                <w:color w:val="000000"/>
                <w:sz w:val="22"/>
                <w:szCs w:val="22"/>
              </w:rPr>
            </w:pPr>
            <w:r>
              <w:rPr>
                <w:rFonts w:eastAsia="Times New Roman" w:cs="Times New Roman"/>
                <w:color w:val="000000"/>
                <w:sz w:val="22"/>
                <w:szCs w:val="22"/>
              </w:rPr>
              <w:t>$</w:t>
            </w:r>
            <w:r w:rsidRPr="00EB1E0F">
              <w:rPr>
                <w:rFonts w:eastAsia="Times New Roman" w:cs="Times New Roman"/>
                <w:color w:val="000000"/>
                <w:sz w:val="22"/>
                <w:szCs w:val="22"/>
              </w:rPr>
              <w:t xml:space="preserve">71,088,548 </w:t>
            </w:r>
          </w:p>
        </w:tc>
      </w:tr>
      <w:tr w:rsidR="00EB1E0F" w:rsidRPr="00EB1E0F" w14:paraId="5A292636" w14:textId="77777777" w:rsidTr="00516CA8">
        <w:trPr>
          <w:trHeight w:val="300"/>
          <w:jc w:val="center"/>
        </w:trPr>
        <w:tc>
          <w:tcPr>
            <w:tcW w:w="3940" w:type="dxa"/>
            <w:tcBorders>
              <w:top w:val="nil"/>
              <w:left w:val="nil"/>
              <w:bottom w:val="nil"/>
              <w:right w:val="nil"/>
            </w:tcBorders>
            <w:vAlign w:val="center"/>
            <w:hideMark/>
          </w:tcPr>
          <w:p w14:paraId="1759D1B0" w14:textId="77777777" w:rsidR="00EB1E0F" w:rsidRPr="00EB1E0F" w:rsidRDefault="00EB1E0F" w:rsidP="00EB1E0F">
            <w:pPr>
              <w:jc w:val="right"/>
              <w:rPr>
                <w:rFonts w:eastAsia="Times New Roman" w:cs="Times New Roman"/>
                <w:color w:val="000000"/>
                <w:sz w:val="22"/>
                <w:szCs w:val="22"/>
              </w:rPr>
            </w:pPr>
          </w:p>
        </w:tc>
        <w:tc>
          <w:tcPr>
            <w:tcW w:w="1480" w:type="dxa"/>
            <w:tcBorders>
              <w:top w:val="nil"/>
              <w:left w:val="nil"/>
              <w:bottom w:val="nil"/>
              <w:right w:val="nil"/>
            </w:tcBorders>
            <w:vAlign w:val="center"/>
            <w:hideMark/>
          </w:tcPr>
          <w:p w14:paraId="6BCE0881" w14:textId="77777777" w:rsidR="00EB1E0F" w:rsidRPr="00EB1E0F" w:rsidRDefault="00EB1E0F" w:rsidP="00516CA8">
            <w:pPr>
              <w:jc w:val="right"/>
              <w:rPr>
                <w:rFonts w:eastAsia="Times New Roman" w:cs="Times New Roman"/>
                <w:szCs w:val="20"/>
              </w:rPr>
            </w:pPr>
          </w:p>
        </w:tc>
      </w:tr>
      <w:tr w:rsidR="00EB1E0F" w:rsidRPr="00EB1E0F" w14:paraId="6054FB05" w14:textId="77777777" w:rsidTr="00516CA8">
        <w:trPr>
          <w:trHeight w:val="300"/>
          <w:jc w:val="center"/>
        </w:trPr>
        <w:tc>
          <w:tcPr>
            <w:tcW w:w="3940" w:type="dxa"/>
            <w:tcBorders>
              <w:top w:val="nil"/>
              <w:left w:val="nil"/>
              <w:bottom w:val="nil"/>
              <w:right w:val="nil"/>
            </w:tcBorders>
            <w:vAlign w:val="center"/>
            <w:hideMark/>
          </w:tcPr>
          <w:p w14:paraId="77ABCE70" w14:textId="743456E4" w:rsidR="00EB1E0F" w:rsidRPr="00EB1E0F" w:rsidRDefault="00EB1E0F" w:rsidP="00EB1E0F">
            <w:pPr>
              <w:rPr>
                <w:rFonts w:eastAsia="Times New Roman" w:cs="Times New Roman"/>
                <w:i/>
                <w:iCs/>
                <w:color w:val="000000"/>
                <w:sz w:val="22"/>
                <w:szCs w:val="22"/>
              </w:rPr>
            </w:pPr>
            <w:r w:rsidRPr="00EB1E0F">
              <w:rPr>
                <w:rFonts w:eastAsia="Times New Roman" w:cs="Times New Roman"/>
                <w:i/>
                <w:iCs/>
                <w:color w:val="000000"/>
                <w:sz w:val="22"/>
                <w:szCs w:val="22"/>
              </w:rPr>
              <w:t>Homebuilder Improvements</w:t>
            </w:r>
            <w:r w:rsidR="00BF2E2F" w:rsidRPr="00BF2E2F">
              <w:rPr>
                <w:rFonts w:eastAsia="Times New Roman" w:cs="Times New Roman"/>
                <w:i/>
                <w:iCs/>
                <w:color w:val="000000"/>
                <w:sz w:val="22"/>
                <w:szCs w:val="22"/>
                <w:vertAlign w:val="superscript"/>
              </w:rPr>
              <w:t>3</w:t>
            </w:r>
          </w:p>
        </w:tc>
        <w:tc>
          <w:tcPr>
            <w:tcW w:w="1480" w:type="dxa"/>
            <w:tcBorders>
              <w:top w:val="nil"/>
              <w:left w:val="nil"/>
              <w:bottom w:val="nil"/>
              <w:right w:val="nil"/>
            </w:tcBorders>
            <w:vAlign w:val="center"/>
            <w:hideMark/>
          </w:tcPr>
          <w:p w14:paraId="151BA350" w14:textId="77777777" w:rsidR="00EB1E0F" w:rsidRPr="00EB1E0F" w:rsidRDefault="00EB1E0F" w:rsidP="00516CA8">
            <w:pPr>
              <w:jc w:val="right"/>
              <w:rPr>
                <w:rFonts w:eastAsia="Times New Roman" w:cs="Times New Roman"/>
                <w:i/>
                <w:iCs/>
                <w:color w:val="000000"/>
                <w:sz w:val="22"/>
                <w:szCs w:val="22"/>
              </w:rPr>
            </w:pPr>
          </w:p>
        </w:tc>
      </w:tr>
      <w:tr w:rsidR="00EB1E0F" w:rsidRPr="00EB1E0F" w14:paraId="34F90604" w14:textId="77777777" w:rsidTr="00516CA8">
        <w:trPr>
          <w:trHeight w:val="300"/>
          <w:jc w:val="center"/>
        </w:trPr>
        <w:tc>
          <w:tcPr>
            <w:tcW w:w="3940" w:type="dxa"/>
            <w:tcBorders>
              <w:top w:val="nil"/>
              <w:left w:val="nil"/>
              <w:bottom w:val="nil"/>
              <w:right w:val="nil"/>
            </w:tcBorders>
            <w:vAlign w:val="center"/>
            <w:hideMark/>
          </w:tcPr>
          <w:p w14:paraId="372EC92E"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Sorrento</w:t>
            </w:r>
          </w:p>
        </w:tc>
        <w:tc>
          <w:tcPr>
            <w:tcW w:w="1480" w:type="dxa"/>
            <w:tcBorders>
              <w:top w:val="nil"/>
              <w:left w:val="nil"/>
              <w:bottom w:val="nil"/>
              <w:right w:val="nil"/>
            </w:tcBorders>
            <w:noWrap/>
            <w:vAlign w:val="center"/>
            <w:hideMark/>
          </w:tcPr>
          <w:p w14:paraId="18E8C5CD" w14:textId="4F14AD40" w:rsidR="00EB1E0F" w:rsidRPr="00EB1E0F" w:rsidRDefault="00EB1E0F" w:rsidP="00516CA8">
            <w:pPr>
              <w:jc w:val="right"/>
              <w:rPr>
                <w:rFonts w:eastAsia="Times New Roman" w:cs="Times New Roman"/>
                <w:color w:val="000000"/>
                <w:sz w:val="22"/>
                <w:szCs w:val="22"/>
              </w:rPr>
            </w:pPr>
            <w:r>
              <w:rPr>
                <w:rFonts w:eastAsia="Times New Roman" w:cs="Times New Roman"/>
                <w:color w:val="000000"/>
                <w:sz w:val="22"/>
                <w:szCs w:val="22"/>
              </w:rPr>
              <w:t>$</w:t>
            </w:r>
            <w:r w:rsidRPr="00EB1E0F">
              <w:rPr>
                <w:rFonts w:eastAsia="Times New Roman" w:cs="Times New Roman"/>
                <w:color w:val="000000"/>
                <w:sz w:val="22"/>
                <w:szCs w:val="22"/>
              </w:rPr>
              <w:t xml:space="preserve">7,500,000 </w:t>
            </w:r>
          </w:p>
        </w:tc>
      </w:tr>
      <w:tr w:rsidR="00EB1E0F" w:rsidRPr="00EB1E0F" w14:paraId="5402ECE1" w14:textId="77777777" w:rsidTr="00516CA8">
        <w:trPr>
          <w:trHeight w:val="300"/>
          <w:jc w:val="center"/>
        </w:trPr>
        <w:tc>
          <w:tcPr>
            <w:tcW w:w="3940" w:type="dxa"/>
            <w:tcBorders>
              <w:top w:val="nil"/>
              <w:left w:val="nil"/>
              <w:bottom w:val="nil"/>
              <w:right w:val="nil"/>
            </w:tcBorders>
            <w:vAlign w:val="center"/>
            <w:hideMark/>
          </w:tcPr>
          <w:p w14:paraId="5068984D"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Cascades</w:t>
            </w:r>
          </w:p>
        </w:tc>
        <w:tc>
          <w:tcPr>
            <w:tcW w:w="1480" w:type="dxa"/>
            <w:tcBorders>
              <w:top w:val="nil"/>
              <w:left w:val="nil"/>
              <w:bottom w:val="nil"/>
              <w:right w:val="nil"/>
            </w:tcBorders>
            <w:noWrap/>
            <w:vAlign w:val="center"/>
            <w:hideMark/>
          </w:tcPr>
          <w:p w14:paraId="57A79B70" w14:textId="5CA2F0B6" w:rsidR="00EB1E0F" w:rsidRPr="00EB1E0F" w:rsidRDefault="00EB1E0F" w:rsidP="00516CA8">
            <w:pPr>
              <w:jc w:val="right"/>
              <w:rPr>
                <w:rFonts w:eastAsia="Times New Roman" w:cs="Times New Roman"/>
                <w:color w:val="000000"/>
                <w:sz w:val="22"/>
                <w:szCs w:val="22"/>
              </w:rPr>
            </w:pPr>
            <w:r w:rsidRPr="00EB1E0F">
              <w:rPr>
                <w:rFonts w:eastAsia="Times New Roman" w:cs="Times New Roman"/>
                <w:color w:val="000000"/>
                <w:sz w:val="22"/>
                <w:szCs w:val="22"/>
              </w:rPr>
              <w:t xml:space="preserve">8,000,000 </w:t>
            </w:r>
          </w:p>
        </w:tc>
      </w:tr>
      <w:tr w:rsidR="00EB1E0F" w:rsidRPr="00EB1E0F" w14:paraId="60B6FEAA" w14:textId="77777777" w:rsidTr="00516CA8">
        <w:trPr>
          <w:trHeight w:val="300"/>
          <w:jc w:val="center"/>
        </w:trPr>
        <w:tc>
          <w:tcPr>
            <w:tcW w:w="3940" w:type="dxa"/>
            <w:tcBorders>
              <w:top w:val="nil"/>
              <w:left w:val="nil"/>
              <w:bottom w:val="nil"/>
              <w:right w:val="nil"/>
            </w:tcBorders>
            <w:vAlign w:val="center"/>
            <w:hideMark/>
          </w:tcPr>
          <w:p w14:paraId="0F4661BC"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Yosemite</w:t>
            </w:r>
          </w:p>
        </w:tc>
        <w:tc>
          <w:tcPr>
            <w:tcW w:w="1480" w:type="dxa"/>
            <w:tcBorders>
              <w:top w:val="nil"/>
              <w:left w:val="nil"/>
              <w:bottom w:val="nil"/>
              <w:right w:val="nil"/>
            </w:tcBorders>
            <w:noWrap/>
            <w:vAlign w:val="center"/>
            <w:hideMark/>
          </w:tcPr>
          <w:p w14:paraId="1A2035A7" w14:textId="6B8B1E55" w:rsidR="00EB1E0F" w:rsidRPr="00EB1E0F" w:rsidRDefault="00EB1E0F" w:rsidP="00516CA8">
            <w:pPr>
              <w:jc w:val="right"/>
              <w:rPr>
                <w:rFonts w:eastAsia="Times New Roman" w:cs="Times New Roman"/>
                <w:color w:val="000000"/>
                <w:sz w:val="22"/>
                <w:szCs w:val="22"/>
              </w:rPr>
            </w:pPr>
            <w:r w:rsidRPr="00EB1E0F">
              <w:rPr>
                <w:rFonts w:eastAsia="Times New Roman" w:cs="Times New Roman"/>
                <w:color w:val="000000"/>
                <w:sz w:val="22"/>
                <w:szCs w:val="22"/>
              </w:rPr>
              <w:t xml:space="preserve">9,000,000 </w:t>
            </w:r>
          </w:p>
        </w:tc>
      </w:tr>
      <w:tr w:rsidR="00EB1E0F" w:rsidRPr="00EB1E0F" w14:paraId="0476C4DB" w14:textId="77777777" w:rsidTr="00516CA8">
        <w:trPr>
          <w:trHeight w:val="300"/>
          <w:jc w:val="center"/>
        </w:trPr>
        <w:tc>
          <w:tcPr>
            <w:tcW w:w="3940" w:type="dxa"/>
            <w:tcBorders>
              <w:top w:val="nil"/>
              <w:left w:val="nil"/>
              <w:bottom w:val="nil"/>
              <w:right w:val="nil"/>
            </w:tcBorders>
            <w:vAlign w:val="center"/>
            <w:hideMark/>
          </w:tcPr>
          <w:p w14:paraId="6754A608"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Acadia</w:t>
            </w:r>
          </w:p>
        </w:tc>
        <w:tc>
          <w:tcPr>
            <w:tcW w:w="1480" w:type="dxa"/>
            <w:tcBorders>
              <w:top w:val="nil"/>
              <w:left w:val="nil"/>
              <w:bottom w:val="nil"/>
              <w:right w:val="nil"/>
            </w:tcBorders>
            <w:noWrap/>
            <w:vAlign w:val="center"/>
            <w:hideMark/>
          </w:tcPr>
          <w:p w14:paraId="35727EC9" w14:textId="1ACF4F63" w:rsidR="00EB1E0F" w:rsidRPr="00EB1E0F" w:rsidRDefault="00EB1E0F" w:rsidP="00516CA8">
            <w:pPr>
              <w:jc w:val="right"/>
              <w:rPr>
                <w:rFonts w:eastAsia="Times New Roman" w:cs="Times New Roman"/>
                <w:color w:val="000000"/>
                <w:sz w:val="22"/>
                <w:szCs w:val="22"/>
              </w:rPr>
            </w:pPr>
            <w:r w:rsidRPr="00EB1E0F">
              <w:rPr>
                <w:rFonts w:eastAsia="Times New Roman" w:cs="Times New Roman"/>
                <w:color w:val="000000"/>
                <w:sz w:val="22"/>
                <w:szCs w:val="22"/>
              </w:rPr>
              <w:t xml:space="preserve">20,000,000 </w:t>
            </w:r>
          </w:p>
        </w:tc>
      </w:tr>
      <w:tr w:rsidR="00EB1E0F" w:rsidRPr="00EB1E0F" w14:paraId="58C7E61E" w14:textId="77777777" w:rsidTr="00516CA8">
        <w:trPr>
          <w:trHeight w:val="300"/>
          <w:jc w:val="center"/>
        </w:trPr>
        <w:tc>
          <w:tcPr>
            <w:tcW w:w="3940" w:type="dxa"/>
            <w:tcBorders>
              <w:top w:val="nil"/>
              <w:left w:val="nil"/>
              <w:bottom w:val="nil"/>
              <w:right w:val="nil"/>
            </w:tcBorders>
            <w:vAlign w:val="center"/>
            <w:hideMark/>
          </w:tcPr>
          <w:p w14:paraId="5B6AC53F"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Joshua Tree Phase 4</w:t>
            </w:r>
          </w:p>
        </w:tc>
        <w:tc>
          <w:tcPr>
            <w:tcW w:w="1480" w:type="dxa"/>
            <w:tcBorders>
              <w:top w:val="nil"/>
              <w:left w:val="nil"/>
              <w:bottom w:val="nil"/>
              <w:right w:val="nil"/>
            </w:tcBorders>
            <w:noWrap/>
            <w:vAlign w:val="center"/>
            <w:hideMark/>
          </w:tcPr>
          <w:p w14:paraId="2A1DEADD" w14:textId="6C7DAE8F" w:rsidR="00EB1E0F" w:rsidRPr="00EB1E0F" w:rsidRDefault="00EB1E0F" w:rsidP="00516CA8">
            <w:pPr>
              <w:jc w:val="right"/>
              <w:rPr>
                <w:rFonts w:eastAsia="Times New Roman" w:cs="Times New Roman"/>
                <w:color w:val="000000"/>
                <w:sz w:val="22"/>
                <w:szCs w:val="22"/>
              </w:rPr>
            </w:pPr>
            <w:r w:rsidRPr="00EB1E0F">
              <w:rPr>
                <w:rFonts w:eastAsia="Times New Roman" w:cs="Times New Roman"/>
                <w:color w:val="000000"/>
                <w:sz w:val="22"/>
                <w:szCs w:val="22"/>
              </w:rPr>
              <w:t xml:space="preserve">2,000,000 </w:t>
            </w:r>
          </w:p>
        </w:tc>
      </w:tr>
      <w:tr w:rsidR="00EB1E0F" w:rsidRPr="00EB1E0F" w14:paraId="05467817" w14:textId="77777777" w:rsidTr="00516CA8">
        <w:trPr>
          <w:trHeight w:val="315"/>
          <w:jc w:val="center"/>
        </w:trPr>
        <w:tc>
          <w:tcPr>
            <w:tcW w:w="3940" w:type="dxa"/>
            <w:tcBorders>
              <w:top w:val="nil"/>
              <w:left w:val="nil"/>
              <w:bottom w:val="nil"/>
              <w:right w:val="nil"/>
            </w:tcBorders>
            <w:vAlign w:val="center"/>
            <w:hideMark/>
          </w:tcPr>
          <w:p w14:paraId="07D3F1D5"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Kenai</w:t>
            </w:r>
          </w:p>
        </w:tc>
        <w:tc>
          <w:tcPr>
            <w:tcW w:w="1480" w:type="dxa"/>
            <w:tcBorders>
              <w:top w:val="nil"/>
              <w:left w:val="nil"/>
              <w:bottom w:val="double" w:sz="6" w:space="0" w:color="auto"/>
              <w:right w:val="nil"/>
            </w:tcBorders>
            <w:noWrap/>
            <w:vAlign w:val="center"/>
            <w:hideMark/>
          </w:tcPr>
          <w:p w14:paraId="68F11F31" w14:textId="1FFD9CAF" w:rsidR="00EB1E0F" w:rsidRPr="00EB1E0F" w:rsidRDefault="00EB1E0F" w:rsidP="00516CA8">
            <w:pPr>
              <w:jc w:val="right"/>
              <w:rPr>
                <w:rFonts w:eastAsia="Times New Roman" w:cs="Times New Roman"/>
                <w:color w:val="000000"/>
                <w:sz w:val="22"/>
                <w:szCs w:val="22"/>
              </w:rPr>
            </w:pPr>
            <w:r w:rsidRPr="00EB1E0F">
              <w:rPr>
                <w:rFonts w:eastAsia="Times New Roman" w:cs="Times New Roman"/>
                <w:color w:val="000000"/>
                <w:sz w:val="22"/>
                <w:szCs w:val="22"/>
              </w:rPr>
              <w:t xml:space="preserve">12,500,000 </w:t>
            </w:r>
          </w:p>
        </w:tc>
      </w:tr>
      <w:tr w:rsidR="00EB1E0F" w:rsidRPr="00EB1E0F" w14:paraId="66900C34" w14:textId="77777777" w:rsidTr="00516CA8">
        <w:trPr>
          <w:trHeight w:val="315"/>
          <w:jc w:val="center"/>
        </w:trPr>
        <w:tc>
          <w:tcPr>
            <w:tcW w:w="3940" w:type="dxa"/>
            <w:tcBorders>
              <w:top w:val="nil"/>
              <w:left w:val="nil"/>
              <w:bottom w:val="nil"/>
              <w:right w:val="nil"/>
            </w:tcBorders>
            <w:vAlign w:val="center"/>
            <w:hideMark/>
          </w:tcPr>
          <w:p w14:paraId="7B79C34C"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Total</w:t>
            </w:r>
          </w:p>
        </w:tc>
        <w:tc>
          <w:tcPr>
            <w:tcW w:w="1480" w:type="dxa"/>
            <w:tcBorders>
              <w:top w:val="nil"/>
              <w:left w:val="nil"/>
              <w:bottom w:val="nil"/>
              <w:right w:val="nil"/>
            </w:tcBorders>
            <w:noWrap/>
            <w:vAlign w:val="center"/>
            <w:hideMark/>
          </w:tcPr>
          <w:p w14:paraId="09463C9D" w14:textId="67476270" w:rsidR="00EB1E0F" w:rsidRPr="00EB1E0F" w:rsidRDefault="00EB1E0F" w:rsidP="00516CA8">
            <w:pPr>
              <w:jc w:val="right"/>
              <w:rPr>
                <w:rFonts w:eastAsia="Times New Roman" w:cs="Times New Roman"/>
                <w:color w:val="000000"/>
                <w:sz w:val="22"/>
                <w:szCs w:val="22"/>
              </w:rPr>
            </w:pPr>
            <w:r>
              <w:rPr>
                <w:rFonts w:eastAsia="Times New Roman" w:cs="Times New Roman"/>
                <w:color w:val="000000"/>
                <w:sz w:val="22"/>
                <w:szCs w:val="22"/>
              </w:rPr>
              <w:t>$</w:t>
            </w:r>
            <w:r w:rsidRPr="00EB1E0F">
              <w:rPr>
                <w:rFonts w:eastAsia="Times New Roman" w:cs="Times New Roman"/>
                <w:color w:val="000000"/>
                <w:sz w:val="22"/>
                <w:szCs w:val="22"/>
              </w:rPr>
              <w:t xml:space="preserve">59,000,000 </w:t>
            </w:r>
          </w:p>
        </w:tc>
      </w:tr>
      <w:tr w:rsidR="00EB1E0F" w:rsidRPr="00EB1E0F" w14:paraId="58B48391" w14:textId="77777777" w:rsidTr="00EB1E0F">
        <w:trPr>
          <w:trHeight w:val="300"/>
          <w:jc w:val="center"/>
        </w:trPr>
        <w:tc>
          <w:tcPr>
            <w:tcW w:w="3940" w:type="dxa"/>
            <w:tcBorders>
              <w:top w:val="nil"/>
              <w:left w:val="nil"/>
              <w:bottom w:val="nil"/>
              <w:right w:val="nil"/>
            </w:tcBorders>
            <w:vAlign w:val="center"/>
            <w:hideMark/>
          </w:tcPr>
          <w:p w14:paraId="3F31176F" w14:textId="77777777" w:rsidR="00EB1E0F" w:rsidRPr="00EB1E0F" w:rsidRDefault="00EB1E0F" w:rsidP="00EB1E0F">
            <w:pPr>
              <w:jc w:val="right"/>
              <w:rPr>
                <w:rFonts w:eastAsia="Times New Roman" w:cs="Times New Roman"/>
                <w:color w:val="000000"/>
                <w:sz w:val="22"/>
                <w:szCs w:val="22"/>
              </w:rPr>
            </w:pPr>
          </w:p>
        </w:tc>
        <w:tc>
          <w:tcPr>
            <w:tcW w:w="1480" w:type="dxa"/>
            <w:tcBorders>
              <w:top w:val="nil"/>
              <w:left w:val="nil"/>
              <w:bottom w:val="nil"/>
              <w:right w:val="nil"/>
            </w:tcBorders>
            <w:noWrap/>
            <w:vAlign w:val="bottom"/>
            <w:hideMark/>
          </w:tcPr>
          <w:p w14:paraId="595CD06B" w14:textId="77777777" w:rsidR="00EB1E0F" w:rsidRPr="00EB1E0F" w:rsidRDefault="00EB1E0F" w:rsidP="00EB1E0F">
            <w:pPr>
              <w:rPr>
                <w:rFonts w:eastAsia="Times New Roman" w:cs="Times New Roman"/>
                <w:szCs w:val="20"/>
              </w:rPr>
            </w:pPr>
          </w:p>
        </w:tc>
      </w:tr>
      <w:tr w:rsidR="00EB1E0F" w:rsidRPr="00EB1E0F" w14:paraId="056626C8" w14:textId="77777777" w:rsidTr="00EB1E0F">
        <w:trPr>
          <w:trHeight w:val="300"/>
          <w:jc w:val="center"/>
        </w:trPr>
        <w:tc>
          <w:tcPr>
            <w:tcW w:w="3940" w:type="dxa"/>
            <w:tcBorders>
              <w:top w:val="nil"/>
              <w:left w:val="nil"/>
              <w:bottom w:val="nil"/>
              <w:right w:val="nil"/>
            </w:tcBorders>
            <w:vAlign w:val="center"/>
            <w:hideMark/>
          </w:tcPr>
          <w:p w14:paraId="202844B1" w14:textId="77777777" w:rsidR="00EB1E0F" w:rsidRPr="00EB1E0F" w:rsidRDefault="00EB1E0F" w:rsidP="00EB1E0F">
            <w:pPr>
              <w:rPr>
                <w:rFonts w:eastAsia="Times New Roman" w:cs="Times New Roman"/>
                <w:i/>
                <w:iCs/>
                <w:color w:val="000000"/>
                <w:sz w:val="22"/>
                <w:szCs w:val="22"/>
              </w:rPr>
            </w:pPr>
            <w:r w:rsidRPr="00EB1E0F">
              <w:rPr>
                <w:rFonts w:eastAsia="Times New Roman" w:cs="Times New Roman"/>
                <w:i/>
                <w:iCs/>
                <w:color w:val="000000"/>
                <w:sz w:val="22"/>
                <w:szCs w:val="22"/>
              </w:rPr>
              <w:t>U-111 and Related Road Improvements</w:t>
            </w:r>
          </w:p>
        </w:tc>
        <w:tc>
          <w:tcPr>
            <w:tcW w:w="1480" w:type="dxa"/>
            <w:tcBorders>
              <w:top w:val="nil"/>
              <w:left w:val="nil"/>
              <w:bottom w:val="nil"/>
              <w:right w:val="nil"/>
            </w:tcBorders>
            <w:vAlign w:val="center"/>
            <w:hideMark/>
          </w:tcPr>
          <w:p w14:paraId="43E00D2C" w14:textId="77777777" w:rsidR="00EB1E0F" w:rsidRPr="00EB1E0F" w:rsidRDefault="00EB1E0F" w:rsidP="00EB1E0F">
            <w:pPr>
              <w:rPr>
                <w:rFonts w:eastAsia="Times New Roman" w:cs="Times New Roman"/>
                <w:i/>
                <w:iCs/>
                <w:color w:val="000000"/>
                <w:sz w:val="22"/>
                <w:szCs w:val="22"/>
              </w:rPr>
            </w:pPr>
          </w:p>
        </w:tc>
      </w:tr>
      <w:tr w:rsidR="00E722EB" w:rsidRPr="00EB1E0F" w14:paraId="46C572D6" w14:textId="77777777" w:rsidTr="00EB1E0F">
        <w:trPr>
          <w:trHeight w:val="300"/>
          <w:jc w:val="center"/>
        </w:trPr>
        <w:tc>
          <w:tcPr>
            <w:tcW w:w="3940" w:type="dxa"/>
            <w:tcBorders>
              <w:top w:val="nil"/>
              <w:left w:val="nil"/>
              <w:bottom w:val="nil"/>
              <w:right w:val="nil"/>
            </w:tcBorders>
            <w:vAlign w:val="center"/>
          </w:tcPr>
          <w:p w14:paraId="5F9ECAF1" w14:textId="77777777" w:rsidR="00E722EB" w:rsidRPr="00EB1E0F" w:rsidRDefault="00E722EB" w:rsidP="00EB1E0F">
            <w:pPr>
              <w:rPr>
                <w:rFonts w:eastAsia="Times New Roman" w:cs="Times New Roman"/>
                <w:i/>
                <w:iCs/>
                <w:color w:val="000000"/>
                <w:sz w:val="22"/>
                <w:szCs w:val="22"/>
              </w:rPr>
            </w:pPr>
          </w:p>
        </w:tc>
        <w:tc>
          <w:tcPr>
            <w:tcW w:w="1480" w:type="dxa"/>
            <w:tcBorders>
              <w:top w:val="nil"/>
              <w:left w:val="nil"/>
              <w:bottom w:val="nil"/>
              <w:right w:val="nil"/>
            </w:tcBorders>
            <w:vAlign w:val="center"/>
          </w:tcPr>
          <w:p w14:paraId="69DC62C1" w14:textId="77777777" w:rsidR="00E722EB" w:rsidRPr="00EB1E0F" w:rsidRDefault="00E722EB" w:rsidP="00EB1E0F">
            <w:pPr>
              <w:rPr>
                <w:rFonts w:eastAsia="Times New Roman" w:cs="Times New Roman"/>
                <w:i/>
                <w:iCs/>
                <w:color w:val="000000"/>
                <w:sz w:val="22"/>
                <w:szCs w:val="22"/>
              </w:rPr>
            </w:pPr>
          </w:p>
        </w:tc>
      </w:tr>
      <w:tr w:rsidR="00EB1E0F" w:rsidRPr="00EB1E0F" w14:paraId="4070FEC6" w14:textId="77777777" w:rsidTr="00EB1E0F">
        <w:trPr>
          <w:trHeight w:val="300"/>
          <w:jc w:val="center"/>
        </w:trPr>
        <w:tc>
          <w:tcPr>
            <w:tcW w:w="3940" w:type="dxa"/>
            <w:tcBorders>
              <w:top w:val="nil"/>
              <w:left w:val="nil"/>
              <w:bottom w:val="nil"/>
              <w:right w:val="nil"/>
            </w:tcBorders>
            <w:noWrap/>
            <w:vAlign w:val="center"/>
            <w:hideMark/>
          </w:tcPr>
          <w:p w14:paraId="3AEA794F" w14:textId="77777777" w:rsidR="00EB1E0F" w:rsidRPr="00EB1E0F" w:rsidRDefault="00EB1E0F" w:rsidP="00EB1E0F">
            <w:pPr>
              <w:rPr>
                <w:rFonts w:eastAsia="Times New Roman" w:cs="Times New Roman"/>
                <w:color w:val="000000"/>
                <w:sz w:val="22"/>
                <w:szCs w:val="22"/>
              </w:rPr>
            </w:pPr>
            <w:r w:rsidRPr="00EB1E0F">
              <w:rPr>
                <w:rFonts w:eastAsia="Times New Roman" w:cs="Times New Roman"/>
                <w:color w:val="000000"/>
                <w:sz w:val="22"/>
                <w:szCs w:val="22"/>
              </w:rPr>
              <w:t xml:space="preserve">      Total</w:t>
            </w:r>
          </w:p>
        </w:tc>
        <w:tc>
          <w:tcPr>
            <w:tcW w:w="1480" w:type="dxa"/>
            <w:tcBorders>
              <w:top w:val="nil"/>
              <w:left w:val="nil"/>
              <w:bottom w:val="nil"/>
              <w:right w:val="nil"/>
            </w:tcBorders>
            <w:noWrap/>
            <w:vAlign w:val="center"/>
            <w:hideMark/>
          </w:tcPr>
          <w:p w14:paraId="503C9D72" w14:textId="77777777" w:rsidR="00EB1E0F" w:rsidRPr="00EB1E0F" w:rsidRDefault="00EB1E0F" w:rsidP="00EB1E0F">
            <w:pPr>
              <w:rPr>
                <w:rFonts w:eastAsia="Times New Roman" w:cs="Times New Roman"/>
                <w:color w:val="000000"/>
                <w:sz w:val="22"/>
                <w:szCs w:val="22"/>
              </w:rPr>
            </w:pPr>
          </w:p>
        </w:tc>
      </w:tr>
    </w:tbl>
    <w:p w14:paraId="2CC93909" w14:textId="77777777" w:rsidR="00204287" w:rsidRPr="00DA2177" w:rsidRDefault="00204287" w:rsidP="00204287">
      <w:pPr>
        <w:tabs>
          <w:tab w:val="right" w:pos="2880"/>
        </w:tabs>
        <w:rPr>
          <w:rFonts w:cs="Times New Roman"/>
          <w:sz w:val="22"/>
          <w:szCs w:val="22"/>
          <w:u w:val="single"/>
        </w:rPr>
      </w:pPr>
      <w:r>
        <w:rPr>
          <w:rFonts w:cs="Times New Roman"/>
          <w:sz w:val="22"/>
          <w:szCs w:val="22"/>
          <w:u w:val="single"/>
        </w:rPr>
        <w:tab/>
      </w:r>
    </w:p>
    <w:p w14:paraId="3E9DE1D1" w14:textId="77777777" w:rsidR="00204287" w:rsidRDefault="00204287" w:rsidP="00204287">
      <w:pPr>
        <w:ind w:left="720" w:hanging="720"/>
        <w:jc w:val="both"/>
        <w:rPr>
          <w:rFonts w:cs="Times New Roman"/>
          <w:szCs w:val="20"/>
        </w:rPr>
      </w:pPr>
      <w:r>
        <w:rPr>
          <w:rFonts w:cs="Times New Roman"/>
          <w:szCs w:val="20"/>
          <w:vertAlign w:val="superscript"/>
        </w:rPr>
        <w:t>*</w:t>
      </w:r>
      <w:r>
        <w:rPr>
          <w:rFonts w:cs="Times New Roman"/>
          <w:szCs w:val="20"/>
        </w:rPr>
        <w:tab/>
        <w:t xml:space="preserve">Preliminary; subject to change. </w:t>
      </w:r>
    </w:p>
    <w:p w14:paraId="49ECD6B5" w14:textId="30AD1C3D" w:rsidR="00204287" w:rsidRPr="00891A37" w:rsidRDefault="00204287" w:rsidP="00204287">
      <w:pPr>
        <w:ind w:left="720" w:hanging="720"/>
        <w:jc w:val="both"/>
        <w:rPr>
          <w:rFonts w:cs="Times New Roman"/>
          <w:szCs w:val="20"/>
        </w:rPr>
      </w:pPr>
      <w:r>
        <w:rPr>
          <w:rFonts w:cs="Times New Roman"/>
          <w:szCs w:val="20"/>
          <w:vertAlign w:val="superscript"/>
        </w:rPr>
        <w:t>1</w:t>
      </w:r>
      <w:r>
        <w:rPr>
          <w:rFonts w:cs="Times New Roman"/>
          <w:szCs w:val="20"/>
        </w:rPr>
        <w:tab/>
        <w:t>Costs include engineering, construction management, testing, and contingency costs. Figures have been rounded elsewhere in this Official Statement.</w:t>
      </w:r>
    </w:p>
    <w:p w14:paraId="1DF5B80B" w14:textId="74F7CFED" w:rsidR="00204287" w:rsidRPr="00891A37" w:rsidRDefault="00204287" w:rsidP="00204287">
      <w:pPr>
        <w:ind w:left="720" w:hanging="720"/>
        <w:jc w:val="both"/>
        <w:rPr>
          <w:rFonts w:cs="Times New Roman"/>
          <w:szCs w:val="20"/>
        </w:rPr>
      </w:pPr>
      <w:r>
        <w:rPr>
          <w:rFonts w:cs="Times New Roman"/>
          <w:szCs w:val="20"/>
          <w:vertAlign w:val="superscript"/>
        </w:rPr>
        <w:t>2</w:t>
      </w:r>
      <w:r>
        <w:rPr>
          <w:rFonts w:cs="Times New Roman"/>
          <w:szCs w:val="20"/>
        </w:rPr>
        <w:tab/>
        <w:t>Excludes costs related to U-111 and 6400 West (other than segment one, which is included), and related road improvements, which are shown under U-111 and Related Road Improvements.</w:t>
      </w:r>
    </w:p>
    <w:p w14:paraId="4C5B6690" w14:textId="0579A26C" w:rsidR="00204287" w:rsidRDefault="00204287" w:rsidP="00BF2E2F">
      <w:pPr>
        <w:ind w:left="720" w:hanging="720"/>
        <w:jc w:val="both"/>
        <w:rPr>
          <w:rFonts w:cs="Times New Roman"/>
          <w:szCs w:val="20"/>
        </w:rPr>
      </w:pPr>
      <w:r>
        <w:rPr>
          <w:rFonts w:cs="Times New Roman"/>
          <w:szCs w:val="20"/>
          <w:vertAlign w:val="superscript"/>
        </w:rPr>
        <w:t>3</w:t>
      </w:r>
      <w:r>
        <w:rPr>
          <w:rFonts w:cs="Times New Roman"/>
          <w:szCs w:val="20"/>
        </w:rPr>
        <w:tab/>
        <w:t>Includes public subdivision roads and water, sewer, and storm drain improvements</w:t>
      </w:r>
      <w:r w:rsidR="00BF2E2F">
        <w:rPr>
          <w:rFonts w:cs="Times New Roman"/>
          <w:szCs w:val="20"/>
        </w:rPr>
        <w:t xml:space="preserve"> and </w:t>
      </w:r>
      <w:r>
        <w:rPr>
          <w:rFonts w:cs="Times New Roman"/>
          <w:szCs w:val="20"/>
        </w:rPr>
        <w:t xml:space="preserve">private subdivision roads, power improvements, and gas improvements. </w:t>
      </w:r>
    </w:p>
    <w:p w14:paraId="573AA6E4" w14:textId="77777777" w:rsidR="00882150" w:rsidRPr="00891A37" w:rsidRDefault="00882150" w:rsidP="00204287">
      <w:pPr>
        <w:jc w:val="both"/>
        <w:rPr>
          <w:rFonts w:cs="Times New Roman"/>
          <w:szCs w:val="20"/>
        </w:rPr>
      </w:pPr>
    </w:p>
    <w:p w14:paraId="50AE7AEF" w14:textId="1CEBDD48" w:rsidR="00794CA7" w:rsidRDefault="00794CA7" w:rsidP="00887F99">
      <w:pPr>
        <w:spacing w:after="240"/>
        <w:jc w:val="both"/>
        <w:rPr>
          <w:rFonts w:cs="Times New Roman"/>
          <w:sz w:val="22"/>
          <w:szCs w:val="22"/>
        </w:rPr>
      </w:pPr>
      <w:r>
        <w:rPr>
          <w:rFonts w:cs="Times New Roman"/>
          <w:sz w:val="22"/>
          <w:szCs w:val="22"/>
        </w:rPr>
        <w:t xml:space="preserve"> </w:t>
      </w:r>
      <w:r>
        <w:rPr>
          <w:rFonts w:cs="Times New Roman"/>
          <w:sz w:val="22"/>
          <w:szCs w:val="22"/>
        </w:rPr>
        <w:tab/>
        <w:t>It is anticipated that the District will have $[NET PROCEEDS]</w:t>
      </w:r>
      <w:r w:rsidR="00691E9F">
        <w:rPr>
          <w:rStyle w:val="FootnoteReference"/>
          <w:rFonts w:cs="Times New Roman"/>
          <w:szCs w:val="22"/>
        </w:rPr>
        <w:footnoteReference w:customMarkFollows="1" w:id="5"/>
        <w:t>*</w:t>
      </w:r>
      <w:r>
        <w:rPr>
          <w:rFonts w:cs="Times New Roman"/>
          <w:sz w:val="22"/>
          <w:szCs w:val="22"/>
        </w:rPr>
        <w:t xml:space="preserve"> in Bond proceeds immediately available for costs of Public Improvements. See “RISK FACTORS—Development Not Assured” and “USE OF PROCEEDS AND DEBT SERVICE REQUIREMENTS.”</w:t>
      </w:r>
    </w:p>
    <w:p w14:paraId="50AEF7B8" w14:textId="42411359" w:rsidR="00794CA7" w:rsidRPr="000065A3" w:rsidRDefault="00794CA7" w:rsidP="00794CA7">
      <w:pPr>
        <w:pStyle w:val="00BodyText5"/>
        <w:rPr>
          <w:rFonts w:cs="Times New Roman"/>
          <w:szCs w:val="22"/>
        </w:rPr>
      </w:pPr>
      <w:r>
        <w:rPr>
          <w:rFonts w:cs="Times New Roman"/>
          <w:b/>
          <w:i/>
          <w:szCs w:val="22"/>
        </w:rPr>
        <w:t>Market Study</w:t>
      </w:r>
      <w:r>
        <w:rPr>
          <w:rFonts w:cs="Times New Roman"/>
          <w:szCs w:val="22"/>
        </w:rPr>
        <w:t xml:space="preserve">. The District engaged Zonda Advisory for the purpose of independently assessing the value of contemplated planned uses of the Development, the results of which are set forth in the report entitled “Olympia” dated </w:t>
      </w:r>
      <w:r w:rsidR="000B50C8">
        <w:rPr>
          <w:rFonts w:cs="Times New Roman"/>
          <w:szCs w:val="22"/>
        </w:rPr>
        <w:t>[June</w:t>
      </w:r>
      <w:r w:rsidR="00381A2D">
        <w:rPr>
          <w:rFonts w:cs="Times New Roman"/>
          <w:szCs w:val="22"/>
        </w:rPr>
        <w:t xml:space="preserve"> 2026]</w:t>
      </w:r>
      <w:r>
        <w:rPr>
          <w:rFonts w:cs="Times New Roman"/>
          <w:szCs w:val="22"/>
        </w:rPr>
        <w:t xml:space="preserve"> (the “</w:t>
      </w:r>
      <w:r>
        <w:rPr>
          <w:rFonts w:cs="Times New Roman"/>
          <w:b/>
          <w:i/>
          <w:szCs w:val="22"/>
        </w:rPr>
        <w:t>Market Study</w:t>
      </w:r>
      <w:r>
        <w:rPr>
          <w:rFonts w:cs="Times New Roman"/>
          <w:szCs w:val="22"/>
        </w:rPr>
        <w:t>”), attached hereto as APPENDIX B. The Market Study provides an assessment of absorption and market values based on current market conditions, which conditions are comprised solely of those specifically identified in the Market Study. See “FORWARD-LOOKING STATEMENTS,” “RISK FACTORS—Risks Inherent in Market Study and Financial Forecasts,” and APPENDIX B—MARKET STUDY hereto. The recommendations and estimates provided by the Market Study are based upon the assumptions, and subject to the qualifications and limitations, set forth therein. See APPENDIX B attached hereto.</w:t>
      </w:r>
    </w:p>
    <w:p w14:paraId="46712391" w14:textId="7332C21E" w:rsidR="00794CA7" w:rsidRDefault="00794CA7" w:rsidP="00794CA7">
      <w:pPr>
        <w:pStyle w:val="00BodyText5"/>
        <w:rPr>
          <w:rFonts w:cs="Times New Roman"/>
          <w:szCs w:val="22"/>
        </w:rPr>
      </w:pPr>
      <w:r>
        <w:rPr>
          <w:rFonts w:cs="Times New Roman"/>
          <w:b/>
          <w:i/>
          <w:szCs w:val="22"/>
        </w:rPr>
        <w:t>Financial Forecasts</w:t>
      </w:r>
      <w:r>
        <w:rPr>
          <w:rFonts w:cs="Times New Roman"/>
          <w:szCs w:val="22"/>
        </w:rPr>
        <w:t>. CliftonLarsonAllen LLP (“</w:t>
      </w:r>
      <w:r>
        <w:rPr>
          <w:rFonts w:cs="Times New Roman"/>
          <w:b/>
          <w:szCs w:val="22"/>
        </w:rPr>
        <w:t>CLA</w:t>
      </w:r>
      <w:r>
        <w:rPr>
          <w:rFonts w:cs="Times New Roman"/>
          <w:szCs w:val="22"/>
        </w:rPr>
        <w:t>”) prepared the cash flow projection schedules presented in APPENDIX A-1 hereto (the “</w:t>
      </w:r>
      <w:r>
        <w:rPr>
          <w:rFonts w:cs="Times New Roman"/>
          <w:b/>
          <w:i/>
          <w:szCs w:val="22"/>
        </w:rPr>
        <w:t>LT Financial Forecast</w:t>
      </w:r>
      <w:r>
        <w:rPr>
          <w:rFonts w:cs="Times New Roman"/>
          <w:szCs w:val="22"/>
        </w:rPr>
        <w:t xml:space="preserve">”), for the purpose of providing information regarding the District’s ability to make debt service payments on the </w:t>
      </w:r>
      <w:r w:rsidR="00787226">
        <w:rPr>
          <w:rFonts w:cs="Times New Roman"/>
          <w:szCs w:val="22"/>
        </w:rPr>
        <w:t>LT Bond</w:t>
      </w:r>
      <w:r>
        <w:rPr>
          <w:rFonts w:cs="Times New Roman"/>
          <w:szCs w:val="22"/>
        </w:rPr>
        <w:t>s and in APPENDIX A-2 hereto (the “</w:t>
      </w:r>
      <w:r>
        <w:rPr>
          <w:rFonts w:cs="Times New Roman"/>
          <w:b/>
          <w:i/>
          <w:szCs w:val="22"/>
        </w:rPr>
        <w:t>SR Financial Forecast</w:t>
      </w:r>
      <w:r>
        <w:rPr>
          <w:rFonts w:cs="Times New Roman"/>
          <w:szCs w:val="22"/>
        </w:rPr>
        <w:t>” and together with the LT Financial Forecast, the “</w:t>
      </w:r>
      <w:r>
        <w:rPr>
          <w:rFonts w:cs="Times New Roman"/>
          <w:b/>
          <w:bCs/>
          <w:szCs w:val="22"/>
        </w:rPr>
        <w:t>Financial Forecasts</w:t>
      </w:r>
      <w:r>
        <w:rPr>
          <w:rFonts w:cs="Times New Roman"/>
          <w:szCs w:val="22"/>
        </w:rPr>
        <w:t>”), for the purpose of providing information regarding the District’s ability to make debt service payments on the 2026A-2 SR Bonds. Such Financial Forecasts utilized information contained in the Market Study and certain assumptions more particularly set forth therein.</w:t>
      </w:r>
    </w:p>
    <w:p w14:paraId="48AF42B5" w14:textId="1D710B2C" w:rsidR="00D62033" w:rsidRPr="006121A0" w:rsidRDefault="00D62033" w:rsidP="00D62033">
      <w:pPr>
        <w:pStyle w:val="00BodyText5"/>
        <w:rPr>
          <w:rFonts w:cs="Times New Roman"/>
          <w:szCs w:val="22"/>
        </w:rPr>
      </w:pPr>
      <w:r w:rsidRPr="008E4C72">
        <w:rPr>
          <w:rFonts w:cs="Times New Roman"/>
          <w:b/>
          <w:bCs/>
          <w:szCs w:val="22"/>
        </w:rPr>
        <w:t>As projected in the LT Financial Forecast, it is not anticipated that there will be any Subordinate LT Pledged Revenue available to pay accrued interest on the 2026B Subordinate LT Bonds until 20[__], and it is not anticipated that there will be any Subordinate LT Pledged Revenue available to pay principal on the 2026B Subordinate LT Bonds until 20[__].</w:t>
      </w:r>
      <w:r w:rsidRPr="008E4C72">
        <w:rPr>
          <w:rFonts w:cs="Times New Roman"/>
          <w:szCs w:val="22"/>
        </w:rPr>
        <w:t xml:space="preserve"> The LT Financial Forecast assumes that Administrative Expenses of the District are paid from the </w:t>
      </w:r>
      <w:r w:rsidR="008E4C72" w:rsidRPr="008E4C72">
        <w:rPr>
          <w:rFonts w:cs="Times New Roman"/>
          <w:szCs w:val="22"/>
        </w:rPr>
        <w:t xml:space="preserve">LT </w:t>
      </w:r>
      <w:r w:rsidRPr="008E4C72">
        <w:rPr>
          <w:rFonts w:cs="Times New Roman"/>
          <w:szCs w:val="22"/>
        </w:rPr>
        <w:t>Working Capital Fund and pursuant to the Funding and Reimbursement Agreement until after collection year 20</w:t>
      </w:r>
      <w:r w:rsidR="008E4C72" w:rsidRPr="008E4C72">
        <w:rPr>
          <w:rFonts w:cs="Times New Roman"/>
          <w:szCs w:val="22"/>
        </w:rPr>
        <w:t>[__]</w:t>
      </w:r>
      <w:r w:rsidRPr="008E4C72">
        <w:rPr>
          <w:rFonts w:cs="Times New Roman"/>
          <w:szCs w:val="22"/>
        </w:rPr>
        <w:t>.</w:t>
      </w:r>
    </w:p>
    <w:p w14:paraId="1B7F3252" w14:textId="5DDF38A5" w:rsidR="00794CA7" w:rsidRPr="00DA2177" w:rsidRDefault="006F061F" w:rsidP="00794CA7">
      <w:pPr>
        <w:pStyle w:val="00BodyText5"/>
        <w:rPr>
          <w:rFonts w:cs="Times New Roman"/>
          <w:szCs w:val="22"/>
        </w:rPr>
      </w:pPr>
      <w:r w:rsidRPr="006F061F">
        <w:rPr>
          <w:rFonts w:cs="Times New Roman"/>
          <w:szCs w:val="22"/>
        </w:rPr>
        <w:t>These dates represent a forecast and there is no guaranty that any payments will be made on or after such date or, further, that the 2026A-1 Senior LT Bonds or the 2026B Subordinate LT Bonds will be paid prior to their discharge dates of March 1, 2067 and March 15, 2067, respectively</w:t>
      </w:r>
      <w:r w:rsidR="00794CA7">
        <w:rPr>
          <w:rFonts w:cs="Times New Roman"/>
          <w:szCs w:val="22"/>
        </w:rPr>
        <w:t xml:space="preserve"> or that the 2026A-2 SR Bonds will be paid prior to their discharge date. See “FORWARD-LOOKING STATEMENTS” and “RISK FACTORS—Development Not Assured” and “—Risks Inherent in Market Study and Financial Forecast</w:t>
      </w:r>
      <w:r w:rsidR="00764F01">
        <w:rPr>
          <w:rFonts w:cs="Times New Roman"/>
          <w:szCs w:val="22"/>
        </w:rPr>
        <w:t>s</w:t>
      </w:r>
      <w:r w:rsidR="00794CA7">
        <w:rPr>
          <w:rFonts w:cs="Times New Roman"/>
          <w:szCs w:val="22"/>
        </w:rPr>
        <w:t xml:space="preserve">,” and APPENDIX A hereto. </w:t>
      </w:r>
    </w:p>
    <w:p w14:paraId="7F8C054B" w14:textId="79E0C41E" w:rsidR="00244505" w:rsidRPr="00DA2177" w:rsidRDefault="003904FF" w:rsidP="00244505">
      <w:pPr>
        <w:pStyle w:val="Heading2"/>
        <w:rPr>
          <w:rFonts w:eastAsia="Times New Roman"/>
          <w:sz w:val="22"/>
          <w:szCs w:val="22"/>
        </w:rPr>
      </w:pPr>
      <w:bookmarkStart w:id="20" w:name="_Toc235521015"/>
      <w:r>
        <w:rPr>
          <w:rFonts w:eastAsia="Times New Roman"/>
          <w:sz w:val="22"/>
          <w:szCs w:val="22"/>
        </w:rPr>
        <w:t>Authority for Issuance</w:t>
      </w:r>
      <w:bookmarkEnd w:id="20"/>
    </w:p>
    <w:p w14:paraId="4903A5AD" w14:textId="2F671A7F" w:rsidR="007F24CE" w:rsidRPr="00DA2177" w:rsidRDefault="00D4323C" w:rsidP="00D4323C">
      <w:pPr>
        <w:pStyle w:val="00BodyText5"/>
        <w:rPr>
          <w:rFonts w:cs="Times New Roman"/>
          <w:szCs w:val="22"/>
        </w:rPr>
      </w:pPr>
      <w:r>
        <w:rPr>
          <w:rFonts w:cs="Times New Roman"/>
          <w:szCs w:val="22"/>
        </w:rPr>
        <w:t>The Bonds are issued under the Public Infrastructure District Act, the Special District Act, the Local Government Bonding Act, Title 11, Chapter 14, Utah Code (the “</w:t>
      </w:r>
      <w:r>
        <w:rPr>
          <w:rFonts w:cs="Times New Roman"/>
          <w:b/>
          <w:szCs w:val="22"/>
        </w:rPr>
        <w:t>Bond Act</w:t>
      </w:r>
      <w:r>
        <w:rPr>
          <w:rFonts w:cs="Times New Roman"/>
          <w:szCs w:val="22"/>
        </w:rPr>
        <w:t>”), the Governing Document and other applicable laws of the State of Utah (the “</w:t>
      </w:r>
      <w:r>
        <w:rPr>
          <w:rFonts w:cs="Times New Roman"/>
          <w:b/>
          <w:szCs w:val="22"/>
        </w:rPr>
        <w:t>State</w:t>
      </w:r>
      <w:r>
        <w:rPr>
          <w:rFonts w:cs="Times New Roman"/>
          <w:szCs w:val="22"/>
        </w:rPr>
        <w:t xml:space="preserve">”). </w:t>
      </w:r>
    </w:p>
    <w:p w14:paraId="31E962D5" w14:textId="05917CCF" w:rsidR="00272237" w:rsidRPr="00272237" w:rsidRDefault="00272237" w:rsidP="00272237">
      <w:pPr>
        <w:pStyle w:val="00BodyText5"/>
        <w:rPr>
          <w:rFonts w:cs="Times New Roman"/>
          <w:szCs w:val="22"/>
        </w:rPr>
      </w:pPr>
      <w:r w:rsidRPr="00272237">
        <w:rPr>
          <w:rFonts w:cs="Times New Roman"/>
          <w:szCs w:val="22"/>
        </w:rPr>
        <w:t>The 2026A-1 Senior LT Bonds will be issued under an Indenture of Trust (Senior) related to the 2026A-1 Senior LT Bonds to be dated as of [INDENTURE MONTH] 1, 2026 (the “</w:t>
      </w:r>
      <w:r w:rsidRPr="00272237">
        <w:rPr>
          <w:rFonts w:cs="Times New Roman"/>
          <w:b/>
          <w:szCs w:val="22"/>
        </w:rPr>
        <w:t>Senior LT Indenture</w:t>
      </w:r>
      <w:r w:rsidRPr="00272237">
        <w:rPr>
          <w:rFonts w:cs="Times New Roman"/>
          <w:szCs w:val="22"/>
        </w:rPr>
        <w:t>”) by and between the District and Zions Bancorporation, National Association, as trustee (the “</w:t>
      </w:r>
      <w:r w:rsidRPr="00272237">
        <w:rPr>
          <w:rFonts w:cs="Times New Roman"/>
          <w:b/>
          <w:szCs w:val="22"/>
        </w:rPr>
        <w:t>Trustee</w:t>
      </w:r>
      <w:r w:rsidRPr="00272237">
        <w:rPr>
          <w:rFonts w:cs="Times New Roman"/>
          <w:szCs w:val="22"/>
        </w:rPr>
        <w:t>”). The 2026A-2 SR Bonds will be issued under an Indenture of Trust (Special Revenue) to be dated as of [INDENTURE MONTH] 1, 2026 (the “</w:t>
      </w:r>
      <w:r w:rsidRPr="00272237">
        <w:rPr>
          <w:rFonts w:cs="Times New Roman"/>
          <w:b/>
          <w:szCs w:val="22"/>
        </w:rPr>
        <w:t>SR Indenture</w:t>
      </w:r>
      <w:r w:rsidRPr="00272237">
        <w:rPr>
          <w:rFonts w:cs="Times New Roman"/>
          <w:szCs w:val="22"/>
        </w:rPr>
        <w:t>”) by and between the District and the Trustee. The 2026B Subordinate LT Bonds will be issued under an Indenture of Trust (Subordinate) related to the 2026B Subordinate LT Bonds to be dated as of [INDENTURE MONTH] 1, 2026 (the “</w:t>
      </w:r>
      <w:r w:rsidRPr="00272237">
        <w:rPr>
          <w:rFonts w:cs="Times New Roman"/>
          <w:b/>
          <w:szCs w:val="22"/>
        </w:rPr>
        <w:t>Subordinate LT Indenture</w:t>
      </w:r>
      <w:r w:rsidRPr="00272237">
        <w:rPr>
          <w:rFonts w:cs="Times New Roman"/>
          <w:szCs w:val="22"/>
        </w:rPr>
        <w:t xml:space="preserve">”) by and between the District and the Trustee. The Bonds were authorized by a resolution adopted by the District’s Board of </w:t>
      </w:r>
      <w:r w:rsidR="00FB181E">
        <w:rPr>
          <w:rFonts w:cs="Times New Roman"/>
          <w:szCs w:val="22"/>
        </w:rPr>
        <w:t>Trustees</w:t>
      </w:r>
      <w:r w:rsidRPr="00272237">
        <w:rPr>
          <w:rFonts w:cs="Times New Roman"/>
          <w:szCs w:val="22"/>
        </w:rPr>
        <w:t xml:space="preserve"> (the “</w:t>
      </w:r>
      <w:r w:rsidRPr="00272237">
        <w:rPr>
          <w:rFonts w:cs="Times New Roman"/>
          <w:b/>
          <w:szCs w:val="22"/>
        </w:rPr>
        <w:t>Board</w:t>
      </w:r>
      <w:r w:rsidRPr="00272237">
        <w:rPr>
          <w:rFonts w:cs="Times New Roman"/>
          <w:szCs w:val="22"/>
        </w:rPr>
        <w:t xml:space="preserve">”) on </w:t>
      </w:r>
      <w:r w:rsidR="00F12675">
        <w:rPr>
          <w:rFonts w:cs="Times New Roman"/>
          <w:szCs w:val="22"/>
        </w:rPr>
        <w:t>July 9</w:t>
      </w:r>
      <w:r w:rsidRPr="00272237">
        <w:rPr>
          <w:rFonts w:cs="Times New Roman"/>
          <w:szCs w:val="22"/>
        </w:rPr>
        <w:t>, 20</w:t>
      </w:r>
      <w:r w:rsidR="00F12675">
        <w:rPr>
          <w:rFonts w:cs="Times New Roman"/>
          <w:szCs w:val="22"/>
        </w:rPr>
        <w:t>26</w:t>
      </w:r>
      <w:r w:rsidRPr="00272237">
        <w:rPr>
          <w:rFonts w:cs="Times New Roman"/>
          <w:szCs w:val="22"/>
        </w:rPr>
        <w:t xml:space="preserve"> (the “</w:t>
      </w:r>
      <w:r w:rsidRPr="00272237">
        <w:rPr>
          <w:rFonts w:cs="Times New Roman"/>
          <w:b/>
          <w:szCs w:val="22"/>
        </w:rPr>
        <w:t>Bond Resolution</w:t>
      </w:r>
      <w:r w:rsidRPr="00272237">
        <w:rPr>
          <w:rFonts w:cs="Times New Roman"/>
          <w:szCs w:val="22"/>
        </w:rPr>
        <w:t>”). The Senior LT Indenture and the Subordinate LT Indenture are collectively referred to herein as the “</w:t>
      </w:r>
      <w:r w:rsidRPr="00272237">
        <w:rPr>
          <w:rFonts w:cs="Times New Roman"/>
          <w:b/>
          <w:szCs w:val="22"/>
        </w:rPr>
        <w:t>LT Indentures</w:t>
      </w:r>
      <w:r w:rsidRPr="00272237">
        <w:rPr>
          <w:rFonts w:cs="Times New Roman"/>
          <w:szCs w:val="22"/>
        </w:rPr>
        <w:t>” and the LT Indentures and the SR Indenture are collectively referred to herein as the “</w:t>
      </w:r>
      <w:r w:rsidRPr="00272237">
        <w:rPr>
          <w:rFonts w:cs="Times New Roman"/>
          <w:b/>
          <w:bCs/>
          <w:szCs w:val="22"/>
        </w:rPr>
        <w:t>Indentures</w:t>
      </w:r>
      <w:r w:rsidRPr="00272237">
        <w:rPr>
          <w:rFonts w:cs="Times New Roman"/>
          <w:szCs w:val="22"/>
        </w:rPr>
        <w:t>.”</w:t>
      </w:r>
    </w:p>
    <w:p w14:paraId="4AFE2D4B" w14:textId="392F3905" w:rsidR="00DD734C" w:rsidRPr="00DA2177" w:rsidRDefault="00B937E6" w:rsidP="00DD734C">
      <w:pPr>
        <w:pStyle w:val="00BodyText5"/>
        <w:rPr>
          <w:rFonts w:eastAsia="Times New Roman" w:cs="Times New Roman"/>
          <w:color w:val="000000"/>
          <w:szCs w:val="22"/>
        </w:rPr>
      </w:pPr>
      <w:r>
        <w:rPr>
          <w:rFonts w:eastAsia="Times New Roman" w:cs="Times New Roman"/>
          <w:color w:val="000000"/>
          <w:szCs w:val="22"/>
        </w:rPr>
        <w:t xml:space="preserve">On or before </w:t>
      </w:r>
      <w:r>
        <w:rPr>
          <w:rFonts w:cs="Times New Roman"/>
          <w:szCs w:val="22"/>
        </w:rPr>
        <w:t>[_______], 2026</w:t>
      </w:r>
      <w:r>
        <w:rPr>
          <w:rFonts w:eastAsia="Times New Roman" w:cs="Times New Roman"/>
          <w:color w:val="000000"/>
          <w:szCs w:val="22"/>
        </w:rPr>
        <w:t>, the Developer</w:t>
      </w:r>
      <w:r w:rsidR="00FD0A42">
        <w:rPr>
          <w:rFonts w:eastAsia="Times New Roman" w:cs="Times New Roman"/>
          <w:color w:val="000000"/>
          <w:szCs w:val="22"/>
        </w:rPr>
        <w:t xml:space="preserve"> </w:t>
      </w:r>
      <w:r>
        <w:rPr>
          <w:rFonts w:eastAsia="Times New Roman" w:cs="Times New Roman"/>
          <w:color w:val="000000"/>
          <w:szCs w:val="22"/>
        </w:rPr>
        <w:t>as 100% owner of the surface property within the boundaries of the District, consented to the issuance of at least $[_______] of limited tax bonds (the “</w:t>
      </w:r>
      <w:r>
        <w:rPr>
          <w:rFonts w:eastAsia="Times New Roman" w:cs="Times New Roman"/>
          <w:b/>
          <w:color w:val="000000"/>
          <w:szCs w:val="22"/>
        </w:rPr>
        <w:t>Bond Consent</w:t>
      </w:r>
      <w:r>
        <w:rPr>
          <w:rFonts w:eastAsia="Times New Roman" w:cs="Times New Roman"/>
          <w:color w:val="000000"/>
          <w:szCs w:val="22"/>
        </w:rPr>
        <w:t>”). There are no registered voters residing within the boundaries of the District. Pursuant to the provisions of the Public Infrastructure District Act, the Bond Consent is sufficient to meet any statutory or constitutional election requirement necessary for the issuance of limited tax bonds. No statutory or constitutional election requirements apply to the issuance of revenue bonds. The Governing Document does not limit the amount of debt that may be issued by the District.</w:t>
      </w:r>
      <w:r w:rsidR="007E772B">
        <w:rPr>
          <w:rFonts w:eastAsia="Times New Roman" w:cs="Times New Roman"/>
          <w:color w:val="000000"/>
          <w:szCs w:val="22"/>
        </w:rPr>
        <w:t xml:space="preserve"> [</w:t>
      </w:r>
      <w:r w:rsidR="007E772B" w:rsidRPr="007E772B">
        <w:rPr>
          <w:rFonts w:eastAsia="Times New Roman" w:cs="Times New Roman"/>
          <w:color w:val="000000"/>
          <w:szCs w:val="22"/>
          <w:highlight w:val="cyan"/>
        </w:rPr>
        <w:t>UPDATE FOR FINDING IF APPLICABLE</w:t>
      </w:r>
      <w:r w:rsidR="007E772B">
        <w:rPr>
          <w:rFonts w:eastAsia="Times New Roman" w:cs="Times New Roman"/>
          <w:color w:val="000000"/>
          <w:szCs w:val="22"/>
        </w:rPr>
        <w:t>]</w:t>
      </w:r>
    </w:p>
    <w:p w14:paraId="6A227040" w14:textId="1742E699" w:rsidR="008B0153" w:rsidRPr="00DA2177" w:rsidRDefault="008B0153" w:rsidP="00D25CE1">
      <w:pPr>
        <w:pStyle w:val="Heading2"/>
        <w:rPr>
          <w:sz w:val="22"/>
          <w:szCs w:val="22"/>
        </w:rPr>
      </w:pPr>
      <w:bookmarkStart w:id="21" w:name="_Toc235521016"/>
      <w:r>
        <w:rPr>
          <w:sz w:val="22"/>
          <w:szCs w:val="22"/>
        </w:rPr>
        <w:t xml:space="preserve">Security and Sources of Payment for the </w:t>
      </w:r>
      <w:r w:rsidR="00787226">
        <w:rPr>
          <w:sz w:val="22"/>
          <w:szCs w:val="22"/>
        </w:rPr>
        <w:t>2026A-1 Senior LT Bond</w:t>
      </w:r>
      <w:r>
        <w:rPr>
          <w:sz w:val="22"/>
          <w:szCs w:val="22"/>
        </w:rPr>
        <w:t>s</w:t>
      </w:r>
      <w:bookmarkEnd w:id="21"/>
    </w:p>
    <w:p w14:paraId="46392F66" w14:textId="3212C56C" w:rsidR="008B0153" w:rsidRDefault="008B0153" w:rsidP="00D7736A">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s are limited tax general obligations of the District secured by and payable solely from the “</w:t>
      </w:r>
      <w:r w:rsidR="000F65D0" w:rsidRPr="00272237">
        <w:rPr>
          <w:rFonts w:cs="Times New Roman"/>
          <w:b/>
          <w:szCs w:val="22"/>
        </w:rPr>
        <w:t xml:space="preserve">Senior </w:t>
      </w:r>
      <w:r>
        <w:rPr>
          <w:rFonts w:cs="Times New Roman"/>
          <w:b/>
          <w:szCs w:val="22"/>
        </w:rPr>
        <w:t>LT Pledged Revenue</w:t>
      </w:r>
      <w:r>
        <w:rPr>
          <w:rFonts w:cs="Times New Roman"/>
          <w:szCs w:val="22"/>
        </w:rPr>
        <w:t>”</w:t>
      </w:r>
      <w:r w:rsidR="000A5CAA" w:rsidRPr="000A5CAA">
        <w:rPr>
          <w:rFonts w:eastAsia="Calibri" w:cs="Times New Roman"/>
          <w:szCs w:val="22"/>
          <w:vertAlign w:val="superscript"/>
        </w:rPr>
        <w:t xml:space="preserve"> </w:t>
      </w:r>
      <w:r w:rsidR="000A5CAA" w:rsidRPr="000A5CAA">
        <w:rPr>
          <w:rFonts w:cs="Times New Roman"/>
          <w:szCs w:val="22"/>
          <w:vertAlign w:val="superscript"/>
        </w:rPr>
        <w:footnoteReference w:customMarkFollows="1" w:id="6"/>
        <w:t>†</w:t>
      </w:r>
      <w:r>
        <w:rPr>
          <w:rFonts w:cs="Times New Roman"/>
          <w:szCs w:val="22"/>
        </w:rPr>
        <w:t xml:space="preserve"> consisting of (a) the </w:t>
      </w:r>
      <w:r w:rsidR="005C7E1E">
        <w:rPr>
          <w:rFonts w:cs="Times New Roman"/>
          <w:szCs w:val="22"/>
        </w:rPr>
        <w:t xml:space="preserve">Senior </w:t>
      </w:r>
      <w:r>
        <w:rPr>
          <w:rFonts w:cs="Times New Roman"/>
          <w:szCs w:val="22"/>
        </w:rPr>
        <w:t>Property Tax Revenues (defined herein)</w:t>
      </w:r>
      <w:r w:rsidR="000A5CAA">
        <w:rPr>
          <w:rFonts w:cs="Times New Roman"/>
          <w:szCs w:val="22"/>
        </w:rPr>
        <w:t>;</w:t>
      </w:r>
      <w:r>
        <w:rPr>
          <w:rFonts w:cs="Times New Roman"/>
          <w:szCs w:val="22"/>
        </w:rPr>
        <w:t xml:space="preserve"> and (b) all </w:t>
      </w:r>
      <w:r w:rsidR="005C7E1E">
        <w:rPr>
          <w:rFonts w:cs="Times New Roman"/>
          <w:szCs w:val="22"/>
        </w:rPr>
        <w:t xml:space="preserve">Senior </w:t>
      </w:r>
      <w:r>
        <w:rPr>
          <w:rFonts w:cs="Times New Roman"/>
          <w:szCs w:val="22"/>
        </w:rPr>
        <w:t xml:space="preserve">Pioneering </w:t>
      </w:r>
      <w:r w:rsidR="004C7B35">
        <w:rPr>
          <w:rFonts w:cs="Times New Roman"/>
          <w:szCs w:val="22"/>
        </w:rPr>
        <w:t>Agreement Revenues</w:t>
      </w:r>
      <w:r>
        <w:rPr>
          <w:rFonts w:cs="Times New Roman"/>
          <w:szCs w:val="22"/>
        </w:rPr>
        <w:t>,</w:t>
      </w:r>
      <w:r w:rsidR="000A5CAA">
        <w:rPr>
          <w:rFonts w:cs="Times New Roman"/>
          <w:szCs w:val="22"/>
        </w:rPr>
        <w:t xml:space="preserve"> if any (defined herein);</w:t>
      </w:r>
      <w:r>
        <w:rPr>
          <w:rFonts w:cs="Times New Roman"/>
          <w:szCs w:val="22"/>
        </w:rPr>
        <w:t xml:space="preserve"> and (c) any other legally available moneys which the District determines, in its absolute discretion, to credit to the </w:t>
      </w:r>
      <w:r w:rsidR="007217C3">
        <w:rPr>
          <w:rFonts w:cs="Times New Roman"/>
          <w:szCs w:val="22"/>
        </w:rPr>
        <w:t>Senior LT Bond Fund</w:t>
      </w:r>
      <w:r>
        <w:rPr>
          <w:rFonts w:cs="Times New Roman"/>
          <w:szCs w:val="22"/>
        </w:rPr>
        <w:t xml:space="preserve">. </w:t>
      </w:r>
    </w:p>
    <w:p w14:paraId="5DBF71CD" w14:textId="4C7FAF01" w:rsidR="000A5CAA" w:rsidRPr="000A5CAA" w:rsidRDefault="000A5CAA" w:rsidP="000A5CAA">
      <w:pPr>
        <w:pStyle w:val="00BodyText5"/>
        <w:rPr>
          <w:rFonts w:cs="Times New Roman"/>
          <w:szCs w:val="22"/>
        </w:rPr>
      </w:pPr>
      <w:r w:rsidRPr="000A5CAA">
        <w:rPr>
          <w:rFonts w:cs="Times New Roman"/>
          <w:i/>
          <w:iCs/>
          <w:szCs w:val="22"/>
        </w:rPr>
        <w:t>The Senior</w:t>
      </w:r>
      <w:r>
        <w:rPr>
          <w:rFonts w:cs="Times New Roman"/>
          <w:i/>
          <w:iCs/>
          <w:szCs w:val="22"/>
        </w:rPr>
        <w:t xml:space="preserve"> LT</w:t>
      </w:r>
      <w:r w:rsidRPr="000A5CAA">
        <w:rPr>
          <w:rFonts w:cs="Times New Roman"/>
          <w:i/>
          <w:iCs/>
          <w:szCs w:val="22"/>
        </w:rPr>
        <w:t xml:space="preserve"> Pledged Revenue may or may not be sufficient to pay the principal of and interest on the 2026A-1 Senior LT Bonds. No representation is made by the District or the Underwriter that the Senior </w:t>
      </w:r>
      <w:r>
        <w:rPr>
          <w:rFonts w:cs="Times New Roman"/>
          <w:i/>
          <w:iCs/>
          <w:szCs w:val="22"/>
        </w:rPr>
        <w:t xml:space="preserve">LT </w:t>
      </w:r>
      <w:r w:rsidRPr="000A5CAA">
        <w:rPr>
          <w:rFonts w:cs="Times New Roman"/>
          <w:i/>
          <w:iCs/>
          <w:szCs w:val="22"/>
        </w:rPr>
        <w:t>Pledged Revenue will be sufficient to pay the principal of and interest on the 2026A-1 Senior LT Bonds.</w:t>
      </w:r>
      <w:r w:rsidRPr="000A5CAA">
        <w:rPr>
          <w:rFonts w:cs="Times New Roman"/>
          <w:szCs w:val="22"/>
        </w:rPr>
        <w:t xml:space="preserve"> </w:t>
      </w:r>
    </w:p>
    <w:p w14:paraId="2D92EB8D" w14:textId="77777777" w:rsidR="004C40D9" w:rsidRDefault="004C40D9" w:rsidP="004C40D9">
      <w:pPr>
        <w:pStyle w:val="00BodyText5"/>
        <w:rPr>
          <w:rFonts w:cs="Times New Roman"/>
          <w:szCs w:val="22"/>
        </w:rPr>
      </w:pPr>
      <w:r w:rsidRPr="004C40D9">
        <w:rPr>
          <w:rFonts w:cs="Times New Roman"/>
          <w:szCs w:val="22"/>
        </w:rPr>
        <w:t>Pursuant to the Senior LT Indenture, the District has covenanted to levy the “</w:t>
      </w:r>
      <w:r w:rsidRPr="004C40D9">
        <w:rPr>
          <w:rFonts w:cs="Times New Roman"/>
          <w:b/>
          <w:bCs/>
          <w:szCs w:val="22"/>
        </w:rPr>
        <w:t>Senior Required Mill Levy</w:t>
      </w:r>
      <w:r w:rsidRPr="004C40D9">
        <w:rPr>
          <w:rFonts w:cs="Times New Roman"/>
          <w:bCs/>
          <w:szCs w:val="22"/>
        </w:rPr>
        <w:t>,</w:t>
      </w:r>
      <w:r w:rsidRPr="004C40D9">
        <w:rPr>
          <w:rFonts w:cs="Times New Roman"/>
          <w:szCs w:val="22"/>
        </w:rPr>
        <w:t>” generally meaning an ad valorem property tax on the taxable property in the District each year in an amount which, if imposed by the District for collection in the current calendar year, after the deduction of the Administrative Expenses and Trustee Fees (each as defined herein), would generate Senior Property Tax Revenues sufficient to pay the principal of, premium if any, and interest on the 2026A-1 Senior LT Bonds as the same become due and payable (less any amount thereof for which amounts are then on deposit in the Senior LT Bond Fund and, solely to the extent provided in the Senior LT Indenture, the LT Surplus Fund,) but not in excess of 0.004 per dollar of taxable value; provided, however, that for so long as the amount on deposit in the LT Surplus Fund is less than the Maximum Surplus Amount, the Senior Required Mill Levy shall be equal to 0.004 per dollar of taxable value, or such lesser amount which, if imposed by the District for collection in the current calendar year, after the deduction of the Administrative Expenses and Trustee Fees, would generate Senior Property Tax Revenues (A) sufficient to pay the principal of, premium if any, and interest on the 2026A-1 Senior LT Bonds as the same become due and payable, and to fully fund the LT Surplus Fund to the Maximum Surplus Amount, or (B) which, when combined with moneys then on deposit in the Senior LT Bond Fund and the LT Surplus Fund, will pay the 2026A-1 Senior LT Bonds in full in the Senior LT Bond Year such levy is collected; provided however, that pursuant to 17D-4-301(13) of the Utah Code, in the event of any statutory change in the methodology of assessment or collection of property taxes in a manner that reduces the Senior Property Tax Revenues, the District may charge a rate sufficient to receive the amount of property taxes the District would have received before the statutory change in order to pay the debt service on Outstanding 2026A-1 Senior LT Bonds.</w:t>
      </w:r>
    </w:p>
    <w:p w14:paraId="656310AA" w14:textId="713ED1E6" w:rsidR="00683F5C" w:rsidRPr="00683F5C" w:rsidRDefault="00683F5C" w:rsidP="00683F5C">
      <w:pPr>
        <w:pStyle w:val="00BodyText5"/>
        <w:rPr>
          <w:rFonts w:cs="Times New Roman"/>
          <w:szCs w:val="22"/>
        </w:rPr>
      </w:pPr>
      <w:r w:rsidRPr="00683F5C">
        <w:rPr>
          <w:rFonts w:cs="Times New Roman"/>
          <w:szCs w:val="22"/>
        </w:rPr>
        <w:t>The Senior LT Pledged Revenue also includes the Senior Pioneering Agreement Revenues, if any. See “</w:t>
      </w:r>
      <w:r w:rsidR="00D349D6" w:rsidRPr="00683F5C">
        <w:rPr>
          <w:rFonts w:cs="Times New Roman"/>
          <w:szCs w:val="22"/>
        </w:rPr>
        <w:t>THE 2026A-1 SENIOR LT BONDS</w:t>
      </w:r>
      <w:r w:rsidRPr="00683F5C">
        <w:rPr>
          <w:rFonts w:cs="Times New Roman"/>
          <w:szCs w:val="22"/>
        </w:rPr>
        <w:t>—Security for the 2026A-1 Senior LT Bonds—</w:t>
      </w:r>
      <w:r w:rsidRPr="00683F5C">
        <w:rPr>
          <w:rFonts w:cs="Times New Roman"/>
          <w:i/>
          <w:iCs/>
          <w:szCs w:val="22"/>
        </w:rPr>
        <w:t>Senior Pioneering Agreement Revenues</w:t>
      </w:r>
      <w:r w:rsidRPr="00683F5C">
        <w:rPr>
          <w:rFonts w:cs="Times New Roman"/>
          <w:szCs w:val="22"/>
        </w:rPr>
        <w:t>.”</w:t>
      </w:r>
    </w:p>
    <w:p w14:paraId="07F2DF91" w14:textId="2DE4D4DD" w:rsidR="006E3247" w:rsidRPr="00DA2177" w:rsidRDefault="006E3247" w:rsidP="006E3247">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 xml:space="preserve">s are also secured by amounts on deposit in the LT Surplus Fund, which will be initially funded from proceeds of the </w:t>
      </w:r>
      <w:r w:rsidR="00787226">
        <w:rPr>
          <w:rFonts w:cs="Times New Roman"/>
          <w:szCs w:val="22"/>
        </w:rPr>
        <w:t>2026A-1 Senior LT Bond</w:t>
      </w:r>
      <w:r>
        <w:rPr>
          <w:rFonts w:cs="Times New Roman"/>
          <w:szCs w:val="22"/>
        </w:rPr>
        <w:t>s in an amount equal to $[_______]</w:t>
      </w:r>
      <w:r w:rsidR="00691E9F">
        <w:rPr>
          <w:rStyle w:val="FootnoteReference"/>
          <w:rFonts w:cs="Times New Roman"/>
          <w:szCs w:val="22"/>
        </w:rPr>
        <w:footnoteReference w:customMarkFollows="1" w:id="7"/>
        <w:t>*</w:t>
      </w:r>
      <w:r>
        <w:rPr>
          <w:rFonts w:cs="Times New Roman"/>
          <w:szCs w:val="22"/>
        </w:rPr>
        <w:t xml:space="preserve"> (the “</w:t>
      </w:r>
      <w:r>
        <w:rPr>
          <w:rFonts w:cs="Times New Roman"/>
          <w:b/>
          <w:szCs w:val="22"/>
        </w:rPr>
        <w:t>Initial Deposit</w:t>
      </w:r>
      <w:r>
        <w:rPr>
          <w:rFonts w:cs="Times New Roman"/>
          <w:szCs w:val="22"/>
        </w:rPr>
        <w:t xml:space="preserve">”), and which will be additionally funded with excess </w:t>
      </w:r>
      <w:r w:rsidR="000F65D0">
        <w:rPr>
          <w:rFonts w:cs="Times New Roman"/>
          <w:szCs w:val="22"/>
        </w:rPr>
        <w:t xml:space="preserve">Senior </w:t>
      </w:r>
      <w:r>
        <w:rPr>
          <w:rFonts w:cs="Times New Roman"/>
          <w:szCs w:val="22"/>
        </w:rPr>
        <w:t>LT Pledged Revenue (if any) up to an amount equal to $[_______]</w:t>
      </w:r>
      <w:r>
        <w:rPr>
          <w:rFonts w:cs="Times New Roman"/>
          <w:szCs w:val="22"/>
          <w:vertAlign w:val="superscript"/>
        </w:rPr>
        <w:t>*</w:t>
      </w:r>
      <w:r>
        <w:rPr>
          <w:rFonts w:cs="Times New Roman"/>
          <w:szCs w:val="22"/>
        </w:rPr>
        <w:t xml:space="preserve"> (the “</w:t>
      </w:r>
      <w:r>
        <w:rPr>
          <w:rFonts w:cs="Times New Roman"/>
          <w:b/>
          <w:szCs w:val="22"/>
        </w:rPr>
        <w:t>Maximum Surplus Amount</w:t>
      </w:r>
      <w:r>
        <w:rPr>
          <w:rFonts w:cs="Times New Roman"/>
          <w:szCs w:val="22"/>
        </w:rPr>
        <w:t>”) as described in the “</w:t>
      </w:r>
      <w:r w:rsidR="00787226">
        <w:rPr>
          <w:rFonts w:cs="Times New Roman"/>
          <w:szCs w:val="22"/>
        </w:rPr>
        <w:t>2026A-1 Senior LT Bond</w:t>
      </w:r>
      <w:r>
        <w:rPr>
          <w:rFonts w:cs="Times New Roman"/>
          <w:szCs w:val="22"/>
        </w:rPr>
        <w:t xml:space="preserve">s—Certain </w:t>
      </w:r>
      <w:r w:rsidR="000F65D0">
        <w:rPr>
          <w:rFonts w:cs="Times New Roman"/>
          <w:szCs w:val="22"/>
        </w:rPr>
        <w:t xml:space="preserve">Senior </w:t>
      </w:r>
      <w:r>
        <w:rPr>
          <w:rFonts w:cs="Times New Roman"/>
          <w:szCs w:val="22"/>
        </w:rPr>
        <w:t>LT Indenture Provisions—</w:t>
      </w:r>
      <w:r>
        <w:rPr>
          <w:rFonts w:cs="Times New Roman"/>
          <w:i/>
          <w:szCs w:val="22"/>
        </w:rPr>
        <w:t xml:space="preserve">Application of </w:t>
      </w:r>
      <w:r w:rsidR="000F65D0">
        <w:rPr>
          <w:rFonts w:cs="Times New Roman"/>
          <w:i/>
          <w:szCs w:val="22"/>
        </w:rPr>
        <w:t xml:space="preserve">Senior </w:t>
      </w:r>
      <w:r>
        <w:rPr>
          <w:rFonts w:cs="Times New Roman"/>
          <w:i/>
          <w:szCs w:val="22"/>
        </w:rPr>
        <w:t>LT Pledged Revenue</w:t>
      </w:r>
      <w:r>
        <w:rPr>
          <w:rFonts w:cs="Times New Roman"/>
          <w:szCs w:val="22"/>
        </w:rPr>
        <w:t xml:space="preserve">.” </w:t>
      </w:r>
    </w:p>
    <w:p w14:paraId="2396B256" w14:textId="22EF24A4" w:rsidR="006E3247" w:rsidRPr="00DA2177" w:rsidRDefault="00E31196" w:rsidP="006E3247">
      <w:pPr>
        <w:pStyle w:val="00BodyText5"/>
        <w:rPr>
          <w:rFonts w:cs="Times New Roman"/>
          <w:szCs w:val="22"/>
        </w:rPr>
      </w:pPr>
      <w:r>
        <w:rPr>
          <w:rFonts w:cs="Times New Roman"/>
          <w:szCs w:val="22"/>
        </w:rPr>
        <w:t xml:space="preserve">The interest on the </w:t>
      </w:r>
      <w:r w:rsidR="00787226">
        <w:rPr>
          <w:rFonts w:cs="Times New Roman"/>
          <w:szCs w:val="22"/>
        </w:rPr>
        <w:t>2026A-1 Senior LT Bond</w:t>
      </w:r>
      <w:r>
        <w:rPr>
          <w:rFonts w:cs="Times New Roman"/>
          <w:szCs w:val="22"/>
        </w:rPr>
        <w:t>s through March 1, 202[_]</w:t>
      </w:r>
      <w:r>
        <w:rPr>
          <w:rFonts w:cs="Times New Roman"/>
          <w:szCs w:val="22"/>
          <w:vertAlign w:val="superscript"/>
        </w:rPr>
        <w:t>*</w:t>
      </w:r>
      <w:r>
        <w:rPr>
          <w:rFonts w:cs="Times New Roman"/>
          <w:szCs w:val="22"/>
        </w:rPr>
        <w:t xml:space="preserve"> </w:t>
      </w:r>
      <w:r w:rsidR="00D525ED">
        <w:rPr>
          <w:rFonts w:cs="Times New Roman"/>
          <w:szCs w:val="22"/>
        </w:rPr>
        <w:t>[</w:t>
      </w:r>
      <w:r>
        <w:rPr>
          <w:rFonts w:cs="Times New Roman"/>
          <w:szCs w:val="22"/>
        </w:rPr>
        <w:t>and a portion of the interest due March 1, 202[_]</w:t>
      </w:r>
      <w:r>
        <w:rPr>
          <w:rFonts w:cs="Times New Roman"/>
          <w:szCs w:val="22"/>
          <w:vertAlign w:val="superscript"/>
        </w:rPr>
        <w:t>*</w:t>
      </w:r>
      <w:r w:rsidR="00D525ED" w:rsidRPr="00FF418C">
        <w:rPr>
          <w:rFonts w:cs="Times New Roman"/>
          <w:szCs w:val="22"/>
        </w:rPr>
        <w:t>]</w:t>
      </w:r>
      <w:r>
        <w:rPr>
          <w:rFonts w:cs="Times New Roman"/>
          <w:szCs w:val="22"/>
        </w:rPr>
        <w:t xml:space="preserve"> will be paid from capitalized interest to be funded with proceeds of the </w:t>
      </w:r>
      <w:r w:rsidR="00787226">
        <w:rPr>
          <w:rFonts w:cs="Times New Roman"/>
          <w:szCs w:val="22"/>
        </w:rPr>
        <w:t>2026A-1 Senior LT Bond</w:t>
      </w:r>
      <w:r>
        <w:rPr>
          <w:rFonts w:cs="Times New Roman"/>
          <w:szCs w:val="22"/>
        </w:rPr>
        <w:t>s in the amount of $</w:t>
      </w:r>
      <w:bookmarkStart w:id="22" w:name="_Hlk164422494"/>
      <w:r>
        <w:rPr>
          <w:rFonts w:cs="Times New Roman"/>
          <w:szCs w:val="22"/>
        </w:rPr>
        <w:t>[_______]</w:t>
      </w:r>
      <w:r w:rsidR="00691E9F">
        <w:rPr>
          <w:rFonts w:cs="Times New Roman"/>
          <w:szCs w:val="22"/>
        </w:rPr>
        <w:t>.</w:t>
      </w:r>
      <w:r>
        <w:rPr>
          <w:rStyle w:val="FootnoteReference"/>
          <w:rFonts w:cs="Times New Roman"/>
          <w:szCs w:val="22"/>
        </w:rPr>
        <w:footnoteReference w:customMarkFollows="1" w:id="8"/>
        <w:t>*</w:t>
      </w:r>
      <w:bookmarkEnd w:id="22"/>
    </w:p>
    <w:p w14:paraId="02BD087C" w14:textId="6C52BA09" w:rsidR="006E3247" w:rsidRPr="00DA2177" w:rsidRDefault="006E3247" w:rsidP="009364BF">
      <w:pPr>
        <w:pStyle w:val="00BodyText5"/>
        <w:keepLines/>
        <w:rPr>
          <w:rFonts w:cs="Times New Roman"/>
          <w:szCs w:val="22"/>
        </w:rPr>
      </w:pPr>
      <w:r>
        <w:rPr>
          <w:rFonts w:cs="Times New Roman"/>
          <w:b/>
          <w:szCs w:val="22"/>
        </w:rPr>
        <w:t xml:space="preserve">Notwithstanding anything in the </w:t>
      </w:r>
      <w:r w:rsidR="000F65D0">
        <w:rPr>
          <w:rFonts w:cs="Times New Roman"/>
          <w:b/>
          <w:szCs w:val="22"/>
        </w:rPr>
        <w:t xml:space="preserve">Senior </w:t>
      </w:r>
      <w:r>
        <w:rPr>
          <w:rFonts w:cs="Times New Roman"/>
          <w:b/>
          <w:szCs w:val="22"/>
        </w:rPr>
        <w:t xml:space="preserve">LT Indenture to the contrary, and in accordance with the District’s Governing Document, all of the </w:t>
      </w:r>
      <w:r w:rsidR="00787226">
        <w:rPr>
          <w:rFonts w:cs="Times New Roman"/>
          <w:b/>
          <w:szCs w:val="22"/>
        </w:rPr>
        <w:t>2026A-1 Senior LT Bond</w:t>
      </w:r>
      <w:r>
        <w:rPr>
          <w:rFonts w:cs="Times New Roman"/>
          <w:b/>
          <w:szCs w:val="22"/>
        </w:rPr>
        <w:t xml:space="preserve">s and interest thereon are to be deemed to be paid, satisfied, and discharged on March 1, </w:t>
      </w:r>
      <w:r w:rsidR="00381A2D">
        <w:rPr>
          <w:rFonts w:cs="Times New Roman"/>
          <w:b/>
          <w:szCs w:val="22"/>
        </w:rPr>
        <w:t>2067</w:t>
      </w:r>
      <w:r>
        <w:rPr>
          <w:rFonts w:cs="Times New Roman"/>
          <w:b/>
          <w:szCs w:val="22"/>
        </w:rPr>
        <w:t>, regardless of the amount of principal and interest paid prior to such date</w:t>
      </w:r>
      <w:r>
        <w:rPr>
          <w:rFonts w:cs="Times New Roman"/>
          <w:szCs w:val="22"/>
        </w:rPr>
        <w:t xml:space="preserve">. </w:t>
      </w:r>
    </w:p>
    <w:p w14:paraId="16C275B4" w14:textId="433BE04D" w:rsidR="00D426C6" w:rsidRPr="00DA2177" w:rsidRDefault="00AD0041" w:rsidP="00D426C6">
      <w:pPr>
        <w:pStyle w:val="00BodyText5"/>
        <w:rPr>
          <w:rFonts w:cs="Times New Roman"/>
          <w:szCs w:val="22"/>
        </w:rPr>
      </w:pPr>
      <w:r>
        <w:rPr>
          <w:rFonts w:cs="Times New Roman"/>
          <w:szCs w:val="22"/>
        </w:rPr>
        <w:t>THE 2026A-1 SENIOR LT BONDS ARE SOLELY THE OBLIGATIONS OF THE DISTRICT, UNDER NO CIRCUMSTANCES ARE ANY OF THE 2026A-1 SENIOR LT BONDS TO BE CONSIDERED OR HELD TO BE AN INDEBTEDNESS, OBLIGATION OR LIABILITY OF THE CITY, THE STATE OR ANY POLITICAL SUBDIVISION THEREOF OTHER THAN THE DISTRICT.</w:t>
      </w:r>
    </w:p>
    <w:p w14:paraId="1D230AB2" w14:textId="4E0DFE17" w:rsidR="0028397F" w:rsidRPr="00DA2177" w:rsidRDefault="0028397F" w:rsidP="00B471D8">
      <w:pPr>
        <w:pStyle w:val="Heading2"/>
        <w:numPr>
          <w:ilvl w:val="1"/>
          <w:numId w:val="2"/>
        </w:numPr>
        <w:rPr>
          <w:sz w:val="22"/>
          <w:szCs w:val="22"/>
        </w:rPr>
      </w:pPr>
      <w:bookmarkStart w:id="23" w:name="_Toc235521017"/>
      <w:r>
        <w:rPr>
          <w:sz w:val="22"/>
          <w:szCs w:val="22"/>
        </w:rPr>
        <w:t>Security and Sources of Payment for the 2026A-2 SR Bonds</w:t>
      </w:r>
      <w:bookmarkEnd w:id="23"/>
    </w:p>
    <w:p w14:paraId="5F9E7A12" w14:textId="499B1B34" w:rsidR="00E2276D" w:rsidRPr="00E74B37" w:rsidRDefault="00E2276D" w:rsidP="00E2276D">
      <w:pPr>
        <w:pStyle w:val="00BodyText5"/>
        <w:rPr>
          <w:rFonts w:cs="Times New Roman"/>
          <w:szCs w:val="22"/>
        </w:rPr>
      </w:pPr>
      <w:r>
        <w:rPr>
          <w:rFonts w:cs="Times New Roman"/>
          <w:szCs w:val="22"/>
        </w:rPr>
        <w:t>The 2026A-2 SR Bonds are “cash flow” special limited obligations of the District secured by and payable solely from the “</w:t>
      </w:r>
      <w:r>
        <w:rPr>
          <w:rFonts w:cs="Times New Roman"/>
          <w:b/>
          <w:szCs w:val="22"/>
        </w:rPr>
        <w:t>SR Pledged Revenue</w:t>
      </w:r>
      <w:r>
        <w:rPr>
          <w:rFonts w:cs="Times New Roman"/>
          <w:szCs w:val="22"/>
        </w:rPr>
        <w:t xml:space="preserve">” consisting of (a) all Contract Fee Revenues and (b) any other legally available moneys which the District determines, in its absolute discretion, to credit to the SR Bond Fund. </w:t>
      </w:r>
    </w:p>
    <w:p w14:paraId="5DBDEF4F" w14:textId="7586954B" w:rsidR="00E2276D" w:rsidRPr="00E74B37" w:rsidRDefault="00E2276D" w:rsidP="00E2276D">
      <w:pPr>
        <w:pStyle w:val="00BodyText5"/>
        <w:rPr>
          <w:rFonts w:cs="Times New Roman"/>
          <w:szCs w:val="22"/>
        </w:rPr>
      </w:pPr>
      <w:r>
        <w:rPr>
          <w:rFonts w:cs="Times New Roman"/>
          <w:b/>
          <w:szCs w:val="22"/>
        </w:rPr>
        <w:t>Notwithstanding anything in the SR Indenture to the contrary, all of the 2026A-2 SR Bonds and interest thereon are to be deemed to be paid, satisfied, and discharged after collection of all Contract Fees due and owing in the District and exhaustion of any applicable remedies available to the Trustee under the SR Indenture and the Contract Fees Resolution and the Contract Fee Interlocal Agreement to collect any unpaid Contract Fees due and owing, regardless of the amount of principal and interest paid prior to such date</w:t>
      </w:r>
      <w:r>
        <w:rPr>
          <w:rFonts w:cs="Times New Roman"/>
          <w:szCs w:val="22"/>
        </w:rPr>
        <w:t xml:space="preserve">. </w:t>
      </w:r>
    </w:p>
    <w:p w14:paraId="5A92A3AE" w14:textId="12AAA849" w:rsidR="00E2276D" w:rsidRDefault="00E2276D" w:rsidP="00E2276D">
      <w:pPr>
        <w:pStyle w:val="00BodyText5"/>
        <w:rPr>
          <w:rFonts w:cs="Times New Roman"/>
          <w:szCs w:val="22"/>
        </w:rPr>
      </w:pPr>
      <w:r>
        <w:rPr>
          <w:rFonts w:cs="Times New Roman"/>
          <w:szCs w:val="22"/>
        </w:rPr>
        <w:t>THE 2026A-2 SR BONDS ARE SOLELY THE OBLIGATIONS OF THE DISTRICT, UNDER NO CIRCUMSTANCES ARE ANY OF THE 2026A-2 SR BONDS TO BE CONSIDERED OR HELD TO BE AN INDEBTEDNESS, OBLIGATION OR LIABILITY OF THE CITY, THE STATE OR ANY POLITICAL SUBDIVISION THEREOF OTHER THAN THE DISTRICT.</w:t>
      </w:r>
    </w:p>
    <w:p w14:paraId="05B56B91" w14:textId="7154DA93" w:rsidR="005242D4" w:rsidRPr="00E74B37" w:rsidRDefault="005242D4" w:rsidP="00B471D8">
      <w:pPr>
        <w:pStyle w:val="Heading2"/>
        <w:numPr>
          <w:ilvl w:val="1"/>
          <w:numId w:val="2"/>
        </w:numPr>
        <w:rPr>
          <w:rFonts w:eastAsia="Times New Roman"/>
          <w:sz w:val="22"/>
          <w:szCs w:val="22"/>
        </w:rPr>
      </w:pPr>
      <w:bookmarkStart w:id="24" w:name="_Toc70927961"/>
      <w:bookmarkStart w:id="25" w:name="_Toc85780536"/>
      <w:bookmarkStart w:id="26" w:name="_Toc235521018"/>
      <w:r>
        <w:rPr>
          <w:rFonts w:eastAsia="Times New Roman"/>
          <w:sz w:val="22"/>
          <w:szCs w:val="22"/>
        </w:rPr>
        <w:t>“Cash Flow” Nature of the 2026A-2 SR Bonds</w:t>
      </w:r>
      <w:bookmarkEnd w:id="24"/>
      <w:bookmarkEnd w:id="25"/>
      <w:r>
        <w:rPr>
          <w:rFonts w:eastAsia="Times New Roman"/>
          <w:sz w:val="22"/>
          <w:szCs w:val="22"/>
        </w:rPr>
        <w:t>; Discharge</w:t>
      </w:r>
      <w:bookmarkEnd w:id="26"/>
      <w:r>
        <w:rPr>
          <w:rFonts w:eastAsia="Times New Roman"/>
          <w:sz w:val="22"/>
          <w:szCs w:val="22"/>
        </w:rPr>
        <w:t xml:space="preserve"> </w:t>
      </w:r>
    </w:p>
    <w:p w14:paraId="1BEC582B" w14:textId="0261B06E" w:rsidR="005242D4" w:rsidRPr="00E74B37" w:rsidRDefault="005242D4" w:rsidP="005242D4">
      <w:pPr>
        <w:pStyle w:val="00BodyText5"/>
        <w:rPr>
          <w:rFonts w:cs="Times New Roman"/>
          <w:szCs w:val="22"/>
        </w:rPr>
      </w:pPr>
      <w:r>
        <w:rPr>
          <w:rFonts w:cs="Times New Roman"/>
          <w:szCs w:val="22"/>
        </w:rPr>
        <w:t xml:space="preserve">The 2026A-2 SR Bonds are structured as “cash flow” bonds, meaning that there are no scheduled payments of principal thereof prior to the final maturity date. Rather, principal on the 2026A-2 SR Bonds is payable on </w:t>
      </w:r>
      <w:r w:rsidR="00AD0041">
        <w:rPr>
          <w:rFonts w:cs="Times New Roman"/>
          <w:szCs w:val="22"/>
        </w:rPr>
        <w:t>December 1</w:t>
      </w:r>
      <w:r>
        <w:rPr>
          <w:rFonts w:cs="Times New Roman"/>
          <w:szCs w:val="22"/>
        </w:rPr>
        <w:t xml:space="preserve"> of each year commencing </w:t>
      </w:r>
      <w:r w:rsidR="00AD0041">
        <w:rPr>
          <w:rFonts w:cs="Times New Roman"/>
          <w:szCs w:val="22"/>
        </w:rPr>
        <w:t>December 1</w:t>
      </w:r>
      <w:r>
        <w:rPr>
          <w:rFonts w:cs="Times New Roman"/>
          <w:szCs w:val="22"/>
        </w:rPr>
        <w:t>, 202</w:t>
      </w:r>
      <w:r w:rsidR="00AD0041">
        <w:rPr>
          <w:rFonts w:cs="Times New Roman"/>
          <w:szCs w:val="22"/>
        </w:rPr>
        <w:t>6</w:t>
      </w:r>
      <w:r>
        <w:rPr>
          <w:rFonts w:cs="Times New Roman"/>
          <w:szCs w:val="22"/>
        </w:rPr>
        <w:t>, to the extent of moneys on deposit, if any, in the SR Bond Fund 30 days prior to the applicable SR Mandatory Redemption Date, in accordance with the terms of the SR Indenture, pursuant to a mandatory redemption more particularly described in “THE 2026A-2 SR BONDS—Redemption—</w:t>
      </w:r>
      <w:r>
        <w:rPr>
          <w:rFonts w:cs="Times New Roman"/>
          <w:i/>
          <w:szCs w:val="22"/>
        </w:rPr>
        <w:t>Mandatory Redemption</w:t>
      </w:r>
      <w:r>
        <w:rPr>
          <w:rFonts w:cs="Times New Roman"/>
          <w:szCs w:val="22"/>
        </w:rPr>
        <w:t>” below and “—</w:t>
      </w:r>
      <w:r w:rsidR="00AF75BD">
        <w:rPr>
          <w:rFonts w:cs="Times New Roman"/>
          <w:szCs w:val="22"/>
        </w:rPr>
        <w:t xml:space="preserve">Certain </w:t>
      </w:r>
      <w:r>
        <w:rPr>
          <w:rFonts w:cs="Times New Roman"/>
          <w:szCs w:val="22"/>
        </w:rPr>
        <w:t>SR Indenture Provisions—</w:t>
      </w:r>
      <w:r>
        <w:rPr>
          <w:rFonts w:cs="Times New Roman"/>
          <w:i/>
          <w:szCs w:val="22"/>
        </w:rPr>
        <w:t>SR Bond Fund</w:t>
      </w:r>
      <w:r>
        <w:rPr>
          <w:rFonts w:cs="Times New Roman"/>
          <w:szCs w:val="22"/>
        </w:rPr>
        <w:t xml:space="preserve">.” </w:t>
      </w:r>
    </w:p>
    <w:p w14:paraId="300D335C" w14:textId="4BD42242" w:rsidR="00816253" w:rsidRDefault="005242D4" w:rsidP="005242D4">
      <w:pPr>
        <w:pStyle w:val="00BodyText5"/>
        <w:rPr>
          <w:rFonts w:cs="Times New Roman"/>
          <w:szCs w:val="22"/>
        </w:rPr>
      </w:pPr>
      <w:r>
        <w:rPr>
          <w:rFonts w:cs="Times New Roman"/>
          <w:szCs w:val="22"/>
        </w:rPr>
        <w:t xml:space="preserve">Furthermore, accrued unpaid interest on the 2026A-2 SR Bonds will compound annually on </w:t>
      </w:r>
      <w:r w:rsidR="00AD0041">
        <w:rPr>
          <w:rFonts w:cs="Times New Roman"/>
          <w:szCs w:val="22"/>
        </w:rPr>
        <w:t>December 1</w:t>
      </w:r>
      <w:r>
        <w:rPr>
          <w:rFonts w:cs="Times New Roman"/>
          <w:szCs w:val="22"/>
        </w:rPr>
        <w:t xml:space="preserve"> of each year. As further described in “THE 2026A-2 SR BONDS—</w:t>
      </w:r>
      <w:r w:rsidR="00AF75BD">
        <w:rPr>
          <w:rFonts w:cs="Times New Roman"/>
          <w:szCs w:val="22"/>
        </w:rPr>
        <w:t xml:space="preserve">Certain </w:t>
      </w:r>
      <w:r>
        <w:rPr>
          <w:rFonts w:cs="Times New Roman"/>
          <w:szCs w:val="22"/>
        </w:rPr>
        <w:t>SR Indenture Provisions—</w:t>
      </w:r>
      <w:r>
        <w:rPr>
          <w:rFonts w:cs="Times New Roman"/>
          <w:i/>
          <w:szCs w:val="22"/>
        </w:rPr>
        <w:t>SR Bond Fund</w:t>
      </w:r>
      <w:r>
        <w:rPr>
          <w:rFonts w:cs="Times New Roman"/>
          <w:iCs/>
          <w:szCs w:val="22"/>
        </w:rPr>
        <w:t>,”</w:t>
      </w:r>
      <w:r>
        <w:rPr>
          <w:rFonts w:cs="Times New Roman"/>
          <w:szCs w:val="22"/>
        </w:rPr>
        <w:t xml:space="preserve"> interest payable on the 2026A-2 SR Bonds in each SR Bond Year is to be paid prior to any payments of principal in such SR Bond Year.</w:t>
      </w:r>
    </w:p>
    <w:p w14:paraId="6C50B126" w14:textId="66645D91" w:rsidR="00816253" w:rsidRDefault="00355BE7" w:rsidP="005242D4">
      <w:pPr>
        <w:pStyle w:val="00BodyText5"/>
        <w:rPr>
          <w:rFonts w:cs="Times New Roman"/>
          <w:szCs w:val="22"/>
        </w:rPr>
      </w:pPr>
      <w:bookmarkStart w:id="27" w:name="_Hlk164411574"/>
      <w:r>
        <w:rPr>
          <w:rFonts w:cs="Times New Roman"/>
          <w:b/>
          <w:i/>
          <w:szCs w:val="22"/>
        </w:rPr>
        <w:t xml:space="preserve">As further described therein, the SR Financial Forecast assumes construction of [___ residential units rather than the 1,074 residential units] anticipated in this Official Statement and the maturity date of the 2026A-2 SR Bonds is based on a </w:t>
      </w:r>
      <w:r w:rsidR="00FF373A">
        <w:rPr>
          <w:rFonts w:cs="Times New Roman"/>
          <w:b/>
          <w:i/>
          <w:szCs w:val="22"/>
        </w:rPr>
        <w:t>[</w:t>
      </w:r>
      <w:r>
        <w:rPr>
          <w:rFonts w:cs="Times New Roman"/>
          <w:b/>
          <w:i/>
          <w:szCs w:val="22"/>
        </w:rPr>
        <w:t>50</w:t>
      </w:r>
      <w:r w:rsidR="00FF373A">
        <w:rPr>
          <w:rFonts w:cs="Times New Roman"/>
          <w:b/>
          <w:i/>
          <w:szCs w:val="22"/>
        </w:rPr>
        <w:t>]</w:t>
      </w:r>
      <w:r>
        <w:rPr>
          <w:rFonts w:cs="Times New Roman"/>
          <w:b/>
          <w:i/>
          <w:szCs w:val="22"/>
        </w:rPr>
        <w:t xml:space="preserve">% slowdown of anticipated absorption; however, pursuant to the SR Financial Forecast, </w:t>
      </w:r>
      <w:r>
        <w:rPr>
          <w:rFonts w:cs="Times New Roman"/>
          <w:b/>
          <w:bCs/>
          <w:i/>
          <w:iCs/>
          <w:szCs w:val="22"/>
        </w:rPr>
        <w:t xml:space="preserve">it is anticipated that the 2026A-2 SR Bonds will be repaid on </w:t>
      </w:r>
      <w:r w:rsidR="00691E9F">
        <w:rPr>
          <w:rFonts w:cs="Times New Roman"/>
          <w:b/>
          <w:bCs/>
          <w:i/>
          <w:iCs/>
          <w:szCs w:val="22"/>
        </w:rPr>
        <w:t>December</w:t>
      </w:r>
      <w:r>
        <w:rPr>
          <w:rFonts w:cs="Times New Roman"/>
          <w:b/>
          <w:bCs/>
          <w:i/>
          <w:iCs/>
          <w:szCs w:val="22"/>
        </w:rPr>
        <w:t xml:space="preserve"> 1, 20[__]</w:t>
      </w:r>
      <w:r w:rsidR="00691E9F">
        <w:rPr>
          <w:rFonts w:cs="Times New Roman"/>
          <w:b/>
          <w:bCs/>
          <w:i/>
          <w:iCs/>
          <w:szCs w:val="22"/>
        </w:rPr>
        <w:t>,</w:t>
      </w:r>
      <w:r>
        <w:rPr>
          <w:rFonts w:cs="Times New Roman"/>
          <w:b/>
          <w:bCs/>
          <w:i/>
          <w:iCs/>
          <w:szCs w:val="22"/>
          <w:vertAlign w:val="superscript"/>
        </w:rPr>
        <w:t>*</w:t>
      </w:r>
      <w:r>
        <w:rPr>
          <w:rFonts w:cs="Times New Roman"/>
          <w:b/>
          <w:bCs/>
          <w:i/>
          <w:iCs/>
          <w:szCs w:val="22"/>
        </w:rPr>
        <w:t>ahead of their maturity date of December 1, 20</w:t>
      </w:r>
      <w:r w:rsidR="00575ED3">
        <w:rPr>
          <w:rFonts w:cs="Times New Roman"/>
          <w:b/>
          <w:bCs/>
          <w:i/>
          <w:iCs/>
          <w:szCs w:val="22"/>
        </w:rPr>
        <w:t>33</w:t>
      </w:r>
      <w:r w:rsidR="00691E9F">
        <w:rPr>
          <w:rFonts w:cs="Times New Roman"/>
          <w:b/>
          <w:bCs/>
          <w:i/>
          <w:iCs/>
          <w:szCs w:val="22"/>
        </w:rPr>
        <w:t>.</w:t>
      </w:r>
      <w:r>
        <w:rPr>
          <w:rFonts w:cs="Times New Roman"/>
          <w:b/>
          <w:i/>
          <w:szCs w:val="22"/>
          <w:vertAlign w:val="superscript"/>
        </w:rPr>
        <w:footnoteReference w:customMarkFollows="1" w:id="9"/>
        <w:t>*</w:t>
      </w:r>
      <w:r>
        <w:rPr>
          <w:rFonts w:cs="Times New Roman"/>
          <w:b/>
          <w:i/>
          <w:szCs w:val="22"/>
        </w:rPr>
        <w:t xml:space="preserve"> </w:t>
      </w:r>
      <w:bookmarkEnd w:id="27"/>
      <w:r>
        <w:rPr>
          <w:rFonts w:cs="Times New Roman"/>
          <w:b/>
          <w:i/>
          <w:szCs w:val="22"/>
        </w:rPr>
        <w:t>See APPENDIX A-2—SR FINANCIAL FORECAST hereto. This date represents only a forecast, and there is no guarantee that any payments will be made on or after such date, or ever.</w:t>
      </w:r>
    </w:p>
    <w:p w14:paraId="54FF2FD4" w14:textId="35366857" w:rsidR="005242D4" w:rsidRPr="00E74B37" w:rsidRDefault="005242D4" w:rsidP="005242D4">
      <w:pPr>
        <w:pStyle w:val="00BodyText5"/>
        <w:rPr>
          <w:rFonts w:cs="Times New Roman"/>
          <w:szCs w:val="22"/>
        </w:rPr>
      </w:pPr>
      <w:r>
        <w:rPr>
          <w:rFonts w:cs="Times New Roman"/>
          <w:szCs w:val="22"/>
        </w:rPr>
        <w:t xml:space="preserve">See also the SR Financial Forecast attached as APPENDIX A-2 hereto. </w:t>
      </w:r>
      <w:r>
        <w:rPr>
          <w:rFonts w:cs="Times New Roman"/>
          <w:b/>
          <w:i/>
          <w:szCs w:val="22"/>
        </w:rPr>
        <w:t xml:space="preserve">Prospective purchasers are cautioned that the payment of debt service on the 2026A-2 SR Bonds presented in the SR Financial Forecast is only a projection, based upon the assumptions set forth therein, and failure to pay such amounts on the 2026A-2 SR Bonds in accordance with such projection will not constitute an event of default under the SR Indenture. </w:t>
      </w:r>
      <w:r>
        <w:rPr>
          <w:rFonts w:cs="Times New Roman"/>
          <w:szCs w:val="22"/>
        </w:rPr>
        <w:t>See also “—Risks Inherent in Market Study and the Financial Forecasts” below.</w:t>
      </w:r>
    </w:p>
    <w:p w14:paraId="15EB7E4A" w14:textId="77777777" w:rsidR="000521B4" w:rsidRPr="00BB0838" w:rsidRDefault="005242D4" w:rsidP="00816253">
      <w:pPr>
        <w:pStyle w:val="00BodyText5"/>
        <w:rPr>
          <w:rFonts w:cs="Times New Roman"/>
          <w:b/>
          <w:i/>
          <w:szCs w:val="22"/>
        </w:rPr>
      </w:pPr>
      <w:r w:rsidRPr="00BB0838">
        <w:rPr>
          <w:rFonts w:cs="Times New Roman"/>
          <w:b/>
          <w:i/>
          <w:szCs w:val="22"/>
        </w:rPr>
        <w:t xml:space="preserve">However, notwithstanding any other provision in the SR Indenture, in the event that any amount of principal of or interest on the 2026A-2 SR Bonds remains unpaid after the application of all SR Pledged Revenue available therefor after collection of all Contract Fees due and owing in the District and exhaustion of any applicable remedies available to the Trustee under the SR Indenture and the Contract Fees Resolution and the Contract Fee Interlocal Agreement to collect any unpaid Contract Fees due and owing, the 2026A-2 SR Bonds and the lien of the SR Indenture securing payment thereof will be deemed discharged, and the estate and rights thereby granted will cease, terminate, and be void. </w:t>
      </w:r>
    </w:p>
    <w:p w14:paraId="4D999413" w14:textId="77777777" w:rsidR="000521B4" w:rsidRPr="00BB0838" w:rsidRDefault="000521B4" w:rsidP="000521B4">
      <w:pPr>
        <w:pStyle w:val="Heading2"/>
        <w:rPr>
          <w:sz w:val="22"/>
          <w:szCs w:val="22"/>
        </w:rPr>
      </w:pPr>
      <w:bookmarkStart w:id="28" w:name="_Toc235521019"/>
      <w:r w:rsidRPr="00BB0838">
        <w:rPr>
          <w:sz w:val="22"/>
          <w:szCs w:val="22"/>
        </w:rPr>
        <w:t>Security and Sources of Payment for the 2026B Subordinate LT Bonds</w:t>
      </w:r>
      <w:bookmarkEnd w:id="28"/>
    </w:p>
    <w:p w14:paraId="7FAEA632" w14:textId="244C7415" w:rsidR="000521B4" w:rsidRPr="00BB0838" w:rsidRDefault="000521B4" w:rsidP="000521B4">
      <w:pPr>
        <w:pStyle w:val="00BodyText5"/>
        <w:rPr>
          <w:rFonts w:cs="Times New Roman"/>
          <w:szCs w:val="22"/>
        </w:rPr>
      </w:pPr>
      <w:r w:rsidRPr="00BB0838">
        <w:rPr>
          <w:rFonts w:cs="Times New Roman"/>
          <w:szCs w:val="22"/>
        </w:rPr>
        <w:t>The 2026B Subordinate LT Bonds are “cash flow”</w:t>
      </w:r>
      <w:r w:rsidR="00683F5C">
        <w:rPr>
          <w:rFonts w:cs="Times New Roman"/>
          <w:szCs w:val="22"/>
        </w:rPr>
        <w:t xml:space="preserve"> subordinate</w:t>
      </w:r>
      <w:r w:rsidRPr="00BB0838">
        <w:rPr>
          <w:rFonts w:cs="Times New Roman"/>
          <w:szCs w:val="22"/>
        </w:rPr>
        <w:t xml:space="preserve"> limited tax general obligations of the District secured by and payable from the Subordinate LT Pledged Revenue, which consists of the following revenues: (a) the Subordinate Property Tax Revenues</w:t>
      </w:r>
      <w:r w:rsidR="00683F5C">
        <w:rPr>
          <w:rFonts w:cs="Times New Roman"/>
          <w:szCs w:val="22"/>
        </w:rPr>
        <w:t xml:space="preserve"> (defined herein)</w:t>
      </w:r>
      <w:r w:rsidR="00314273">
        <w:rPr>
          <w:rFonts w:cs="Times New Roman"/>
          <w:szCs w:val="22"/>
        </w:rPr>
        <w:t>;</w:t>
      </w:r>
      <w:r w:rsidRPr="00BB0838">
        <w:rPr>
          <w:rFonts w:cs="Times New Roman"/>
          <w:szCs w:val="22"/>
        </w:rPr>
        <w:t xml:space="preserve"> (b) all Subordinate Pioneering </w:t>
      </w:r>
      <w:r w:rsidR="004C7B35">
        <w:rPr>
          <w:rFonts w:cs="Times New Roman"/>
          <w:szCs w:val="22"/>
        </w:rPr>
        <w:t>Agreement Revenues</w:t>
      </w:r>
      <w:r w:rsidR="00683F5C">
        <w:rPr>
          <w:rFonts w:cs="Times New Roman"/>
          <w:szCs w:val="22"/>
        </w:rPr>
        <w:t>, if any (defined herein)</w:t>
      </w:r>
      <w:r w:rsidR="00314273">
        <w:rPr>
          <w:rFonts w:cs="Times New Roman"/>
          <w:szCs w:val="22"/>
        </w:rPr>
        <w:t>; and</w:t>
      </w:r>
      <w:r w:rsidRPr="00BB0838">
        <w:rPr>
          <w:rFonts w:cs="Times New Roman"/>
          <w:szCs w:val="22"/>
        </w:rPr>
        <w:t xml:space="preserve"> (c) any other legally available moneys which the District determines, in its absolute discretion, to credit to the Subordinate LT Bond Fund.</w:t>
      </w:r>
    </w:p>
    <w:p w14:paraId="1A1718DA" w14:textId="3614103C" w:rsidR="000521B4" w:rsidRPr="00BB0838" w:rsidRDefault="000521B4" w:rsidP="000521B4">
      <w:pPr>
        <w:pStyle w:val="00BodyText5"/>
        <w:rPr>
          <w:rFonts w:cs="Times New Roman"/>
          <w:szCs w:val="22"/>
        </w:rPr>
      </w:pPr>
      <w:r w:rsidRPr="00BB0838">
        <w:rPr>
          <w:rFonts w:cs="Times New Roman"/>
          <w:szCs w:val="22"/>
        </w:rPr>
        <w:t>Pursuant to the Subordinate LT Indenture, the District has covenanted to levy the “</w:t>
      </w:r>
      <w:r w:rsidRPr="00753E9E">
        <w:rPr>
          <w:rFonts w:cs="Times New Roman"/>
          <w:b/>
          <w:bCs/>
          <w:szCs w:val="22"/>
        </w:rPr>
        <w:t>Subordinate Required Mill Levy</w:t>
      </w:r>
      <w:r w:rsidRPr="00BB0838">
        <w:rPr>
          <w:rFonts w:cs="Times New Roman"/>
          <w:szCs w:val="22"/>
        </w:rPr>
        <w:t xml:space="preserve">,” generally meaning an ad valorem property tax on the taxable property in the District each year in an amount equal to (i) 0.004 per dollar of taxable value less the Senior Obligation Mill Levy, or (ii) such lesser amount which, if imposed by the District for collection in the current calendar year, after the deduction of the Administrative Expenses and Trustee Fees, would generate Subordinate Property Tax Revenues which, when combined with moneys then on deposit in the Subordinate LT Bond Fund, will pay the 2026B Subordinate LT Bonds in full in the </w:t>
      </w:r>
      <w:r w:rsidR="00AD0041" w:rsidRPr="00BB0838">
        <w:rPr>
          <w:rFonts w:cs="Times New Roman"/>
          <w:szCs w:val="22"/>
        </w:rPr>
        <w:t>Subordinate LT Bond Year</w:t>
      </w:r>
      <w:r w:rsidRPr="00BB0838">
        <w:rPr>
          <w:rFonts w:cs="Times New Roman"/>
          <w:szCs w:val="22"/>
        </w:rPr>
        <w:t xml:space="preserve"> such levy is collected; provided however, that pursuant to 17D-4-301(</w:t>
      </w:r>
      <w:r w:rsidR="00753E9E">
        <w:rPr>
          <w:rFonts w:cs="Times New Roman"/>
          <w:szCs w:val="22"/>
        </w:rPr>
        <w:t>13</w:t>
      </w:r>
      <w:r w:rsidRPr="00BB0838">
        <w:rPr>
          <w:rFonts w:cs="Times New Roman"/>
          <w:szCs w:val="22"/>
        </w:rPr>
        <w:t>) of the Utah Code, in the event of any statutory change in the methodology of assessment or collection of property taxes in a manner that reduces the Subordinate Property Tax Revenues, the District may charge a rate sufficient to receive the amount of property taxes the District would have received before the statutory change in order to pay the debt service on Outstanding 2026B Subordinate LT Bonds.</w:t>
      </w:r>
    </w:p>
    <w:p w14:paraId="19AFA596" w14:textId="5E64D875" w:rsidR="000521B4" w:rsidRDefault="000521B4" w:rsidP="000521B4">
      <w:pPr>
        <w:pStyle w:val="00BodyText5"/>
        <w:rPr>
          <w:rFonts w:cs="Times New Roman"/>
          <w:szCs w:val="22"/>
        </w:rPr>
      </w:pPr>
      <w:r w:rsidRPr="00BB0838">
        <w:rPr>
          <w:rFonts w:cs="Times New Roman"/>
          <w:szCs w:val="22"/>
        </w:rPr>
        <w:t xml:space="preserve">See the </w:t>
      </w:r>
      <w:r w:rsidR="00764F01">
        <w:rPr>
          <w:rFonts w:cs="Times New Roman"/>
          <w:szCs w:val="22"/>
        </w:rPr>
        <w:t xml:space="preserve">LT </w:t>
      </w:r>
      <w:r w:rsidRPr="00BB0838">
        <w:rPr>
          <w:rFonts w:cs="Times New Roman"/>
          <w:szCs w:val="22"/>
        </w:rPr>
        <w:t>Financial Forecast attached hereto as APPENDIX A and “FINANCIAL INFORMATION—Ad Valorem Property Taxes.”</w:t>
      </w:r>
    </w:p>
    <w:p w14:paraId="7A22550D" w14:textId="646E8C2F" w:rsidR="00683F5C" w:rsidRPr="00683F5C" w:rsidRDefault="00683F5C" w:rsidP="00683F5C">
      <w:pPr>
        <w:pStyle w:val="00BodyText5"/>
        <w:rPr>
          <w:rFonts w:cs="Times New Roman"/>
          <w:szCs w:val="22"/>
        </w:rPr>
      </w:pPr>
      <w:r w:rsidRPr="00683F5C">
        <w:rPr>
          <w:rFonts w:cs="Times New Roman"/>
          <w:szCs w:val="22"/>
        </w:rPr>
        <w:t>The Subordinate LT Pledged Revenue also includes the Subordinate Pioneering Agreement Revenues, if any. See “</w:t>
      </w:r>
      <w:r>
        <w:rPr>
          <w:rFonts w:cs="Times New Roman"/>
          <w:szCs w:val="22"/>
        </w:rPr>
        <w:t>THE 2026B SUBORDINATE LT BONDS</w:t>
      </w:r>
      <w:r w:rsidRPr="00683F5C">
        <w:rPr>
          <w:rFonts w:cs="Times New Roman"/>
          <w:szCs w:val="22"/>
        </w:rPr>
        <w:t>—Security for the 2026B Subordinate LT Bonds—</w:t>
      </w:r>
      <w:r w:rsidRPr="00683F5C">
        <w:rPr>
          <w:rFonts w:cs="Times New Roman"/>
          <w:i/>
          <w:iCs/>
          <w:szCs w:val="22"/>
        </w:rPr>
        <w:t>Subordinate Pioneering Agreement Revenues</w:t>
      </w:r>
      <w:r w:rsidRPr="00683F5C">
        <w:rPr>
          <w:rFonts w:cs="Times New Roman"/>
          <w:szCs w:val="22"/>
        </w:rPr>
        <w:t>.”</w:t>
      </w:r>
    </w:p>
    <w:p w14:paraId="02523264" w14:textId="1CBB4282" w:rsidR="000521B4" w:rsidRPr="00BB0838" w:rsidRDefault="000521B4" w:rsidP="000521B4">
      <w:pPr>
        <w:pStyle w:val="00BodyText5"/>
        <w:rPr>
          <w:rFonts w:cs="Times New Roman"/>
          <w:szCs w:val="22"/>
        </w:rPr>
      </w:pPr>
      <w:r w:rsidRPr="00BB0838">
        <w:rPr>
          <w:rFonts w:cs="Times New Roman"/>
          <w:szCs w:val="22"/>
        </w:rPr>
        <w:t>Notwithstanding anything in the Subordinate LT Indenture to the contrary, and in accordance with the District’s Governing Document, all of the 2026B Subordinate LT Bonds and interest thereon are to be deemed to be paid, satisfied, and discharged on March 1</w:t>
      </w:r>
      <w:r w:rsidR="0031301D" w:rsidRPr="00BB0838">
        <w:rPr>
          <w:rFonts w:cs="Times New Roman"/>
          <w:szCs w:val="22"/>
        </w:rPr>
        <w:t>5</w:t>
      </w:r>
      <w:r w:rsidRPr="00BB0838">
        <w:rPr>
          <w:rFonts w:cs="Times New Roman"/>
          <w:szCs w:val="22"/>
        </w:rPr>
        <w:t>, 2067, regardless of the amount of principal and interest paid prior to such date.</w:t>
      </w:r>
    </w:p>
    <w:p w14:paraId="13217220" w14:textId="77777777" w:rsidR="000521B4" w:rsidRPr="00BB0838" w:rsidRDefault="000521B4" w:rsidP="000521B4">
      <w:pPr>
        <w:pStyle w:val="00BodyText5"/>
        <w:rPr>
          <w:rFonts w:cs="Times New Roman"/>
          <w:szCs w:val="22"/>
        </w:rPr>
      </w:pPr>
      <w:r w:rsidRPr="00BB0838">
        <w:rPr>
          <w:rFonts w:cs="Times New Roman"/>
          <w:szCs w:val="22"/>
        </w:rPr>
        <w:t>THE 2026B SUBORDINATE LT BONDS ARE SOLELY THE OBLIGATIONS OF THE DISTRICT, AND UNDER NO CIRCUMSTANCES ARE ANY OF THE 2026B SUBORDINATE LT BONDS TO BE CONSIDERED OR HELD TO BE AN INDEBTEDNESS, OBLIGATION OR LIABILITY OF THE CITY, THE STATE OR ANY POLITICAL SUBDIVISION THEREOF OTHER THAN THE DISTRICT.</w:t>
      </w:r>
    </w:p>
    <w:p w14:paraId="2DDAB233" w14:textId="77777777" w:rsidR="000521B4" w:rsidRPr="00BB0838" w:rsidRDefault="000521B4" w:rsidP="000521B4">
      <w:pPr>
        <w:pStyle w:val="Heading2"/>
        <w:rPr>
          <w:sz w:val="22"/>
          <w:szCs w:val="22"/>
        </w:rPr>
      </w:pPr>
      <w:bookmarkStart w:id="29" w:name="_Toc235521020"/>
      <w:r w:rsidRPr="00BB0838">
        <w:rPr>
          <w:sz w:val="22"/>
          <w:szCs w:val="22"/>
        </w:rPr>
        <w:t>Priority of Lien; Subordinate Nature of 2026B Subordinate LT Bonds</w:t>
      </w:r>
      <w:bookmarkEnd w:id="29"/>
    </w:p>
    <w:p w14:paraId="151F5EFD" w14:textId="3456BD50" w:rsidR="000521B4" w:rsidRPr="00BB0838" w:rsidRDefault="000521B4" w:rsidP="000521B4">
      <w:pPr>
        <w:pStyle w:val="00BodyText5"/>
        <w:rPr>
          <w:rFonts w:cs="Times New Roman"/>
          <w:szCs w:val="22"/>
        </w:rPr>
      </w:pPr>
      <w:r w:rsidRPr="00BB0838">
        <w:rPr>
          <w:rFonts w:cs="Times New Roman"/>
          <w:szCs w:val="22"/>
        </w:rPr>
        <w:t xml:space="preserve">The 2026A-1 Senior LT Bonds constitute Senior LT Obligations, and the 2026B Subordinate LT Bonds constitute Subordinate LT Obligations under the </w:t>
      </w:r>
      <w:r w:rsidR="00683F5C" w:rsidRPr="00683F5C">
        <w:rPr>
          <w:rFonts w:cs="Times New Roman"/>
          <w:szCs w:val="22"/>
        </w:rPr>
        <w:t>Senior LT Indenture and the Subordinate LT Indenture, respectively</w:t>
      </w:r>
      <w:r w:rsidRPr="00BB0838">
        <w:rPr>
          <w:rFonts w:cs="Times New Roman"/>
          <w:szCs w:val="22"/>
        </w:rPr>
        <w:t>. Accordingly, to the extent any non-property tax revenues are pledged under the LT Indentures to the 2026A-1 Senior LT Bonds and the 2026B Subordinate LT Bonds (currently only the revenues from any Pioneering Agreement), the lien thereon of the 2026B Subordinate LT Bonds is junior and subordinate in all respects to the lien of the 2026A-1 Senior LT Bonds and any other Senior LT Obligations issued in the future.</w:t>
      </w:r>
    </w:p>
    <w:p w14:paraId="3BE39C40" w14:textId="18BFDF02" w:rsidR="000521B4" w:rsidRPr="00BB0838" w:rsidRDefault="000521B4" w:rsidP="000521B4">
      <w:pPr>
        <w:pStyle w:val="00BodyText5"/>
        <w:rPr>
          <w:rFonts w:cs="Times New Roman"/>
          <w:szCs w:val="22"/>
        </w:rPr>
      </w:pPr>
      <w:r w:rsidRPr="00BB0838">
        <w:rPr>
          <w:rFonts w:cs="Times New Roman"/>
          <w:szCs w:val="22"/>
        </w:rPr>
        <w:t xml:space="preserve">The District has covenanted in the Senior LT Indenture that all property tax revenue collected by the District from an ad valorem property tax levy, or so much thereof as is needed, is to first be designated as Senior Property Tax Revenues in any </w:t>
      </w:r>
      <w:r w:rsidR="00AD0041" w:rsidRPr="00BB0838">
        <w:rPr>
          <w:rFonts w:cs="Times New Roman"/>
          <w:szCs w:val="22"/>
        </w:rPr>
        <w:t>Senior LT Bond Year</w:t>
      </w:r>
      <w:r w:rsidRPr="00BB0838">
        <w:rPr>
          <w:rFonts w:cs="Times New Roman"/>
          <w:szCs w:val="22"/>
        </w:rPr>
        <w:t xml:space="preserve"> to pay annual debt service on the 2026A-1 Senior LT Bonds and any Senior LT Parity Bonds and to fund such funds and accounts as are required in accordance with the terms of the Senior LT Indenture and the resolution, indenture or other enactment authorizing such Senior LT Parity Bonds (including to fill the LT Surplus Fund to the Maximum Surplus Amount, and to fill the surplus fund for any Senior LT Parity Bonds to the Senior LT Parity Bonds Maximum Surplus Amount), and only after the funding of such payments and accumulations required in such </w:t>
      </w:r>
      <w:r w:rsidR="00AD0041" w:rsidRPr="00BB0838">
        <w:rPr>
          <w:rFonts w:cs="Times New Roman"/>
          <w:szCs w:val="22"/>
        </w:rPr>
        <w:t>Senior LT Bond Year</w:t>
      </w:r>
      <w:r w:rsidRPr="00BB0838">
        <w:rPr>
          <w:rFonts w:cs="Times New Roman"/>
          <w:szCs w:val="22"/>
        </w:rPr>
        <w:t xml:space="preserve"> can property tax revenue be applied to pay Subordinate LT Obligations (including the 2026B Subordinate LT Bonds). See </w:t>
      </w:r>
      <w:r w:rsidR="00272237" w:rsidRPr="00BB0838">
        <w:rPr>
          <w:rFonts w:cs="Times New Roman"/>
          <w:szCs w:val="22"/>
        </w:rPr>
        <w:t>“THE 2026A-1 SENIOR LT BONDS</w:t>
      </w:r>
      <w:r w:rsidRPr="00BB0838">
        <w:rPr>
          <w:rFonts w:cs="Times New Roman"/>
          <w:szCs w:val="22"/>
        </w:rPr>
        <w:t>—Certain Senior LT Indenture Provisions—Application of Senior LT Pledged Revenue.”</w:t>
      </w:r>
    </w:p>
    <w:p w14:paraId="3030E022" w14:textId="7DBD0A51" w:rsidR="000521B4" w:rsidRPr="00BB0838" w:rsidRDefault="000521B4" w:rsidP="000521B4">
      <w:pPr>
        <w:pStyle w:val="00BodyText5"/>
        <w:rPr>
          <w:rFonts w:cs="Times New Roman"/>
          <w:szCs w:val="22"/>
        </w:rPr>
      </w:pPr>
      <w:r w:rsidRPr="00BB0838">
        <w:rPr>
          <w:rFonts w:cs="Times New Roman"/>
          <w:szCs w:val="22"/>
        </w:rPr>
        <w:t>With respect to the 2026B Subordinate LT Bonds, the District has pledged to impose a Subordinate Required Mill Levy for the payment of such 2026B Subordinate LT Bonds in an amount equal to 0.004 per dollar of taxable value less the Senior Obligation Mill Levy described herein, meaning that there will only be ad valorem property taxes generated and applied to payment of the 2026B Subordinate LT Bonds in the event that the Senior Required Mill Levy, together with any other ad valorem property tax levy required to be imposed by the District for the payment of Senior LT Obligations, is less than 0.004 per dollar of taxable value. See also “</w:t>
      </w:r>
      <w:r w:rsidR="00683F5C">
        <w:rPr>
          <w:rFonts w:cs="Times New Roman"/>
          <w:szCs w:val="22"/>
        </w:rPr>
        <w:t>THE 2026B SUBORDINATE LT BONDS</w:t>
      </w:r>
      <w:r w:rsidRPr="00BB0838">
        <w:rPr>
          <w:rFonts w:cs="Times New Roman"/>
          <w:szCs w:val="22"/>
        </w:rPr>
        <w:t>—Security for the 2026B Subordinate LT Bonds; Subordinate Lien.”</w:t>
      </w:r>
    </w:p>
    <w:p w14:paraId="4C900AB2" w14:textId="53F90531" w:rsidR="000521B4" w:rsidRPr="00BB0838" w:rsidRDefault="000521B4" w:rsidP="000521B4">
      <w:pPr>
        <w:pStyle w:val="Heading2"/>
        <w:rPr>
          <w:sz w:val="22"/>
          <w:szCs w:val="22"/>
        </w:rPr>
      </w:pPr>
      <w:bookmarkStart w:id="30" w:name="_Toc235521021"/>
      <w:r w:rsidRPr="00BB0838">
        <w:rPr>
          <w:sz w:val="22"/>
          <w:szCs w:val="22"/>
        </w:rPr>
        <w:t xml:space="preserve">“Cash </w:t>
      </w:r>
      <w:r w:rsidR="00683F5C">
        <w:rPr>
          <w:sz w:val="22"/>
          <w:szCs w:val="22"/>
        </w:rPr>
        <w:t>F</w:t>
      </w:r>
      <w:r w:rsidRPr="00BB0838">
        <w:rPr>
          <w:sz w:val="22"/>
          <w:szCs w:val="22"/>
        </w:rPr>
        <w:t>low” Nature of 2026B Subordinate LT Bonds; Discharge on March 1</w:t>
      </w:r>
      <w:r w:rsidR="0031301D" w:rsidRPr="00BB0838">
        <w:rPr>
          <w:sz w:val="22"/>
          <w:szCs w:val="22"/>
        </w:rPr>
        <w:t>5</w:t>
      </w:r>
      <w:r w:rsidRPr="00BB0838">
        <w:rPr>
          <w:sz w:val="22"/>
          <w:szCs w:val="22"/>
        </w:rPr>
        <w:t>, 2067</w:t>
      </w:r>
      <w:bookmarkEnd w:id="30"/>
    </w:p>
    <w:p w14:paraId="244742C4" w14:textId="16F06FB3" w:rsidR="000521B4" w:rsidRPr="00BB0838" w:rsidRDefault="000521B4" w:rsidP="000521B4">
      <w:pPr>
        <w:pStyle w:val="00BodyText5"/>
        <w:rPr>
          <w:rFonts w:cs="Times New Roman"/>
          <w:szCs w:val="22"/>
        </w:rPr>
      </w:pPr>
      <w:r w:rsidRPr="00BB0838">
        <w:rPr>
          <w:rFonts w:cs="Times New Roman"/>
          <w:szCs w:val="22"/>
        </w:rPr>
        <w:t xml:space="preserve">The 2026B Subordinate LT Bonds are structured as “cash flow” bonds, meaning that </w:t>
      </w:r>
      <w:r w:rsidR="00683F5C">
        <w:rPr>
          <w:rFonts w:cs="Times New Roman"/>
          <w:szCs w:val="22"/>
        </w:rPr>
        <w:t>the Subordinate LT Indenture does not provide for any</w:t>
      </w:r>
      <w:r w:rsidRPr="00BB0838">
        <w:rPr>
          <w:rFonts w:cs="Times New Roman"/>
          <w:szCs w:val="22"/>
        </w:rPr>
        <w:t xml:space="preserve"> scheduled payments of principal </w:t>
      </w:r>
      <w:r w:rsidR="00683F5C">
        <w:rPr>
          <w:rFonts w:cs="Times New Roman"/>
          <w:szCs w:val="22"/>
        </w:rPr>
        <w:t>on the 2026B Subordinate LT Bonds</w:t>
      </w:r>
      <w:r w:rsidRPr="00BB0838">
        <w:rPr>
          <w:rFonts w:cs="Times New Roman"/>
          <w:szCs w:val="22"/>
        </w:rPr>
        <w:t xml:space="preserve"> prior to the final</w:t>
      </w:r>
      <w:r w:rsidR="00683F5C">
        <w:rPr>
          <w:rFonts w:cs="Times New Roman"/>
          <w:szCs w:val="22"/>
        </w:rPr>
        <w:t xml:space="preserve"> stated</w:t>
      </w:r>
      <w:r w:rsidRPr="00BB0838">
        <w:rPr>
          <w:rFonts w:cs="Times New Roman"/>
          <w:szCs w:val="22"/>
        </w:rPr>
        <w:t xml:space="preserve"> maturity date. Rather, principal on the 2026B Subordinate LT Bonds is payable on each March 1</w:t>
      </w:r>
      <w:r w:rsidR="007D50B1">
        <w:rPr>
          <w:rFonts w:cs="Times New Roman"/>
          <w:szCs w:val="22"/>
        </w:rPr>
        <w:t>5</w:t>
      </w:r>
      <w:r w:rsidRPr="00BB0838">
        <w:rPr>
          <w:rFonts w:cs="Times New Roman"/>
          <w:szCs w:val="22"/>
        </w:rPr>
        <w:t xml:space="preserve"> from, and to the extent of, Subordinate LT Pledged Revenue on deposit, if any, in the Subordinate Mandatory Redemption Account of the Subordinate LT Bond Fund </w:t>
      </w:r>
      <w:r w:rsidR="00683F5C">
        <w:rPr>
          <w:rFonts w:cs="Times New Roman"/>
          <w:szCs w:val="22"/>
        </w:rPr>
        <w:t>30</w:t>
      </w:r>
      <w:r w:rsidRPr="00BB0838">
        <w:rPr>
          <w:rFonts w:cs="Times New Roman"/>
          <w:szCs w:val="22"/>
        </w:rPr>
        <w:t xml:space="preserve"> days prior to such March 1</w:t>
      </w:r>
      <w:r w:rsidR="007D50B1">
        <w:rPr>
          <w:rFonts w:cs="Times New Roman"/>
          <w:szCs w:val="22"/>
        </w:rPr>
        <w:t>5</w:t>
      </w:r>
      <w:r w:rsidRPr="00BB0838">
        <w:rPr>
          <w:rFonts w:cs="Times New Roman"/>
          <w:szCs w:val="22"/>
        </w:rPr>
        <w:t>, in accordance with the terms of the Subordinate LT Indenture, pursuant to a special mandatory redemption more particularly described in “</w:t>
      </w:r>
      <w:r w:rsidR="00683F5C">
        <w:rPr>
          <w:rFonts w:cs="Times New Roman"/>
          <w:szCs w:val="22"/>
        </w:rPr>
        <w:t>THE 2026B SUBORDINATE LT BONDS</w:t>
      </w:r>
      <w:r w:rsidRPr="00BB0838">
        <w:rPr>
          <w:rFonts w:cs="Times New Roman"/>
          <w:szCs w:val="22"/>
        </w:rPr>
        <w:t>—Redemption—Mandatory Redemption” and “—</w:t>
      </w:r>
      <w:r w:rsidR="00DD4A7D">
        <w:rPr>
          <w:rFonts w:cs="Times New Roman"/>
          <w:szCs w:val="22"/>
        </w:rPr>
        <w:t>Certain Subordinate LT Indenture Provisions</w:t>
      </w:r>
      <w:r w:rsidRPr="00BB0838">
        <w:rPr>
          <w:rFonts w:cs="Times New Roman"/>
          <w:szCs w:val="22"/>
        </w:rPr>
        <w:t>—</w:t>
      </w:r>
      <w:r w:rsidRPr="0051528A">
        <w:rPr>
          <w:rFonts w:cs="Times New Roman"/>
          <w:i/>
          <w:iCs/>
          <w:szCs w:val="22"/>
        </w:rPr>
        <w:t>Subordinate LT Bond Fund</w:t>
      </w:r>
      <w:r w:rsidRPr="00BB0838">
        <w:rPr>
          <w:rFonts w:cs="Times New Roman"/>
          <w:szCs w:val="22"/>
        </w:rPr>
        <w:t>.” Furthermore, accrued unpaid interest on the 2026B Subordinate LT Bonds will compound annually on each March 1</w:t>
      </w:r>
      <w:r w:rsidR="007D50B1">
        <w:rPr>
          <w:rFonts w:cs="Times New Roman"/>
          <w:szCs w:val="22"/>
        </w:rPr>
        <w:t>5</w:t>
      </w:r>
      <w:r w:rsidRPr="00BB0838">
        <w:rPr>
          <w:rFonts w:cs="Times New Roman"/>
          <w:szCs w:val="22"/>
        </w:rPr>
        <w:t>. As further described in “</w:t>
      </w:r>
      <w:r w:rsidR="00683F5C">
        <w:rPr>
          <w:rFonts w:cs="Times New Roman"/>
          <w:szCs w:val="22"/>
        </w:rPr>
        <w:t>THE 2026B SUBORDINATE LT BONDS</w:t>
      </w:r>
      <w:r w:rsidRPr="00BB0838">
        <w:rPr>
          <w:rFonts w:cs="Times New Roman"/>
          <w:szCs w:val="22"/>
        </w:rPr>
        <w:t>—</w:t>
      </w:r>
      <w:r w:rsidR="00DD4A7D">
        <w:rPr>
          <w:rFonts w:cs="Times New Roman"/>
          <w:szCs w:val="22"/>
        </w:rPr>
        <w:t>Certain Subordinate LT Indenture Provisions</w:t>
      </w:r>
      <w:r w:rsidRPr="00BB0838">
        <w:rPr>
          <w:rFonts w:cs="Times New Roman"/>
          <w:szCs w:val="22"/>
        </w:rPr>
        <w:t xml:space="preserve">—Subordinate LT Bond Fund,” interest payable on the 2026B Subordinate LT Bonds in each </w:t>
      </w:r>
      <w:r w:rsidR="00AD0041" w:rsidRPr="00BB0838">
        <w:rPr>
          <w:rFonts w:cs="Times New Roman"/>
          <w:szCs w:val="22"/>
        </w:rPr>
        <w:t>Subordinate LT Bond Year</w:t>
      </w:r>
      <w:r w:rsidRPr="00BB0838">
        <w:rPr>
          <w:rFonts w:cs="Times New Roman"/>
          <w:szCs w:val="22"/>
        </w:rPr>
        <w:t xml:space="preserve"> is to be paid prior to any payments of principal in such </w:t>
      </w:r>
      <w:r w:rsidR="00AD0041" w:rsidRPr="00BB0838">
        <w:rPr>
          <w:rFonts w:cs="Times New Roman"/>
          <w:szCs w:val="22"/>
        </w:rPr>
        <w:t>Subordinate LT Bond Year</w:t>
      </w:r>
      <w:r w:rsidRPr="00BB0838">
        <w:rPr>
          <w:rFonts w:cs="Times New Roman"/>
          <w:szCs w:val="22"/>
        </w:rPr>
        <w:t>.</w:t>
      </w:r>
    </w:p>
    <w:p w14:paraId="6DC87B4B" w14:textId="476395C2" w:rsidR="000521B4" w:rsidRPr="00BB0838" w:rsidRDefault="000521B4" w:rsidP="000521B4">
      <w:pPr>
        <w:pStyle w:val="00BodyText5"/>
        <w:rPr>
          <w:rFonts w:cs="Times New Roman"/>
          <w:b/>
          <w:bCs/>
          <w:i/>
          <w:iCs/>
          <w:szCs w:val="22"/>
        </w:rPr>
      </w:pPr>
      <w:r w:rsidRPr="00BB0838">
        <w:rPr>
          <w:rFonts w:cs="Times New Roman"/>
          <w:b/>
          <w:bCs/>
          <w:i/>
          <w:iCs/>
          <w:szCs w:val="22"/>
        </w:rPr>
        <w:t xml:space="preserve">As </w:t>
      </w:r>
      <w:r w:rsidR="0051528A">
        <w:rPr>
          <w:rFonts w:cs="Times New Roman"/>
          <w:b/>
          <w:bCs/>
          <w:i/>
          <w:iCs/>
          <w:szCs w:val="22"/>
        </w:rPr>
        <w:t>projected</w:t>
      </w:r>
      <w:r w:rsidRPr="00BB0838">
        <w:rPr>
          <w:rFonts w:cs="Times New Roman"/>
          <w:b/>
          <w:bCs/>
          <w:i/>
          <w:iCs/>
          <w:szCs w:val="22"/>
        </w:rPr>
        <w:t xml:space="preserve"> in the </w:t>
      </w:r>
      <w:r w:rsidR="00BB0838" w:rsidRPr="00BB0838">
        <w:rPr>
          <w:rFonts w:cs="Times New Roman"/>
          <w:b/>
          <w:bCs/>
          <w:i/>
          <w:iCs/>
          <w:szCs w:val="22"/>
        </w:rPr>
        <w:t xml:space="preserve">LT </w:t>
      </w:r>
      <w:r w:rsidRPr="00BB0838">
        <w:rPr>
          <w:rFonts w:cs="Times New Roman"/>
          <w:b/>
          <w:bCs/>
          <w:i/>
          <w:iCs/>
          <w:szCs w:val="22"/>
        </w:rPr>
        <w:t>Financial Forecast, it is not anticipated that there will be any Subordinate LT Pledged Revenue available to pay accrued interest on the 2026B Subordinate LT Bonds until ____</w:t>
      </w:r>
      <w:r w:rsidR="00691E9F">
        <w:rPr>
          <w:rFonts w:cs="Times New Roman"/>
          <w:b/>
          <w:bCs/>
          <w:i/>
          <w:iCs/>
          <w:szCs w:val="22"/>
        </w:rPr>
        <w:t>,</w:t>
      </w:r>
      <w:r w:rsidR="00691E9F">
        <w:rPr>
          <w:rStyle w:val="FootnoteReference"/>
          <w:rFonts w:cs="Times New Roman"/>
          <w:szCs w:val="22"/>
        </w:rPr>
        <w:footnoteReference w:customMarkFollows="1" w:id="10"/>
        <w:t>*</w:t>
      </w:r>
      <w:r w:rsidRPr="00BB0838">
        <w:rPr>
          <w:rFonts w:cs="Times New Roman"/>
          <w:b/>
          <w:bCs/>
          <w:i/>
          <w:iCs/>
          <w:szCs w:val="22"/>
        </w:rPr>
        <w:t xml:space="preserve"> and it is not anticipated that there will be any Subordinate LT Pledged Revenue to pay principal on the 2026B Subordinate LT Bonds until ____</w:t>
      </w:r>
      <w:r w:rsidR="00691E9F">
        <w:rPr>
          <w:rFonts w:cs="Times New Roman"/>
          <w:b/>
          <w:bCs/>
          <w:i/>
          <w:iCs/>
          <w:szCs w:val="22"/>
        </w:rPr>
        <w:t>.</w:t>
      </w:r>
      <w:r w:rsidRPr="00691E9F">
        <w:rPr>
          <w:rFonts w:cs="Times New Roman"/>
          <w:b/>
          <w:bCs/>
          <w:i/>
          <w:iCs/>
          <w:szCs w:val="22"/>
          <w:vertAlign w:val="superscript"/>
        </w:rPr>
        <w:t>*</w:t>
      </w:r>
      <w:r w:rsidR="00691E9F">
        <w:rPr>
          <w:rFonts w:cs="Times New Roman"/>
          <w:b/>
          <w:bCs/>
          <w:i/>
          <w:iCs/>
          <w:szCs w:val="22"/>
          <w:vertAlign w:val="superscript"/>
        </w:rPr>
        <w:t xml:space="preserve"> </w:t>
      </w:r>
      <w:r w:rsidRPr="00BB0838">
        <w:rPr>
          <w:rFonts w:cs="Times New Roman"/>
          <w:b/>
          <w:bCs/>
          <w:i/>
          <w:iCs/>
          <w:szCs w:val="22"/>
        </w:rPr>
        <w:t>This date represents only a forecast, and there is no guarantee that any payments will be made on or after such date, or ever.</w:t>
      </w:r>
    </w:p>
    <w:p w14:paraId="39D4C246" w14:textId="777C7066" w:rsidR="000521B4" w:rsidRPr="00BB0838" w:rsidRDefault="000521B4" w:rsidP="000521B4">
      <w:pPr>
        <w:pStyle w:val="00BodyText5"/>
        <w:rPr>
          <w:rFonts w:cs="Times New Roman"/>
          <w:b/>
          <w:bCs/>
          <w:i/>
          <w:iCs/>
          <w:szCs w:val="22"/>
        </w:rPr>
      </w:pPr>
      <w:r w:rsidRPr="00BB0838">
        <w:rPr>
          <w:rFonts w:cs="Times New Roman"/>
          <w:b/>
          <w:bCs/>
          <w:i/>
          <w:iCs/>
          <w:szCs w:val="22"/>
        </w:rPr>
        <w:t xml:space="preserve">Prospective purchasers are cautioned that the payment of debt service on the 2026B Subordinate LT Bonds presented in the </w:t>
      </w:r>
      <w:r w:rsidR="004B0447">
        <w:rPr>
          <w:rFonts w:cs="Times New Roman"/>
          <w:b/>
          <w:bCs/>
          <w:i/>
          <w:iCs/>
          <w:szCs w:val="22"/>
        </w:rPr>
        <w:t xml:space="preserve">LT </w:t>
      </w:r>
      <w:r w:rsidRPr="00BB0838">
        <w:rPr>
          <w:rFonts w:cs="Times New Roman"/>
          <w:b/>
          <w:bCs/>
          <w:i/>
          <w:iCs/>
          <w:szCs w:val="22"/>
        </w:rPr>
        <w:t>Financial Forecast is only a projection, based upon the assumptions set forth therein, and failure to pay such amounts on the 2026B Subordinate LT Bonds in accordance with such projection will not constitute an event of default under the Subordinate LT Indenture.</w:t>
      </w:r>
    </w:p>
    <w:p w14:paraId="1B711E5B" w14:textId="7BF0E566" w:rsidR="000521B4" w:rsidRPr="00BB0838" w:rsidRDefault="000521B4" w:rsidP="000521B4">
      <w:pPr>
        <w:pStyle w:val="00BodyText5"/>
        <w:rPr>
          <w:rFonts w:cs="Times New Roman"/>
          <w:szCs w:val="22"/>
        </w:rPr>
      </w:pPr>
      <w:r w:rsidRPr="00BB0838">
        <w:rPr>
          <w:rFonts w:cs="Times New Roman"/>
          <w:szCs w:val="22"/>
        </w:rPr>
        <w:t>See “APPENDIX A—FINANCIAL FORECAST,” and “RISK FACTORS—Risks Inherent in Market Study and Financial Forecast</w:t>
      </w:r>
      <w:r w:rsidR="004B0447">
        <w:rPr>
          <w:rFonts w:cs="Times New Roman"/>
          <w:szCs w:val="22"/>
        </w:rPr>
        <w:t>s</w:t>
      </w:r>
      <w:r w:rsidRPr="00BB0838">
        <w:rPr>
          <w:rFonts w:cs="Times New Roman"/>
          <w:szCs w:val="22"/>
        </w:rPr>
        <w:t>.”</w:t>
      </w:r>
    </w:p>
    <w:p w14:paraId="4E08432B" w14:textId="3E3652AA" w:rsidR="005242D4" w:rsidRPr="00BB0838" w:rsidRDefault="000521B4" w:rsidP="000521B4">
      <w:pPr>
        <w:pStyle w:val="00BodyText5"/>
        <w:rPr>
          <w:rFonts w:cs="Times New Roman"/>
          <w:szCs w:val="22"/>
        </w:rPr>
      </w:pPr>
      <w:r w:rsidRPr="00BB0838">
        <w:rPr>
          <w:rFonts w:cs="Times New Roman"/>
          <w:szCs w:val="22"/>
        </w:rPr>
        <w:t>Notwithstanding any other provision in the Subordinate LT Indenture, in the event that any amount of principal of or interest on the 2026B Subordinate LT Bonds remains unpaid after the application of all Subordinate LT Pledged Revenue available therefor on March 1</w:t>
      </w:r>
      <w:r w:rsidR="0031301D" w:rsidRPr="00BB0838">
        <w:rPr>
          <w:rFonts w:cs="Times New Roman"/>
          <w:szCs w:val="22"/>
        </w:rPr>
        <w:t>5</w:t>
      </w:r>
      <w:r w:rsidRPr="00BB0838">
        <w:rPr>
          <w:rFonts w:cs="Times New Roman"/>
          <w:szCs w:val="22"/>
        </w:rPr>
        <w:t>, 2067, the 2026B Subordinate LT Bonds and the lien of the Subordinate LT Indenture securing payment thereof are to be deemed discharged, the estate and rights thereby granted are to cease, terminate, and be void, and thereupon the Trustee is to cancel and discharge the lien of the Subordinate LT Indenture, and execute and deliver to the District such instruments in writing as are to be required to evidence the same. Upon such discharge, the Owners will have no recourse to the District or any property of the District for the payment of any amount of principal of or interest on the 2026B Subordinate LT Bonds remaining unpaid.</w:t>
      </w:r>
    </w:p>
    <w:p w14:paraId="2C796354" w14:textId="76ABCC39" w:rsidR="00B722A2" w:rsidRPr="00BB0838" w:rsidRDefault="00B722A2" w:rsidP="00B722A2">
      <w:pPr>
        <w:pStyle w:val="Heading2"/>
        <w:rPr>
          <w:rFonts w:eastAsia="Times New Roman"/>
          <w:sz w:val="22"/>
          <w:szCs w:val="22"/>
        </w:rPr>
      </w:pPr>
      <w:bookmarkStart w:id="31" w:name="_Toc235521022"/>
      <w:r w:rsidRPr="00BB0838">
        <w:rPr>
          <w:rFonts w:eastAsia="Times New Roman"/>
          <w:sz w:val="22"/>
          <w:szCs w:val="22"/>
        </w:rPr>
        <w:t>Purpose of the Bonds</w:t>
      </w:r>
      <w:bookmarkEnd w:id="31"/>
    </w:p>
    <w:p w14:paraId="1A67A2A6" w14:textId="4941EDEE" w:rsidR="000A1740" w:rsidRPr="00BB0838" w:rsidRDefault="00B473AB" w:rsidP="006D59C7">
      <w:pPr>
        <w:pStyle w:val="00BodyText5"/>
        <w:rPr>
          <w:rFonts w:cs="Times New Roman"/>
          <w:szCs w:val="22"/>
        </w:rPr>
      </w:pPr>
      <w:r w:rsidRPr="00BB0838">
        <w:rPr>
          <w:rFonts w:cs="Times New Roman"/>
          <w:szCs w:val="22"/>
        </w:rPr>
        <w:t xml:space="preserve">The Bonds are being issued for the purpose of paying the Project Costs. A portion of the proceeds of the </w:t>
      </w:r>
      <w:r w:rsidR="00787226" w:rsidRPr="00BB0838">
        <w:rPr>
          <w:rFonts w:cs="Times New Roman"/>
          <w:szCs w:val="22"/>
        </w:rPr>
        <w:t>2026A-1 Senior LT Bond</w:t>
      </w:r>
      <w:r w:rsidRPr="00BB0838">
        <w:rPr>
          <w:rFonts w:cs="Times New Roman"/>
          <w:szCs w:val="22"/>
        </w:rPr>
        <w:t xml:space="preserve">s will also be issued for the purposes of: (a) funding capitalized interest on the </w:t>
      </w:r>
      <w:r w:rsidR="00787226" w:rsidRPr="00BB0838">
        <w:rPr>
          <w:rFonts w:cs="Times New Roman"/>
          <w:szCs w:val="22"/>
        </w:rPr>
        <w:t>2026A-1 Senior LT Bond</w:t>
      </w:r>
      <w:r w:rsidRPr="00BB0838">
        <w:rPr>
          <w:rFonts w:cs="Times New Roman"/>
          <w:szCs w:val="22"/>
        </w:rPr>
        <w:t xml:space="preserve">s, (b) funding the Initial Deposit to the LT Surplus Fund, </w:t>
      </w:r>
      <w:r w:rsidR="00CA2CE4" w:rsidRPr="00BB0838">
        <w:rPr>
          <w:rFonts w:cs="Times New Roman"/>
          <w:szCs w:val="22"/>
        </w:rPr>
        <w:t xml:space="preserve">(c) funding the </w:t>
      </w:r>
      <w:r w:rsidR="00B96B68" w:rsidRPr="00BB0838">
        <w:rPr>
          <w:rFonts w:cs="Times New Roman"/>
          <w:szCs w:val="22"/>
        </w:rPr>
        <w:t xml:space="preserve">LT </w:t>
      </w:r>
      <w:r w:rsidR="00CA2CE4" w:rsidRPr="00BB0838">
        <w:rPr>
          <w:rFonts w:cs="Times New Roman"/>
          <w:szCs w:val="22"/>
        </w:rPr>
        <w:t xml:space="preserve">Working Capital Fund, </w:t>
      </w:r>
      <w:r w:rsidRPr="00BB0838">
        <w:rPr>
          <w:rFonts w:cs="Times New Roman"/>
          <w:szCs w:val="22"/>
        </w:rPr>
        <w:t>and (</w:t>
      </w:r>
      <w:r w:rsidR="00CA2CE4" w:rsidRPr="00BB0838">
        <w:rPr>
          <w:rFonts w:cs="Times New Roman"/>
          <w:szCs w:val="22"/>
        </w:rPr>
        <w:t>d</w:t>
      </w:r>
      <w:r w:rsidRPr="00BB0838">
        <w:rPr>
          <w:rFonts w:cs="Times New Roman"/>
          <w:szCs w:val="22"/>
        </w:rPr>
        <w:t xml:space="preserve">) paying other costs in connection with the issuance of the </w:t>
      </w:r>
      <w:r w:rsidR="00787226" w:rsidRPr="00BB0838">
        <w:rPr>
          <w:rFonts w:cs="Times New Roman"/>
          <w:szCs w:val="22"/>
        </w:rPr>
        <w:t>LT Bond</w:t>
      </w:r>
      <w:r w:rsidRPr="00BB0838">
        <w:rPr>
          <w:rFonts w:cs="Times New Roman"/>
          <w:szCs w:val="22"/>
        </w:rPr>
        <w:t xml:space="preserve">s. </w:t>
      </w:r>
      <w:r w:rsidR="00460549">
        <w:rPr>
          <w:rFonts w:cs="Times New Roman"/>
          <w:szCs w:val="22"/>
        </w:rPr>
        <w:t>[</w:t>
      </w:r>
      <w:r w:rsidRPr="00460549">
        <w:rPr>
          <w:rFonts w:cs="Times New Roman"/>
          <w:szCs w:val="22"/>
        </w:rPr>
        <w:t>A portion of the proceeds of the 2026A-2 SR Bonds will also be used to pay the costs in connection with the issuance of the 2026A-2 SR Bonds.</w:t>
      </w:r>
      <w:r w:rsidR="00460549">
        <w:rPr>
          <w:rFonts w:cs="Times New Roman"/>
          <w:szCs w:val="22"/>
        </w:rPr>
        <w:t>]</w:t>
      </w:r>
      <w:r w:rsidRPr="00BB0838">
        <w:rPr>
          <w:rFonts w:cs="Times New Roman"/>
          <w:szCs w:val="22"/>
        </w:rPr>
        <w:t xml:space="preserve"> See “</w:t>
      </w:r>
      <w:r w:rsidRPr="00BB0838">
        <w:rPr>
          <w:rFonts w:cs="Times New Roman"/>
          <w:caps/>
          <w:szCs w:val="22"/>
        </w:rPr>
        <w:t>Use of Proceeds and Debt Service Requirements</w:t>
      </w:r>
      <w:r w:rsidRPr="00BB0838">
        <w:rPr>
          <w:rFonts w:cs="Times New Roman"/>
          <w:szCs w:val="22"/>
        </w:rPr>
        <w:t xml:space="preserve">.” </w:t>
      </w:r>
    </w:p>
    <w:p w14:paraId="4D07EE7E" w14:textId="25825B9D" w:rsidR="00244505" w:rsidRPr="00BB0838" w:rsidRDefault="00572690" w:rsidP="00244505">
      <w:pPr>
        <w:pStyle w:val="Heading2"/>
        <w:rPr>
          <w:rFonts w:eastAsia="Times New Roman"/>
          <w:sz w:val="22"/>
          <w:szCs w:val="22"/>
        </w:rPr>
      </w:pPr>
      <w:bookmarkStart w:id="32" w:name="_Toc235521023"/>
      <w:r w:rsidRPr="00BB0838">
        <w:rPr>
          <w:rFonts w:eastAsia="Times New Roman"/>
          <w:sz w:val="22"/>
          <w:szCs w:val="22"/>
        </w:rPr>
        <w:t>Additional Obligations</w:t>
      </w:r>
      <w:bookmarkEnd w:id="32"/>
    </w:p>
    <w:p w14:paraId="0B4BD0D5" w14:textId="6DB5852E" w:rsidR="00272237" w:rsidRPr="00BB0838" w:rsidRDefault="00272237" w:rsidP="00272237">
      <w:pPr>
        <w:pStyle w:val="00BodyText5"/>
        <w:rPr>
          <w:rStyle w:val="00BodyText5Char"/>
          <w:rFonts w:cs="Times New Roman"/>
          <w:szCs w:val="22"/>
        </w:rPr>
      </w:pPr>
      <w:r w:rsidRPr="00BB0838">
        <w:rPr>
          <w:rFonts w:cs="Times New Roman"/>
          <w:szCs w:val="22"/>
        </w:rPr>
        <w:t>The Senior LT Indenture, the SR Indenture, and the Subordinate LT Indenture impose different limitations on the issuance of Additional LT Obligations and Additional SR Obligations, as applicable. Owners of the 2026A-1 Senior LT Bonds will only be permitted to enforce such limitations set forth in the Senior LT Indenture, Owners of the 2026A-2 SR Bonds will only be permitted to enforce such limitations set forth in the SR Indenture, and Owners of the 2026B Subordinate LT Bonds will only be permitted to enforce such limitations set forth in the Subordinate LT Indenture. See “THE 2026A-1 SENIOR LT BONDS—Certain Senior LT Indenture Provisions—</w:t>
      </w:r>
      <w:r w:rsidRPr="00BB0838">
        <w:rPr>
          <w:rFonts w:cs="Times New Roman"/>
          <w:i/>
          <w:szCs w:val="22"/>
        </w:rPr>
        <w:t>Additional LT Obligations,</w:t>
      </w:r>
      <w:r w:rsidRPr="00BB0838">
        <w:rPr>
          <w:rFonts w:cs="Times New Roman"/>
          <w:szCs w:val="22"/>
        </w:rPr>
        <w:t xml:space="preserve">” “THE 2026A-2 SR </w:t>
      </w:r>
      <w:r w:rsidR="00FF418C" w:rsidRPr="00BB0838">
        <w:rPr>
          <w:rFonts w:cs="Times New Roman"/>
          <w:szCs w:val="22"/>
        </w:rPr>
        <w:t>BONDS</w:t>
      </w:r>
      <w:r w:rsidRPr="00BB0838">
        <w:rPr>
          <w:rFonts w:cs="Times New Roman"/>
          <w:szCs w:val="22"/>
        </w:rPr>
        <w:t>—Security for the 2026A-2 SR Bonds—</w:t>
      </w:r>
      <w:r w:rsidRPr="00BB0838">
        <w:rPr>
          <w:rFonts w:cs="Times New Roman"/>
          <w:i/>
          <w:szCs w:val="22"/>
        </w:rPr>
        <w:t>Additional SA Obligations,</w:t>
      </w:r>
      <w:r w:rsidRPr="00BB0838">
        <w:rPr>
          <w:rFonts w:cs="Times New Roman"/>
          <w:szCs w:val="22"/>
        </w:rPr>
        <w:t>” and “</w:t>
      </w:r>
      <w:r w:rsidR="00683F5C">
        <w:rPr>
          <w:rFonts w:cs="Times New Roman"/>
          <w:szCs w:val="22"/>
        </w:rPr>
        <w:t>THE 2026B SUBORDINATE LT BONDS</w:t>
      </w:r>
      <w:r w:rsidRPr="00BB0838">
        <w:rPr>
          <w:rFonts w:cs="Times New Roman"/>
          <w:szCs w:val="22"/>
        </w:rPr>
        <w:t>—</w:t>
      </w:r>
      <w:r w:rsidR="00DD4A7D">
        <w:rPr>
          <w:rFonts w:cs="Times New Roman"/>
          <w:szCs w:val="22"/>
        </w:rPr>
        <w:t>Certain Subordinate LT Indenture Provisions</w:t>
      </w:r>
      <w:r w:rsidRPr="00BB0838">
        <w:rPr>
          <w:rFonts w:cs="Times New Roman"/>
          <w:szCs w:val="22"/>
        </w:rPr>
        <w:t>—</w:t>
      </w:r>
      <w:r w:rsidRPr="00BB0838">
        <w:rPr>
          <w:rFonts w:cs="Times New Roman"/>
          <w:i/>
          <w:szCs w:val="22"/>
        </w:rPr>
        <w:t>Additional LT Obligations</w:t>
      </w:r>
      <w:r w:rsidRPr="00BB0838">
        <w:rPr>
          <w:rFonts w:cs="Times New Roman"/>
          <w:szCs w:val="22"/>
        </w:rPr>
        <w:t>.”</w:t>
      </w:r>
    </w:p>
    <w:p w14:paraId="3729EFE3" w14:textId="6FA36006" w:rsidR="00244505" w:rsidRPr="00C624AA" w:rsidRDefault="00B722A2" w:rsidP="00244505">
      <w:pPr>
        <w:pStyle w:val="Heading2"/>
        <w:rPr>
          <w:rFonts w:eastAsia="Times New Roman"/>
          <w:sz w:val="22"/>
          <w:szCs w:val="22"/>
        </w:rPr>
      </w:pPr>
      <w:bookmarkStart w:id="33" w:name="_Toc235521024"/>
      <w:r>
        <w:rPr>
          <w:rFonts w:eastAsia="Times New Roman"/>
          <w:sz w:val="22"/>
          <w:szCs w:val="22"/>
        </w:rPr>
        <w:t>Interest Rates; Payment Provisions</w:t>
      </w:r>
      <w:bookmarkEnd w:id="33"/>
    </w:p>
    <w:p w14:paraId="07C0B6B2" w14:textId="574A241B" w:rsidR="00B81D48" w:rsidRPr="00DA2177" w:rsidRDefault="00A17F82" w:rsidP="008270A9">
      <w:pPr>
        <w:pStyle w:val="00BodyText5"/>
        <w:rPr>
          <w:rFonts w:cs="Times New Roman"/>
          <w:szCs w:val="22"/>
        </w:rPr>
      </w:pPr>
      <w:r>
        <w:rPr>
          <w:rFonts w:cs="Times New Roman"/>
          <w:szCs w:val="22"/>
        </w:rPr>
        <w:t xml:space="preserve">The Bonds will bear interest at the rates per annum set forth on the inside cover hereof (computed on the basis of a 360-day year of twelve 30-day months). Interest on the </w:t>
      </w:r>
      <w:r w:rsidR="00787226">
        <w:rPr>
          <w:rFonts w:cs="Times New Roman"/>
          <w:szCs w:val="22"/>
        </w:rPr>
        <w:t>2026A-1 Senior LT Bond</w:t>
      </w:r>
      <w:r>
        <w:rPr>
          <w:rFonts w:cs="Times New Roman"/>
          <w:szCs w:val="22"/>
        </w:rPr>
        <w:t xml:space="preserve">s is payable annually, from and to the extent of </w:t>
      </w:r>
      <w:r w:rsidR="000F65D0">
        <w:rPr>
          <w:rFonts w:cs="Times New Roman"/>
          <w:szCs w:val="22"/>
        </w:rPr>
        <w:t xml:space="preserve">Senior </w:t>
      </w:r>
      <w:r>
        <w:rPr>
          <w:rFonts w:cs="Times New Roman"/>
          <w:szCs w:val="22"/>
        </w:rPr>
        <w:t>LT Pledged Revenue available therefor on March 1 of each year, commencing March 1, 202</w:t>
      </w:r>
      <w:r w:rsidR="00FF373A">
        <w:rPr>
          <w:rFonts w:cs="Times New Roman"/>
          <w:szCs w:val="22"/>
        </w:rPr>
        <w:t>7</w:t>
      </w:r>
      <w:r>
        <w:rPr>
          <w:rFonts w:cs="Times New Roman"/>
          <w:szCs w:val="22"/>
        </w:rPr>
        <w:t xml:space="preserve">. Interest on the 2026A-2 SR Bonds is payable annually on </w:t>
      </w:r>
      <w:r w:rsidR="00AD0041">
        <w:rPr>
          <w:rFonts w:cs="Times New Roman"/>
          <w:szCs w:val="22"/>
        </w:rPr>
        <w:t>December 1</w:t>
      </w:r>
      <w:r>
        <w:rPr>
          <w:rFonts w:cs="Times New Roman"/>
          <w:szCs w:val="22"/>
        </w:rPr>
        <w:t xml:space="preserve"> of each year, commencing </w:t>
      </w:r>
      <w:r w:rsidR="00AD0041">
        <w:rPr>
          <w:rFonts w:cs="Times New Roman"/>
          <w:szCs w:val="22"/>
        </w:rPr>
        <w:t>December 1</w:t>
      </w:r>
      <w:r>
        <w:rPr>
          <w:rFonts w:cs="Times New Roman"/>
          <w:szCs w:val="22"/>
        </w:rPr>
        <w:t>, 202</w:t>
      </w:r>
      <w:r w:rsidR="00FF373A">
        <w:rPr>
          <w:rFonts w:cs="Times New Roman"/>
          <w:szCs w:val="22"/>
        </w:rPr>
        <w:t>6</w:t>
      </w:r>
      <w:r>
        <w:rPr>
          <w:rFonts w:cs="Times New Roman"/>
          <w:szCs w:val="22"/>
        </w:rPr>
        <w:t xml:space="preserve">. </w:t>
      </w:r>
      <w:r w:rsidR="00272237" w:rsidRPr="00272237">
        <w:rPr>
          <w:rFonts w:cs="Times New Roman"/>
          <w:szCs w:val="22"/>
        </w:rPr>
        <w:t>Interest on the 2026B Subordinate LT Bonds is payable to the extent of the Subordinate LT Pledged Revenue available therefor annually on each March 15, commencing on March 15, 202</w:t>
      </w:r>
      <w:r w:rsidR="00272237">
        <w:rPr>
          <w:rFonts w:cs="Times New Roman"/>
          <w:szCs w:val="22"/>
        </w:rPr>
        <w:t>7</w:t>
      </w:r>
      <w:r w:rsidR="00272237" w:rsidRPr="00272237">
        <w:rPr>
          <w:rFonts w:cs="Times New Roman"/>
          <w:szCs w:val="22"/>
        </w:rPr>
        <w:t>, from and to the extent of Subordinate LT Pledged Revenue, subject to the limitations of the Subordinate LT Indenture described herein</w:t>
      </w:r>
      <w:r w:rsidR="00272237">
        <w:rPr>
          <w:rFonts w:cs="Times New Roman"/>
          <w:szCs w:val="22"/>
        </w:rPr>
        <w:t xml:space="preserve">. </w:t>
      </w:r>
      <w:r>
        <w:rPr>
          <w:rFonts w:cs="Times New Roman"/>
          <w:szCs w:val="22"/>
        </w:rPr>
        <w:t xml:space="preserve">Payments for the principal of and interest on the Bonds will be made as described in “APPENDIX G—BOOK-ENTRY-ONLY SYSTEM.” </w:t>
      </w:r>
      <w:bookmarkStart w:id="34" w:name="_Toc524130926"/>
      <w:bookmarkStart w:id="35" w:name="_Toc14438719"/>
    </w:p>
    <w:p w14:paraId="5F7EDA09" w14:textId="77777777" w:rsidR="00B81D48" w:rsidRPr="00DA2177" w:rsidRDefault="00B81D48" w:rsidP="00B81D48">
      <w:pPr>
        <w:pStyle w:val="Heading2"/>
        <w:rPr>
          <w:rFonts w:eastAsia="Times New Roman"/>
          <w:sz w:val="22"/>
          <w:szCs w:val="22"/>
        </w:rPr>
      </w:pPr>
      <w:bookmarkStart w:id="36" w:name="_Toc235521025"/>
      <w:r>
        <w:rPr>
          <w:rFonts w:eastAsia="Times New Roman"/>
          <w:sz w:val="22"/>
          <w:szCs w:val="22"/>
        </w:rPr>
        <w:t>Prior Redemption</w:t>
      </w:r>
      <w:bookmarkEnd w:id="36"/>
      <w:r>
        <w:rPr>
          <w:rFonts w:eastAsia="Times New Roman"/>
          <w:sz w:val="22"/>
          <w:szCs w:val="22"/>
        </w:rPr>
        <w:t xml:space="preserve"> </w:t>
      </w:r>
    </w:p>
    <w:bookmarkEnd w:id="34"/>
    <w:bookmarkEnd w:id="35"/>
    <w:p w14:paraId="4485D51C" w14:textId="5458F9EF" w:rsidR="00785E5F" w:rsidRPr="00D07AB1" w:rsidRDefault="00785E5F" w:rsidP="00785E5F">
      <w:pPr>
        <w:pStyle w:val="00BodyText5"/>
        <w:rPr>
          <w:rFonts w:cs="Times New Roman"/>
          <w:iCs/>
          <w:szCs w:val="22"/>
        </w:rPr>
      </w:pPr>
      <w:r w:rsidRPr="00DA2177">
        <w:rPr>
          <w:rFonts w:cs="Times New Roman"/>
          <w:szCs w:val="22"/>
        </w:rPr>
        <w:t xml:space="preserve">The </w:t>
      </w:r>
      <w:r>
        <w:rPr>
          <w:rFonts w:cs="Times New Roman"/>
          <w:szCs w:val="22"/>
        </w:rPr>
        <w:t>2026A-1 Senior LT Bonds</w:t>
      </w:r>
      <w:r w:rsidRPr="00DA2177">
        <w:rPr>
          <w:rFonts w:cs="Times New Roman"/>
          <w:szCs w:val="22"/>
        </w:rPr>
        <w:t xml:space="preserve"> are subject to optional</w:t>
      </w:r>
      <w:r>
        <w:rPr>
          <w:rFonts w:cs="Times New Roman"/>
          <w:szCs w:val="22"/>
        </w:rPr>
        <w:t xml:space="preserve"> and </w:t>
      </w:r>
      <w:r w:rsidRPr="00DA2177">
        <w:rPr>
          <w:rFonts w:cs="Times New Roman"/>
          <w:szCs w:val="22"/>
        </w:rPr>
        <w:t xml:space="preserve"> mandatory sinking fund</w:t>
      </w:r>
      <w:r w:rsidR="004B0447">
        <w:rPr>
          <w:rFonts w:cs="Times New Roman"/>
          <w:szCs w:val="22"/>
        </w:rPr>
        <w:t xml:space="preserve"> redemption</w:t>
      </w:r>
      <w:r w:rsidRPr="00DA2177">
        <w:rPr>
          <w:rFonts w:cs="Times New Roman"/>
          <w:szCs w:val="22"/>
        </w:rPr>
        <w:t>, as set forth in “</w:t>
      </w:r>
      <w:r w:rsidR="00D349D6" w:rsidRPr="00DA2177">
        <w:rPr>
          <w:rFonts w:cs="Times New Roman"/>
          <w:szCs w:val="22"/>
        </w:rPr>
        <w:t xml:space="preserve">THE </w:t>
      </w:r>
      <w:r w:rsidR="00D349D6">
        <w:rPr>
          <w:rFonts w:cs="Times New Roman"/>
          <w:szCs w:val="22"/>
        </w:rPr>
        <w:t>2026A-1 SENIOR LT BONDS</w:t>
      </w:r>
      <w:r w:rsidRPr="00DA2177">
        <w:rPr>
          <w:rFonts w:cs="Times New Roman"/>
          <w:szCs w:val="22"/>
        </w:rPr>
        <w:t xml:space="preserve">—Redemption,” </w:t>
      </w:r>
      <w:r w:rsidRPr="000925D5">
        <w:rPr>
          <w:rFonts w:cs="Times New Roman"/>
          <w:szCs w:val="22"/>
        </w:rPr>
        <w:t xml:space="preserve">the </w:t>
      </w:r>
      <w:r>
        <w:rPr>
          <w:rFonts w:cs="Times New Roman"/>
          <w:szCs w:val="22"/>
        </w:rPr>
        <w:t>2026A-2 SR Bonds</w:t>
      </w:r>
      <w:r w:rsidRPr="000925D5">
        <w:rPr>
          <w:rFonts w:cs="Times New Roman"/>
          <w:szCs w:val="22"/>
        </w:rPr>
        <w:t xml:space="preserve"> are subject to optional</w:t>
      </w:r>
      <w:r>
        <w:rPr>
          <w:rFonts w:cs="Times New Roman"/>
          <w:szCs w:val="22"/>
        </w:rPr>
        <w:t xml:space="preserve"> </w:t>
      </w:r>
      <w:r w:rsidRPr="000925D5">
        <w:rPr>
          <w:rFonts w:cs="Times New Roman"/>
          <w:szCs w:val="22"/>
        </w:rPr>
        <w:t>and mandatory redemption</w:t>
      </w:r>
      <w:r>
        <w:rPr>
          <w:rFonts w:cs="Times New Roman"/>
          <w:szCs w:val="22"/>
        </w:rPr>
        <w:t xml:space="preserve">, as set forth </w:t>
      </w:r>
      <w:r w:rsidRPr="00DA2177">
        <w:rPr>
          <w:rFonts w:cs="Times New Roman"/>
          <w:szCs w:val="22"/>
        </w:rPr>
        <w:t xml:space="preserve">in “THE </w:t>
      </w:r>
      <w:r>
        <w:rPr>
          <w:rFonts w:cs="Times New Roman"/>
          <w:szCs w:val="22"/>
        </w:rPr>
        <w:t xml:space="preserve">2026A-2 SR </w:t>
      </w:r>
      <w:r w:rsidR="00FF418C">
        <w:rPr>
          <w:rFonts w:cs="Times New Roman"/>
          <w:szCs w:val="22"/>
        </w:rPr>
        <w:t>BONDS</w:t>
      </w:r>
      <w:r w:rsidRPr="00DA2177">
        <w:rPr>
          <w:rFonts w:cs="Times New Roman"/>
          <w:szCs w:val="22"/>
        </w:rPr>
        <w:t>—Redemption”</w:t>
      </w:r>
      <w:r>
        <w:rPr>
          <w:rFonts w:cs="Times New Roman"/>
          <w:szCs w:val="22"/>
        </w:rPr>
        <w:t xml:space="preserve"> </w:t>
      </w:r>
      <w:r w:rsidRPr="00D07AB1">
        <w:rPr>
          <w:rFonts w:cs="Times New Roman"/>
          <w:szCs w:val="22"/>
        </w:rPr>
        <w:t>and “—</w:t>
      </w:r>
      <w:r w:rsidR="00AF75BD">
        <w:rPr>
          <w:rFonts w:cs="Times New Roman"/>
          <w:szCs w:val="22"/>
        </w:rPr>
        <w:t xml:space="preserve">Certain </w:t>
      </w:r>
      <w:r>
        <w:rPr>
          <w:rFonts w:cs="Times New Roman"/>
          <w:szCs w:val="22"/>
        </w:rPr>
        <w:t>SR</w:t>
      </w:r>
      <w:r w:rsidRPr="00D07AB1">
        <w:rPr>
          <w:rFonts w:cs="Times New Roman"/>
          <w:szCs w:val="22"/>
        </w:rPr>
        <w:t xml:space="preserve"> Indenture Provisions—</w:t>
      </w:r>
      <w:r>
        <w:rPr>
          <w:rFonts w:cs="Times New Roman"/>
          <w:i/>
          <w:szCs w:val="22"/>
        </w:rPr>
        <w:t>SR</w:t>
      </w:r>
      <w:r w:rsidRPr="00D07AB1">
        <w:rPr>
          <w:rFonts w:cs="Times New Roman"/>
          <w:i/>
          <w:szCs w:val="22"/>
        </w:rPr>
        <w:t xml:space="preserve"> Bond Fund</w:t>
      </w:r>
      <w:r>
        <w:rPr>
          <w:rFonts w:cs="Times New Roman"/>
          <w:iCs/>
          <w:szCs w:val="22"/>
        </w:rPr>
        <w:t>”</w:t>
      </w:r>
      <w:r w:rsidRPr="000925D5">
        <w:rPr>
          <w:rFonts w:cs="Times New Roman"/>
          <w:szCs w:val="22"/>
        </w:rPr>
        <w:t xml:space="preserve"> </w:t>
      </w:r>
      <w:r w:rsidRPr="00DA2177">
        <w:rPr>
          <w:rFonts w:cs="Times New Roman"/>
          <w:szCs w:val="22"/>
        </w:rPr>
        <w:t xml:space="preserve">and the </w:t>
      </w:r>
      <w:r>
        <w:rPr>
          <w:rFonts w:cs="Times New Roman"/>
          <w:szCs w:val="22"/>
        </w:rPr>
        <w:t>2026B Subordinate LT Bonds</w:t>
      </w:r>
      <w:r w:rsidRPr="00DA2177">
        <w:rPr>
          <w:rFonts w:cs="Times New Roman"/>
          <w:szCs w:val="22"/>
        </w:rPr>
        <w:t xml:space="preserve"> are subject to optional and mandatory redemption, as set forth in “</w:t>
      </w:r>
      <w:r w:rsidR="00683F5C">
        <w:rPr>
          <w:rFonts w:cs="Times New Roman"/>
          <w:szCs w:val="22"/>
        </w:rPr>
        <w:t>THE 2026B SUBORDINATE LT BONDS</w:t>
      </w:r>
      <w:r w:rsidRPr="00DA2177">
        <w:rPr>
          <w:rFonts w:cs="Times New Roman"/>
          <w:szCs w:val="22"/>
        </w:rPr>
        <w:t>—Redemption” and “—</w:t>
      </w:r>
      <w:r w:rsidR="00DD4A7D">
        <w:rPr>
          <w:rFonts w:cs="Times New Roman"/>
          <w:szCs w:val="22"/>
        </w:rPr>
        <w:t>Certain Subordinate LT Indenture Provisions</w:t>
      </w:r>
      <w:r w:rsidRPr="00DA2177">
        <w:rPr>
          <w:rFonts w:cs="Times New Roman"/>
          <w:szCs w:val="22"/>
        </w:rPr>
        <w:t>—</w:t>
      </w:r>
      <w:r w:rsidRPr="00DA2177">
        <w:rPr>
          <w:rFonts w:cs="Times New Roman"/>
          <w:i/>
          <w:szCs w:val="22"/>
        </w:rPr>
        <w:t>Subordinate LT Bond Fund</w:t>
      </w:r>
      <w:r w:rsidRPr="00DA2177">
        <w:rPr>
          <w:rFonts w:cs="Times New Roman"/>
          <w:szCs w:val="22"/>
        </w:rPr>
        <w:t>.”</w:t>
      </w:r>
    </w:p>
    <w:p w14:paraId="07A9410B" w14:textId="145E5237" w:rsidR="00244505" w:rsidRPr="00DA2177" w:rsidRDefault="003904FF" w:rsidP="00B722A2">
      <w:pPr>
        <w:pStyle w:val="Heading2"/>
        <w:rPr>
          <w:rFonts w:eastAsia="Times New Roman"/>
          <w:sz w:val="22"/>
          <w:szCs w:val="22"/>
        </w:rPr>
      </w:pPr>
      <w:bookmarkStart w:id="37" w:name="_Toc235521026"/>
      <w:r>
        <w:rPr>
          <w:rFonts w:eastAsia="Times New Roman"/>
          <w:sz w:val="22"/>
          <w:szCs w:val="22"/>
        </w:rPr>
        <w:t>Book-Entry-Only Registration</w:t>
      </w:r>
      <w:bookmarkEnd w:id="37"/>
    </w:p>
    <w:p w14:paraId="03310550" w14:textId="3C72A247" w:rsidR="0075493D" w:rsidRPr="00DA2177" w:rsidRDefault="009738C8" w:rsidP="00F4280B">
      <w:pPr>
        <w:pStyle w:val="00BodyText5"/>
        <w:rPr>
          <w:rFonts w:cs="Times New Roman"/>
          <w:szCs w:val="22"/>
        </w:rPr>
      </w:pPr>
      <w:r>
        <w:rPr>
          <w:rFonts w:cs="Times New Roman"/>
          <w:szCs w:val="22"/>
        </w:rPr>
        <w:t>The Bonds will be issued in fully registered form and will be registered initially in the name of “Cede &amp; Co.” as nominee for The Depository Trust Company, New York, New York (“</w:t>
      </w:r>
      <w:r>
        <w:rPr>
          <w:rFonts w:cs="Times New Roman"/>
          <w:b/>
          <w:szCs w:val="22"/>
        </w:rPr>
        <w:t>DTC</w:t>
      </w:r>
      <w:r>
        <w:rPr>
          <w:rFonts w:cs="Times New Roman"/>
          <w:szCs w:val="22"/>
        </w:rPr>
        <w:t>”), a securities depository. Beneficial ownership interests in the Bonds may be acquired in principal denominations of $500,000 or any integral multiple of $1,000 in excess thereof, through brokers and dealers who are, or who act through, participants in the DTC system (the “</w:t>
      </w:r>
      <w:r>
        <w:rPr>
          <w:rFonts w:cs="Times New Roman"/>
          <w:b/>
          <w:szCs w:val="22"/>
        </w:rPr>
        <w:t>Participants</w:t>
      </w:r>
      <w:r>
        <w:rPr>
          <w:rFonts w:cs="Times New Roman"/>
          <w:szCs w:val="22"/>
        </w:rPr>
        <w:t>”). Such beneficial ownership interests will be recorded on the records of the Participants. Persons for which Participants acquire interests in the Bonds (the “</w:t>
      </w:r>
      <w:r>
        <w:rPr>
          <w:rFonts w:cs="Times New Roman"/>
          <w:b/>
          <w:szCs w:val="22"/>
        </w:rPr>
        <w:t>Beneficial Owners</w:t>
      </w:r>
      <w:r>
        <w:rPr>
          <w:rFonts w:cs="Times New Roman"/>
          <w:szCs w:val="22"/>
        </w:rPr>
        <w:t>”) will not receive certificates evidencing their interests in the Bonds so long as DTC or a successor securities depository acts as the securities depository with respect to the Bonds. So long as DTC or its nominee is the registered owner of the Bonds, payments of principal and interest on the Bonds, as well as notices and other communications made by or on behalf of the District pursuant to the Indentures, will be made to DTC or its nominee only. Disbursement of such payments, notices, and other communications by DTC to Participants, and by Participants to the Beneficial Owners, is the responsibility of DTC and the Participants pursuant to rules and procedures established by such entities. See “APPENDIX G—BOOK-ENTRY-ONLY SYSTEM” for a discussion of the operating procedures of the DTC system with respect to payments, registration, transfers, notices, and other matters. Except as otherwise provided herein, the term “Owner” refers to the registered owner of any Bond, as shown by the registration books maintained by the Bond Registrar. As used herein, “</w:t>
      </w:r>
      <w:r>
        <w:rPr>
          <w:rFonts w:cs="Times New Roman"/>
          <w:b/>
          <w:szCs w:val="22"/>
        </w:rPr>
        <w:t>Consent Party</w:t>
      </w:r>
      <w:r>
        <w:rPr>
          <w:rFonts w:cs="Times New Roman"/>
          <w:szCs w:val="22"/>
        </w:rPr>
        <w:t>” means the Owner of a Bond or, if such Bond is held in the name of Cede, the Participant (as determined by a list provided by DTC) with respect to such Bond. The District may at its option determine whether the Owner</w:t>
      </w:r>
      <w:r w:rsidR="00CA4D40">
        <w:rPr>
          <w:rFonts w:cs="Times New Roman"/>
          <w:szCs w:val="22"/>
        </w:rPr>
        <w:t>, Beneficial Owner,</w:t>
      </w:r>
      <w:r>
        <w:rPr>
          <w:rFonts w:cs="Times New Roman"/>
          <w:szCs w:val="22"/>
        </w:rPr>
        <w:t xml:space="preserve"> or the Participant is the Consent Party with respect to any particular amendment or other matter under the Indentures.</w:t>
      </w:r>
    </w:p>
    <w:p w14:paraId="38646C94" w14:textId="77777777" w:rsidR="00B81D48" w:rsidRPr="00DA2177" w:rsidRDefault="00B81D48" w:rsidP="00B81D48">
      <w:pPr>
        <w:pStyle w:val="Heading2"/>
        <w:rPr>
          <w:rFonts w:eastAsia="Times New Roman"/>
          <w:sz w:val="22"/>
          <w:szCs w:val="22"/>
        </w:rPr>
      </w:pPr>
      <w:bookmarkStart w:id="38" w:name="_Toc235521027"/>
      <w:r>
        <w:rPr>
          <w:rFonts w:eastAsia="Times New Roman"/>
          <w:sz w:val="22"/>
          <w:szCs w:val="22"/>
        </w:rPr>
        <w:t>Exchange and Transfer</w:t>
      </w:r>
      <w:bookmarkEnd w:id="38"/>
    </w:p>
    <w:p w14:paraId="7555A706" w14:textId="3E69A491" w:rsidR="00B81D48" w:rsidRPr="00DA2177" w:rsidRDefault="00B81D48" w:rsidP="00B81D48">
      <w:pPr>
        <w:pStyle w:val="00BodyText5"/>
        <w:rPr>
          <w:rFonts w:cs="Times New Roman"/>
          <w:b/>
          <w:szCs w:val="22"/>
        </w:rPr>
      </w:pPr>
      <w:r>
        <w:rPr>
          <w:rFonts w:cs="Times New Roman"/>
          <w:szCs w:val="22"/>
        </w:rPr>
        <w:t>While the Bonds remain in book-entry-only form, transfer of ownership by Beneficial Owners (as defined by the rules of DTC) may be made as described in “APPENDIX G—BOOK-ENTRY-ONLY SYSTEM” attached hereto.</w:t>
      </w:r>
    </w:p>
    <w:p w14:paraId="4B7E7A7A" w14:textId="77777777" w:rsidR="0045079E" w:rsidRPr="00DA2177" w:rsidRDefault="003904FF" w:rsidP="00244505">
      <w:pPr>
        <w:pStyle w:val="Heading2"/>
        <w:rPr>
          <w:rFonts w:eastAsia="Times New Roman"/>
          <w:sz w:val="22"/>
          <w:szCs w:val="22"/>
        </w:rPr>
      </w:pPr>
      <w:bookmarkStart w:id="39" w:name="_Toc235521028"/>
      <w:r>
        <w:rPr>
          <w:rFonts w:eastAsia="Times New Roman"/>
          <w:sz w:val="22"/>
          <w:szCs w:val="22"/>
        </w:rPr>
        <w:t>Tax Status</w:t>
      </w:r>
      <w:bookmarkEnd w:id="39"/>
      <w:r>
        <w:rPr>
          <w:rFonts w:eastAsia="Times New Roman"/>
          <w:sz w:val="22"/>
          <w:szCs w:val="22"/>
        </w:rPr>
        <w:t xml:space="preserve"> </w:t>
      </w:r>
    </w:p>
    <w:p w14:paraId="2F0B965F" w14:textId="77777777" w:rsidR="00DD4A7D" w:rsidRPr="006121A0" w:rsidRDefault="00DD4A7D" w:rsidP="00DD4A7D">
      <w:pPr>
        <w:pStyle w:val="00BodyText5"/>
        <w:rPr>
          <w:rFonts w:cs="Times New Roman"/>
          <w:b/>
          <w:szCs w:val="22"/>
        </w:rPr>
      </w:pPr>
      <w:bookmarkStart w:id="40" w:name="_Toc524130930"/>
      <w:bookmarkStart w:id="41" w:name="_Toc14438724"/>
      <w:r w:rsidRPr="006121A0">
        <w:rPr>
          <w:rFonts w:cs="Times New Roman"/>
          <w:szCs w:val="22"/>
        </w:rPr>
        <w:t xml:space="preserve">In the opinion of Gilmore &amp; Bell, P.C., Salt Lake City, Utah, Bond Counsel to the District, interest on the </w:t>
      </w:r>
      <w:r>
        <w:rPr>
          <w:rFonts w:cs="Times New Roman"/>
          <w:szCs w:val="22"/>
        </w:rPr>
        <w:t>Bonds</w:t>
      </w:r>
      <w:r w:rsidRPr="006121A0">
        <w:rPr>
          <w:rFonts w:cs="Times New Roman"/>
          <w:szCs w:val="22"/>
        </w:rPr>
        <w:t xml:space="preserve"> (including any original discount properly allocable to an owner thereof) is excludable from gross income for purposes of federal income tax, assuming continuing compliance with the requirements of the federal tax laws. Interest on the </w:t>
      </w:r>
      <w:r>
        <w:rPr>
          <w:rFonts w:cs="Times New Roman"/>
          <w:szCs w:val="22"/>
        </w:rPr>
        <w:t>Bonds</w:t>
      </w:r>
      <w:r w:rsidRPr="006121A0">
        <w:rPr>
          <w:rFonts w:cs="Times New Roman"/>
          <w:szCs w:val="22"/>
        </w:rPr>
        <w:t xml:space="preserve"> is not a preference item for purposes of the individual federal alternative minimum tax. Bond Counsel is also of the opinion that the interest on the </w:t>
      </w:r>
      <w:r>
        <w:rPr>
          <w:rFonts w:cs="Times New Roman"/>
          <w:szCs w:val="22"/>
        </w:rPr>
        <w:t>Bonds</w:t>
      </w:r>
      <w:r w:rsidRPr="006121A0">
        <w:rPr>
          <w:rFonts w:cs="Times New Roman"/>
          <w:szCs w:val="22"/>
        </w:rPr>
        <w:t xml:space="preserve"> is exempt from State of Utah individual income taxes. Bond Counsel expresses no opinion regarding any other tax consequences relating to ownership or disposition of or the accrual or receipt of interest on the </w:t>
      </w:r>
      <w:r>
        <w:rPr>
          <w:rFonts w:cs="Times New Roman"/>
          <w:szCs w:val="22"/>
        </w:rPr>
        <w:t>Bonds</w:t>
      </w:r>
      <w:r w:rsidRPr="006121A0">
        <w:rPr>
          <w:rFonts w:cs="Times New Roman"/>
          <w:szCs w:val="22"/>
        </w:rPr>
        <w:t xml:space="preserve">. See “TAX MATTERS” herein. </w:t>
      </w:r>
    </w:p>
    <w:p w14:paraId="486D4266" w14:textId="77777777" w:rsidR="00CF5FDB" w:rsidRPr="00DA2177" w:rsidRDefault="00CF5FDB" w:rsidP="004E5282">
      <w:pPr>
        <w:pStyle w:val="Heading2"/>
        <w:numPr>
          <w:ilvl w:val="0"/>
          <w:numId w:val="0"/>
        </w:numPr>
        <w:rPr>
          <w:sz w:val="22"/>
          <w:szCs w:val="22"/>
        </w:rPr>
      </w:pPr>
      <w:bookmarkStart w:id="42" w:name="_Toc235521029"/>
      <w:r>
        <w:rPr>
          <w:sz w:val="22"/>
          <w:szCs w:val="22"/>
        </w:rPr>
        <w:t>Professionals Involved in the Offering</w:t>
      </w:r>
      <w:bookmarkEnd w:id="40"/>
      <w:bookmarkEnd w:id="41"/>
      <w:bookmarkEnd w:id="42"/>
      <w:r>
        <w:rPr>
          <w:sz w:val="22"/>
          <w:szCs w:val="22"/>
        </w:rPr>
        <w:t xml:space="preserve"> </w:t>
      </w:r>
    </w:p>
    <w:p w14:paraId="5391E0A7" w14:textId="0216C392" w:rsidR="00CF5FDB" w:rsidRPr="00DA2177" w:rsidRDefault="00595857" w:rsidP="00CF5FDB">
      <w:pPr>
        <w:pStyle w:val="00BodyText5"/>
        <w:rPr>
          <w:rFonts w:cs="Times New Roman"/>
          <w:szCs w:val="22"/>
        </w:rPr>
      </w:pPr>
      <w:r>
        <w:rPr>
          <w:rFonts w:cs="Times New Roman"/>
          <w:szCs w:val="22"/>
        </w:rPr>
        <w:t>Gilmore &amp; Bell, P.C., has acted as Bond Counsel to the District and has also assisted in the preparation of this Official Statement in its capacity as Disclosure Counsel to the District. Zions Bancorporation, National Association, Midvale, Utah, will act as the trustee, paying agent and registrar for the Bonds. D.A. Davidson &amp; Co., Salt Lake City, Utah will act as the underwriter for the Bonds (the “</w:t>
      </w:r>
      <w:r>
        <w:rPr>
          <w:rFonts w:cs="Times New Roman"/>
          <w:b/>
          <w:szCs w:val="22"/>
        </w:rPr>
        <w:t>Underwriter</w:t>
      </w:r>
      <w:r>
        <w:rPr>
          <w:rFonts w:cs="Times New Roman"/>
          <w:szCs w:val="22"/>
        </w:rPr>
        <w:t>”), and Kutak Rock LLP, Denver, Colorado, has acted as counsel to the Underwriter. Snow Jensen &amp; Reece, P.C., St. George, Utah, is acting as general counsel to the District</w:t>
      </w:r>
      <w:r w:rsidR="00A3738E">
        <w:rPr>
          <w:rFonts w:cs="Times New Roman"/>
          <w:szCs w:val="22"/>
        </w:rPr>
        <w:t xml:space="preserve">, </w:t>
      </w:r>
      <w:r w:rsidR="00A3738E" w:rsidRPr="00A3738E">
        <w:rPr>
          <w:rFonts w:cs="Times New Roman"/>
          <w:szCs w:val="22"/>
        </w:rPr>
        <w:t xml:space="preserve">and </w:t>
      </w:r>
      <w:r w:rsidR="00A3738E">
        <w:rPr>
          <w:rFonts w:cs="Times New Roman"/>
          <w:szCs w:val="22"/>
        </w:rPr>
        <w:t>[________]</w:t>
      </w:r>
      <w:r w:rsidR="00A3738E" w:rsidRPr="00A3738E">
        <w:rPr>
          <w:rFonts w:cs="Times New Roman"/>
          <w:szCs w:val="22"/>
        </w:rPr>
        <w:t xml:space="preserve"> has served as Municipal Advisor to the District in connection with the issuance of the Bonds.</w:t>
      </w:r>
    </w:p>
    <w:p w14:paraId="0D5CD7DA" w14:textId="4699D134" w:rsidR="0045079E" w:rsidRPr="00DA2177" w:rsidRDefault="003904FF" w:rsidP="00F4280B">
      <w:pPr>
        <w:pStyle w:val="Heading2"/>
        <w:rPr>
          <w:rFonts w:eastAsia="Times New Roman"/>
          <w:sz w:val="22"/>
          <w:szCs w:val="22"/>
        </w:rPr>
      </w:pPr>
      <w:bookmarkStart w:id="43" w:name="_Toc235521030"/>
      <w:r>
        <w:rPr>
          <w:rFonts w:eastAsia="Times New Roman"/>
          <w:sz w:val="22"/>
          <w:szCs w:val="22"/>
        </w:rPr>
        <w:t>Continuing Disclosure Obligation</w:t>
      </w:r>
      <w:bookmarkEnd w:id="43"/>
      <w:r>
        <w:rPr>
          <w:rFonts w:eastAsia="Times New Roman"/>
          <w:sz w:val="22"/>
          <w:szCs w:val="22"/>
        </w:rPr>
        <w:t xml:space="preserve"> </w:t>
      </w:r>
    </w:p>
    <w:p w14:paraId="4E066B58" w14:textId="00E7EDAE" w:rsidR="00554C74" w:rsidRPr="000E5D4E" w:rsidRDefault="00554C74" w:rsidP="00554C74">
      <w:pPr>
        <w:pStyle w:val="00BodyText5"/>
      </w:pPr>
      <w:r>
        <w:t xml:space="preserve">In compliance with </w:t>
      </w:r>
      <w:r w:rsidRPr="000E5D4E">
        <w:t>Securities and Exchange Commission Rule 15c2-12 (17 CFR Part 240, Section 240.15c2-12)</w:t>
      </w:r>
      <w:r>
        <w:t>, t</w:t>
      </w:r>
      <w:r w:rsidRPr="000E5D4E">
        <w:t xml:space="preserve">he District and </w:t>
      </w:r>
      <w:r>
        <w:t>the Developer</w:t>
      </w:r>
      <w:r w:rsidRPr="000E5D4E">
        <w:t xml:space="preserve"> have agreed to obtain and to provide certain information </w:t>
      </w:r>
      <w:r>
        <w:t xml:space="preserve">to the Trustee, as dissemination agent, </w:t>
      </w:r>
      <w:r w:rsidRPr="000E5D4E">
        <w:t xml:space="preserve">on a quarterly and annual basis for dissemination to the Municipal Securities Rulemaking Board via its Electronic Municipal Market Access system. A form of the Continuing Disclosure Agreement setting forth such obligations is attached hereto as </w:t>
      </w:r>
      <w:r>
        <w:t>“</w:t>
      </w:r>
      <w:r w:rsidRPr="000E5D4E">
        <w:t>APPENDIX E—FORM OF CONTINUING DISCLOSURE AGREEMENT.</w:t>
      </w:r>
      <w:r>
        <w:t>”</w:t>
      </w:r>
      <w:r w:rsidRPr="000E5D4E">
        <w:t xml:space="preserve"> See also “MISCELLANEOUS—Agreement to Provide Continuing Disclosure.”</w:t>
      </w:r>
    </w:p>
    <w:p w14:paraId="2915C312" w14:textId="77777777" w:rsidR="0045079E" w:rsidRPr="00DA2177" w:rsidRDefault="003904FF" w:rsidP="00D8144E">
      <w:pPr>
        <w:pStyle w:val="Heading2"/>
        <w:rPr>
          <w:rFonts w:eastAsia="Times New Roman"/>
          <w:sz w:val="22"/>
          <w:szCs w:val="22"/>
        </w:rPr>
      </w:pPr>
      <w:bookmarkStart w:id="44" w:name="_Toc235521031"/>
      <w:r>
        <w:rPr>
          <w:rFonts w:eastAsia="Times New Roman"/>
          <w:sz w:val="22"/>
          <w:szCs w:val="22"/>
        </w:rPr>
        <w:t>Offering and Delivery Information</w:t>
      </w:r>
      <w:bookmarkEnd w:id="44"/>
    </w:p>
    <w:p w14:paraId="4B027024" w14:textId="69040BBF" w:rsidR="006E2701" w:rsidRPr="001337C4" w:rsidRDefault="003904FF" w:rsidP="006E2701">
      <w:pPr>
        <w:pStyle w:val="00BodyText5"/>
        <w:rPr>
          <w:rFonts w:cs="Times New Roman"/>
          <w:szCs w:val="22"/>
        </w:rPr>
      </w:pPr>
      <w:r>
        <w:rPr>
          <w:rFonts w:cs="Times New Roman"/>
          <w:szCs w:val="22"/>
        </w:rPr>
        <w:t>Each purchaser must be a “Qualified Institutional Buyer” as defined under Rule 144A under the Securities Act of 1933, as amended (the “</w:t>
      </w:r>
      <w:r>
        <w:rPr>
          <w:rFonts w:cs="Times New Roman"/>
          <w:b/>
          <w:szCs w:val="22"/>
        </w:rPr>
        <w:t>Securities Act</w:t>
      </w:r>
      <w:r>
        <w:rPr>
          <w:rFonts w:cs="Times New Roman"/>
          <w:szCs w:val="22"/>
        </w:rPr>
        <w:t>”) or an “Accredited Investor” as defined in Rule 501 of Regulation D under the Securities Act (together “</w:t>
      </w:r>
      <w:r>
        <w:rPr>
          <w:rFonts w:cs="Times New Roman"/>
          <w:b/>
          <w:szCs w:val="22"/>
        </w:rPr>
        <w:t>Qualified Investors</w:t>
      </w:r>
      <w:r>
        <w:rPr>
          <w:rFonts w:cs="Times New Roman"/>
          <w:szCs w:val="22"/>
        </w:rPr>
        <w:t xml:space="preserve">”). </w:t>
      </w:r>
    </w:p>
    <w:p w14:paraId="0598A023" w14:textId="6BB7A65C" w:rsidR="002132DB" w:rsidRDefault="003904FF" w:rsidP="002132DB">
      <w:pPr>
        <w:pStyle w:val="00BodyText5"/>
        <w:rPr>
          <w:b/>
          <w:bCs/>
        </w:rPr>
      </w:pPr>
      <w:r>
        <w:rPr>
          <w:rFonts w:cs="Times New Roman"/>
          <w:szCs w:val="22"/>
        </w:rPr>
        <w:t xml:space="preserve">The Bonds are offered when, as, and if issued by the District and accepted by the Underwriter, subject to </w:t>
      </w:r>
      <w:r w:rsidR="00447DF3">
        <w:rPr>
          <w:rFonts w:cs="Times New Roman"/>
          <w:szCs w:val="22"/>
        </w:rPr>
        <w:t xml:space="preserve">an </w:t>
      </w:r>
      <w:r>
        <w:rPr>
          <w:rFonts w:cs="Times New Roman"/>
          <w:szCs w:val="22"/>
        </w:rPr>
        <w:t>approving legal opinion of Bond Counsel, the form of which is set forth in APPENDIX F. It is expected that the Bonds will be available for delivery through the facilities of DTC on or about __________, 2026.</w:t>
      </w:r>
      <w:r w:rsidR="00447DF3">
        <w:rPr>
          <w:rFonts w:cs="Times New Roman"/>
          <w:b/>
          <w:i/>
          <w:szCs w:val="22"/>
          <w:vertAlign w:val="superscript"/>
        </w:rPr>
        <w:footnoteReference w:customMarkFollows="1" w:id="11"/>
        <w:t>*</w:t>
      </w:r>
    </w:p>
    <w:p w14:paraId="1A6F7353" w14:textId="77777777" w:rsidR="00983A52" w:rsidRPr="00983A52" w:rsidRDefault="00983A52" w:rsidP="009566D7">
      <w:pPr>
        <w:pStyle w:val="Heading2"/>
        <w:rPr>
          <w:rFonts w:eastAsia="Times New Roman"/>
          <w:sz w:val="22"/>
          <w:szCs w:val="22"/>
        </w:rPr>
      </w:pPr>
      <w:bookmarkStart w:id="45" w:name="_Toc85780529"/>
      <w:bookmarkStart w:id="46" w:name="_Toc163075721"/>
      <w:bookmarkStart w:id="47" w:name="_Toc235521032"/>
      <w:r>
        <w:rPr>
          <w:rFonts w:eastAsia="Times New Roman"/>
          <w:sz w:val="22"/>
          <w:szCs w:val="22"/>
        </w:rPr>
        <w:t>Debt Ratios</w:t>
      </w:r>
      <w:bookmarkEnd w:id="45"/>
      <w:bookmarkEnd w:id="46"/>
      <w:bookmarkEnd w:id="47"/>
    </w:p>
    <w:p w14:paraId="40A7F5CB" w14:textId="77777777" w:rsidR="00983A52" w:rsidRPr="00983A52" w:rsidRDefault="00983A52" w:rsidP="00983A52">
      <w:pPr>
        <w:keepNext/>
        <w:spacing w:after="120"/>
        <w:ind w:firstLine="720"/>
        <w:jc w:val="both"/>
        <w:rPr>
          <w:rFonts w:eastAsia="Calibri" w:cs="Times New Roman"/>
          <w:sz w:val="22"/>
          <w:szCs w:val="22"/>
        </w:rPr>
      </w:pPr>
      <w:r>
        <w:rPr>
          <w:rFonts w:eastAsia="Calibri" w:cs="Times New Roman"/>
          <w:sz w:val="22"/>
          <w:szCs w:val="22"/>
        </w:rPr>
        <w:t>The following are selected general obligation debt ratios upon issuance and delivery of the Bonds, reflecting the debt and estimated taxable value amounts for the District.</w:t>
      </w:r>
    </w:p>
    <w:tbl>
      <w:tblPr>
        <w:tblW w:w="4615" w:type="pct"/>
        <w:jc w:val="center"/>
        <w:tblLayout w:type="fixed"/>
        <w:tblCellMar>
          <w:left w:w="115" w:type="dxa"/>
          <w:right w:w="115" w:type="dxa"/>
        </w:tblCellMar>
        <w:tblLook w:val="04A0" w:firstRow="1" w:lastRow="0" w:firstColumn="1" w:lastColumn="0" w:noHBand="0" w:noVBand="1"/>
      </w:tblPr>
      <w:tblGrid>
        <w:gridCol w:w="7018"/>
        <w:gridCol w:w="1621"/>
      </w:tblGrid>
      <w:tr w:rsidR="00983A52" w:rsidRPr="00983A52" w14:paraId="22E046F5" w14:textId="77777777" w:rsidTr="00876689">
        <w:trPr>
          <w:jc w:val="center"/>
        </w:trPr>
        <w:tc>
          <w:tcPr>
            <w:tcW w:w="4062" w:type="pct"/>
            <w:vAlign w:val="bottom"/>
          </w:tcPr>
          <w:p w14:paraId="068D40E5" w14:textId="0018F28A" w:rsidR="00983A52" w:rsidRPr="00983A52" w:rsidRDefault="00983A52" w:rsidP="00983A52">
            <w:pPr>
              <w:keepNext/>
              <w:keepLines/>
              <w:tabs>
                <w:tab w:val="right" w:leader="dot" w:pos="7200"/>
              </w:tabs>
              <w:jc w:val="both"/>
              <w:rPr>
                <w:rFonts w:eastAsia="Calibri" w:cs="Times New Roman"/>
                <w:sz w:val="22"/>
                <w:szCs w:val="22"/>
              </w:rPr>
            </w:pPr>
            <w:r>
              <w:rPr>
                <w:rFonts w:eastAsia="Calibri" w:cs="Times New Roman"/>
                <w:sz w:val="22"/>
                <w:szCs w:val="22"/>
              </w:rPr>
              <w:t>202</w:t>
            </w:r>
            <w:r w:rsidR="00FF373A">
              <w:rPr>
                <w:rFonts w:eastAsia="Calibri" w:cs="Times New Roman"/>
                <w:sz w:val="22"/>
                <w:szCs w:val="22"/>
              </w:rPr>
              <w:t>5</w:t>
            </w:r>
            <w:r>
              <w:rPr>
                <w:rFonts w:eastAsia="Calibri" w:cs="Times New Roman"/>
                <w:sz w:val="22"/>
                <w:szCs w:val="22"/>
              </w:rPr>
              <w:t xml:space="preserve"> </w:t>
            </w:r>
            <w:r>
              <w:rPr>
                <w:rFonts w:eastAsia="Calibri" w:cs="Times New Roman"/>
                <w:spacing w:val="-1"/>
                <w:sz w:val="22"/>
                <w:szCs w:val="22"/>
              </w:rPr>
              <w:t>Taxable Value</w:t>
            </w:r>
            <w:r>
              <w:rPr>
                <w:rFonts w:eastAsia="Calibri" w:cs="Times New Roman"/>
                <w:sz w:val="22"/>
                <w:szCs w:val="22"/>
                <w:vertAlign w:val="superscript"/>
              </w:rPr>
              <w:t>1</w:t>
            </w:r>
            <w:r>
              <w:rPr>
                <w:rFonts w:eastAsia="Calibri" w:cs="Times New Roman"/>
                <w:sz w:val="22"/>
                <w:szCs w:val="22"/>
              </w:rPr>
              <w:tab/>
            </w:r>
          </w:p>
        </w:tc>
        <w:tc>
          <w:tcPr>
            <w:tcW w:w="938" w:type="pct"/>
            <w:vAlign w:val="center"/>
          </w:tcPr>
          <w:p w14:paraId="73FF43FD" w14:textId="738D0DB3" w:rsidR="00983A52" w:rsidRPr="00983A52" w:rsidRDefault="00983A52" w:rsidP="00983A52">
            <w:pPr>
              <w:tabs>
                <w:tab w:val="decimal" w:pos="1514"/>
              </w:tabs>
              <w:jc w:val="right"/>
              <w:rPr>
                <w:rFonts w:eastAsia="Calibri" w:cs="Times New Roman"/>
                <w:color w:val="000000"/>
                <w:sz w:val="22"/>
                <w:szCs w:val="22"/>
              </w:rPr>
            </w:pPr>
            <w:r>
              <w:rPr>
                <w:rFonts w:eastAsia="Calibri" w:cs="Times New Roman"/>
                <w:color w:val="000000"/>
                <w:sz w:val="22"/>
                <w:szCs w:val="22"/>
              </w:rPr>
              <w:t xml:space="preserve">$[_______] </w:t>
            </w:r>
          </w:p>
        </w:tc>
      </w:tr>
      <w:tr w:rsidR="00983A52" w:rsidRPr="00983A52" w14:paraId="2DDB02E0" w14:textId="77777777" w:rsidTr="00876689">
        <w:trPr>
          <w:jc w:val="center"/>
        </w:trPr>
        <w:tc>
          <w:tcPr>
            <w:tcW w:w="4062" w:type="pct"/>
            <w:vAlign w:val="bottom"/>
          </w:tcPr>
          <w:p w14:paraId="110EFD33" w14:textId="74696E2F" w:rsidR="00983A52" w:rsidRPr="00983A52" w:rsidRDefault="00983A52" w:rsidP="00983A52">
            <w:pPr>
              <w:keepNext/>
              <w:keepLines/>
              <w:tabs>
                <w:tab w:val="right" w:leader="dot" w:pos="7200"/>
              </w:tabs>
              <w:jc w:val="both"/>
              <w:rPr>
                <w:rFonts w:eastAsia="Calibri" w:cs="Times New Roman"/>
                <w:sz w:val="22"/>
                <w:szCs w:val="22"/>
              </w:rPr>
            </w:pPr>
            <w:r>
              <w:rPr>
                <w:rFonts w:eastAsia="Calibri" w:cs="Times New Roman"/>
                <w:spacing w:val="-1"/>
                <w:sz w:val="22"/>
                <w:szCs w:val="22"/>
              </w:rPr>
              <w:t>G</w:t>
            </w:r>
            <w:r>
              <w:rPr>
                <w:rFonts w:eastAsia="Calibri" w:cs="Times New Roman"/>
                <w:sz w:val="22"/>
                <w:szCs w:val="22"/>
              </w:rPr>
              <w:t>e</w:t>
            </w:r>
            <w:r>
              <w:rPr>
                <w:rFonts w:eastAsia="Calibri" w:cs="Times New Roman"/>
                <w:spacing w:val="1"/>
                <w:sz w:val="22"/>
                <w:szCs w:val="22"/>
              </w:rPr>
              <w:t>ner</w:t>
            </w:r>
            <w:r>
              <w:rPr>
                <w:rFonts w:eastAsia="Calibri" w:cs="Times New Roman"/>
                <w:spacing w:val="-2"/>
                <w:sz w:val="22"/>
                <w:szCs w:val="22"/>
              </w:rPr>
              <w:t>a</w:t>
            </w:r>
            <w:r>
              <w:rPr>
                <w:rFonts w:eastAsia="Calibri" w:cs="Times New Roman"/>
                <w:sz w:val="22"/>
                <w:szCs w:val="22"/>
              </w:rPr>
              <w:t>l</w:t>
            </w:r>
            <w:r>
              <w:rPr>
                <w:rFonts w:eastAsia="Calibri" w:cs="Times New Roman"/>
                <w:spacing w:val="1"/>
                <w:sz w:val="22"/>
                <w:szCs w:val="22"/>
              </w:rPr>
              <w:t xml:space="preserve"> </w:t>
            </w:r>
            <w:r>
              <w:rPr>
                <w:rFonts w:eastAsia="Calibri" w:cs="Times New Roman"/>
                <w:spacing w:val="-1"/>
                <w:sz w:val="22"/>
                <w:szCs w:val="22"/>
              </w:rPr>
              <w:t>O</w:t>
            </w:r>
            <w:r>
              <w:rPr>
                <w:rFonts w:eastAsia="Calibri" w:cs="Times New Roman"/>
                <w:sz w:val="22"/>
                <w:szCs w:val="22"/>
              </w:rPr>
              <w:t>b</w:t>
            </w:r>
            <w:r>
              <w:rPr>
                <w:rFonts w:eastAsia="Calibri" w:cs="Times New Roman"/>
                <w:spacing w:val="-1"/>
                <w:sz w:val="22"/>
                <w:szCs w:val="22"/>
              </w:rPr>
              <w:t>l</w:t>
            </w:r>
            <w:r>
              <w:rPr>
                <w:rFonts w:eastAsia="Calibri" w:cs="Times New Roman"/>
                <w:spacing w:val="1"/>
                <w:sz w:val="22"/>
                <w:szCs w:val="22"/>
              </w:rPr>
              <w:t>i</w:t>
            </w:r>
            <w:r>
              <w:rPr>
                <w:rFonts w:eastAsia="Calibri" w:cs="Times New Roman"/>
                <w:spacing w:val="-2"/>
                <w:sz w:val="22"/>
                <w:szCs w:val="22"/>
              </w:rPr>
              <w:t>g</w:t>
            </w:r>
            <w:r>
              <w:rPr>
                <w:rFonts w:eastAsia="Calibri" w:cs="Times New Roman"/>
                <w:sz w:val="22"/>
                <w:szCs w:val="22"/>
              </w:rPr>
              <w:t>a</w:t>
            </w:r>
            <w:r>
              <w:rPr>
                <w:rFonts w:eastAsia="Calibri" w:cs="Times New Roman"/>
                <w:spacing w:val="-1"/>
                <w:sz w:val="22"/>
                <w:szCs w:val="22"/>
              </w:rPr>
              <w:t>t</w:t>
            </w:r>
            <w:r>
              <w:rPr>
                <w:rFonts w:eastAsia="Calibri" w:cs="Times New Roman"/>
                <w:spacing w:val="1"/>
                <w:sz w:val="22"/>
                <w:szCs w:val="22"/>
              </w:rPr>
              <w:t>i</w:t>
            </w:r>
            <w:r>
              <w:rPr>
                <w:rFonts w:eastAsia="Calibri" w:cs="Times New Roman"/>
                <w:sz w:val="22"/>
                <w:szCs w:val="22"/>
              </w:rPr>
              <w:t>on</w:t>
            </w:r>
            <w:r>
              <w:rPr>
                <w:rFonts w:eastAsia="Calibri" w:cs="Times New Roman"/>
                <w:spacing w:val="1"/>
                <w:sz w:val="22"/>
                <w:szCs w:val="22"/>
              </w:rPr>
              <w:t xml:space="preserve"> </w:t>
            </w:r>
            <w:r>
              <w:rPr>
                <w:rFonts w:eastAsia="Calibri" w:cs="Times New Roman"/>
                <w:spacing w:val="-1"/>
                <w:sz w:val="22"/>
                <w:szCs w:val="22"/>
              </w:rPr>
              <w:t>D</w:t>
            </w:r>
            <w:r>
              <w:rPr>
                <w:rFonts w:eastAsia="Calibri" w:cs="Times New Roman"/>
                <w:spacing w:val="1"/>
                <w:sz w:val="22"/>
                <w:szCs w:val="22"/>
              </w:rPr>
              <w:t>e</w:t>
            </w:r>
            <w:r>
              <w:rPr>
                <w:rFonts w:eastAsia="Calibri" w:cs="Times New Roman"/>
                <w:spacing w:val="-2"/>
                <w:sz w:val="22"/>
                <w:szCs w:val="22"/>
              </w:rPr>
              <w:t>b</w:t>
            </w:r>
            <w:r>
              <w:rPr>
                <w:rFonts w:eastAsia="Calibri" w:cs="Times New Roman"/>
                <w:sz w:val="22"/>
                <w:szCs w:val="22"/>
              </w:rPr>
              <w:t>t</w:t>
            </w:r>
            <w:r>
              <w:rPr>
                <w:rFonts w:eastAsia="Calibri" w:cs="Times New Roman"/>
                <w:spacing w:val="1"/>
                <w:sz w:val="22"/>
                <w:szCs w:val="22"/>
              </w:rPr>
              <w:t xml:space="preserve"> </w:t>
            </w:r>
            <w:r>
              <w:rPr>
                <w:rFonts w:eastAsia="Calibri" w:cs="Times New Roman"/>
                <w:spacing w:val="-3"/>
                <w:sz w:val="22"/>
                <w:szCs w:val="22"/>
              </w:rPr>
              <w:t>O</w:t>
            </w:r>
            <w:r>
              <w:rPr>
                <w:rFonts w:eastAsia="Calibri" w:cs="Times New Roman"/>
                <w:sz w:val="22"/>
                <w:szCs w:val="22"/>
              </w:rPr>
              <w:t>u</w:t>
            </w:r>
            <w:r>
              <w:rPr>
                <w:rFonts w:eastAsia="Calibri" w:cs="Times New Roman"/>
                <w:spacing w:val="1"/>
                <w:sz w:val="22"/>
                <w:szCs w:val="22"/>
              </w:rPr>
              <w:t>t</w:t>
            </w:r>
            <w:r>
              <w:rPr>
                <w:rFonts w:eastAsia="Calibri" w:cs="Times New Roman"/>
                <w:spacing w:val="-2"/>
                <w:sz w:val="22"/>
                <w:szCs w:val="22"/>
              </w:rPr>
              <w:t>s</w:t>
            </w:r>
            <w:r>
              <w:rPr>
                <w:rFonts w:eastAsia="Calibri" w:cs="Times New Roman"/>
                <w:spacing w:val="1"/>
                <w:sz w:val="22"/>
                <w:szCs w:val="22"/>
              </w:rPr>
              <w:t>ta</w:t>
            </w:r>
            <w:r>
              <w:rPr>
                <w:rFonts w:eastAsia="Calibri" w:cs="Times New Roman"/>
                <w:sz w:val="22"/>
                <w:szCs w:val="22"/>
              </w:rPr>
              <w:t>n</w:t>
            </w:r>
            <w:r>
              <w:rPr>
                <w:rFonts w:eastAsia="Calibri" w:cs="Times New Roman"/>
                <w:spacing w:val="-2"/>
                <w:sz w:val="22"/>
                <w:szCs w:val="22"/>
              </w:rPr>
              <w:t>d</w:t>
            </w:r>
            <w:r>
              <w:rPr>
                <w:rFonts w:eastAsia="Calibri" w:cs="Times New Roman"/>
                <w:spacing w:val="1"/>
                <w:sz w:val="22"/>
                <w:szCs w:val="22"/>
              </w:rPr>
              <w:t>i</w:t>
            </w:r>
            <w:r>
              <w:rPr>
                <w:rFonts w:eastAsia="Calibri" w:cs="Times New Roman"/>
                <w:sz w:val="22"/>
                <w:szCs w:val="22"/>
              </w:rPr>
              <w:t>ng</w:t>
            </w:r>
            <w:r>
              <w:rPr>
                <w:rFonts w:eastAsia="Calibri" w:cs="Times New Roman"/>
                <w:spacing w:val="-2"/>
                <w:sz w:val="22"/>
                <w:szCs w:val="22"/>
              </w:rPr>
              <w:t xml:space="preserve"> </w:t>
            </w:r>
            <w:r>
              <w:rPr>
                <w:rFonts w:eastAsia="Calibri" w:cs="Times New Roman"/>
                <w:spacing w:val="-1"/>
                <w:sz w:val="22"/>
                <w:szCs w:val="22"/>
              </w:rPr>
              <w:t>U</w:t>
            </w:r>
            <w:r>
              <w:rPr>
                <w:rFonts w:eastAsia="Calibri" w:cs="Times New Roman"/>
                <w:sz w:val="22"/>
                <w:szCs w:val="22"/>
              </w:rPr>
              <w:t xml:space="preserve">pon </w:t>
            </w:r>
            <w:r>
              <w:rPr>
                <w:rFonts w:eastAsia="Calibri" w:cs="Times New Roman"/>
                <w:spacing w:val="-4"/>
                <w:sz w:val="22"/>
                <w:szCs w:val="22"/>
              </w:rPr>
              <w:t>I</w:t>
            </w:r>
            <w:r>
              <w:rPr>
                <w:rFonts w:eastAsia="Calibri" w:cs="Times New Roman"/>
                <w:spacing w:val="1"/>
                <w:sz w:val="22"/>
                <w:szCs w:val="22"/>
              </w:rPr>
              <w:t>ss</w:t>
            </w:r>
            <w:r>
              <w:rPr>
                <w:rFonts w:eastAsia="Calibri" w:cs="Times New Roman"/>
                <w:sz w:val="22"/>
                <w:szCs w:val="22"/>
              </w:rPr>
              <w:t>u</w:t>
            </w:r>
            <w:r>
              <w:rPr>
                <w:rFonts w:eastAsia="Calibri" w:cs="Times New Roman"/>
                <w:spacing w:val="1"/>
                <w:sz w:val="22"/>
                <w:szCs w:val="22"/>
              </w:rPr>
              <w:t>a</w:t>
            </w:r>
            <w:r>
              <w:rPr>
                <w:rFonts w:eastAsia="Calibri" w:cs="Times New Roman"/>
                <w:sz w:val="22"/>
                <w:szCs w:val="22"/>
              </w:rPr>
              <w:t>nce</w:t>
            </w:r>
            <w:r>
              <w:rPr>
                <w:rFonts w:eastAsia="Calibri" w:cs="Times New Roman"/>
                <w:spacing w:val="1"/>
                <w:sz w:val="22"/>
                <w:szCs w:val="22"/>
              </w:rPr>
              <w:t xml:space="preserve"> </w:t>
            </w:r>
            <w:r>
              <w:rPr>
                <w:rFonts w:eastAsia="Calibri" w:cs="Times New Roman"/>
                <w:spacing w:val="-2"/>
                <w:sz w:val="22"/>
                <w:szCs w:val="22"/>
              </w:rPr>
              <w:t>o</w:t>
            </w:r>
            <w:r>
              <w:rPr>
                <w:rFonts w:eastAsia="Calibri" w:cs="Times New Roman"/>
                <w:sz w:val="22"/>
                <w:szCs w:val="22"/>
              </w:rPr>
              <w:t>f</w:t>
            </w:r>
            <w:r>
              <w:rPr>
                <w:rFonts w:eastAsia="Calibri" w:cs="Times New Roman"/>
                <w:spacing w:val="1"/>
                <w:sz w:val="22"/>
                <w:szCs w:val="22"/>
              </w:rPr>
              <w:t xml:space="preserve"> t</w:t>
            </w:r>
            <w:r>
              <w:rPr>
                <w:rFonts w:eastAsia="Calibri" w:cs="Times New Roman"/>
                <w:spacing w:val="-2"/>
                <w:sz w:val="22"/>
                <w:szCs w:val="22"/>
              </w:rPr>
              <w:t>h</w:t>
            </w:r>
            <w:r>
              <w:rPr>
                <w:rFonts w:eastAsia="Calibri" w:cs="Times New Roman"/>
                <w:sz w:val="22"/>
                <w:szCs w:val="22"/>
              </w:rPr>
              <w:t>e</w:t>
            </w:r>
            <w:r>
              <w:rPr>
                <w:rFonts w:eastAsia="Calibri" w:cs="Times New Roman"/>
                <w:spacing w:val="1"/>
                <w:sz w:val="22"/>
                <w:szCs w:val="22"/>
              </w:rPr>
              <w:t xml:space="preserve"> Bonds</w:t>
            </w:r>
            <w:r>
              <w:rPr>
                <w:rFonts w:eastAsia="Calibri" w:cs="Times New Roman"/>
                <w:sz w:val="22"/>
                <w:szCs w:val="22"/>
                <w:vertAlign w:val="superscript"/>
              </w:rPr>
              <w:t>1, *</w:t>
            </w:r>
            <w:r>
              <w:rPr>
                <w:rFonts w:eastAsia="Calibri" w:cs="Times New Roman"/>
                <w:sz w:val="22"/>
                <w:szCs w:val="22"/>
              </w:rPr>
              <w:tab/>
            </w:r>
          </w:p>
        </w:tc>
        <w:tc>
          <w:tcPr>
            <w:tcW w:w="938" w:type="pct"/>
            <w:vAlign w:val="center"/>
          </w:tcPr>
          <w:p w14:paraId="071438FD" w14:textId="6C28C7FC" w:rsidR="00983A52" w:rsidRPr="00983A52" w:rsidRDefault="00983A52" w:rsidP="00983A52">
            <w:pPr>
              <w:tabs>
                <w:tab w:val="decimal" w:pos="1514"/>
              </w:tabs>
              <w:jc w:val="right"/>
              <w:rPr>
                <w:rFonts w:eastAsia="Calibri" w:cs="Times New Roman"/>
                <w:color w:val="000000"/>
                <w:sz w:val="22"/>
                <w:szCs w:val="22"/>
              </w:rPr>
            </w:pPr>
            <w:r>
              <w:rPr>
                <w:rFonts w:eastAsia="Calibri" w:cs="Times New Roman"/>
                <w:color w:val="000000"/>
                <w:sz w:val="22"/>
                <w:szCs w:val="22"/>
              </w:rPr>
              <w:t>$[</w:t>
            </w:r>
            <w:r w:rsidR="00813E5B">
              <w:rPr>
                <w:rFonts w:eastAsia="Calibri" w:cs="Times New Roman"/>
                <w:color w:val="000000"/>
                <w:sz w:val="22"/>
                <w:szCs w:val="22"/>
              </w:rPr>
              <w:t>________]</w:t>
            </w:r>
            <w:r>
              <w:rPr>
                <w:rFonts w:eastAsia="Calibri" w:cs="Times New Roman"/>
                <w:color w:val="000000"/>
                <w:sz w:val="22"/>
                <w:szCs w:val="22"/>
              </w:rPr>
              <w:t xml:space="preserve"> </w:t>
            </w:r>
          </w:p>
        </w:tc>
      </w:tr>
      <w:tr w:rsidR="00983A52" w:rsidRPr="00983A52" w14:paraId="016AC309" w14:textId="77777777" w:rsidTr="00876689">
        <w:trPr>
          <w:jc w:val="center"/>
        </w:trPr>
        <w:tc>
          <w:tcPr>
            <w:tcW w:w="4062" w:type="pct"/>
            <w:vAlign w:val="bottom"/>
          </w:tcPr>
          <w:p w14:paraId="460A115C" w14:textId="35F6E0E5" w:rsidR="00983A52" w:rsidRPr="00983A52" w:rsidRDefault="00983A52" w:rsidP="00983A52">
            <w:pPr>
              <w:keepNext/>
              <w:keepLines/>
              <w:tabs>
                <w:tab w:val="right" w:leader="dot" w:pos="7200"/>
              </w:tabs>
              <w:jc w:val="both"/>
              <w:rPr>
                <w:rFonts w:eastAsia="Calibri" w:cs="Times New Roman"/>
                <w:spacing w:val="-1"/>
                <w:sz w:val="22"/>
                <w:szCs w:val="22"/>
              </w:rPr>
            </w:pPr>
            <w:r>
              <w:rPr>
                <w:rFonts w:eastAsia="Calibri" w:cs="Times New Roman"/>
                <w:spacing w:val="-1"/>
                <w:sz w:val="22"/>
                <w:szCs w:val="22"/>
              </w:rPr>
              <w:t>District’s</w:t>
            </w:r>
            <w:r>
              <w:rPr>
                <w:rFonts w:eastAsia="Calibri" w:cs="Times New Roman"/>
                <w:spacing w:val="1"/>
                <w:sz w:val="22"/>
                <w:szCs w:val="22"/>
              </w:rPr>
              <w:t xml:space="preserve"> </w:t>
            </w:r>
            <w:r>
              <w:rPr>
                <w:rFonts w:eastAsia="Calibri" w:cs="Times New Roman"/>
                <w:spacing w:val="-1"/>
                <w:sz w:val="22"/>
                <w:szCs w:val="22"/>
              </w:rPr>
              <w:t>D</w:t>
            </w:r>
            <w:r>
              <w:rPr>
                <w:rFonts w:eastAsia="Calibri" w:cs="Times New Roman"/>
                <w:sz w:val="22"/>
                <w:szCs w:val="22"/>
              </w:rPr>
              <w:t>e</w:t>
            </w:r>
            <w:r>
              <w:rPr>
                <w:rFonts w:eastAsia="Calibri" w:cs="Times New Roman"/>
                <w:spacing w:val="-2"/>
                <w:sz w:val="22"/>
                <w:szCs w:val="22"/>
              </w:rPr>
              <w:t>b</w:t>
            </w:r>
            <w:r>
              <w:rPr>
                <w:rFonts w:eastAsia="Calibri" w:cs="Times New Roman"/>
                <w:sz w:val="22"/>
                <w:szCs w:val="22"/>
              </w:rPr>
              <w:t>t</w:t>
            </w:r>
            <w:r>
              <w:rPr>
                <w:rFonts w:eastAsia="Calibri" w:cs="Times New Roman"/>
                <w:spacing w:val="1"/>
                <w:sz w:val="22"/>
                <w:szCs w:val="22"/>
              </w:rPr>
              <w:t xml:space="preserve"> </w:t>
            </w:r>
            <w:r>
              <w:rPr>
                <w:rFonts w:eastAsia="Calibri" w:cs="Times New Roman"/>
                <w:spacing w:val="-2"/>
                <w:sz w:val="22"/>
                <w:szCs w:val="22"/>
              </w:rPr>
              <w:t>a</w:t>
            </w:r>
            <w:r>
              <w:rPr>
                <w:rFonts w:eastAsia="Calibri" w:cs="Times New Roman"/>
                <w:sz w:val="22"/>
                <w:szCs w:val="22"/>
              </w:rPr>
              <w:t>s</w:t>
            </w:r>
            <w:r>
              <w:rPr>
                <w:rFonts w:eastAsia="Calibri" w:cs="Times New Roman"/>
                <w:spacing w:val="1"/>
                <w:sz w:val="22"/>
                <w:szCs w:val="22"/>
              </w:rPr>
              <w:t xml:space="preserve"> </w:t>
            </w:r>
            <w:r>
              <w:rPr>
                <w:rFonts w:eastAsia="Calibri" w:cs="Times New Roman"/>
                <w:sz w:val="22"/>
                <w:szCs w:val="22"/>
              </w:rPr>
              <w:t>a</w:t>
            </w:r>
            <w:r>
              <w:rPr>
                <w:rFonts w:eastAsia="Calibri" w:cs="Times New Roman"/>
                <w:spacing w:val="1"/>
                <w:sz w:val="22"/>
                <w:szCs w:val="22"/>
              </w:rPr>
              <w:t xml:space="preserve"> </w:t>
            </w:r>
            <w:r>
              <w:rPr>
                <w:rFonts w:eastAsia="Calibri" w:cs="Times New Roman"/>
                <w:spacing w:val="-1"/>
                <w:sz w:val="22"/>
                <w:szCs w:val="22"/>
              </w:rPr>
              <w:t>R</w:t>
            </w:r>
            <w:r>
              <w:rPr>
                <w:rFonts w:eastAsia="Calibri" w:cs="Times New Roman"/>
                <w:spacing w:val="-2"/>
                <w:sz w:val="22"/>
                <w:szCs w:val="22"/>
              </w:rPr>
              <w:t>a</w:t>
            </w:r>
            <w:r>
              <w:rPr>
                <w:rFonts w:eastAsia="Calibri" w:cs="Times New Roman"/>
                <w:spacing w:val="1"/>
                <w:sz w:val="22"/>
                <w:szCs w:val="22"/>
              </w:rPr>
              <w:t>ti</w:t>
            </w:r>
            <w:r>
              <w:rPr>
                <w:rFonts w:eastAsia="Calibri" w:cs="Times New Roman"/>
                <w:sz w:val="22"/>
                <w:szCs w:val="22"/>
              </w:rPr>
              <w:t>o</w:t>
            </w:r>
            <w:r>
              <w:rPr>
                <w:rFonts w:eastAsia="Calibri" w:cs="Times New Roman"/>
                <w:spacing w:val="-2"/>
                <w:sz w:val="22"/>
                <w:szCs w:val="22"/>
              </w:rPr>
              <w:t xml:space="preserve"> </w:t>
            </w:r>
            <w:r>
              <w:rPr>
                <w:rFonts w:eastAsia="Calibri" w:cs="Times New Roman"/>
                <w:sz w:val="22"/>
                <w:szCs w:val="22"/>
              </w:rPr>
              <w:t>o</w:t>
            </w:r>
            <w:r>
              <w:rPr>
                <w:rFonts w:eastAsia="Calibri" w:cs="Times New Roman"/>
                <w:spacing w:val="-2"/>
                <w:sz w:val="22"/>
                <w:szCs w:val="22"/>
              </w:rPr>
              <w:t>f 202</w:t>
            </w:r>
            <w:r w:rsidR="00FF373A">
              <w:rPr>
                <w:rFonts w:eastAsia="Calibri" w:cs="Times New Roman"/>
                <w:spacing w:val="-2"/>
                <w:sz w:val="22"/>
                <w:szCs w:val="22"/>
              </w:rPr>
              <w:t>5</w:t>
            </w:r>
            <w:r>
              <w:rPr>
                <w:rFonts w:eastAsia="Calibri" w:cs="Times New Roman"/>
                <w:spacing w:val="-2"/>
                <w:sz w:val="22"/>
                <w:szCs w:val="22"/>
              </w:rPr>
              <w:t xml:space="preserve"> Taxable Value</w:t>
            </w:r>
            <w:r>
              <w:rPr>
                <w:rFonts w:eastAsia="Calibri" w:cs="Times New Roman"/>
                <w:spacing w:val="-2"/>
                <w:sz w:val="22"/>
                <w:szCs w:val="22"/>
                <w:vertAlign w:val="superscript"/>
              </w:rPr>
              <w:t xml:space="preserve"> 2, *</w:t>
            </w:r>
            <w:r>
              <w:rPr>
                <w:rFonts w:eastAsia="Calibri" w:cs="Times New Roman"/>
                <w:sz w:val="22"/>
                <w:szCs w:val="22"/>
              </w:rPr>
              <w:t>:</w:t>
            </w:r>
          </w:p>
        </w:tc>
        <w:tc>
          <w:tcPr>
            <w:tcW w:w="938" w:type="pct"/>
            <w:vAlign w:val="center"/>
          </w:tcPr>
          <w:p w14:paraId="0B48C2ED" w14:textId="7CE62AF1" w:rsidR="00983A52" w:rsidRPr="00983A52" w:rsidRDefault="00EE7E78" w:rsidP="00983A52">
            <w:pPr>
              <w:tabs>
                <w:tab w:val="decimal" w:pos="1514"/>
              </w:tabs>
              <w:jc w:val="right"/>
              <w:rPr>
                <w:rFonts w:eastAsia="Calibri" w:cs="Times New Roman"/>
                <w:color w:val="000000"/>
                <w:sz w:val="22"/>
                <w:szCs w:val="22"/>
              </w:rPr>
            </w:pPr>
            <w:r>
              <w:rPr>
                <w:rFonts w:eastAsia="Calibri" w:cs="Times New Roman"/>
                <w:color w:val="000000"/>
                <w:sz w:val="22"/>
                <w:szCs w:val="22"/>
              </w:rPr>
              <w:t>[_____]%</w:t>
            </w:r>
          </w:p>
        </w:tc>
      </w:tr>
      <w:tr w:rsidR="00983A52" w:rsidRPr="00983A52" w14:paraId="789B9640" w14:textId="77777777" w:rsidTr="00876689">
        <w:trPr>
          <w:jc w:val="center"/>
        </w:trPr>
        <w:tc>
          <w:tcPr>
            <w:tcW w:w="4062" w:type="pct"/>
            <w:vAlign w:val="bottom"/>
          </w:tcPr>
          <w:p w14:paraId="77C8E7F0" w14:textId="7EB87452" w:rsidR="00983A52" w:rsidRPr="00983A52" w:rsidRDefault="00983A52" w:rsidP="00983A52">
            <w:pPr>
              <w:keepNext/>
              <w:keepLines/>
              <w:tabs>
                <w:tab w:val="right" w:leader="dot" w:pos="7200"/>
              </w:tabs>
              <w:jc w:val="both"/>
              <w:rPr>
                <w:rFonts w:eastAsia="Calibri" w:cs="Times New Roman"/>
                <w:spacing w:val="-1"/>
                <w:sz w:val="22"/>
                <w:szCs w:val="22"/>
              </w:rPr>
            </w:pPr>
            <w:r>
              <w:rPr>
                <w:rFonts w:eastAsia="Calibri" w:cs="Times New Roman"/>
                <w:spacing w:val="-1"/>
                <w:sz w:val="22"/>
                <w:szCs w:val="22"/>
              </w:rPr>
              <w:t>E</w:t>
            </w:r>
            <w:r>
              <w:rPr>
                <w:rFonts w:eastAsia="Calibri" w:cs="Times New Roman"/>
                <w:spacing w:val="1"/>
                <w:sz w:val="22"/>
                <w:szCs w:val="22"/>
              </w:rPr>
              <w:t>sti</w:t>
            </w:r>
            <w:r>
              <w:rPr>
                <w:rFonts w:eastAsia="Calibri" w:cs="Times New Roman"/>
                <w:spacing w:val="-4"/>
                <w:sz w:val="22"/>
                <w:szCs w:val="22"/>
              </w:rPr>
              <w:t>m</w:t>
            </w:r>
            <w:r>
              <w:rPr>
                <w:rFonts w:eastAsia="Calibri" w:cs="Times New Roman"/>
                <w:spacing w:val="1"/>
                <w:sz w:val="22"/>
                <w:szCs w:val="22"/>
              </w:rPr>
              <w:t>ate</w:t>
            </w:r>
            <w:r>
              <w:rPr>
                <w:rFonts w:eastAsia="Calibri" w:cs="Times New Roman"/>
                <w:sz w:val="22"/>
                <w:szCs w:val="22"/>
              </w:rPr>
              <w:t xml:space="preserve">d </w:t>
            </w:r>
            <w:r>
              <w:rPr>
                <w:rFonts w:eastAsia="Calibri" w:cs="Times New Roman"/>
                <w:spacing w:val="-1"/>
                <w:sz w:val="22"/>
                <w:szCs w:val="22"/>
              </w:rPr>
              <w:t>O</w:t>
            </w:r>
            <w:r>
              <w:rPr>
                <w:rFonts w:eastAsia="Calibri" w:cs="Times New Roman"/>
                <w:spacing w:val="-2"/>
                <w:sz w:val="22"/>
                <w:szCs w:val="22"/>
              </w:rPr>
              <w:t>v</w:t>
            </w:r>
            <w:r>
              <w:rPr>
                <w:rFonts w:eastAsia="Calibri" w:cs="Times New Roman"/>
                <w:spacing w:val="1"/>
                <w:sz w:val="22"/>
                <w:szCs w:val="22"/>
              </w:rPr>
              <w:t>e</w:t>
            </w:r>
            <w:r>
              <w:rPr>
                <w:rFonts w:eastAsia="Calibri" w:cs="Times New Roman"/>
                <w:spacing w:val="-1"/>
                <w:sz w:val="22"/>
                <w:szCs w:val="22"/>
              </w:rPr>
              <w:t>r</w:t>
            </w:r>
            <w:r>
              <w:rPr>
                <w:rFonts w:eastAsia="Calibri" w:cs="Times New Roman"/>
                <w:spacing w:val="1"/>
                <w:sz w:val="22"/>
                <w:szCs w:val="22"/>
              </w:rPr>
              <w:t>la</w:t>
            </w:r>
            <w:r>
              <w:rPr>
                <w:rFonts w:eastAsia="Calibri" w:cs="Times New Roman"/>
                <w:sz w:val="22"/>
                <w:szCs w:val="22"/>
              </w:rPr>
              <w:t>p</w:t>
            </w:r>
            <w:r>
              <w:rPr>
                <w:rFonts w:eastAsia="Calibri" w:cs="Times New Roman"/>
                <w:spacing w:val="-2"/>
                <w:sz w:val="22"/>
                <w:szCs w:val="22"/>
              </w:rPr>
              <w:t>p</w:t>
            </w:r>
            <w:r>
              <w:rPr>
                <w:rFonts w:eastAsia="Calibri" w:cs="Times New Roman"/>
                <w:spacing w:val="1"/>
                <w:sz w:val="22"/>
                <w:szCs w:val="22"/>
              </w:rPr>
              <w:t>i</w:t>
            </w:r>
            <w:r>
              <w:rPr>
                <w:rFonts w:eastAsia="Calibri" w:cs="Times New Roman"/>
                <w:sz w:val="22"/>
                <w:szCs w:val="22"/>
              </w:rPr>
              <w:t>ng</w:t>
            </w:r>
            <w:r>
              <w:rPr>
                <w:rFonts w:eastAsia="Calibri" w:cs="Times New Roman"/>
                <w:spacing w:val="-2"/>
                <w:sz w:val="22"/>
                <w:szCs w:val="22"/>
              </w:rPr>
              <w:t xml:space="preserve"> </w:t>
            </w:r>
            <w:r>
              <w:rPr>
                <w:rFonts w:eastAsia="Calibri" w:cs="Times New Roman"/>
                <w:spacing w:val="-1"/>
                <w:sz w:val="22"/>
                <w:szCs w:val="22"/>
              </w:rPr>
              <w:t>G</w:t>
            </w:r>
            <w:r>
              <w:rPr>
                <w:rFonts w:eastAsia="Calibri" w:cs="Times New Roman"/>
                <w:sz w:val="22"/>
                <w:szCs w:val="22"/>
              </w:rPr>
              <w:t>e</w:t>
            </w:r>
            <w:r>
              <w:rPr>
                <w:rFonts w:eastAsia="Calibri" w:cs="Times New Roman"/>
                <w:spacing w:val="-2"/>
                <w:sz w:val="22"/>
                <w:szCs w:val="22"/>
              </w:rPr>
              <w:t>n</w:t>
            </w:r>
            <w:r>
              <w:rPr>
                <w:rFonts w:eastAsia="Calibri" w:cs="Times New Roman"/>
                <w:sz w:val="22"/>
                <w:szCs w:val="22"/>
              </w:rPr>
              <w:t>e</w:t>
            </w:r>
            <w:r>
              <w:rPr>
                <w:rFonts w:eastAsia="Calibri" w:cs="Times New Roman"/>
                <w:spacing w:val="1"/>
                <w:sz w:val="22"/>
                <w:szCs w:val="22"/>
              </w:rPr>
              <w:t>r</w:t>
            </w:r>
            <w:r>
              <w:rPr>
                <w:rFonts w:eastAsia="Calibri" w:cs="Times New Roman"/>
                <w:spacing w:val="-2"/>
                <w:sz w:val="22"/>
                <w:szCs w:val="22"/>
              </w:rPr>
              <w:t>a</w:t>
            </w:r>
            <w:r>
              <w:rPr>
                <w:rFonts w:eastAsia="Calibri" w:cs="Times New Roman"/>
                <w:sz w:val="22"/>
                <w:szCs w:val="22"/>
              </w:rPr>
              <w:t>l</w:t>
            </w:r>
            <w:r>
              <w:rPr>
                <w:rFonts w:eastAsia="Calibri" w:cs="Times New Roman"/>
                <w:spacing w:val="1"/>
                <w:sz w:val="22"/>
                <w:szCs w:val="22"/>
              </w:rPr>
              <w:t xml:space="preserve"> </w:t>
            </w:r>
            <w:r>
              <w:rPr>
                <w:rFonts w:eastAsia="Calibri" w:cs="Times New Roman"/>
                <w:spacing w:val="-1"/>
                <w:sz w:val="22"/>
                <w:szCs w:val="22"/>
              </w:rPr>
              <w:t>O</w:t>
            </w:r>
            <w:r>
              <w:rPr>
                <w:rFonts w:eastAsia="Calibri" w:cs="Times New Roman"/>
                <w:sz w:val="22"/>
                <w:szCs w:val="22"/>
              </w:rPr>
              <w:t>b</w:t>
            </w:r>
            <w:r>
              <w:rPr>
                <w:rFonts w:eastAsia="Calibri" w:cs="Times New Roman"/>
                <w:spacing w:val="-2"/>
                <w:sz w:val="22"/>
                <w:szCs w:val="22"/>
              </w:rPr>
              <w:t>l</w:t>
            </w:r>
            <w:r>
              <w:rPr>
                <w:rFonts w:eastAsia="Calibri" w:cs="Times New Roman"/>
                <w:spacing w:val="1"/>
                <w:sz w:val="22"/>
                <w:szCs w:val="22"/>
              </w:rPr>
              <w:t>i</w:t>
            </w:r>
            <w:r>
              <w:rPr>
                <w:rFonts w:eastAsia="Calibri" w:cs="Times New Roman"/>
                <w:spacing w:val="-2"/>
                <w:sz w:val="22"/>
                <w:szCs w:val="22"/>
              </w:rPr>
              <w:t>g</w:t>
            </w:r>
            <w:r>
              <w:rPr>
                <w:rFonts w:eastAsia="Calibri" w:cs="Times New Roman"/>
                <w:spacing w:val="1"/>
                <w:sz w:val="22"/>
                <w:szCs w:val="22"/>
              </w:rPr>
              <w:t>ati</w:t>
            </w:r>
            <w:r>
              <w:rPr>
                <w:rFonts w:eastAsia="Calibri" w:cs="Times New Roman"/>
                <w:spacing w:val="-2"/>
                <w:sz w:val="22"/>
                <w:szCs w:val="22"/>
              </w:rPr>
              <w:t>o</w:t>
            </w:r>
            <w:r>
              <w:rPr>
                <w:rFonts w:eastAsia="Calibri" w:cs="Times New Roman"/>
                <w:sz w:val="22"/>
                <w:szCs w:val="22"/>
              </w:rPr>
              <w:t xml:space="preserve">n </w:t>
            </w:r>
            <w:r>
              <w:rPr>
                <w:rFonts w:eastAsia="Calibri" w:cs="Times New Roman"/>
                <w:spacing w:val="-1"/>
                <w:sz w:val="22"/>
                <w:szCs w:val="22"/>
              </w:rPr>
              <w:t>D</w:t>
            </w:r>
            <w:r>
              <w:rPr>
                <w:rFonts w:eastAsia="Calibri" w:cs="Times New Roman"/>
                <w:sz w:val="22"/>
                <w:szCs w:val="22"/>
              </w:rPr>
              <w:t>e</w:t>
            </w:r>
            <w:r>
              <w:rPr>
                <w:rFonts w:eastAsia="Calibri" w:cs="Times New Roman"/>
                <w:spacing w:val="1"/>
                <w:sz w:val="22"/>
                <w:szCs w:val="22"/>
              </w:rPr>
              <w:t>b</w:t>
            </w:r>
            <w:r>
              <w:rPr>
                <w:rFonts w:eastAsia="Calibri" w:cs="Times New Roman"/>
                <w:sz w:val="22"/>
                <w:szCs w:val="22"/>
              </w:rPr>
              <w:t>t</w:t>
            </w:r>
            <w:r>
              <w:rPr>
                <w:rFonts w:eastAsia="Calibri" w:cs="Times New Roman"/>
                <w:sz w:val="22"/>
                <w:szCs w:val="22"/>
                <w:vertAlign w:val="superscript"/>
              </w:rPr>
              <w:t>1, 2</w:t>
            </w:r>
            <w:r>
              <w:rPr>
                <w:rFonts w:eastAsia="Calibri" w:cs="Times New Roman"/>
                <w:sz w:val="22"/>
                <w:szCs w:val="22"/>
              </w:rPr>
              <w:tab/>
            </w:r>
          </w:p>
        </w:tc>
        <w:tc>
          <w:tcPr>
            <w:tcW w:w="938" w:type="pct"/>
            <w:vAlign w:val="center"/>
          </w:tcPr>
          <w:p w14:paraId="7176E0D1" w14:textId="0AB9E058" w:rsidR="00983A52" w:rsidRPr="00983A52" w:rsidRDefault="00983A52" w:rsidP="00983A52">
            <w:pPr>
              <w:tabs>
                <w:tab w:val="decimal" w:pos="1514"/>
              </w:tabs>
              <w:jc w:val="right"/>
              <w:rPr>
                <w:rFonts w:eastAsia="Calibri" w:cs="Times New Roman"/>
                <w:color w:val="000000"/>
                <w:sz w:val="22"/>
                <w:szCs w:val="22"/>
              </w:rPr>
            </w:pPr>
            <w:r>
              <w:rPr>
                <w:rFonts w:eastAsia="Calibri" w:cs="Times New Roman"/>
                <w:color w:val="000000"/>
                <w:sz w:val="22"/>
                <w:szCs w:val="22"/>
              </w:rPr>
              <w:t xml:space="preserve">$[_______] </w:t>
            </w:r>
          </w:p>
        </w:tc>
      </w:tr>
      <w:tr w:rsidR="00983A52" w:rsidRPr="00983A52" w14:paraId="54F93C93" w14:textId="77777777" w:rsidTr="00876689">
        <w:trPr>
          <w:jc w:val="center"/>
        </w:trPr>
        <w:tc>
          <w:tcPr>
            <w:tcW w:w="4062" w:type="pct"/>
            <w:vAlign w:val="bottom"/>
          </w:tcPr>
          <w:p w14:paraId="03E01DD9" w14:textId="77777777" w:rsidR="00983A52" w:rsidRPr="00983A52" w:rsidRDefault="00983A52" w:rsidP="00983A52">
            <w:pPr>
              <w:keepNext/>
              <w:keepLines/>
              <w:tabs>
                <w:tab w:val="right" w:leader="dot" w:pos="7200"/>
              </w:tabs>
              <w:jc w:val="both"/>
              <w:rPr>
                <w:rFonts w:eastAsia="Calibri" w:cs="Times New Roman"/>
                <w:spacing w:val="-1"/>
                <w:sz w:val="22"/>
                <w:szCs w:val="22"/>
              </w:rPr>
            </w:pPr>
            <w:r>
              <w:rPr>
                <w:rFonts w:eastAsia="Calibri" w:cs="Times New Roman"/>
                <w:sz w:val="22"/>
                <w:szCs w:val="22"/>
              </w:rPr>
              <w:t>Sum</w:t>
            </w:r>
            <w:r>
              <w:rPr>
                <w:rFonts w:eastAsia="Calibri" w:cs="Times New Roman"/>
                <w:spacing w:val="-3"/>
                <w:sz w:val="22"/>
                <w:szCs w:val="22"/>
              </w:rPr>
              <w:t xml:space="preserve"> </w:t>
            </w:r>
            <w:r>
              <w:rPr>
                <w:rFonts w:eastAsia="Calibri" w:cs="Times New Roman"/>
                <w:sz w:val="22"/>
                <w:szCs w:val="22"/>
              </w:rPr>
              <w:t>of</w:t>
            </w:r>
            <w:r>
              <w:rPr>
                <w:rFonts w:eastAsia="Calibri" w:cs="Times New Roman"/>
                <w:spacing w:val="1"/>
                <w:sz w:val="22"/>
                <w:szCs w:val="22"/>
              </w:rPr>
              <w:t xml:space="preserve"> </w:t>
            </w:r>
            <w:r>
              <w:rPr>
                <w:rFonts w:eastAsia="Calibri" w:cs="Times New Roman"/>
                <w:spacing w:val="-1"/>
                <w:sz w:val="22"/>
                <w:szCs w:val="22"/>
              </w:rPr>
              <w:t>D</w:t>
            </w:r>
            <w:r>
              <w:rPr>
                <w:rFonts w:eastAsia="Calibri" w:cs="Times New Roman"/>
                <w:spacing w:val="1"/>
                <w:sz w:val="22"/>
                <w:szCs w:val="22"/>
              </w:rPr>
              <w:t>ist</w:t>
            </w:r>
            <w:r>
              <w:rPr>
                <w:rFonts w:eastAsia="Calibri" w:cs="Times New Roman"/>
                <w:spacing w:val="-2"/>
                <w:sz w:val="22"/>
                <w:szCs w:val="22"/>
              </w:rPr>
              <w:t>r</w:t>
            </w:r>
            <w:r>
              <w:rPr>
                <w:rFonts w:eastAsia="Calibri" w:cs="Times New Roman"/>
                <w:spacing w:val="1"/>
                <w:sz w:val="22"/>
                <w:szCs w:val="22"/>
              </w:rPr>
              <w:t>i</w:t>
            </w:r>
            <w:r>
              <w:rPr>
                <w:rFonts w:eastAsia="Calibri" w:cs="Times New Roman"/>
                <w:spacing w:val="-2"/>
                <w:sz w:val="22"/>
                <w:szCs w:val="22"/>
              </w:rPr>
              <w:t>c</w:t>
            </w:r>
            <w:r>
              <w:rPr>
                <w:rFonts w:eastAsia="Calibri" w:cs="Times New Roman"/>
                <w:sz w:val="22"/>
                <w:szCs w:val="22"/>
              </w:rPr>
              <w:t>t</w:t>
            </w:r>
            <w:r>
              <w:rPr>
                <w:rFonts w:eastAsia="Calibri" w:cs="Times New Roman"/>
                <w:spacing w:val="1"/>
                <w:sz w:val="22"/>
                <w:szCs w:val="22"/>
              </w:rPr>
              <w:t xml:space="preserve"> a</w:t>
            </w:r>
            <w:r>
              <w:rPr>
                <w:rFonts w:eastAsia="Calibri" w:cs="Times New Roman"/>
                <w:sz w:val="22"/>
                <w:szCs w:val="22"/>
              </w:rPr>
              <w:t xml:space="preserve">nd </w:t>
            </w:r>
            <w:r>
              <w:rPr>
                <w:rFonts w:eastAsia="Calibri" w:cs="Times New Roman"/>
                <w:spacing w:val="-1"/>
                <w:sz w:val="22"/>
                <w:szCs w:val="22"/>
              </w:rPr>
              <w:t>O</w:t>
            </w:r>
            <w:r>
              <w:rPr>
                <w:rFonts w:eastAsia="Calibri" w:cs="Times New Roman"/>
                <w:spacing w:val="-3"/>
                <w:sz w:val="22"/>
                <w:szCs w:val="22"/>
              </w:rPr>
              <w:t>v</w:t>
            </w:r>
            <w:r>
              <w:rPr>
                <w:rFonts w:eastAsia="Calibri" w:cs="Times New Roman"/>
                <w:spacing w:val="1"/>
                <w:sz w:val="22"/>
                <w:szCs w:val="22"/>
              </w:rPr>
              <w:t>e</w:t>
            </w:r>
            <w:r>
              <w:rPr>
                <w:rFonts w:eastAsia="Calibri" w:cs="Times New Roman"/>
                <w:spacing w:val="-2"/>
                <w:sz w:val="22"/>
                <w:szCs w:val="22"/>
              </w:rPr>
              <w:t>r</w:t>
            </w:r>
            <w:r>
              <w:rPr>
                <w:rFonts w:eastAsia="Calibri" w:cs="Times New Roman"/>
                <w:spacing w:val="1"/>
                <w:sz w:val="22"/>
                <w:szCs w:val="22"/>
              </w:rPr>
              <w:t>l</w:t>
            </w:r>
            <w:r>
              <w:rPr>
                <w:rFonts w:eastAsia="Calibri" w:cs="Times New Roman"/>
                <w:spacing w:val="-2"/>
                <w:sz w:val="22"/>
                <w:szCs w:val="22"/>
              </w:rPr>
              <w:t>a</w:t>
            </w:r>
            <w:r>
              <w:rPr>
                <w:rFonts w:eastAsia="Calibri" w:cs="Times New Roman"/>
                <w:sz w:val="22"/>
                <w:szCs w:val="22"/>
              </w:rPr>
              <w:t>pp</w:t>
            </w:r>
            <w:r>
              <w:rPr>
                <w:rFonts w:eastAsia="Calibri" w:cs="Times New Roman"/>
                <w:spacing w:val="1"/>
                <w:sz w:val="22"/>
                <w:szCs w:val="22"/>
              </w:rPr>
              <w:t>i</w:t>
            </w:r>
            <w:r>
              <w:rPr>
                <w:rFonts w:eastAsia="Calibri" w:cs="Times New Roman"/>
                <w:sz w:val="22"/>
                <w:szCs w:val="22"/>
              </w:rPr>
              <w:t>ng</w:t>
            </w:r>
            <w:r>
              <w:rPr>
                <w:rFonts w:eastAsia="Calibri" w:cs="Times New Roman"/>
                <w:spacing w:val="-2"/>
                <w:sz w:val="22"/>
                <w:szCs w:val="22"/>
              </w:rPr>
              <w:t xml:space="preserve"> </w:t>
            </w:r>
            <w:r>
              <w:rPr>
                <w:rFonts w:eastAsia="Calibri" w:cs="Times New Roman"/>
                <w:spacing w:val="-1"/>
                <w:sz w:val="22"/>
                <w:szCs w:val="22"/>
              </w:rPr>
              <w:t>D</w:t>
            </w:r>
            <w:r>
              <w:rPr>
                <w:rFonts w:eastAsia="Calibri" w:cs="Times New Roman"/>
                <w:sz w:val="22"/>
                <w:szCs w:val="22"/>
              </w:rPr>
              <w:t>e</w:t>
            </w:r>
            <w:r>
              <w:rPr>
                <w:rFonts w:eastAsia="Calibri" w:cs="Times New Roman"/>
                <w:spacing w:val="1"/>
                <w:sz w:val="22"/>
                <w:szCs w:val="22"/>
              </w:rPr>
              <w:t>b</w:t>
            </w:r>
            <w:r>
              <w:rPr>
                <w:rFonts w:eastAsia="Calibri" w:cs="Times New Roman"/>
                <w:sz w:val="22"/>
                <w:szCs w:val="22"/>
              </w:rPr>
              <w:t>t</w:t>
            </w:r>
            <w:r>
              <w:rPr>
                <w:rFonts w:eastAsia="Calibri" w:cs="Times New Roman"/>
                <w:sz w:val="22"/>
                <w:szCs w:val="22"/>
                <w:vertAlign w:val="superscript"/>
              </w:rPr>
              <w:t>*</w:t>
            </w:r>
            <w:r>
              <w:rPr>
                <w:rFonts w:eastAsia="Calibri" w:cs="Times New Roman"/>
                <w:sz w:val="22"/>
                <w:szCs w:val="22"/>
              </w:rPr>
              <w:tab/>
            </w:r>
          </w:p>
        </w:tc>
        <w:tc>
          <w:tcPr>
            <w:tcW w:w="938" w:type="pct"/>
            <w:vAlign w:val="center"/>
          </w:tcPr>
          <w:p w14:paraId="47E5C667" w14:textId="766B87B6" w:rsidR="00983A52" w:rsidRPr="00983A52" w:rsidRDefault="00983A52" w:rsidP="00983A52">
            <w:pPr>
              <w:tabs>
                <w:tab w:val="decimal" w:pos="1514"/>
              </w:tabs>
              <w:jc w:val="right"/>
              <w:rPr>
                <w:rFonts w:eastAsia="Calibri" w:cs="Times New Roman"/>
                <w:color w:val="000000"/>
                <w:sz w:val="22"/>
                <w:szCs w:val="22"/>
              </w:rPr>
            </w:pPr>
            <w:r>
              <w:rPr>
                <w:rFonts w:eastAsia="Calibri" w:cs="Times New Roman"/>
                <w:color w:val="000000"/>
                <w:sz w:val="22"/>
                <w:szCs w:val="22"/>
              </w:rPr>
              <w:t xml:space="preserve">$[_______] </w:t>
            </w:r>
          </w:p>
        </w:tc>
      </w:tr>
      <w:tr w:rsidR="00983A52" w:rsidRPr="00983A52" w14:paraId="3FC71E49" w14:textId="77777777" w:rsidTr="00876689">
        <w:trPr>
          <w:jc w:val="center"/>
        </w:trPr>
        <w:tc>
          <w:tcPr>
            <w:tcW w:w="4062" w:type="pct"/>
            <w:vAlign w:val="bottom"/>
          </w:tcPr>
          <w:p w14:paraId="7895C777" w14:textId="19268454" w:rsidR="00983A52" w:rsidRPr="00983A52" w:rsidRDefault="00983A52" w:rsidP="00983A52">
            <w:pPr>
              <w:keepNext/>
              <w:keepLines/>
              <w:tabs>
                <w:tab w:val="right" w:leader="dot" w:pos="7200"/>
              </w:tabs>
              <w:jc w:val="both"/>
              <w:rPr>
                <w:rFonts w:eastAsia="Calibri" w:cs="Times New Roman"/>
                <w:spacing w:val="-1"/>
                <w:sz w:val="22"/>
                <w:szCs w:val="22"/>
              </w:rPr>
            </w:pPr>
            <w:r>
              <w:rPr>
                <w:rFonts w:eastAsia="Calibri" w:cs="Times New Roman"/>
                <w:spacing w:val="-1"/>
                <w:sz w:val="22"/>
                <w:szCs w:val="22"/>
              </w:rPr>
              <w:t>D</w:t>
            </w:r>
            <w:r>
              <w:rPr>
                <w:rFonts w:eastAsia="Calibri" w:cs="Times New Roman"/>
                <w:spacing w:val="1"/>
                <w:sz w:val="22"/>
                <w:szCs w:val="22"/>
              </w:rPr>
              <w:t>is</w:t>
            </w:r>
            <w:r>
              <w:rPr>
                <w:rFonts w:eastAsia="Calibri" w:cs="Times New Roman"/>
                <w:spacing w:val="-1"/>
                <w:sz w:val="22"/>
                <w:szCs w:val="22"/>
              </w:rPr>
              <w:t>t</w:t>
            </w:r>
            <w:r>
              <w:rPr>
                <w:rFonts w:eastAsia="Calibri" w:cs="Times New Roman"/>
                <w:spacing w:val="1"/>
                <w:sz w:val="22"/>
                <w:szCs w:val="22"/>
              </w:rPr>
              <w:t>ri</w:t>
            </w:r>
            <w:r>
              <w:rPr>
                <w:rFonts w:eastAsia="Calibri" w:cs="Times New Roman"/>
                <w:spacing w:val="-2"/>
                <w:sz w:val="22"/>
                <w:szCs w:val="22"/>
              </w:rPr>
              <w:t>c</w:t>
            </w:r>
            <w:r>
              <w:rPr>
                <w:rFonts w:eastAsia="Calibri" w:cs="Times New Roman"/>
                <w:sz w:val="22"/>
                <w:szCs w:val="22"/>
              </w:rPr>
              <w:t>t</w:t>
            </w:r>
            <w:r>
              <w:rPr>
                <w:rFonts w:eastAsia="Calibri" w:cs="Times New Roman"/>
                <w:spacing w:val="1"/>
                <w:sz w:val="22"/>
                <w:szCs w:val="22"/>
              </w:rPr>
              <w:t xml:space="preserve"> </w:t>
            </w:r>
            <w:r>
              <w:rPr>
                <w:rFonts w:eastAsia="Calibri" w:cs="Times New Roman"/>
                <w:spacing w:val="-2"/>
                <w:sz w:val="22"/>
                <w:szCs w:val="22"/>
              </w:rPr>
              <w:t>a</w:t>
            </w:r>
            <w:r>
              <w:rPr>
                <w:rFonts w:eastAsia="Calibri" w:cs="Times New Roman"/>
                <w:sz w:val="22"/>
                <w:szCs w:val="22"/>
              </w:rPr>
              <w:t>nd</w:t>
            </w:r>
            <w:r>
              <w:rPr>
                <w:rFonts w:eastAsia="Calibri" w:cs="Times New Roman"/>
                <w:spacing w:val="1"/>
                <w:sz w:val="22"/>
                <w:szCs w:val="22"/>
              </w:rPr>
              <w:t xml:space="preserve"> </w:t>
            </w:r>
            <w:r>
              <w:rPr>
                <w:rFonts w:eastAsia="Calibri" w:cs="Times New Roman"/>
                <w:spacing w:val="-1"/>
                <w:sz w:val="22"/>
                <w:szCs w:val="22"/>
              </w:rPr>
              <w:t>O</w:t>
            </w:r>
            <w:r>
              <w:rPr>
                <w:rFonts w:eastAsia="Calibri" w:cs="Times New Roman"/>
                <w:spacing w:val="-2"/>
                <w:sz w:val="22"/>
                <w:szCs w:val="22"/>
              </w:rPr>
              <w:t>v</w:t>
            </w:r>
            <w:r>
              <w:rPr>
                <w:rFonts w:eastAsia="Calibri" w:cs="Times New Roman"/>
                <w:sz w:val="22"/>
                <w:szCs w:val="22"/>
              </w:rPr>
              <w:t>e</w:t>
            </w:r>
            <w:r>
              <w:rPr>
                <w:rFonts w:eastAsia="Calibri" w:cs="Times New Roman"/>
                <w:spacing w:val="1"/>
                <w:sz w:val="22"/>
                <w:szCs w:val="22"/>
              </w:rPr>
              <w:t>rl</w:t>
            </w:r>
            <w:r>
              <w:rPr>
                <w:rFonts w:eastAsia="Calibri" w:cs="Times New Roman"/>
                <w:spacing w:val="-2"/>
                <w:sz w:val="22"/>
                <w:szCs w:val="22"/>
              </w:rPr>
              <w:t>a</w:t>
            </w:r>
            <w:r>
              <w:rPr>
                <w:rFonts w:eastAsia="Calibri" w:cs="Times New Roman"/>
                <w:sz w:val="22"/>
                <w:szCs w:val="22"/>
              </w:rPr>
              <w:t>pp</w:t>
            </w:r>
            <w:r>
              <w:rPr>
                <w:rFonts w:eastAsia="Calibri" w:cs="Times New Roman"/>
                <w:spacing w:val="1"/>
                <w:sz w:val="22"/>
                <w:szCs w:val="22"/>
              </w:rPr>
              <w:t>i</w:t>
            </w:r>
            <w:r>
              <w:rPr>
                <w:rFonts w:eastAsia="Calibri" w:cs="Times New Roman"/>
                <w:sz w:val="22"/>
                <w:szCs w:val="22"/>
              </w:rPr>
              <w:t>ng</w:t>
            </w:r>
            <w:r>
              <w:rPr>
                <w:rFonts w:eastAsia="Calibri" w:cs="Times New Roman"/>
                <w:spacing w:val="-2"/>
                <w:sz w:val="22"/>
                <w:szCs w:val="22"/>
              </w:rPr>
              <w:t xml:space="preserve"> </w:t>
            </w:r>
            <w:r>
              <w:rPr>
                <w:rFonts w:eastAsia="Calibri" w:cs="Times New Roman"/>
                <w:spacing w:val="-1"/>
                <w:sz w:val="22"/>
                <w:szCs w:val="22"/>
              </w:rPr>
              <w:t>D</w:t>
            </w:r>
            <w:r>
              <w:rPr>
                <w:rFonts w:eastAsia="Calibri" w:cs="Times New Roman"/>
                <w:sz w:val="22"/>
                <w:szCs w:val="22"/>
              </w:rPr>
              <w:t>ebt</w:t>
            </w:r>
            <w:r>
              <w:rPr>
                <w:rFonts w:eastAsia="Calibri" w:cs="Times New Roman"/>
                <w:spacing w:val="2"/>
                <w:sz w:val="22"/>
                <w:szCs w:val="22"/>
              </w:rPr>
              <w:t xml:space="preserve"> </w:t>
            </w:r>
            <w:r>
              <w:rPr>
                <w:rFonts w:eastAsia="Calibri" w:cs="Times New Roman"/>
                <w:spacing w:val="-2"/>
                <w:sz w:val="22"/>
                <w:szCs w:val="22"/>
              </w:rPr>
              <w:t>a</w:t>
            </w:r>
            <w:r>
              <w:rPr>
                <w:rFonts w:eastAsia="Calibri" w:cs="Times New Roman"/>
                <w:sz w:val="22"/>
                <w:szCs w:val="22"/>
              </w:rPr>
              <w:t>s</w:t>
            </w:r>
            <w:r>
              <w:rPr>
                <w:rFonts w:eastAsia="Calibri" w:cs="Times New Roman"/>
                <w:spacing w:val="1"/>
                <w:sz w:val="22"/>
                <w:szCs w:val="22"/>
              </w:rPr>
              <w:t xml:space="preserve"> </w:t>
            </w:r>
            <w:r>
              <w:rPr>
                <w:rFonts w:eastAsia="Calibri" w:cs="Times New Roman"/>
                <w:sz w:val="22"/>
                <w:szCs w:val="22"/>
              </w:rPr>
              <w:t>a</w:t>
            </w:r>
            <w:r>
              <w:rPr>
                <w:rFonts w:eastAsia="Calibri" w:cs="Times New Roman"/>
                <w:spacing w:val="1"/>
                <w:sz w:val="22"/>
                <w:szCs w:val="22"/>
              </w:rPr>
              <w:t xml:space="preserve"> </w:t>
            </w:r>
            <w:r>
              <w:rPr>
                <w:rFonts w:eastAsia="Calibri" w:cs="Times New Roman"/>
                <w:spacing w:val="-1"/>
                <w:sz w:val="22"/>
                <w:szCs w:val="22"/>
              </w:rPr>
              <w:t>R</w:t>
            </w:r>
            <w:r>
              <w:rPr>
                <w:rFonts w:eastAsia="Calibri" w:cs="Times New Roman"/>
                <w:spacing w:val="-2"/>
                <w:sz w:val="22"/>
                <w:szCs w:val="22"/>
              </w:rPr>
              <w:t>a</w:t>
            </w:r>
            <w:r>
              <w:rPr>
                <w:rFonts w:eastAsia="Calibri" w:cs="Times New Roman"/>
                <w:spacing w:val="1"/>
                <w:sz w:val="22"/>
                <w:szCs w:val="22"/>
              </w:rPr>
              <w:t>t</w:t>
            </w:r>
            <w:r>
              <w:rPr>
                <w:rFonts w:eastAsia="Calibri" w:cs="Times New Roman"/>
                <w:spacing w:val="-1"/>
                <w:sz w:val="22"/>
                <w:szCs w:val="22"/>
              </w:rPr>
              <w:t>i</w:t>
            </w:r>
            <w:r>
              <w:rPr>
                <w:rFonts w:eastAsia="Calibri" w:cs="Times New Roman"/>
                <w:sz w:val="22"/>
                <w:szCs w:val="22"/>
              </w:rPr>
              <w:t>o o</w:t>
            </w:r>
            <w:r>
              <w:rPr>
                <w:rFonts w:eastAsia="Calibri" w:cs="Times New Roman"/>
                <w:spacing w:val="-1"/>
                <w:sz w:val="22"/>
                <w:szCs w:val="22"/>
              </w:rPr>
              <w:t>f 202</w:t>
            </w:r>
            <w:r w:rsidR="00FF373A">
              <w:rPr>
                <w:rFonts w:eastAsia="Calibri" w:cs="Times New Roman"/>
                <w:spacing w:val="-1"/>
                <w:sz w:val="22"/>
                <w:szCs w:val="22"/>
              </w:rPr>
              <w:t>5</w:t>
            </w:r>
            <w:r>
              <w:rPr>
                <w:rFonts w:eastAsia="Calibri" w:cs="Times New Roman"/>
                <w:spacing w:val="-1"/>
                <w:sz w:val="22"/>
                <w:szCs w:val="22"/>
              </w:rPr>
              <w:t xml:space="preserve"> Taxable Value</w:t>
            </w:r>
            <w:r>
              <w:rPr>
                <w:rFonts w:eastAsia="Calibri" w:cs="Times New Roman"/>
                <w:spacing w:val="-1"/>
                <w:sz w:val="22"/>
                <w:szCs w:val="22"/>
                <w:vertAlign w:val="superscript"/>
              </w:rPr>
              <w:t>(2), *</w:t>
            </w:r>
          </w:p>
        </w:tc>
        <w:tc>
          <w:tcPr>
            <w:tcW w:w="938" w:type="pct"/>
            <w:vAlign w:val="center"/>
          </w:tcPr>
          <w:p w14:paraId="251207EF" w14:textId="0D7E3570" w:rsidR="00983A52" w:rsidRPr="00983A52" w:rsidRDefault="00EE7E78" w:rsidP="00983A52">
            <w:pPr>
              <w:jc w:val="right"/>
              <w:rPr>
                <w:rFonts w:eastAsia="Calibri" w:cs="Times New Roman"/>
                <w:color w:val="000000"/>
                <w:sz w:val="22"/>
                <w:szCs w:val="22"/>
              </w:rPr>
            </w:pPr>
            <w:r>
              <w:rPr>
                <w:rFonts w:eastAsia="Calibri" w:cs="Times New Roman"/>
                <w:color w:val="000000"/>
                <w:sz w:val="22"/>
                <w:szCs w:val="22"/>
              </w:rPr>
              <w:t>[_____]%</w:t>
            </w:r>
          </w:p>
        </w:tc>
      </w:tr>
    </w:tbl>
    <w:p w14:paraId="54E1B4C7" w14:textId="77777777" w:rsidR="00983A52" w:rsidRPr="00983A52" w:rsidRDefault="00983A52" w:rsidP="00983A52">
      <w:pPr>
        <w:keepNext/>
        <w:tabs>
          <w:tab w:val="right" w:pos="2880"/>
        </w:tabs>
        <w:rPr>
          <w:rFonts w:eastAsia="Calibri" w:cs="Times New Roman"/>
          <w:sz w:val="22"/>
          <w:szCs w:val="22"/>
          <w:u w:val="single"/>
        </w:rPr>
      </w:pPr>
      <w:r>
        <w:rPr>
          <w:rFonts w:eastAsia="Calibri" w:cs="Times New Roman"/>
          <w:sz w:val="22"/>
          <w:szCs w:val="22"/>
          <w:u w:val="single"/>
        </w:rPr>
        <w:tab/>
      </w:r>
    </w:p>
    <w:p w14:paraId="71E12376" w14:textId="77777777" w:rsidR="00983A52" w:rsidRPr="00983A52" w:rsidRDefault="00983A52" w:rsidP="00983A52">
      <w:pPr>
        <w:keepNext/>
        <w:jc w:val="both"/>
        <w:rPr>
          <w:rFonts w:eastAsia="Calibri" w:cs="Times New Roman"/>
          <w:szCs w:val="20"/>
        </w:rPr>
      </w:pPr>
      <w:r>
        <w:rPr>
          <w:rFonts w:eastAsia="Calibri" w:cs="Times New Roman"/>
          <w:szCs w:val="20"/>
          <w:vertAlign w:val="superscript"/>
        </w:rPr>
        <w:t>*</w:t>
      </w:r>
      <w:r>
        <w:rPr>
          <w:rFonts w:eastAsia="Calibri" w:cs="Times New Roman"/>
          <w:szCs w:val="20"/>
        </w:rPr>
        <w:t xml:space="preserve"> </w:t>
      </w:r>
      <w:r>
        <w:rPr>
          <w:rFonts w:eastAsia="Calibri" w:cs="Times New Roman"/>
          <w:szCs w:val="20"/>
        </w:rPr>
        <w:tab/>
        <w:t>Preliminary; subject to change.</w:t>
      </w:r>
    </w:p>
    <w:p w14:paraId="651A58A8" w14:textId="6AB2B1FC" w:rsidR="00983A52" w:rsidRPr="00983A52" w:rsidRDefault="00983A52" w:rsidP="00983A52">
      <w:pPr>
        <w:ind w:left="720" w:hanging="720"/>
        <w:jc w:val="both"/>
        <w:rPr>
          <w:rFonts w:eastAsia="Calibri" w:cs="Times New Roman"/>
          <w:szCs w:val="20"/>
        </w:rPr>
      </w:pPr>
      <w:r>
        <w:rPr>
          <w:rFonts w:eastAsia="Calibri" w:cs="Times New Roman"/>
          <w:szCs w:val="20"/>
          <w:vertAlign w:val="superscript"/>
        </w:rPr>
        <w:t>1</w:t>
      </w:r>
      <w:r>
        <w:rPr>
          <w:rFonts w:eastAsia="Calibri" w:cs="Times New Roman"/>
          <w:szCs w:val="20"/>
        </w:rPr>
        <w:t xml:space="preserve"> </w:t>
      </w:r>
      <w:r>
        <w:rPr>
          <w:rFonts w:eastAsia="Calibri" w:cs="Times New Roman"/>
          <w:szCs w:val="20"/>
        </w:rPr>
        <w:tab/>
        <w:t xml:space="preserve">For definitions of and descriptions of the methodology used in computing taxable value, general obligation debt outstanding, and estimated overlapping general obligation debt, see “FINANCIAL INFORMATION” and “DEBT STRUCTURE.” </w:t>
      </w:r>
      <w:r w:rsidR="00A7104C">
        <w:rPr>
          <w:rFonts w:eastAsia="Calibri" w:cs="Times New Roman"/>
          <w:szCs w:val="20"/>
        </w:rPr>
        <w:t>[</w:t>
      </w:r>
      <w:r>
        <w:rPr>
          <w:rFonts w:eastAsia="Calibri" w:cs="Times New Roman"/>
          <w:szCs w:val="20"/>
        </w:rPr>
        <w:t>The foregoing calculation includes the total taxable value of certain parcels that are partially within the District. Taxable value of the property within the District in future years will only include those portions of the foregoing parcels that are actually located within the District.</w:t>
      </w:r>
      <w:r w:rsidR="00A7104C">
        <w:rPr>
          <w:rFonts w:eastAsia="Calibri" w:cs="Times New Roman"/>
          <w:szCs w:val="20"/>
        </w:rPr>
        <w:t>]</w:t>
      </w:r>
    </w:p>
    <w:p w14:paraId="3EC8095C" w14:textId="43E03174" w:rsidR="00983A52" w:rsidRPr="00983A52" w:rsidRDefault="00983A52" w:rsidP="00983A52">
      <w:pPr>
        <w:ind w:left="720" w:hanging="720"/>
        <w:jc w:val="both"/>
        <w:rPr>
          <w:rFonts w:eastAsia="Calibri" w:cs="Times New Roman"/>
          <w:szCs w:val="20"/>
        </w:rPr>
      </w:pPr>
      <w:r>
        <w:rPr>
          <w:rFonts w:eastAsia="Calibri" w:cs="Times New Roman"/>
          <w:szCs w:val="20"/>
          <w:vertAlign w:val="superscript"/>
        </w:rPr>
        <w:t>2</w:t>
      </w:r>
      <w:r>
        <w:rPr>
          <w:rFonts w:eastAsia="Calibri" w:cs="Times New Roman"/>
          <w:szCs w:val="20"/>
        </w:rPr>
        <w:tab/>
        <w:t xml:space="preserve"> Represents the combined estimated net amounts of overlapping general obligation debt chargeable to the properties in the District (as estimated based on estimated taxable value of the District).</w:t>
      </w:r>
    </w:p>
    <w:p w14:paraId="1B1BF095" w14:textId="77777777" w:rsidR="00983A52" w:rsidRPr="00983A52" w:rsidRDefault="00983A52" w:rsidP="00983A52">
      <w:pPr>
        <w:spacing w:after="240"/>
        <w:jc w:val="both"/>
        <w:rPr>
          <w:rFonts w:eastAsia="Calibri" w:cs="Times New Roman"/>
          <w:szCs w:val="20"/>
        </w:rPr>
      </w:pPr>
      <w:r>
        <w:rPr>
          <w:rFonts w:eastAsia="Calibri" w:cs="Times New Roman"/>
          <w:szCs w:val="20"/>
        </w:rPr>
        <w:t>(Sources: County Assessor’s Office, the District, and official statements and/or financial statements overlapping entities.)</w:t>
      </w:r>
    </w:p>
    <w:p w14:paraId="5BB44BF1" w14:textId="77777777" w:rsidR="0045079E" w:rsidRPr="00DA2177" w:rsidRDefault="003904FF" w:rsidP="00714E4F">
      <w:pPr>
        <w:pStyle w:val="Heading2"/>
        <w:keepLines/>
        <w:rPr>
          <w:rFonts w:eastAsia="Times New Roman"/>
          <w:sz w:val="22"/>
          <w:szCs w:val="22"/>
        </w:rPr>
      </w:pPr>
      <w:bookmarkStart w:id="48" w:name="_Toc235521033"/>
      <w:r>
        <w:rPr>
          <w:rFonts w:eastAsia="Times New Roman"/>
          <w:sz w:val="22"/>
          <w:szCs w:val="22"/>
        </w:rPr>
        <w:t>Additional Information</w:t>
      </w:r>
      <w:bookmarkEnd w:id="48"/>
      <w:r>
        <w:rPr>
          <w:rFonts w:eastAsia="Times New Roman"/>
          <w:sz w:val="22"/>
          <w:szCs w:val="22"/>
        </w:rPr>
        <w:t xml:space="preserve"> </w:t>
      </w:r>
    </w:p>
    <w:p w14:paraId="34A86536" w14:textId="59BD1A4C" w:rsidR="00652602" w:rsidRPr="00DA2177" w:rsidRDefault="00652602" w:rsidP="00714E4F">
      <w:pPr>
        <w:pStyle w:val="00BodyText5"/>
        <w:keepNext/>
        <w:keepLines/>
        <w:rPr>
          <w:rFonts w:cs="Times New Roman"/>
          <w:szCs w:val="22"/>
        </w:rPr>
      </w:pPr>
      <w:r>
        <w:rPr>
          <w:rFonts w:cs="Times New Roman"/>
          <w:szCs w:val="22"/>
        </w:rPr>
        <w:t xml:space="preserve">ALL OF THE SUMMARIES OF THE STATUTES, RESOLUTIONS, INDENTURES, OPINIONS, COVENANTS, DECLARATIONS, CONTRACTS, AND AGREEMENTS DESCRIBED IN THIS OFFICIAL STATEMENT ARE SUBJECT TO THE ACTUAL PROVISIONS OF SUCH DOCUMENTS. The summaries do not purport to be complete statements of such provisions and reference is made to such documents, copies of which are either publicly available or available upon request and the payment of a reasonable copying, mailing, and handling charge from, as applicable: </w:t>
      </w:r>
    </w:p>
    <w:p w14:paraId="6BC8BB9D" w14:textId="77777777" w:rsidR="00685EE8" w:rsidRDefault="00685EE8" w:rsidP="00075775">
      <w:pPr>
        <w:keepNext/>
        <w:jc w:val="center"/>
        <w:rPr>
          <w:rFonts w:cs="Times New Roman"/>
          <w:sz w:val="22"/>
          <w:szCs w:val="22"/>
        </w:rPr>
        <w:sectPr w:rsidR="00685EE8" w:rsidSect="003E693B">
          <w:footerReference w:type="first" r:id="rId32"/>
          <w:pgSz w:w="12240" w:h="15840" w:code="1"/>
          <w:pgMar w:top="1440" w:right="1440" w:bottom="1440" w:left="1440" w:header="720" w:footer="720" w:gutter="0"/>
          <w:pgNumType w:start="1"/>
          <w:cols w:space="720"/>
          <w:titlePg/>
          <w:docGrid w:linePitch="299"/>
        </w:sectPr>
      </w:pPr>
    </w:p>
    <w:p w14:paraId="432CB058" w14:textId="26036865" w:rsidR="008C78F4" w:rsidRPr="00DA2177" w:rsidRDefault="008C78F4" w:rsidP="00075775">
      <w:pPr>
        <w:keepNext/>
        <w:jc w:val="center"/>
        <w:rPr>
          <w:rFonts w:cs="Times New Roman"/>
          <w:sz w:val="22"/>
          <w:szCs w:val="22"/>
        </w:rPr>
      </w:pPr>
      <w:r>
        <w:rPr>
          <w:rFonts w:cs="Times New Roman"/>
          <w:sz w:val="22"/>
          <w:szCs w:val="22"/>
        </w:rPr>
        <w:t>The District:</w:t>
      </w:r>
    </w:p>
    <w:p w14:paraId="2475F012" w14:textId="1235926C" w:rsidR="008C78F4" w:rsidRPr="00DA2177" w:rsidRDefault="00C13B74" w:rsidP="00075775">
      <w:pPr>
        <w:keepNext/>
        <w:jc w:val="center"/>
        <w:rPr>
          <w:rFonts w:cs="Times New Roman"/>
          <w:sz w:val="22"/>
          <w:szCs w:val="22"/>
        </w:rPr>
      </w:pPr>
      <w:r>
        <w:rPr>
          <w:rFonts w:cs="Times New Roman"/>
          <w:sz w:val="22"/>
          <w:szCs w:val="22"/>
        </w:rPr>
        <w:t>Olympia Public Infrastructure District No. 2</w:t>
      </w:r>
    </w:p>
    <w:p w14:paraId="5B879CAF" w14:textId="3B8343B8" w:rsidR="008C78F4" w:rsidRPr="00DA2177" w:rsidRDefault="008C78F4" w:rsidP="00075775">
      <w:pPr>
        <w:keepNext/>
        <w:jc w:val="center"/>
        <w:rPr>
          <w:rFonts w:cs="Times New Roman"/>
          <w:sz w:val="22"/>
          <w:szCs w:val="22"/>
        </w:rPr>
      </w:pPr>
      <w:r>
        <w:rPr>
          <w:rFonts w:cs="Times New Roman"/>
          <w:sz w:val="22"/>
          <w:szCs w:val="22"/>
        </w:rPr>
        <w:t>c/o Snow Jensen &amp; Reece, P.C.</w:t>
      </w:r>
    </w:p>
    <w:p w14:paraId="0CD61AFD" w14:textId="276B3391" w:rsidR="00BE490B" w:rsidRPr="00DA2177" w:rsidRDefault="009D4B44" w:rsidP="00075775">
      <w:pPr>
        <w:keepNext/>
        <w:jc w:val="center"/>
        <w:rPr>
          <w:rFonts w:cs="Times New Roman"/>
          <w:sz w:val="22"/>
          <w:szCs w:val="22"/>
        </w:rPr>
      </w:pPr>
      <w:r>
        <w:rPr>
          <w:rFonts w:cs="Times New Roman"/>
          <w:sz w:val="22"/>
          <w:szCs w:val="22"/>
        </w:rPr>
        <w:t>912 West 1600 South, Suite B-200</w:t>
      </w:r>
    </w:p>
    <w:p w14:paraId="262D556A" w14:textId="4E1C39FD" w:rsidR="008C78F4" w:rsidRPr="00DA2177" w:rsidRDefault="009D4B44" w:rsidP="00075775">
      <w:pPr>
        <w:keepNext/>
        <w:jc w:val="center"/>
        <w:rPr>
          <w:rFonts w:cs="Times New Roman"/>
          <w:sz w:val="22"/>
          <w:szCs w:val="22"/>
        </w:rPr>
      </w:pPr>
      <w:r>
        <w:rPr>
          <w:rFonts w:cs="Times New Roman"/>
          <w:sz w:val="22"/>
          <w:szCs w:val="22"/>
        </w:rPr>
        <w:t>St. George, Utah 84770</w:t>
      </w:r>
    </w:p>
    <w:p w14:paraId="74EEE2D4" w14:textId="74D60CCF" w:rsidR="0067362C" w:rsidRPr="00DA2177" w:rsidRDefault="0067362C" w:rsidP="008C78F4">
      <w:pPr>
        <w:jc w:val="center"/>
        <w:rPr>
          <w:rFonts w:cs="Times New Roman"/>
          <w:sz w:val="22"/>
          <w:szCs w:val="22"/>
        </w:rPr>
      </w:pPr>
    </w:p>
    <w:p w14:paraId="358D8E97" w14:textId="77777777" w:rsidR="00685EE8" w:rsidRPr="00DA2177" w:rsidRDefault="00685EE8" w:rsidP="00685EE8">
      <w:pPr>
        <w:keepNext/>
        <w:jc w:val="center"/>
        <w:rPr>
          <w:rFonts w:cs="Times New Roman"/>
          <w:sz w:val="22"/>
          <w:szCs w:val="22"/>
        </w:rPr>
      </w:pPr>
      <w:r>
        <w:rPr>
          <w:rFonts w:cs="Times New Roman"/>
          <w:sz w:val="22"/>
          <w:szCs w:val="22"/>
        </w:rPr>
        <w:t>The Underwriter:</w:t>
      </w:r>
    </w:p>
    <w:p w14:paraId="12A3F4C0" w14:textId="77777777" w:rsidR="00685EE8" w:rsidRPr="00DA2177" w:rsidRDefault="00685EE8" w:rsidP="00685EE8">
      <w:pPr>
        <w:keepNext/>
        <w:jc w:val="center"/>
        <w:rPr>
          <w:rFonts w:cs="Times New Roman"/>
          <w:sz w:val="22"/>
          <w:szCs w:val="22"/>
        </w:rPr>
      </w:pPr>
      <w:r>
        <w:rPr>
          <w:rFonts w:cs="Times New Roman"/>
          <w:sz w:val="22"/>
          <w:szCs w:val="22"/>
        </w:rPr>
        <w:t>D.A. Davidson &amp; Co.</w:t>
      </w:r>
    </w:p>
    <w:p w14:paraId="0CE54323" w14:textId="77777777" w:rsidR="00A55F1E" w:rsidRPr="00A55F1E" w:rsidRDefault="00A55F1E" w:rsidP="00A55F1E">
      <w:pPr>
        <w:jc w:val="center"/>
        <w:rPr>
          <w:rFonts w:cs="Times New Roman"/>
          <w:sz w:val="22"/>
          <w:szCs w:val="22"/>
        </w:rPr>
      </w:pPr>
      <w:r>
        <w:rPr>
          <w:rFonts w:cs="Times New Roman"/>
          <w:sz w:val="22"/>
          <w:szCs w:val="22"/>
        </w:rPr>
        <w:t>95 S State Street, Suite 1500</w:t>
      </w:r>
    </w:p>
    <w:p w14:paraId="364C0ABE" w14:textId="524D41EC" w:rsidR="00685EE8" w:rsidRDefault="00A55F1E" w:rsidP="00A55F1E">
      <w:pPr>
        <w:jc w:val="center"/>
        <w:rPr>
          <w:rFonts w:cs="Times New Roman"/>
          <w:sz w:val="22"/>
          <w:szCs w:val="22"/>
        </w:rPr>
        <w:sectPr w:rsidR="00685EE8" w:rsidSect="00685EE8">
          <w:type w:val="continuous"/>
          <w:pgSz w:w="12240" w:h="15840" w:code="1"/>
          <w:pgMar w:top="1440" w:right="1440" w:bottom="1440" w:left="1440" w:header="720" w:footer="720" w:gutter="0"/>
          <w:cols w:num="2" w:space="360"/>
          <w:titlePg/>
          <w:docGrid w:linePitch="299"/>
        </w:sectPr>
      </w:pPr>
      <w:r>
        <w:rPr>
          <w:rFonts w:cs="Times New Roman"/>
          <w:sz w:val="22"/>
          <w:szCs w:val="22"/>
        </w:rPr>
        <w:t>Salt Lake City, Utah 84111</w:t>
      </w:r>
    </w:p>
    <w:p w14:paraId="56BD5241" w14:textId="5837CC80" w:rsidR="00DA5978" w:rsidRPr="00DA2177" w:rsidRDefault="00DA5978" w:rsidP="00B471D8">
      <w:pPr>
        <w:pStyle w:val="Heading1"/>
        <w:numPr>
          <w:ilvl w:val="0"/>
          <w:numId w:val="2"/>
        </w:numPr>
        <w:rPr>
          <w:rFonts w:eastAsia="Times New Roman" w:cs="Times New Roman"/>
          <w:sz w:val="22"/>
          <w:szCs w:val="22"/>
        </w:rPr>
      </w:pPr>
      <w:bookmarkStart w:id="49" w:name="_Toc14260961"/>
      <w:bookmarkStart w:id="50" w:name="_Toc235521034"/>
      <w:r>
        <w:rPr>
          <w:rFonts w:eastAsia="Times New Roman" w:cs="Times New Roman"/>
          <w:sz w:val="22"/>
          <w:szCs w:val="22"/>
        </w:rPr>
        <w:t>RISK FACTORS</w:t>
      </w:r>
      <w:bookmarkEnd w:id="49"/>
      <w:bookmarkEnd w:id="50"/>
    </w:p>
    <w:p w14:paraId="38097323" w14:textId="3055D8E4" w:rsidR="00DA5978" w:rsidRPr="00DA2177" w:rsidRDefault="005E3EF8" w:rsidP="00DA5978">
      <w:pPr>
        <w:pStyle w:val="00BodyText5"/>
        <w:rPr>
          <w:rFonts w:cs="Times New Roman"/>
          <w:b/>
          <w:szCs w:val="22"/>
        </w:rPr>
      </w:pPr>
      <w:r>
        <w:rPr>
          <w:rFonts w:cs="Times New Roman"/>
          <w:b/>
          <w:szCs w:val="22"/>
        </w:rPr>
        <w:t xml:space="preserve">INVESTMENT IN THE BONDS IS SPECULATIVE IN NATURE AND INVOLVES A HIGH DEGREE OF RISK. </w:t>
      </w:r>
      <w:r w:rsidR="00DD4A7D" w:rsidRPr="00DD4A7D">
        <w:rPr>
          <w:rFonts w:cs="Times New Roman"/>
          <w:b/>
          <w:szCs w:val="22"/>
        </w:rPr>
        <w:t xml:space="preserve">AS SUBORDINATE LT BONDS, REPAYMENT OF THE 2026B SUBORDINATE LT BONDS IS SUBJECT TO A HIGHER DEGREE OF RISK THAN REPAYMENT OF THE 2026A-1 SENIOR LT BONDS. </w:t>
      </w:r>
      <w:r>
        <w:rPr>
          <w:rFonts w:cs="Times New Roman"/>
          <w:b/>
          <w:szCs w:val="22"/>
        </w:rPr>
        <w:t xml:space="preserve">PROSPECTIVE INVESTORS IN THE BONDS SHOULD READ THIS ENTIRE OFFICIAL STATEMENT AND CAREFULLY CONSIDER ALL POSSIBLE FACTORS WHICH MAY AFFECT THEIR INVESTMENT DECISION. THE RISK FACTORS DESCRIBED IN THIS SECTION SET FORTH MANY OF THE POTENTIAL RISKS OF AN INVESTMENT IN THE BONDS THAT SHOULD BE CONSIDERED PRIOR TO PURCHASING THE BONDS, BUT DOES NOT PROVIDE AN EXHAUSTIVE LIST OF SUCH FACTORS. </w:t>
      </w:r>
      <w:r w:rsidR="00DD4A7D" w:rsidRPr="00DD4A7D">
        <w:rPr>
          <w:rFonts w:cs="Times New Roman"/>
          <w:b/>
          <w:szCs w:val="22"/>
        </w:rPr>
        <w:t>ADDITIONAL RISK FACTORS RELATING TO THE PURCHASE AND OWNERSHIP OF THE BONDS ARE DESCRIBED THROUGHOUT THIS OFFICIAL STATEMENT, WHETHER OR NOT SPECIFICALLY DESIGNATED AS RISK FACTORS. FURTHERMORE, ADDITIONAL RISK FACTORS NOT PRESENTLY KNOWN, OR CURRENTLY BELIEVED TO BE IMMATERIAL, MAY ALSO MATERIALLY AND ADVERSELY AFFECT, AMONG OTHER THINGS, SECURITY FOR THE BONDS. THERE CAN BE NO ASSURANCE THAT OTHER RISKS OR CONSIDERATIONS NOT DISCUSSED HEREIN ARE OR WILL NOT BECOME MATERIAL IN THE FUTURE</w:t>
      </w:r>
      <w:r>
        <w:rPr>
          <w:rFonts w:cs="Times New Roman"/>
          <w:b/>
          <w:szCs w:val="22"/>
        </w:rPr>
        <w:t>.</w:t>
      </w:r>
    </w:p>
    <w:p w14:paraId="5D92D24A" w14:textId="427B28B9" w:rsidR="00DA5978" w:rsidRPr="00DA2177" w:rsidRDefault="00DA5978" w:rsidP="00647168">
      <w:pPr>
        <w:pStyle w:val="00BodyText5"/>
        <w:rPr>
          <w:rFonts w:cs="Times New Roman"/>
          <w:b/>
          <w:szCs w:val="22"/>
        </w:rPr>
      </w:pPr>
      <w:r>
        <w:rPr>
          <w:rFonts w:cs="Times New Roman"/>
          <w:b/>
          <w:szCs w:val="22"/>
        </w:rPr>
        <w:t>Each prospective investor is urged to consult with its own legal, tax, and financial advisors to determine whether an investment in the Bonds is appropriate in light of its individual legal, tax and financial situation.</w:t>
      </w:r>
    </w:p>
    <w:p w14:paraId="649A5326" w14:textId="77777777" w:rsidR="00DA5978" w:rsidRPr="00DA2177" w:rsidRDefault="00DA5978" w:rsidP="00B471D8">
      <w:pPr>
        <w:pStyle w:val="Heading2"/>
        <w:numPr>
          <w:ilvl w:val="1"/>
          <w:numId w:val="2"/>
        </w:numPr>
        <w:rPr>
          <w:rFonts w:eastAsia="Times New Roman"/>
          <w:sz w:val="22"/>
          <w:szCs w:val="22"/>
        </w:rPr>
      </w:pPr>
      <w:bookmarkStart w:id="51" w:name="_Toc14260962"/>
      <w:bookmarkStart w:id="52" w:name="_Toc235521035"/>
      <w:r>
        <w:rPr>
          <w:rFonts w:eastAsia="Times New Roman"/>
          <w:sz w:val="22"/>
          <w:szCs w:val="22"/>
        </w:rPr>
        <w:t>General</w:t>
      </w:r>
      <w:bookmarkEnd w:id="51"/>
      <w:bookmarkEnd w:id="52"/>
    </w:p>
    <w:p w14:paraId="0F74B2B9" w14:textId="7BCCC35B" w:rsidR="00DA5978" w:rsidRDefault="00DA5978" w:rsidP="00DA5978">
      <w:pPr>
        <w:pStyle w:val="00BodyText5"/>
        <w:rPr>
          <w:rFonts w:cs="Times New Roman"/>
          <w:szCs w:val="22"/>
        </w:rPr>
      </w:pPr>
      <w:r>
        <w:rPr>
          <w:rFonts w:cs="Times New Roman"/>
          <w:szCs w:val="22"/>
        </w:rPr>
        <w:t>The purchase of the Bonds involves certain investment risks which are discussed throughout this Official Statement and each prospective investor should make an independent evaluation of all information presented in this Official Statement in order to make an informed investment decision. The Bonds should only be purchased by investors who can bear the continuing risk of an investment in the Bonds. Particular attention should be given to the risk factors described below which, among others, could affect the payment of debt service on the Bonds when due.</w:t>
      </w:r>
    </w:p>
    <w:p w14:paraId="0AF9157D" w14:textId="6683D6F5" w:rsidR="00DA5978" w:rsidRPr="00DA2177" w:rsidRDefault="00DA5978" w:rsidP="00DA5978">
      <w:pPr>
        <w:pStyle w:val="00BodyText5"/>
        <w:rPr>
          <w:rFonts w:cs="Times New Roman"/>
          <w:szCs w:val="22"/>
        </w:rPr>
      </w:pPr>
      <w:r>
        <w:rPr>
          <w:rFonts w:cs="Times New Roman"/>
          <w:szCs w:val="22"/>
        </w:rPr>
        <w:t>Capitalized terms used and not otherwise defined in this section entitled “RISK FACTORS” have the respective meanings set forth in APPENDIX C hereto.</w:t>
      </w:r>
    </w:p>
    <w:p w14:paraId="10BA0B52" w14:textId="77777777" w:rsidR="00DA5978" w:rsidRPr="00DA2177" w:rsidRDefault="00DA5978" w:rsidP="00B471D8">
      <w:pPr>
        <w:pStyle w:val="Heading2"/>
        <w:numPr>
          <w:ilvl w:val="1"/>
          <w:numId w:val="2"/>
        </w:numPr>
        <w:rPr>
          <w:rFonts w:eastAsia="Times New Roman"/>
          <w:sz w:val="22"/>
          <w:szCs w:val="22"/>
        </w:rPr>
      </w:pPr>
      <w:bookmarkStart w:id="53" w:name="_Toc14260964"/>
      <w:bookmarkStart w:id="54" w:name="_Toc235521036"/>
      <w:r>
        <w:rPr>
          <w:rFonts w:eastAsia="Times New Roman"/>
          <w:sz w:val="22"/>
          <w:szCs w:val="22"/>
        </w:rPr>
        <w:t>No Credit Rating; Risk of Investment</w:t>
      </w:r>
      <w:bookmarkEnd w:id="53"/>
      <w:bookmarkEnd w:id="54"/>
    </w:p>
    <w:p w14:paraId="4C50F106" w14:textId="47641A04" w:rsidR="00DA5978" w:rsidRPr="00DA2177" w:rsidRDefault="00DA5978" w:rsidP="00DA5978">
      <w:pPr>
        <w:pStyle w:val="00BodyText5"/>
        <w:rPr>
          <w:rFonts w:cs="Times New Roman"/>
          <w:b/>
          <w:i/>
          <w:szCs w:val="22"/>
        </w:rPr>
      </w:pPr>
      <w:r>
        <w:rPr>
          <w:rFonts w:cs="Times New Roman"/>
          <w:b/>
          <w:i/>
          <w:szCs w:val="22"/>
        </w:rPr>
        <w:t>The Bonds do not have a credit rating from any source and are not suitable investments for all investors. Each prospective purchaser is responsible for assessing the merits and risks of an investment in the Bonds and must be able to bear the economic risk of such investment in the Bonds. By purchasing the Bonds, each purchaser represents that it is (i) a “qualified institutional buyer” (as defined in Rule 144A under the Securities Act) or (ii) an “accredited investor” (as defined in Rule 501 of Regulation D under the Securities Act</w:t>
      </w:r>
      <w:r w:rsidR="002709A5">
        <w:rPr>
          <w:rFonts w:cs="Times New Roman"/>
          <w:b/>
          <w:i/>
          <w:szCs w:val="22"/>
        </w:rPr>
        <w:t>), with</w:t>
      </w:r>
      <w:r>
        <w:rPr>
          <w:rFonts w:cs="Times New Roman"/>
          <w:b/>
          <w:i/>
          <w:szCs w:val="22"/>
        </w:rPr>
        <w:t xml:space="preserve"> sufficient knowledge and experience in financial and business matters, including the purchase and ownership of non-rated tax-exempt obligations, to be able to evaluate the merits and risks of an investment in the Bonds.</w:t>
      </w:r>
    </w:p>
    <w:p w14:paraId="583B61C6" w14:textId="77777777" w:rsidR="00DA5978" w:rsidRPr="00DA2177" w:rsidRDefault="00DA5978" w:rsidP="00DA5978">
      <w:pPr>
        <w:pStyle w:val="Heading2"/>
        <w:rPr>
          <w:rStyle w:val="Heading2Char"/>
          <w:b/>
          <w:bCs/>
          <w:sz w:val="22"/>
          <w:szCs w:val="22"/>
        </w:rPr>
      </w:pPr>
      <w:bookmarkStart w:id="55" w:name="_Toc14260965"/>
      <w:bookmarkStart w:id="56" w:name="_Toc235521037"/>
      <w:r>
        <w:rPr>
          <w:rStyle w:val="Heading2Char"/>
          <w:b/>
          <w:bCs/>
          <w:sz w:val="22"/>
          <w:szCs w:val="22"/>
        </w:rPr>
        <w:t>No Assurance of Secondary Market</w:t>
      </w:r>
      <w:bookmarkEnd w:id="55"/>
      <w:bookmarkEnd w:id="56"/>
    </w:p>
    <w:p w14:paraId="7922C6A9" w14:textId="7CD31F6C" w:rsidR="00DA5978" w:rsidRPr="00DA2177" w:rsidRDefault="00DA5978" w:rsidP="00DA5978">
      <w:pPr>
        <w:pStyle w:val="00BodyText5"/>
        <w:rPr>
          <w:rFonts w:eastAsia="Times New Roman" w:cs="Times New Roman"/>
          <w:color w:val="000000"/>
          <w:szCs w:val="22"/>
        </w:rPr>
      </w:pPr>
      <w:r>
        <w:rPr>
          <w:rFonts w:cs="Times New Roman"/>
          <w:szCs w:val="22"/>
        </w:rPr>
        <w:t>No assurance can be given concerning the future existence of a secondary market for the Bonds and prospective purchasers of the Bonds should therefore be prepared, if</w:t>
      </w:r>
      <w:r>
        <w:rPr>
          <w:rFonts w:eastAsia="Times New Roman" w:cs="Times New Roman"/>
          <w:color w:val="000000"/>
          <w:szCs w:val="22"/>
        </w:rPr>
        <w:t xml:space="preserve"> necessary, to hold the Bonds to maturity or prior redemption. Even if a secondary market exists, as with any marketable securities, there can be no assurance as to the price for which the Bonds may be sold. Such price may be lower than that paid by the initial purchaser of the Bonds depending on the progress of the Development and existing financial market conditions. See also “—Restrictions on Transferability” below.</w:t>
      </w:r>
    </w:p>
    <w:p w14:paraId="462C4A83" w14:textId="5A96D26D" w:rsidR="00DA5978" w:rsidRPr="00DA2177" w:rsidRDefault="00F735A2" w:rsidP="00B471D8">
      <w:pPr>
        <w:pStyle w:val="Heading2"/>
        <w:numPr>
          <w:ilvl w:val="1"/>
          <w:numId w:val="2"/>
        </w:numPr>
        <w:rPr>
          <w:rFonts w:eastAsia="Times New Roman"/>
          <w:sz w:val="22"/>
          <w:szCs w:val="22"/>
        </w:rPr>
      </w:pPr>
      <w:bookmarkStart w:id="57" w:name="_Toc14260968"/>
      <w:bookmarkStart w:id="58" w:name="_Toc235521038"/>
      <w:r>
        <w:rPr>
          <w:rFonts w:eastAsia="Times New Roman"/>
          <w:sz w:val="22"/>
          <w:szCs w:val="22"/>
        </w:rPr>
        <w:t>Limited Security for the LT Bonds; No Mortgage</w:t>
      </w:r>
      <w:bookmarkEnd w:id="57"/>
      <w:r w:rsidR="00DA5978">
        <w:rPr>
          <w:rFonts w:eastAsia="Times New Roman"/>
          <w:sz w:val="22"/>
          <w:szCs w:val="22"/>
        </w:rPr>
        <w:t xml:space="preserve"> or Guaranty</w:t>
      </w:r>
      <w:bookmarkEnd w:id="58"/>
    </w:p>
    <w:p w14:paraId="2C336D04" w14:textId="1A4360DB" w:rsidR="00DA5978" w:rsidRPr="00DA2177" w:rsidRDefault="00F735A2" w:rsidP="00DA5978">
      <w:pPr>
        <w:pStyle w:val="00BodyText5"/>
        <w:rPr>
          <w:rFonts w:cs="Times New Roman"/>
          <w:szCs w:val="22"/>
        </w:rPr>
      </w:pPr>
      <w:r>
        <w:rPr>
          <w:rFonts w:cs="Times New Roman"/>
          <w:szCs w:val="22"/>
        </w:rPr>
        <w:t>The LT Bonds are limited tax general obligations of the District and are payable solely from and to the extent of the Senior LT Pledged Revenue and Subordinate LT Pledged Revenue, as applicable, as more particularly</w:t>
      </w:r>
      <w:r w:rsidR="00DA5978">
        <w:rPr>
          <w:rFonts w:cs="Times New Roman"/>
          <w:szCs w:val="22"/>
        </w:rPr>
        <w:t xml:space="preserve"> </w:t>
      </w:r>
      <w:r w:rsidR="002709A5">
        <w:rPr>
          <w:rFonts w:cs="Times New Roman"/>
          <w:szCs w:val="22"/>
        </w:rPr>
        <w:t>described</w:t>
      </w:r>
      <w:r w:rsidR="00DA5978">
        <w:rPr>
          <w:rFonts w:cs="Times New Roman"/>
          <w:szCs w:val="22"/>
        </w:rPr>
        <w:t xml:space="preserve"> herein. The primary source of revenue </w:t>
      </w:r>
      <w:r>
        <w:rPr>
          <w:rFonts w:cs="Times New Roman"/>
          <w:szCs w:val="22"/>
        </w:rPr>
        <w:t>pledged for payment of the LT Bonds is expected to be revenues derived</w:t>
      </w:r>
      <w:r w:rsidR="00DA5978">
        <w:rPr>
          <w:rFonts w:cs="Times New Roman"/>
          <w:szCs w:val="22"/>
        </w:rPr>
        <w:t xml:space="preserve"> from ad valorem taxes assessed by the District against all taxable property in the District. Furthermore, the ad valorem property taxes required to be imposed by the District </w:t>
      </w:r>
      <w:r>
        <w:rPr>
          <w:rFonts w:cs="Times New Roman"/>
          <w:szCs w:val="22"/>
        </w:rPr>
        <w:t>for payment of the 2026A-1 Senior LT Bonds and the 2026B Subordinate LT Bonds are subject to limitations</w:t>
      </w:r>
      <w:r w:rsidR="00DA5978">
        <w:rPr>
          <w:rFonts w:cs="Times New Roman"/>
          <w:szCs w:val="22"/>
        </w:rPr>
        <w:t>, as more particularly described herein.</w:t>
      </w:r>
    </w:p>
    <w:p w14:paraId="4BE9FBBC" w14:textId="1ED5AD95" w:rsidR="00DA5978" w:rsidRPr="00DA2177" w:rsidRDefault="00DA5978" w:rsidP="001941EE">
      <w:pPr>
        <w:pStyle w:val="00BodyText5"/>
        <w:rPr>
          <w:rFonts w:cs="Times New Roman"/>
          <w:szCs w:val="22"/>
        </w:rPr>
      </w:pPr>
      <w:r>
        <w:rPr>
          <w:rFonts w:cs="Times New Roman"/>
          <w:szCs w:val="22"/>
        </w:rPr>
        <w:t xml:space="preserve">The District’s ability to retire the indebtedness </w:t>
      </w:r>
      <w:r w:rsidR="00F735A2">
        <w:rPr>
          <w:rFonts w:cs="Times New Roman"/>
          <w:szCs w:val="22"/>
        </w:rPr>
        <w:t>created by the issuance of the LT Bonds is dependent</w:t>
      </w:r>
      <w:r>
        <w:rPr>
          <w:rFonts w:cs="Times New Roman"/>
          <w:szCs w:val="22"/>
        </w:rPr>
        <w:t xml:space="preserve">, in part, upon development of an adequate tax base from which the District can collect sufficient property tax revenue </w:t>
      </w:r>
      <w:r w:rsidR="00F735A2">
        <w:rPr>
          <w:rFonts w:cs="Times New Roman"/>
          <w:szCs w:val="22"/>
        </w:rPr>
        <w:t>from the imposition of the Senior Required Mill Levy and the Subordinate Required Mill Levy.</w:t>
      </w:r>
      <w:r>
        <w:rPr>
          <w:rFonts w:cs="Times New Roman"/>
          <w:szCs w:val="22"/>
        </w:rPr>
        <w:t xml:space="preserve"> See “—Risks Related to Property Tax Revenue</w:t>
      </w:r>
      <w:r>
        <w:rPr>
          <w:rFonts w:eastAsia="Times New Roman" w:cs="Times New Roman"/>
          <w:color w:val="000000"/>
          <w:szCs w:val="22"/>
        </w:rPr>
        <w:t>—</w:t>
      </w:r>
      <w:r>
        <w:rPr>
          <w:rFonts w:cs="Times New Roman"/>
          <w:i/>
          <w:iCs/>
          <w:szCs w:val="22"/>
        </w:rPr>
        <w:t>Assessed Valuation Procedures and Factors; Market Value of Land</w:t>
      </w:r>
      <w:r>
        <w:rPr>
          <w:rFonts w:cs="Times New Roman"/>
          <w:szCs w:val="22"/>
        </w:rPr>
        <w:t xml:space="preserve">” and “—Development Not Assured” below. The LT Financial Forecast (included in APPENDIX A-1 hereto) sets forth the </w:t>
      </w:r>
      <w:r w:rsidR="00F735A2">
        <w:rPr>
          <w:rFonts w:cs="Times New Roman"/>
          <w:szCs w:val="22"/>
        </w:rPr>
        <w:t>anticipated payment of debt service on the LT Bonds, based on assumptions</w:t>
      </w:r>
      <w:r>
        <w:rPr>
          <w:rFonts w:cs="Times New Roman"/>
          <w:szCs w:val="22"/>
        </w:rPr>
        <w:t xml:space="preserve"> concerning property value appreciation with respect to property in the District, as well as the mill levies imposed by the District </w:t>
      </w:r>
      <w:r w:rsidR="00F735A2">
        <w:rPr>
          <w:rFonts w:cs="Times New Roman"/>
          <w:szCs w:val="22"/>
        </w:rPr>
        <w:t>for payment of debt service on the LT Bonds. See</w:t>
      </w:r>
      <w:r>
        <w:rPr>
          <w:rFonts w:cs="Times New Roman"/>
          <w:szCs w:val="22"/>
        </w:rPr>
        <w:t xml:space="preserve"> “—Risks Inherent in Market Study and Financial Forecasts” below and “APPENDIX A-1—LT FINANCIAL FORECAST</w:t>
      </w:r>
      <w:r w:rsidR="002709A5">
        <w:rPr>
          <w:rFonts w:cs="Times New Roman"/>
          <w:szCs w:val="22"/>
        </w:rPr>
        <w:t>.</w:t>
      </w:r>
      <w:r>
        <w:rPr>
          <w:rFonts w:cs="Times New Roman"/>
          <w:szCs w:val="22"/>
        </w:rPr>
        <w:t>”</w:t>
      </w:r>
    </w:p>
    <w:p w14:paraId="6A6B277F" w14:textId="78F0A366" w:rsidR="00DA5978" w:rsidRPr="00DA2177" w:rsidRDefault="00DD4A7D" w:rsidP="00DA5978">
      <w:pPr>
        <w:pStyle w:val="00BodyText5"/>
        <w:rPr>
          <w:rFonts w:cs="Times New Roman"/>
          <w:szCs w:val="22"/>
        </w:rPr>
      </w:pPr>
      <w:r w:rsidRPr="00DD4A7D">
        <w:rPr>
          <w:rFonts w:cs="Times New Roman"/>
          <w:szCs w:val="22"/>
        </w:rPr>
        <w:t>In the event that the Senior LT Pledged Revenue or Subordinate LT Pledged Revenue is insufficient to pay the scheduled principal of and/or interest on the 2026A-1 Senior LT Bonds and the 2026B Subordinate LT Bonds, as applicable, when due (in the case of the 2026B Subordinate LT Bonds, meaning the principal amount thereof due at maturity and interest accrued thereon as of each March 15), the unpaid principal will continue to bear interest, and the unpaid interest will compound as described herein,</w:t>
      </w:r>
      <w:r w:rsidR="00DA5978">
        <w:rPr>
          <w:rFonts w:cs="Times New Roman"/>
          <w:szCs w:val="22"/>
        </w:rPr>
        <w:t xml:space="preserve"> </w:t>
      </w:r>
      <w:r w:rsidR="00F735A2">
        <w:rPr>
          <w:rFonts w:cs="Times New Roman"/>
          <w:b/>
          <w:szCs w:val="22"/>
        </w:rPr>
        <w:t xml:space="preserve">subject to prior discharge of the LT Bonds as more particularly described in </w:t>
      </w:r>
      <w:r w:rsidR="00272237">
        <w:rPr>
          <w:rFonts w:cs="Times New Roman"/>
          <w:b/>
          <w:szCs w:val="22"/>
        </w:rPr>
        <w:t>“THE 2026A-1 SENIOR LT BONDS</w:t>
      </w:r>
      <w:r w:rsidR="00F735A2">
        <w:rPr>
          <w:rFonts w:cs="Times New Roman"/>
          <w:b/>
          <w:szCs w:val="22"/>
        </w:rPr>
        <w:t>—Discharge on March 1, 2067” and “</w:t>
      </w:r>
      <w:r w:rsidR="00683F5C">
        <w:rPr>
          <w:rFonts w:cs="Times New Roman"/>
          <w:b/>
          <w:szCs w:val="22"/>
        </w:rPr>
        <w:t>THE 2026B SUBORDINATE LT BONDS</w:t>
      </w:r>
      <w:r w:rsidR="00F735A2">
        <w:rPr>
          <w:rFonts w:cs="Times New Roman"/>
          <w:b/>
          <w:szCs w:val="22"/>
        </w:rPr>
        <w:t>—</w:t>
      </w:r>
      <w:r w:rsidR="00E75172">
        <w:rPr>
          <w:rFonts w:cs="Times New Roman"/>
          <w:b/>
          <w:szCs w:val="22"/>
        </w:rPr>
        <w:t>”Cash Flow”</w:t>
      </w:r>
      <w:r w:rsidR="00F735A2">
        <w:rPr>
          <w:rFonts w:cs="Times New Roman"/>
          <w:b/>
          <w:szCs w:val="22"/>
        </w:rPr>
        <w:t xml:space="preserve"> Nature of 2026B Subordinate LT Bonds; Discharge on March 1</w:t>
      </w:r>
      <w:r w:rsidR="007D50B1">
        <w:rPr>
          <w:rFonts w:cs="Times New Roman"/>
          <w:b/>
          <w:szCs w:val="22"/>
        </w:rPr>
        <w:t>5</w:t>
      </w:r>
      <w:r w:rsidR="00F735A2">
        <w:rPr>
          <w:rFonts w:cs="Times New Roman"/>
          <w:b/>
          <w:szCs w:val="22"/>
        </w:rPr>
        <w:t>, 2067” herein.</w:t>
      </w:r>
      <w:r w:rsidR="00DA5978">
        <w:rPr>
          <w:rFonts w:cs="Times New Roman"/>
          <w:szCs w:val="22"/>
        </w:rPr>
        <w:t xml:space="preserve"> During this period of accrual, </w:t>
      </w:r>
      <w:r w:rsidR="00F735A2">
        <w:rPr>
          <w:rFonts w:cs="Times New Roman"/>
          <w:szCs w:val="22"/>
        </w:rPr>
        <w:t>so long as the District is imposing the Senior Required Mill Levy and the Subordinate Required Mill Levy and is enforcing collection of the Senior LT Pledged Revenue and the Subordinate LT Pledged Revenue, the District will not be in default</w:t>
      </w:r>
      <w:r w:rsidR="00DA5978">
        <w:rPr>
          <w:rFonts w:cs="Times New Roman"/>
          <w:szCs w:val="22"/>
        </w:rPr>
        <w:t xml:space="preserve"> on the payment of </w:t>
      </w:r>
      <w:r w:rsidR="00F735A2">
        <w:rPr>
          <w:rFonts w:cs="Times New Roman"/>
          <w:szCs w:val="22"/>
        </w:rPr>
        <w:t>such principal and interest under the applicable LT Indenture, and the Owners will have no recourse</w:t>
      </w:r>
      <w:r w:rsidR="00DA5978">
        <w:rPr>
          <w:rFonts w:cs="Times New Roman"/>
          <w:szCs w:val="22"/>
        </w:rPr>
        <w:t xml:space="preserve"> against the District to require such payments (other than to require the District </w:t>
      </w:r>
      <w:r w:rsidR="00F735A2">
        <w:rPr>
          <w:rFonts w:cs="Times New Roman"/>
          <w:szCs w:val="22"/>
        </w:rPr>
        <w:t>to continue to assess the Senior Required Mill Levy and the Subordinate Required Mill Levy and collect the revenue derived from such levies)</w:t>
      </w:r>
      <w:r w:rsidR="00DA5978">
        <w:rPr>
          <w:rFonts w:cs="Times New Roman"/>
          <w:szCs w:val="22"/>
        </w:rPr>
        <w:t>.</w:t>
      </w:r>
      <w:r w:rsidR="002709A5">
        <w:rPr>
          <w:rFonts w:cs="Times New Roman"/>
          <w:szCs w:val="22"/>
        </w:rPr>
        <w:t xml:space="preserve"> </w:t>
      </w:r>
      <w:r w:rsidR="002709A5" w:rsidRPr="002709A5">
        <w:rPr>
          <w:rFonts w:cs="Times New Roman"/>
          <w:szCs w:val="22"/>
        </w:rPr>
        <w:t xml:space="preserve">In addition, the District will not be liable to the Owners for unpaid principal and interest beyond the amount permitted by law and the </w:t>
      </w:r>
      <w:r w:rsidR="00F12A60">
        <w:rPr>
          <w:rFonts w:cs="Times New Roman"/>
          <w:szCs w:val="22"/>
        </w:rPr>
        <w:t>Bond</w:t>
      </w:r>
      <w:r w:rsidR="002709A5" w:rsidRPr="002709A5">
        <w:rPr>
          <w:rFonts w:cs="Times New Roman"/>
          <w:szCs w:val="22"/>
        </w:rPr>
        <w:t xml:space="preserve"> Consent and, upon payment of such permitted amount, it is possible that all Bonds may be deemed defeased. In addition, in order to facilitate the construction of the </w:t>
      </w:r>
      <w:r w:rsidR="002709A5">
        <w:rPr>
          <w:rFonts w:cs="Times New Roman"/>
          <w:szCs w:val="22"/>
        </w:rPr>
        <w:t xml:space="preserve">Public </w:t>
      </w:r>
      <w:r w:rsidR="002709A5" w:rsidRPr="002709A5">
        <w:rPr>
          <w:rFonts w:cs="Times New Roman"/>
          <w:szCs w:val="22"/>
        </w:rPr>
        <w:t xml:space="preserve">Improvements, the </w:t>
      </w:r>
      <w:r w:rsidR="00F12A60">
        <w:rPr>
          <w:rFonts w:cs="Times New Roman"/>
          <w:szCs w:val="22"/>
        </w:rPr>
        <w:t xml:space="preserve">LT </w:t>
      </w:r>
      <w:r w:rsidR="002709A5" w:rsidRPr="002709A5">
        <w:rPr>
          <w:rFonts w:cs="Times New Roman"/>
          <w:szCs w:val="22"/>
        </w:rPr>
        <w:t xml:space="preserve">Indentures permit the District to requisition amounts in the </w:t>
      </w:r>
      <w:r w:rsidR="007217C3">
        <w:rPr>
          <w:rFonts w:cs="Times New Roman"/>
          <w:szCs w:val="22"/>
        </w:rPr>
        <w:t>Senior LT Project Fund</w:t>
      </w:r>
      <w:r>
        <w:rPr>
          <w:rFonts w:cs="Times New Roman"/>
          <w:szCs w:val="22"/>
        </w:rPr>
        <w:t xml:space="preserve"> and the Subordinate LT Project Fund</w:t>
      </w:r>
      <w:r w:rsidR="002709A5" w:rsidRPr="002709A5">
        <w:rPr>
          <w:rFonts w:cs="Times New Roman"/>
          <w:szCs w:val="22"/>
        </w:rPr>
        <w:t xml:space="preserve"> to meet Performance Bond requirements. In the event the District requisitions funds from the Senior </w:t>
      </w:r>
      <w:r w:rsidR="00F12A60">
        <w:rPr>
          <w:rFonts w:cs="Times New Roman"/>
          <w:szCs w:val="22"/>
        </w:rPr>
        <w:t xml:space="preserve">LT </w:t>
      </w:r>
      <w:r w:rsidR="002709A5" w:rsidRPr="002709A5">
        <w:rPr>
          <w:rFonts w:cs="Times New Roman"/>
          <w:szCs w:val="22"/>
        </w:rPr>
        <w:t xml:space="preserve">Bond Fund for such purpose, such amounts would not be available for transfer to the Senior </w:t>
      </w:r>
      <w:r w:rsidR="00F12A60">
        <w:rPr>
          <w:rFonts w:cs="Times New Roman"/>
          <w:szCs w:val="22"/>
        </w:rPr>
        <w:t xml:space="preserve">LT </w:t>
      </w:r>
      <w:r w:rsidR="002709A5" w:rsidRPr="002709A5">
        <w:rPr>
          <w:rFonts w:cs="Times New Roman"/>
          <w:szCs w:val="22"/>
        </w:rPr>
        <w:t xml:space="preserve">Bond Fund in the event the amounts credited to the </w:t>
      </w:r>
      <w:r w:rsidR="007217C3">
        <w:rPr>
          <w:rFonts w:cs="Times New Roman"/>
          <w:szCs w:val="22"/>
        </w:rPr>
        <w:t>Senior LT Bond Fund</w:t>
      </w:r>
      <w:r w:rsidR="002709A5" w:rsidRPr="002709A5">
        <w:rPr>
          <w:rFonts w:cs="Times New Roman"/>
          <w:szCs w:val="22"/>
        </w:rPr>
        <w:t xml:space="preserve"> and </w:t>
      </w:r>
      <w:r w:rsidR="002709A5">
        <w:rPr>
          <w:rFonts w:cs="Times New Roman"/>
          <w:szCs w:val="22"/>
        </w:rPr>
        <w:t xml:space="preserve">LT </w:t>
      </w:r>
      <w:r w:rsidR="002709A5" w:rsidRPr="002709A5">
        <w:rPr>
          <w:rFonts w:cs="Times New Roman"/>
          <w:szCs w:val="22"/>
        </w:rPr>
        <w:t xml:space="preserve">Surplus Fund are insufficient to pay the principal of, premium if any, or interest on the </w:t>
      </w:r>
      <w:r w:rsidR="00787226">
        <w:rPr>
          <w:rFonts w:cs="Times New Roman"/>
          <w:szCs w:val="22"/>
        </w:rPr>
        <w:t>2026A-1 Senior LT Bond</w:t>
      </w:r>
      <w:r w:rsidR="002709A5" w:rsidRPr="002709A5">
        <w:rPr>
          <w:rFonts w:cs="Times New Roman"/>
          <w:szCs w:val="22"/>
        </w:rPr>
        <w:t>s when due.</w:t>
      </w:r>
      <w:r w:rsidR="00DA5978">
        <w:rPr>
          <w:rFonts w:cs="Times New Roman"/>
          <w:szCs w:val="22"/>
        </w:rPr>
        <w:t xml:space="preserve"> </w:t>
      </w:r>
      <w:r w:rsidR="00F735A2">
        <w:rPr>
          <w:rFonts w:cs="Times New Roman"/>
          <w:szCs w:val="22"/>
        </w:rPr>
        <w:t xml:space="preserve">See </w:t>
      </w:r>
      <w:r w:rsidR="00272237">
        <w:rPr>
          <w:rFonts w:cs="Times New Roman"/>
          <w:szCs w:val="22"/>
        </w:rPr>
        <w:t>“THE 2026A-1 SENIOR LT BONDS</w:t>
      </w:r>
      <w:r w:rsidR="00F735A2">
        <w:rPr>
          <w:rFonts w:cs="Times New Roman"/>
          <w:szCs w:val="22"/>
        </w:rPr>
        <w:t>—Certain Senior LT Indenture Provisions—</w:t>
      </w:r>
      <w:r w:rsidR="00E75172" w:rsidRPr="00E75172">
        <w:rPr>
          <w:rFonts w:cs="Times New Roman"/>
          <w:i/>
          <w:iCs/>
          <w:szCs w:val="22"/>
        </w:rPr>
        <w:t>Senior LT Project Fund</w:t>
      </w:r>
      <w:r w:rsidR="00E75172">
        <w:rPr>
          <w:rFonts w:cs="Times New Roman"/>
          <w:szCs w:val="22"/>
        </w:rPr>
        <w:t>,” “—</w:t>
      </w:r>
      <w:r w:rsidR="00F735A2" w:rsidRPr="0031301D">
        <w:rPr>
          <w:rFonts w:cs="Times New Roman"/>
          <w:i/>
          <w:iCs/>
          <w:szCs w:val="22"/>
        </w:rPr>
        <w:t>Events of Default</w:t>
      </w:r>
      <w:r w:rsidR="00F735A2">
        <w:rPr>
          <w:rFonts w:cs="Times New Roman"/>
          <w:szCs w:val="22"/>
        </w:rPr>
        <w:t>” and “—</w:t>
      </w:r>
      <w:r w:rsidR="00F735A2" w:rsidRPr="0031301D">
        <w:rPr>
          <w:rFonts w:cs="Times New Roman"/>
          <w:i/>
          <w:iCs/>
          <w:szCs w:val="22"/>
        </w:rPr>
        <w:t>Remedies on Occurrence of Event of Default</w:t>
      </w:r>
      <w:r w:rsidR="00F735A2">
        <w:rPr>
          <w:rFonts w:cs="Times New Roman"/>
          <w:szCs w:val="22"/>
        </w:rPr>
        <w:t xml:space="preserve">.” See also “THE 2026B </w:t>
      </w:r>
      <w:r w:rsidR="0031301D">
        <w:rPr>
          <w:rFonts w:cs="Times New Roman"/>
          <w:szCs w:val="22"/>
        </w:rPr>
        <w:t>SUBORDINATE LT BONDS</w:t>
      </w:r>
      <w:r w:rsidR="00F735A2">
        <w:rPr>
          <w:rFonts w:cs="Times New Roman"/>
          <w:szCs w:val="22"/>
        </w:rPr>
        <w:t>—</w:t>
      </w:r>
      <w:r>
        <w:rPr>
          <w:rFonts w:cs="Times New Roman"/>
          <w:szCs w:val="22"/>
        </w:rPr>
        <w:t>Certain Subordinate LT Indenture Provisions</w:t>
      </w:r>
      <w:r w:rsidR="00E75172">
        <w:rPr>
          <w:rFonts w:cs="Times New Roman"/>
          <w:szCs w:val="22"/>
        </w:rPr>
        <w:t>—</w:t>
      </w:r>
      <w:r w:rsidR="00E75172" w:rsidRPr="00E75172">
        <w:rPr>
          <w:rFonts w:cs="Times New Roman"/>
          <w:i/>
          <w:iCs/>
          <w:szCs w:val="22"/>
        </w:rPr>
        <w:t>Subordinate LT Project Fund</w:t>
      </w:r>
      <w:r w:rsidR="00E75172">
        <w:rPr>
          <w:rFonts w:cs="Times New Roman"/>
          <w:szCs w:val="22"/>
        </w:rPr>
        <w:t>,” “</w:t>
      </w:r>
      <w:r w:rsidR="00F735A2">
        <w:rPr>
          <w:rFonts w:cs="Times New Roman"/>
          <w:szCs w:val="22"/>
        </w:rPr>
        <w:t>—</w:t>
      </w:r>
      <w:r w:rsidR="00F735A2" w:rsidRPr="0031301D">
        <w:rPr>
          <w:rFonts w:cs="Times New Roman"/>
          <w:i/>
          <w:iCs/>
          <w:szCs w:val="22"/>
        </w:rPr>
        <w:t>Events of Default</w:t>
      </w:r>
      <w:r w:rsidR="00F735A2">
        <w:rPr>
          <w:rFonts w:cs="Times New Roman"/>
          <w:szCs w:val="22"/>
        </w:rPr>
        <w:t>” and “—</w:t>
      </w:r>
      <w:r w:rsidR="00F735A2" w:rsidRPr="0031301D">
        <w:rPr>
          <w:rFonts w:cs="Times New Roman"/>
          <w:i/>
          <w:iCs/>
          <w:szCs w:val="22"/>
        </w:rPr>
        <w:t>Remedies on Occurrence of Event of Default</w:t>
      </w:r>
      <w:r w:rsidR="00F735A2">
        <w:rPr>
          <w:rFonts w:cs="Times New Roman"/>
          <w:szCs w:val="22"/>
        </w:rPr>
        <w:t xml:space="preserve">.” </w:t>
      </w:r>
    </w:p>
    <w:p w14:paraId="2BD728ED" w14:textId="242D670A" w:rsidR="00DA5978" w:rsidRPr="00DA2177" w:rsidRDefault="00F735A2" w:rsidP="00DA5978">
      <w:pPr>
        <w:pStyle w:val="00BodyText5"/>
        <w:rPr>
          <w:rFonts w:cs="Times New Roman"/>
          <w:i/>
          <w:szCs w:val="22"/>
        </w:rPr>
      </w:pPr>
      <w:r>
        <w:rPr>
          <w:rFonts w:cs="Times New Roman"/>
          <w:i/>
          <w:szCs w:val="22"/>
        </w:rPr>
        <w:t>Payment of the principal of and interest on the LT Bonds is not secured by any deed of trust, mortgage</w:t>
      </w:r>
      <w:r w:rsidR="00DA5978">
        <w:rPr>
          <w:rFonts w:cs="Times New Roman"/>
          <w:i/>
          <w:szCs w:val="22"/>
        </w:rPr>
        <w:t xml:space="preserve"> or other lien on or security interest in any real estate or other property within the Development or assets of the District </w:t>
      </w:r>
      <w:r>
        <w:rPr>
          <w:rFonts w:cs="Times New Roman"/>
          <w:i/>
          <w:szCs w:val="22"/>
        </w:rPr>
        <w:t>other than the lien on the Senior LT Pledged Revenue and Subordinate LT Pledged Revenue.</w:t>
      </w:r>
    </w:p>
    <w:p w14:paraId="1685F26B" w14:textId="6A6016B9" w:rsidR="002C4A1C" w:rsidRPr="00DA2177" w:rsidRDefault="00F735A2" w:rsidP="00B471D8">
      <w:pPr>
        <w:pStyle w:val="Heading2"/>
        <w:numPr>
          <w:ilvl w:val="1"/>
          <w:numId w:val="2"/>
        </w:numPr>
        <w:rPr>
          <w:rFonts w:eastAsia="Times New Roman"/>
          <w:sz w:val="22"/>
          <w:szCs w:val="22"/>
        </w:rPr>
      </w:pPr>
      <w:bookmarkStart w:id="59" w:name="_Toc235521039"/>
      <w:r>
        <w:rPr>
          <w:rFonts w:eastAsia="Times New Roman"/>
          <w:sz w:val="22"/>
          <w:szCs w:val="22"/>
        </w:rPr>
        <w:t>No Conversion of LT Bonds to Unlimited Tax Obligations</w:t>
      </w:r>
      <w:bookmarkEnd w:id="59"/>
    </w:p>
    <w:p w14:paraId="25BE092E" w14:textId="72F96373" w:rsidR="00DA5978" w:rsidRPr="004A2B04" w:rsidRDefault="002C4A1C" w:rsidP="004A2B04">
      <w:pPr>
        <w:pStyle w:val="00BodyText5"/>
        <w:rPr>
          <w:rFonts w:cs="Times New Roman"/>
          <w:iCs/>
          <w:szCs w:val="22"/>
        </w:rPr>
      </w:pPr>
      <w:r>
        <w:rPr>
          <w:rFonts w:cs="Times New Roman"/>
          <w:iCs/>
          <w:szCs w:val="22"/>
        </w:rPr>
        <w:t xml:space="preserve">The primary source of revenue pledged </w:t>
      </w:r>
      <w:r w:rsidR="00F735A2">
        <w:rPr>
          <w:rFonts w:cs="Times New Roman"/>
          <w:iCs/>
          <w:szCs w:val="22"/>
        </w:rPr>
        <w:t>for the payment of debt service on the LT Bonds is expected to be revenue generated</w:t>
      </w:r>
      <w:r>
        <w:rPr>
          <w:rFonts w:cs="Times New Roman"/>
          <w:iCs/>
          <w:szCs w:val="22"/>
        </w:rPr>
        <w:t xml:space="preserve"> from ad valorem property taxes assessed by the District against all taxable property of the District, </w:t>
      </w:r>
      <w:r w:rsidR="00F735A2">
        <w:rPr>
          <w:rFonts w:cs="Times New Roman"/>
          <w:iCs/>
          <w:szCs w:val="22"/>
        </w:rPr>
        <w:t>in the amount of the Senior Required Mill Levy and the Subordinate Required Mill Levy, as more particularly set forth herein.</w:t>
      </w:r>
      <w:r>
        <w:rPr>
          <w:rFonts w:cs="Times New Roman"/>
          <w:iCs/>
          <w:szCs w:val="22"/>
        </w:rPr>
        <w:t xml:space="preserve"> In no event will the maximum tax rate cap </w:t>
      </w:r>
      <w:r w:rsidR="00F735A2">
        <w:rPr>
          <w:rFonts w:cs="Times New Roman"/>
          <w:iCs/>
          <w:szCs w:val="22"/>
        </w:rPr>
        <w:t>set forth in the definitions of Senior Required Mill Levy or Subordinate Required Mill Levy release upon</w:t>
      </w:r>
      <w:r>
        <w:rPr>
          <w:rFonts w:cs="Times New Roman"/>
          <w:iCs/>
          <w:szCs w:val="22"/>
        </w:rPr>
        <w:t xml:space="preserve"> the District achieving any particular level of assessed valuation, and </w:t>
      </w:r>
      <w:r w:rsidR="00F735A2">
        <w:rPr>
          <w:rFonts w:cs="Times New Roman"/>
          <w:iCs/>
          <w:szCs w:val="22"/>
        </w:rPr>
        <w:t>in no event will the LT Bonds become unlimited tax obligations</w:t>
      </w:r>
      <w:r>
        <w:rPr>
          <w:rFonts w:cs="Times New Roman"/>
          <w:iCs/>
          <w:szCs w:val="22"/>
        </w:rPr>
        <w:t xml:space="preserve"> of the District.</w:t>
      </w:r>
      <w:r>
        <w:rPr>
          <w:rFonts w:cs="Times New Roman"/>
          <w:szCs w:val="22"/>
        </w:rPr>
        <w:t xml:space="preserve"> </w:t>
      </w:r>
    </w:p>
    <w:p w14:paraId="0672E07D" w14:textId="12EAAB6D" w:rsidR="00DA5978" w:rsidRPr="00164E66" w:rsidRDefault="00F735A2" w:rsidP="00B471D8">
      <w:pPr>
        <w:pStyle w:val="Heading2"/>
        <w:numPr>
          <w:ilvl w:val="1"/>
          <w:numId w:val="2"/>
        </w:numPr>
        <w:rPr>
          <w:rFonts w:eastAsia="Times New Roman"/>
          <w:sz w:val="22"/>
          <w:szCs w:val="22"/>
        </w:rPr>
      </w:pPr>
      <w:bookmarkStart w:id="60" w:name="_Toc14260970"/>
      <w:bookmarkStart w:id="61" w:name="_Toc235521040"/>
      <w:r>
        <w:rPr>
          <w:rFonts w:eastAsia="Times New Roman"/>
          <w:sz w:val="22"/>
          <w:szCs w:val="22"/>
        </w:rPr>
        <w:t>Discharge of LT Bonds in 2067</w:t>
      </w:r>
      <w:bookmarkEnd w:id="60"/>
      <w:bookmarkEnd w:id="61"/>
    </w:p>
    <w:p w14:paraId="001AC66C" w14:textId="0511993D" w:rsidR="00DA5978" w:rsidRDefault="00DA5978" w:rsidP="00DA5978">
      <w:pPr>
        <w:pStyle w:val="00BodyText5"/>
        <w:rPr>
          <w:rFonts w:cs="Times New Roman"/>
          <w:szCs w:val="22"/>
        </w:rPr>
      </w:pPr>
      <w:r>
        <w:rPr>
          <w:rFonts w:cs="Times New Roman"/>
          <w:szCs w:val="22"/>
        </w:rPr>
        <w:t xml:space="preserve">Notwithstanding any other provision in the </w:t>
      </w:r>
      <w:r w:rsidR="000F65D0">
        <w:rPr>
          <w:rFonts w:cs="Times New Roman"/>
          <w:szCs w:val="22"/>
        </w:rPr>
        <w:t xml:space="preserve">Senior </w:t>
      </w:r>
      <w:r>
        <w:rPr>
          <w:rFonts w:cs="Times New Roman"/>
          <w:szCs w:val="22"/>
        </w:rPr>
        <w:t xml:space="preserve">LT Indenture, in the event that any amount of principal of or interest on the </w:t>
      </w:r>
      <w:r w:rsidR="00787226">
        <w:rPr>
          <w:rFonts w:cs="Times New Roman"/>
          <w:szCs w:val="22"/>
        </w:rPr>
        <w:t>2026A-1 Senior LT Bond</w:t>
      </w:r>
      <w:r>
        <w:rPr>
          <w:rFonts w:cs="Times New Roman"/>
          <w:szCs w:val="22"/>
        </w:rPr>
        <w:t xml:space="preserve">s remains unpaid after the application of all </w:t>
      </w:r>
      <w:r w:rsidR="000F65D0">
        <w:rPr>
          <w:rFonts w:cs="Times New Roman"/>
          <w:szCs w:val="22"/>
        </w:rPr>
        <w:t xml:space="preserve">Senior </w:t>
      </w:r>
      <w:r>
        <w:rPr>
          <w:rFonts w:cs="Times New Roman"/>
          <w:szCs w:val="22"/>
        </w:rPr>
        <w:t xml:space="preserve">LT Pledged Revenue available therefor on March 1, </w:t>
      </w:r>
      <w:r w:rsidR="00381A2D">
        <w:rPr>
          <w:rFonts w:cs="Times New Roman"/>
          <w:szCs w:val="22"/>
        </w:rPr>
        <w:t>2067</w:t>
      </w:r>
      <w:r>
        <w:rPr>
          <w:rFonts w:cs="Times New Roman"/>
          <w:szCs w:val="22"/>
        </w:rPr>
        <w:t xml:space="preserve">, the </w:t>
      </w:r>
      <w:r w:rsidR="00787226">
        <w:rPr>
          <w:rFonts w:cs="Times New Roman"/>
          <w:szCs w:val="22"/>
        </w:rPr>
        <w:t>2026A-1 Senior LT Bond</w:t>
      </w:r>
      <w:r>
        <w:rPr>
          <w:rFonts w:cs="Times New Roman"/>
          <w:szCs w:val="22"/>
        </w:rPr>
        <w:t xml:space="preserve">s and the lien of the </w:t>
      </w:r>
      <w:r w:rsidR="000F65D0">
        <w:rPr>
          <w:rFonts w:cs="Times New Roman"/>
          <w:szCs w:val="22"/>
        </w:rPr>
        <w:t xml:space="preserve">Senior </w:t>
      </w:r>
      <w:r>
        <w:rPr>
          <w:rFonts w:cs="Times New Roman"/>
          <w:szCs w:val="22"/>
        </w:rPr>
        <w:t xml:space="preserve">LT Indenture securing payment thereof will be deemed discharged, the estate and rights granted by the </w:t>
      </w:r>
      <w:r w:rsidR="000F65D0">
        <w:rPr>
          <w:rFonts w:cs="Times New Roman"/>
          <w:szCs w:val="22"/>
        </w:rPr>
        <w:t xml:space="preserve">Senior </w:t>
      </w:r>
      <w:r>
        <w:rPr>
          <w:rFonts w:cs="Times New Roman"/>
          <w:szCs w:val="22"/>
        </w:rPr>
        <w:t xml:space="preserve">LT Indenture will cease, terminate, and be void, and thereupon the Trustee is to cancel and discharge the lien of the </w:t>
      </w:r>
      <w:r w:rsidR="000F65D0">
        <w:rPr>
          <w:rFonts w:cs="Times New Roman"/>
          <w:szCs w:val="22"/>
        </w:rPr>
        <w:t xml:space="preserve">Senior </w:t>
      </w:r>
      <w:r>
        <w:rPr>
          <w:rFonts w:cs="Times New Roman"/>
          <w:szCs w:val="22"/>
        </w:rPr>
        <w:t xml:space="preserve">LT Indenture, and execute and deliver to the District such instruments in writing </w:t>
      </w:r>
      <w:r w:rsidR="00F735A2">
        <w:rPr>
          <w:rFonts w:cs="Times New Roman"/>
          <w:szCs w:val="22"/>
        </w:rPr>
        <w:t>as are required to evidence the same. In addition, notwithstanding any other provision in the Subordinate LT Indenture to the contrary, in the event that any amount of principal of or interest on the 2026B Subordinate LT Bonds remains unpaid after the application of all Subordinate LT Pledged Revenue available therefor on March 1</w:t>
      </w:r>
      <w:r w:rsidR="0031301D">
        <w:rPr>
          <w:rFonts w:cs="Times New Roman"/>
          <w:szCs w:val="22"/>
        </w:rPr>
        <w:t>5</w:t>
      </w:r>
      <w:r w:rsidR="00F735A2">
        <w:rPr>
          <w:rFonts w:cs="Times New Roman"/>
          <w:szCs w:val="22"/>
        </w:rPr>
        <w:t>, 2067, the 2026B Subordinate LT Bonds and the lien of the Subordinate LT Indenture securing payment thereof will be deemed discharged, the estate and rights granted by the Subordinate LT Indenture will cease, terminate, and be void, and thereupon the Trustee is to cancel and discharge the lien of the Subordinate LT Indenture, and execute and deliver to the District such instruments in writing as are required to evidence the same. Upon any such discharge, the Owners will have no recourse</w:t>
      </w:r>
      <w:r>
        <w:rPr>
          <w:rFonts w:cs="Times New Roman"/>
          <w:szCs w:val="22"/>
        </w:rPr>
        <w:t xml:space="preserve"> to the District or any property of the District for the payment of any amount of principal of or interest </w:t>
      </w:r>
      <w:r w:rsidR="00F735A2">
        <w:rPr>
          <w:rFonts w:cs="Times New Roman"/>
          <w:szCs w:val="22"/>
        </w:rPr>
        <w:t>on the LT Bonds remaining unpaid.</w:t>
      </w:r>
    </w:p>
    <w:p w14:paraId="6F88D591" w14:textId="7CA32FC8" w:rsidR="007700C4" w:rsidRPr="00C134B5" w:rsidRDefault="007700C4" w:rsidP="00B471D8">
      <w:pPr>
        <w:pStyle w:val="Heading2"/>
        <w:numPr>
          <w:ilvl w:val="1"/>
          <w:numId w:val="2"/>
        </w:numPr>
        <w:rPr>
          <w:rFonts w:eastAsia="Times New Roman"/>
          <w:sz w:val="22"/>
          <w:szCs w:val="22"/>
        </w:rPr>
      </w:pPr>
      <w:bookmarkStart w:id="62" w:name="_Toc235521041"/>
      <w:r>
        <w:rPr>
          <w:rFonts w:eastAsia="Times New Roman"/>
          <w:sz w:val="22"/>
          <w:szCs w:val="22"/>
        </w:rPr>
        <w:t>Discharge of 2026A-2 SR Bonds</w:t>
      </w:r>
      <w:bookmarkEnd w:id="62"/>
    </w:p>
    <w:p w14:paraId="057EE0F5" w14:textId="70CE82A4" w:rsidR="007700C4" w:rsidRPr="00DA2177" w:rsidRDefault="007700C4" w:rsidP="007700C4">
      <w:pPr>
        <w:pStyle w:val="00BodyText5"/>
        <w:rPr>
          <w:rFonts w:cs="Times New Roman"/>
          <w:szCs w:val="22"/>
        </w:rPr>
      </w:pPr>
      <w:r>
        <w:rPr>
          <w:rFonts w:cs="Times New Roman"/>
          <w:szCs w:val="22"/>
        </w:rPr>
        <w:t>Notwithstanding any other provision in the SR Indenture, in the event that any amount of principal of or interest on the 2026A-2 SR Bonds remains unpaid after the application of all SR Pledged Revenue available therefor after collection of all Contract Fees due and owing in the District and exhaustion of any applicable remedies available to the Trustee under the SR Indenture and the Contract Fees Resolution and the Contract Fee Interlocal Agreement to collect any unpaid Contract Fees due and owing, the 2026A-2 SR Bonds and the lien of the SR Indenture securing payment thereof will be deemed discharged, and the estate and rights thereby granted will cease, terminate, and be void, and thereupon the Trustee is to cancel and discharge the lien of the SR Indenture, and execute and deliver to the District such instruments in writing as are required to evidence the same. Upon any such discharge, the Owners will have no recourse to the District or any property of the District for the payment of any amount of principal of or interest on the 2026A-2 SR Bonds remaining unpaid.</w:t>
      </w:r>
    </w:p>
    <w:p w14:paraId="1E3ADAC1" w14:textId="56B90954" w:rsidR="00DA5978" w:rsidRPr="00DA2177" w:rsidRDefault="00F735A2" w:rsidP="00B471D8">
      <w:pPr>
        <w:pStyle w:val="Heading2"/>
        <w:numPr>
          <w:ilvl w:val="1"/>
          <w:numId w:val="2"/>
        </w:numPr>
        <w:rPr>
          <w:rFonts w:eastAsia="Times New Roman"/>
          <w:sz w:val="22"/>
          <w:szCs w:val="22"/>
        </w:rPr>
      </w:pPr>
      <w:bookmarkStart w:id="63" w:name="_Toc14260967"/>
      <w:bookmarkStart w:id="64" w:name="_Toc235521042"/>
      <w:bookmarkStart w:id="65" w:name="_Toc14260971"/>
      <w:r>
        <w:rPr>
          <w:rFonts w:eastAsia="Times New Roman"/>
          <w:sz w:val="22"/>
          <w:szCs w:val="22"/>
        </w:rPr>
        <w:t>No Acceleration on LT Bonds; No Payment Default on LT Bonds</w:t>
      </w:r>
      <w:bookmarkEnd w:id="63"/>
      <w:bookmarkEnd w:id="64"/>
    </w:p>
    <w:p w14:paraId="7342D946" w14:textId="71B27774" w:rsidR="00463C9D" w:rsidRDefault="00F735A2" w:rsidP="00463C9D">
      <w:pPr>
        <w:pStyle w:val="00BodyText5"/>
        <w:rPr>
          <w:rFonts w:cs="Times New Roman"/>
          <w:szCs w:val="22"/>
        </w:rPr>
      </w:pPr>
      <w:r>
        <w:rPr>
          <w:rFonts w:cs="Times New Roman"/>
          <w:szCs w:val="22"/>
        </w:rPr>
        <w:t>The LT Indentures provide that acceleration of the LT Bonds is not an available remedy for any Event of Default under the LT Indentures.</w:t>
      </w:r>
      <w:r w:rsidR="00463C9D">
        <w:rPr>
          <w:rFonts w:cs="Times New Roman"/>
          <w:szCs w:val="22"/>
        </w:rPr>
        <w:t xml:space="preserve"> In addition, the District’s </w:t>
      </w:r>
      <w:r>
        <w:rPr>
          <w:rFonts w:cs="Times New Roman"/>
          <w:szCs w:val="22"/>
        </w:rPr>
        <w:t>failure to pay principal and interest on the LT Bonds when due does not constitute an Event of Default under the LT Indentures so long</w:t>
      </w:r>
      <w:r w:rsidR="00463C9D">
        <w:rPr>
          <w:rFonts w:cs="Times New Roman"/>
          <w:szCs w:val="22"/>
        </w:rPr>
        <w:t xml:space="preserve"> as the District is otherwise </w:t>
      </w:r>
      <w:r>
        <w:rPr>
          <w:rFonts w:cs="Times New Roman"/>
          <w:szCs w:val="22"/>
        </w:rPr>
        <w:t>in compliance with the respective LT Indenture covenants and other provisions relating to the Senior LT Pledged Revenue and the Subordinate LT Pledged Revenue, as applicable.</w:t>
      </w:r>
      <w:r w:rsidR="00463C9D">
        <w:rPr>
          <w:rFonts w:cs="Times New Roman"/>
          <w:szCs w:val="22"/>
        </w:rPr>
        <w:t xml:space="preserve"> </w:t>
      </w:r>
      <w:r>
        <w:rPr>
          <w:rFonts w:cs="Times New Roman"/>
          <w:szCs w:val="22"/>
        </w:rPr>
        <w:t xml:space="preserve">See </w:t>
      </w:r>
      <w:r w:rsidR="00272237">
        <w:rPr>
          <w:rFonts w:cs="Times New Roman"/>
          <w:szCs w:val="22"/>
        </w:rPr>
        <w:t>“THE 2026A-1 SENIOR LT BONDS</w:t>
      </w:r>
      <w:r>
        <w:rPr>
          <w:rFonts w:cs="Times New Roman"/>
          <w:szCs w:val="22"/>
        </w:rPr>
        <w:t>—Certain Senior LT Indenture Provisions—</w:t>
      </w:r>
      <w:r w:rsidRPr="00BB0838">
        <w:rPr>
          <w:rFonts w:cs="Times New Roman"/>
          <w:i/>
          <w:iCs/>
          <w:szCs w:val="22"/>
        </w:rPr>
        <w:t>Events of Default</w:t>
      </w:r>
      <w:r>
        <w:rPr>
          <w:rFonts w:cs="Times New Roman"/>
          <w:szCs w:val="22"/>
        </w:rPr>
        <w:t>” and “—</w:t>
      </w:r>
      <w:r w:rsidRPr="00BB0838">
        <w:rPr>
          <w:rFonts w:cs="Times New Roman"/>
          <w:i/>
          <w:iCs/>
          <w:szCs w:val="22"/>
        </w:rPr>
        <w:t>Remedies on Occurrence of Event of Default</w:t>
      </w:r>
      <w:r>
        <w:rPr>
          <w:rFonts w:cs="Times New Roman"/>
          <w:szCs w:val="22"/>
        </w:rPr>
        <w:t>.” See also “</w:t>
      </w:r>
      <w:r w:rsidR="00683F5C">
        <w:rPr>
          <w:rFonts w:cs="Times New Roman"/>
          <w:szCs w:val="22"/>
        </w:rPr>
        <w:t>THE 2026B SUBORDINATE LT BONDS</w:t>
      </w:r>
      <w:r>
        <w:rPr>
          <w:rFonts w:cs="Times New Roman"/>
          <w:szCs w:val="22"/>
        </w:rPr>
        <w:t>—</w:t>
      </w:r>
      <w:r w:rsidR="00DD4A7D">
        <w:rPr>
          <w:rFonts w:cs="Times New Roman"/>
          <w:szCs w:val="22"/>
        </w:rPr>
        <w:t>Certain Subordinate LT Indenture Provisions</w:t>
      </w:r>
      <w:r>
        <w:rPr>
          <w:rFonts w:cs="Times New Roman"/>
          <w:szCs w:val="22"/>
        </w:rPr>
        <w:t>—</w:t>
      </w:r>
      <w:r w:rsidRPr="00BB0838">
        <w:rPr>
          <w:rFonts w:cs="Times New Roman"/>
          <w:i/>
          <w:iCs/>
          <w:szCs w:val="22"/>
        </w:rPr>
        <w:t>Events of Default</w:t>
      </w:r>
      <w:r>
        <w:rPr>
          <w:rFonts w:cs="Times New Roman"/>
          <w:szCs w:val="22"/>
        </w:rPr>
        <w:t>” and “—</w:t>
      </w:r>
      <w:r w:rsidRPr="00BB0838">
        <w:rPr>
          <w:rFonts w:cs="Times New Roman"/>
          <w:i/>
          <w:iCs/>
          <w:szCs w:val="22"/>
        </w:rPr>
        <w:t>Remedies on Occurrence of Event of Default</w:t>
      </w:r>
      <w:r>
        <w:rPr>
          <w:rFonts w:cs="Times New Roman"/>
          <w:szCs w:val="22"/>
        </w:rPr>
        <w:t>.”</w:t>
      </w:r>
    </w:p>
    <w:p w14:paraId="34345A51" w14:textId="4C5D2AFA" w:rsidR="008D4105" w:rsidRPr="00DA2177" w:rsidRDefault="008D4105" w:rsidP="00B471D8">
      <w:pPr>
        <w:pStyle w:val="Heading2"/>
        <w:numPr>
          <w:ilvl w:val="1"/>
          <w:numId w:val="2"/>
        </w:numPr>
        <w:rPr>
          <w:rFonts w:eastAsia="Times New Roman"/>
          <w:sz w:val="22"/>
          <w:szCs w:val="22"/>
        </w:rPr>
      </w:pPr>
      <w:bookmarkStart w:id="66" w:name="_Toc235521043"/>
      <w:r>
        <w:rPr>
          <w:rFonts w:eastAsia="Times New Roman"/>
          <w:sz w:val="22"/>
          <w:szCs w:val="22"/>
        </w:rPr>
        <w:t>No Acceleration on SR Bonds; No Payment Default on SR Bonds</w:t>
      </w:r>
      <w:bookmarkEnd w:id="66"/>
    </w:p>
    <w:p w14:paraId="230C9171" w14:textId="41857D79" w:rsidR="008D4105" w:rsidRPr="00DA2177" w:rsidRDefault="008D4105" w:rsidP="008D4105">
      <w:pPr>
        <w:pStyle w:val="00BodyText5"/>
        <w:rPr>
          <w:rFonts w:cs="Times New Roman"/>
          <w:szCs w:val="22"/>
        </w:rPr>
      </w:pPr>
      <w:r>
        <w:rPr>
          <w:rFonts w:cs="Times New Roman"/>
          <w:szCs w:val="22"/>
        </w:rPr>
        <w:t>The SR Indenture provides that acceleration of the 2026A-2 SR Bonds is not an available remedy for any Event of Default under the SR Indenture. In addition, the District’s failure to pay principal and interest on the 2026A-2 SR Bonds when due does not constitute an Event of Default under the SR Indenture so long as the District is otherwise in compliance with the SR Indenture covenants and other provisions relating to the SR Pledged Revenue. See “THE 2026A-2 SR BONDS—Certain SR Indenture Provisions—</w:t>
      </w:r>
      <w:r>
        <w:rPr>
          <w:rFonts w:cs="Times New Roman"/>
          <w:i/>
          <w:szCs w:val="22"/>
        </w:rPr>
        <w:t>Events of Default</w:t>
      </w:r>
      <w:r>
        <w:rPr>
          <w:rFonts w:cs="Times New Roman"/>
          <w:szCs w:val="22"/>
        </w:rPr>
        <w:t>” and “—</w:t>
      </w:r>
      <w:r>
        <w:rPr>
          <w:rFonts w:cs="Times New Roman"/>
          <w:i/>
          <w:szCs w:val="22"/>
        </w:rPr>
        <w:t>Remedies on Occurrence of Event of Default</w:t>
      </w:r>
      <w:r>
        <w:rPr>
          <w:rFonts w:cs="Times New Roman"/>
          <w:szCs w:val="22"/>
        </w:rPr>
        <w:t xml:space="preserve">.” </w:t>
      </w:r>
    </w:p>
    <w:p w14:paraId="301F47E1" w14:textId="4E6DF2CF" w:rsidR="00A055F1" w:rsidRPr="00DA2177" w:rsidRDefault="00A055F1" w:rsidP="00A055F1">
      <w:pPr>
        <w:keepNext/>
        <w:tabs>
          <w:tab w:val="left" w:pos="2520"/>
        </w:tabs>
        <w:spacing w:after="200"/>
        <w:jc w:val="both"/>
        <w:outlineLvl w:val="1"/>
        <w:rPr>
          <w:rFonts w:eastAsia="Times New Roman" w:cs="Times New Roman"/>
          <w:b/>
          <w:sz w:val="22"/>
          <w:szCs w:val="22"/>
        </w:rPr>
      </w:pPr>
      <w:bookmarkStart w:id="67" w:name="_Toc505007531"/>
      <w:bookmarkStart w:id="68" w:name="_Toc512008685"/>
      <w:r>
        <w:rPr>
          <w:rFonts w:eastAsia="Times New Roman" w:cs="Times New Roman"/>
          <w:b/>
          <w:sz w:val="22"/>
          <w:szCs w:val="22"/>
        </w:rPr>
        <w:t xml:space="preserve">Limited </w:t>
      </w:r>
      <w:bookmarkEnd w:id="67"/>
      <w:bookmarkEnd w:id="68"/>
      <w:r>
        <w:rPr>
          <w:rFonts w:eastAsia="Times New Roman" w:cs="Times New Roman"/>
          <w:b/>
          <w:sz w:val="22"/>
          <w:szCs w:val="22"/>
        </w:rPr>
        <w:t>Security for the 2026A-2 SR Bonds</w:t>
      </w:r>
    </w:p>
    <w:p w14:paraId="3B15401B" w14:textId="3C204928" w:rsidR="00A055F1" w:rsidRDefault="00A055F1" w:rsidP="00A055F1">
      <w:pPr>
        <w:suppressAutoHyphens/>
        <w:spacing w:after="240"/>
        <w:ind w:firstLine="720"/>
        <w:jc w:val="both"/>
        <w:rPr>
          <w:rFonts w:eastAsia="Times New Roman" w:cs="Times New Roman"/>
          <w:sz w:val="22"/>
          <w:szCs w:val="22"/>
        </w:rPr>
      </w:pPr>
      <w:r>
        <w:rPr>
          <w:rFonts w:eastAsia="Times New Roman" w:cs="Times New Roman"/>
          <w:sz w:val="22"/>
          <w:szCs w:val="22"/>
        </w:rPr>
        <w:t xml:space="preserve">The 2026A-2 SR Bonds are special limited obligations and the principal of and interest thereon are not payable from the general funds of the District, the City, the State or any other political subdivision. Neither the credit or the taxing power of the District, the City, the State, or any other political subdivision is pledged for the payment of the 2026A-2 SR Bonds or the interest thereon. The principal of, premium, if any, and interest on the 2026A-2 SR Bonds are not a debt of the District or a legal or equitable pledge, charge, lien or encumbrance upon any of the District, the City’s, the State’s or any other political subdivision’s property or upon any of the District’s, the City’s, the State’s or any other political subdivision’s income, receipts or revenues, except proceeds from the Contract Fees and other amounts pledged under the SR Indenture. </w:t>
      </w:r>
    </w:p>
    <w:p w14:paraId="5FB466A7" w14:textId="34AD2480" w:rsidR="0071495A" w:rsidRDefault="0071495A" w:rsidP="0071495A">
      <w:pPr>
        <w:suppressAutoHyphens/>
        <w:spacing w:after="240"/>
        <w:ind w:firstLine="720"/>
        <w:jc w:val="both"/>
        <w:rPr>
          <w:rFonts w:eastAsia="Times New Roman" w:cs="Times New Roman"/>
          <w:sz w:val="22"/>
          <w:szCs w:val="22"/>
        </w:rPr>
      </w:pPr>
      <w:r>
        <w:rPr>
          <w:rFonts w:eastAsia="Times New Roman" w:cs="Times New Roman"/>
          <w:sz w:val="22"/>
          <w:szCs w:val="22"/>
        </w:rPr>
        <w:t xml:space="preserve">The sole source of payment of the 2026A-2 SR Bonds is the Contract Fees paid in accordance with the Contract Fees Resolution and collected in accordance therewith and with the Contract Fee Interlocal Agreement. The Contract Fees Resolution provides that the </w:t>
      </w:r>
      <w:bookmarkStart w:id="69" w:name="_Hlk164370065"/>
      <w:r>
        <w:rPr>
          <w:rFonts w:eastAsia="Times New Roman" w:cs="Times New Roman"/>
          <w:sz w:val="22"/>
          <w:szCs w:val="22"/>
        </w:rPr>
        <w:t>Contract Fees are to be $15,000 for calendar years 2024 and 2025 and increasing by 3% each year thereafter</w:t>
      </w:r>
      <w:bookmarkEnd w:id="69"/>
      <w:r>
        <w:rPr>
          <w:rFonts w:eastAsia="Times New Roman" w:cs="Times New Roman"/>
          <w:sz w:val="22"/>
          <w:szCs w:val="22"/>
        </w:rPr>
        <w:t xml:space="preserve"> </w:t>
      </w:r>
      <w:r w:rsidR="00D57F04">
        <w:rPr>
          <w:rFonts w:eastAsia="Times New Roman" w:cs="Times New Roman"/>
          <w:sz w:val="22"/>
          <w:szCs w:val="22"/>
        </w:rPr>
        <w:t>[</w:t>
      </w:r>
      <w:r w:rsidR="00D57F04" w:rsidRPr="00AF75BD">
        <w:rPr>
          <w:rFonts w:eastAsia="Times New Roman" w:cs="Times New Roman"/>
          <w:sz w:val="22"/>
          <w:szCs w:val="22"/>
          <w:highlight w:val="cyan"/>
        </w:rPr>
        <w:t>UPDATE</w:t>
      </w:r>
      <w:r w:rsidR="00D57F04">
        <w:rPr>
          <w:rFonts w:eastAsia="Times New Roman" w:cs="Times New Roman"/>
          <w:sz w:val="22"/>
          <w:szCs w:val="22"/>
        </w:rPr>
        <w:t xml:space="preserve">]. </w:t>
      </w:r>
      <w:r>
        <w:rPr>
          <w:rFonts w:eastAsia="Times New Roman" w:cs="Times New Roman"/>
          <w:sz w:val="22"/>
          <w:szCs w:val="22"/>
        </w:rPr>
        <w:t>The Contract Fees are to be paid prior to the issuance of a building permit for any applicable residential unit. Therefore, the imposition and collection of the Contract Fees is dependent upon continuation of development with the Development. There can be no assurance that development will proceed in the nature and in the timing as anticipated herein and will be sufficient to pay principal of and interest on the 2026A-2 SR Bonds when due, see “—Development Not Assured” below.</w:t>
      </w:r>
    </w:p>
    <w:p w14:paraId="223AD55A" w14:textId="2BE60E5E" w:rsidR="007F7C27" w:rsidRPr="00DA2177" w:rsidRDefault="007F7C27" w:rsidP="007F7C27">
      <w:pPr>
        <w:pStyle w:val="00BodyText5"/>
        <w:rPr>
          <w:rFonts w:cs="Times New Roman"/>
          <w:szCs w:val="22"/>
        </w:rPr>
      </w:pPr>
      <w:r>
        <w:rPr>
          <w:rFonts w:cs="Times New Roman"/>
          <w:bCs/>
          <w:iCs/>
          <w:szCs w:val="22"/>
        </w:rPr>
        <w:t>Because Contract Fees are payable in connection with the issuance of building permits, it is anticipated that the generation of SR Pledged Revenue will be dependent upon a limited number of entities, specifically the Homebuilders,</w:t>
      </w:r>
      <w:r>
        <w:rPr>
          <w:rFonts w:cs="Times New Roman"/>
          <w:szCs w:val="22"/>
        </w:rPr>
        <w:t xml:space="preserve"> for timely payment of Contract Fees through the maturity date of the 2026A-2 SR Bonds. The Contract Fees are not personal obligations of any Homebuilder.</w:t>
      </w:r>
    </w:p>
    <w:p w14:paraId="4617A926" w14:textId="325DDE95" w:rsidR="007F7C27" w:rsidRPr="00876689" w:rsidRDefault="007F7C27" w:rsidP="007F7C27">
      <w:pPr>
        <w:pStyle w:val="00BodyText5"/>
        <w:rPr>
          <w:rFonts w:cs="Times New Roman"/>
          <w:szCs w:val="22"/>
        </w:rPr>
      </w:pPr>
      <w:r>
        <w:rPr>
          <w:rFonts w:cs="Times New Roman"/>
          <w:szCs w:val="22"/>
        </w:rPr>
        <w:t xml:space="preserve">No party has guaranteed the payment of the principal of or interest on the 2026A-2 SR Bonds, and no financial information regarding the Homebuilders or any other entity which may request building permits within the Development is provided in this Official Statement. </w:t>
      </w:r>
    </w:p>
    <w:p w14:paraId="147D2C9E" w14:textId="77777777" w:rsidR="000521B4" w:rsidRDefault="0071495A" w:rsidP="0071495A">
      <w:pPr>
        <w:suppressAutoHyphens/>
        <w:spacing w:after="240"/>
        <w:ind w:firstLine="720"/>
        <w:jc w:val="both"/>
        <w:rPr>
          <w:rFonts w:eastAsia="Times New Roman" w:cs="Times New Roman"/>
          <w:sz w:val="22"/>
          <w:szCs w:val="22"/>
        </w:rPr>
      </w:pPr>
      <w:r>
        <w:rPr>
          <w:rFonts w:eastAsia="Times New Roman" w:cs="Times New Roman"/>
          <w:sz w:val="22"/>
          <w:szCs w:val="22"/>
        </w:rPr>
        <w:t>The SR Financial Forecast (included in Appendix A-2 hereto) sets for the anticipated payment of debt service on the 2026A-2 SR Bonds, utilizing the projected imposition and collection of the Contract Fees based on the projected absorption in the Market Study and certain assumptions more particularly set forth in the SR Financial Forecast. See “—Risks Inherent in Market Study and Financial Forecasts” below.</w:t>
      </w:r>
    </w:p>
    <w:p w14:paraId="63FCDF98" w14:textId="64A8A78E" w:rsidR="000521B4" w:rsidRPr="00C75606" w:rsidRDefault="000521B4" w:rsidP="000521B4">
      <w:pPr>
        <w:pStyle w:val="Heading2"/>
        <w:rPr>
          <w:rFonts w:eastAsia="Times New Roman"/>
          <w:sz w:val="22"/>
          <w:szCs w:val="22"/>
        </w:rPr>
      </w:pPr>
      <w:bookmarkStart w:id="70" w:name="_Toc235521044"/>
      <w:r w:rsidRPr="00C75606">
        <w:rPr>
          <w:rFonts w:eastAsia="Times New Roman"/>
          <w:sz w:val="22"/>
          <w:szCs w:val="22"/>
        </w:rPr>
        <w:t xml:space="preserve">Subordinate Lien of the 2026B Subordinate LT Bonds; </w:t>
      </w:r>
      <w:r w:rsidR="00E75172" w:rsidRPr="00C75606">
        <w:rPr>
          <w:rFonts w:eastAsia="Times New Roman"/>
          <w:sz w:val="22"/>
          <w:szCs w:val="22"/>
        </w:rPr>
        <w:t>“Cash Flow”</w:t>
      </w:r>
      <w:r w:rsidRPr="00C75606">
        <w:rPr>
          <w:rFonts w:eastAsia="Times New Roman"/>
          <w:sz w:val="22"/>
          <w:szCs w:val="22"/>
        </w:rPr>
        <w:t xml:space="preserve"> Nature of 2026B Subordinate LT Bonds</w:t>
      </w:r>
      <w:bookmarkEnd w:id="70"/>
    </w:p>
    <w:p w14:paraId="69440BDF" w14:textId="07A8EB08" w:rsidR="00822695" w:rsidRPr="00C75606" w:rsidRDefault="000521B4" w:rsidP="00822695">
      <w:pPr>
        <w:spacing w:after="240"/>
        <w:ind w:firstLine="720"/>
        <w:jc w:val="both"/>
        <w:rPr>
          <w:sz w:val="22"/>
          <w:szCs w:val="22"/>
        </w:rPr>
      </w:pPr>
      <w:r w:rsidRPr="00C75606">
        <w:rPr>
          <w:rFonts w:cs="Times New Roman"/>
          <w:sz w:val="22"/>
          <w:szCs w:val="22"/>
        </w:rPr>
        <w:t>The 2026A-1 Senior LT Bonds constitute Senior LT Obligations and the 2026B Subordinate LT Bonds constitute Subordinate LT Obligations under the LT Indentures. No payments will be made on the 2026B Subordinate LT Bonds until the LT Surplus Fund reaches the Maximum Surplus Amount (defined in the Senior LT Indenture to mean $[__________]</w:t>
      </w:r>
      <w:r w:rsidR="00691E9F" w:rsidRPr="00C75606">
        <w:rPr>
          <w:rStyle w:val="FootnoteReference"/>
          <w:rFonts w:cs="Times New Roman"/>
          <w:sz w:val="22"/>
          <w:szCs w:val="22"/>
        </w:rPr>
        <w:footnoteReference w:customMarkFollows="1" w:id="12"/>
        <w:t>*</w:t>
      </w:r>
      <w:r w:rsidRPr="00C75606">
        <w:rPr>
          <w:rFonts w:cs="Times New Roman"/>
          <w:sz w:val="22"/>
          <w:szCs w:val="22"/>
        </w:rPr>
        <w:t xml:space="preserve">). The LT Surplus Fund is forecasted in the </w:t>
      </w:r>
      <w:r w:rsidR="00D57F04">
        <w:rPr>
          <w:rFonts w:cs="Times New Roman"/>
          <w:sz w:val="22"/>
          <w:szCs w:val="22"/>
        </w:rPr>
        <w:t xml:space="preserve">LT </w:t>
      </w:r>
      <w:r w:rsidRPr="00C75606">
        <w:rPr>
          <w:rFonts w:cs="Times New Roman"/>
          <w:sz w:val="22"/>
          <w:szCs w:val="22"/>
        </w:rPr>
        <w:t>Financial Forecast to reach the Maximum Surplus Amount in 20[___],</w:t>
      </w:r>
      <w:r w:rsidR="00691E9F" w:rsidRPr="00C75606">
        <w:rPr>
          <w:rFonts w:cs="Times New Roman"/>
          <w:sz w:val="22"/>
          <w:szCs w:val="22"/>
          <w:vertAlign w:val="superscript"/>
        </w:rPr>
        <w:t>*</w:t>
      </w:r>
      <w:r w:rsidRPr="00C75606">
        <w:rPr>
          <w:rFonts w:cs="Times New Roman"/>
          <w:sz w:val="22"/>
          <w:szCs w:val="22"/>
        </w:rPr>
        <w:t xml:space="preserve"> but this expectation may not be achieved. Thereafter, payments on the 2026B Subordinate LT Bonds are to be made annually from any Subordinate LT Pledged Revenue after all payments required to be paid with respect to the 2026A-1 Senior LT Bonds and any obligations issued on parity therewith in such calendar year have been made.</w:t>
      </w:r>
      <w:r w:rsidR="00822695" w:rsidRPr="00C75606">
        <w:rPr>
          <w:rFonts w:cs="Times New Roman"/>
          <w:sz w:val="22"/>
          <w:szCs w:val="22"/>
        </w:rPr>
        <w:t xml:space="preserve"> By operation of the definitions of Subordinate Required Mill Levy and Senior Obligation Mill Levy (which includes the Senior Required Mill Levy), the Subordinate Required Mill Levy will equal zero for any year in which </w:t>
      </w:r>
      <w:r w:rsidR="00822695" w:rsidRPr="00C75606">
        <w:rPr>
          <w:rFonts w:eastAsia="Calibri" w:cs="Times New Roman"/>
          <w:bCs/>
          <w:sz w:val="22"/>
          <w:szCs w:val="22"/>
        </w:rPr>
        <w:t>the amount of the Senior Obligation Mill Levy equals or exceeds 0.004 per dollar of taxable value (subject to adjustment for changes in law)</w:t>
      </w:r>
      <w:r w:rsidR="00822695" w:rsidRPr="00C75606">
        <w:rPr>
          <w:rFonts w:cs="Times New Roman"/>
          <w:sz w:val="22"/>
          <w:szCs w:val="22"/>
        </w:rPr>
        <w:t xml:space="preserve">, and in all events will be reduced by the amount of the Senior Obligation Mill Levy, as provided in the Subordinate LT Indenture and as more particularly described herein. </w:t>
      </w:r>
    </w:p>
    <w:p w14:paraId="3BC6E2B3" w14:textId="676E0895" w:rsidR="000521B4" w:rsidRDefault="000521B4" w:rsidP="000521B4">
      <w:pPr>
        <w:pStyle w:val="00BodyText5"/>
        <w:rPr>
          <w:rFonts w:cs="Times New Roman"/>
        </w:rPr>
      </w:pPr>
      <w:r w:rsidRPr="000521B4">
        <w:rPr>
          <w:rFonts w:cs="Times New Roman"/>
        </w:rPr>
        <w:t>In addition, the 2026B Subordinate LT Bonds are structured as “cash flow” bonds, meaning that there are no scheduled payments of principal thereof prior to the final maturity date. Rather, principal on the 2026B Subordinate LT Bonds is payable on March 1</w:t>
      </w:r>
      <w:r w:rsidR="007D50B1">
        <w:rPr>
          <w:rFonts w:cs="Times New Roman"/>
        </w:rPr>
        <w:t>5</w:t>
      </w:r>
      <w:r w:rsidRPr="000521B4">
        <w:rPr>
          <w:rFonts w:cs="Times New Roman"/>
        </w:rPr>
        <w:t xml:space="preserve"> of each year commencing on March 1</w:t>
      </w:r>
      <w:r w:rsidR="007D50B1">
        <w:rPr>
          <w:rFonts w:cs="Times New Roman"/>
        </w:rPr>
        <w:t>5</w:t>
      </w:r>
      <w:r w:rsidRPr="000521B4">
        <w:rPr>
          <w:rFonts w:cs="Times New Roman"/>
        </w:rPr>
        <w:t xml:space="preserve">, 2027, to the extent of moneys on deposit, if any, in the Subordinate LT Bond Fund </w:t>
      </w:r>
      <w:r w:rsidR="00683F5C">
        <w:rPr>
          <w:rFonts w:cs="Times New Roman"/>
        </w:rPr>
        <w:t>30</w:t>
      </w:r>
      <w:r w:rsidRPr="000521B4">
        <w:rPr>
          <w:rFonts w:cs="Times New Roman"/>
        </w:rPr>
        <w:t xml:space="preserve"> days prior to the applicable Subordinate Mandatory Redemption Date, in accordance with the terms of the Subordinate LT Indenture, pursuant to a mandatory redemption more particularly described in “</w:t>
      </w:r>
      <w:r w:rsidR="00683F5C">
        <w:rPr>
          <w:rFonts w:cs="Times New Roman"/>
        </w:rPr>
        <w:t>THE 2026B SUBORDINATE LT BONDS</w:t>
      </w:r>
      <w:r w:rsidRPr="000521B4">
        <w:rPr>
          <w:rFonts w:cs="Times New Roman"/>
        </w:rPr>
        <w:t>—Redemption—Mandatory Redemption” and “—</w:t>
      </w:r>
      <w:r w:rsidR="00DD4A7D">
        <w:rPr>
          <w:rFonts w:cs="Times New Roman"/>
        </w:rPr>
        <w:t>Certain Subordinate LT Indenture Provisions</w:t>
      </w:r>
      <w:r w:rsidRPr="000521B4">
        <w:rPr>
          <w:rFonts w:cs="Times New Roman"/>
        </w:rPr>
        <w:t>—Subordinate LT Bond Fund; Mandatory Redemption” herein. Furthermore, accrued unpaid interest on the 2026B Subordinate LT Bonds will compound annually on each March 1</w:t>
      </w:r>
      <w:r w:rsidR="007D50B1">
        <w:rPr>
          <w:rFonts w:cs="Times New Roman"/>
        </w:rPr>
        <w:t>5</w:t>
      </w:r>
      <w:r w:rsidRPr="000521B4">
        <w:rPr>
          <w:rFonts w:cs="Times New Roman"/>
        </w:rPr>
        <w:t>. As further described in “</w:t>
      </w:r>
      <w:r w:rsidR="00683F5C">
        <w:rPr>
          <w:rFonts w:cs="Times New Roman"/>
        </w:rPr>
        <w:t>THE 2026B SUBORDINATE LT BONDS</w:t>
      </w:r>
      <w:r w:rsidRPr="000521B4">
        <w:rPr>
          <w:rFonts w:cs="Times New Roman"/>
        </w:rPr>
        <w:t>—</w:t>
      </w:r>
      <w:r w:rsidR="00DD4A7D">
        <w:rPr>
          <w:rFonts w:cs="Times New Roman"/>
        </w:rPr>
        <w:t>Certain Subordinate LT Indenture Provisions</w:t>
      </w:r>
      <w:r w:rsidRPr="000521B4">
        <w:rPr>
          <w:rFonts w:cs="Times New Roman"/>
        </w:rPr>
        <w:t xml:space="preserve">—Subordinate LT Bond Fund; Mandatory Redemption,” interest payable on the 2026B Subordinate LT Bonds in each </w:t>
      </w:r>
      <w:r w:rsidR="00AD0041">
        <w:rPr>
          <w:rFonts w:cs="Times New Roman"/>
        </w:rPr>
        <w:t>Subordinate LT Bond Year</w:t>
      </w:r>
      <w:r w:rsidRPr="000521B4">
        <w:rPr>
          <w:rFonts w:cs="Times New Roman"/>
        </w:rPr>
        <w:t xml:space="preserve"> is to be paid prior to any payments of principal in such </w:t>
      </w:r>
      <w:r w:rsidR="00AD0041">
        <w:rPr>
          <w:rFonts w:cs="Times New Roman"/>
        </w:rPr>
        <w:t>Subordinate LT Bond Year</w:t>
      </w:r>
      <w:r w:rsidRPr="000521B4">
        <w:rPr>
          <w:rFonts w:cs="Times New Roman"/>
        </w:rPr>
        <w:t xml:space="preserve">. See also the </w:t>
      </w:r>
      <w:r w:rsidR="00D57F04">
        <w:rPr>
          <w:rFonts w:cs="Times New Roman"/>
        </w:rPr>
        <w:t xml:space="preserve">LT </w:t>
      </w:r>
      <w:r w:rsidRPr="000521B4">
        <w:rPr>
          <w:rFonts w:cs="Times New Roman"/>
        </w:rPr>
        <w:t>Financial Forecast attached as APPENDIX A hereto. However, notwithstanding any other provision in the Subordinate LT Indenture, in the event that any amount of principal of or interest on the 2026B Subordinate LT Bonds remains unpaid after the application of all Subordinate LT Pledged Revenue available therefor on March 1</w:t>
      </w:r>
      <w:r w:rsidR="0031301D">
        <w:rPr>
          <w:rFonts w:cs="Times New Roman"/>
        </w:rPr>
        <w:t>5</w:t>
      </w:r>
      <w:r w:rsidRPr="000521B4">
        <w:rPr>
          <w:rFonts w:cs="Times New Roman"/>
        </w:rPr>
        <w:t>, 2067, the 2026B Subordinate LT Bonds and the lien of the Subordinate LT Indenture securing payment thereof will be deemed discharged, and the estate and rights thereby granted will cease, terminate, and be void.</w:t>
      </w:r>
    </w:p>
    <w:p w14:paraId="2D4B716E" w14:textId="1CC5555A" w:rsidR="0071495A" w:rsidRPr="000521B4" w:rsidRDefault="000521B4" w:rsidP="000521B4">
      <w:pPr>
        <w:pStyle w:val="00BodyText5"/>
        <w:rPr>
          <w:rFonts w:cs="Times New Roman"/>
        </w:rPr>
      </w:pPr>
      <w:r w:rsidRPr="000521B4">
        <w:rPr>
          <w:rFonts w:cs="Times New Roman"/>
        </w:rPr>
        <w:t xml:space="preserve">Prospective purchasers are cautioned that the payment of debt service on the 2026B Subordinate LT Bonds presented in the </w:t>
      </w:r>
      <w:r w:rsidR="00D57F04">
        <w:rPr>
          <w:rFonts w:cs="Times New Roman"/>
        </w:rPr>
        <w:t xml:space="preserve">LT </w:t>
      </w:r>
      <w:r w:rsidRPr="000521B4">
        <w:rPr>
          <w:rFonts w:cs="Times New Roman"/>
        </w:rPr>
        <w:t>Financial Forecast is only a projection, based upon the assumptions set forth therein, and failure to pay such amounts on the 2026B Subordinate LT Bonds in accordance with such projection will not constitute an event of default under the Subordinate LT Indenture. See also “—Risks Inherent in Market Study and Financial Forecast</w:t>
      </w:r>
      <w:r w:rsidR="004B0447">
        <w:rPr>
          <w:rFonts w:cs="Times New Roman"/>
        </w:rPr>
        <w:t>s</w:t>
      </w:r>
      <w:r w:rsidRPr="000521B4">
        <w:rPr>
          <w:rFonts w:cs="Times New Roman"/>
        </w:rPr>
        <w:t>” below.</w:t>
      </w:r>
    </w:p>
    <w:p w14:paraId="34C9701D" w14:textId="77777777" w:rsidR="00D55F94" w:rsidRPr="00D55F94" w:rsidRDefault="00D55F94" w:rsidP="00D55F94">
      <w:pPr>
        <w:pStyle w:val="Heading2"/>
        <w:numPr>
          <w:ilvl w:val="0"/>
          <w:numId w:val="0"/>
        </w:numPr>
        <w:jc w:val="left"/>
        <w:rPr>
          <w:rFonts w:eastAsia="Times New Roman"/>
          <w:bCs w:val="0"/>
          <w:sz w:val="22"/>
          <w:szCs w:val="22"/>
        </w:rPr>
      </w:pPr>
      <w:bookmarkStart w:id="71" w:name="_Toc104467931"/>
      <w:bookmarkStart w:id="72" w:name="_Toc235521045"/>
      <w:r>
        <w:rPr>
          <w:rFonts w:eastAsia="Times New Roman"/>
          <w:bCs w:val="0"/>
          <w:sz w:val="22"/>
          <w:szCs w:val="22"/>
        </w:rPr>
        <w:t xml:space="preserve">Enforceability of </w:t>
      </w:r>
      <w:bookmarkEnd w:id="71"/>
      <w:r>
        <w:rPr>
          <w:rFonts w:eastAsia="Times New Roman"/>
          <w:bCs w:val="0"/>
          <w:sz w:val="22"/>
          <w:szCs w:val="22"/>
        </w:rPr>
        <w:t>Contract Fees</w:t>
      </w:r>
      <w:bookmarkEnd w:id="72"/>
    </w:p>
    <w:p w14:paraId="21EA7E15" w14:textId="19AE915E" w:rsidR="00E70930" w:rsidRPr="00514870" w:rsidRDefault="00E70930" w:rsidP="00E70930">
      <w:pPr>
        <w:pStyle w:val="00BodyText5"/>
      </w:pPr>
      <w:r>
        <w:t xml:space="preserve">The Contract Fees are the sole source of the SR Pledged Revenue pledged to the payment of the 2026A-2 SR Bonds. See “THE 2026A-2 SR BONDS—Security for the 2026A-2 SR Bonds” for a description of the Contract Fees imposed pursuant to the Contract Fees Resolution. The Contract Fees are due and payable prior to the issuance of a building permit by the City for a residential unit in the Development. </w:t>
      </w:r>
      <w:r>
        <w:rPr>
          <w:i/>
        </w:rPr>
        <w:t xml:space="preserve">There is no mechanism in place, however, which would prohibit the </w:t>
      </w:r>
      <w:r>
        <w:rPr>
          <w:i/>
          <w:iCs/>
        </w:rPr>
        <w:t>City</w:t>
      </w:r>
      <w:r>
        <w:rPr>
          <w:i/>
        </w:rPr>
        <w:t xml:space="preserve"> from issuing a building permit for property within the Development for units upon which the Contract Fees are unpaid other than the City’s agreement in the Contract Fee Interlocal Agreement that it will verify that the Contract Fees have been paid in full, see “—Risks Related to the Contract Fee Interlocal Agreement” below. </w:t>
      </w:r>
      <w:r>
        <w:t>Accordingly, enforcement of the collection of unpaid Contract Fees will solely be the responsibility of the District pursuant to the mechanisms described below.</w:t>
      </w:r>
    </w:p>
    <w:p w14:paraId="3BF39FEE" w14:textId="21ECB918" w:rsidR="00E70930" w:rsidRPr="00514870" w:rsidRDefault="00E70930" w:rsidP="00E70930">
      <w:pPr>
        <w:pStyle w:val="00BodyText5"/>
      </w:pPr>
      <w:r>
        <w:t>Pursuant to the Contract Fee</w:t>
      </w:r>
      <w:r w:rsidR="00CD137B">
        <w:t>s</w:t>
      </w:r>
      <w:r>
        <w:t xml:space="preserve"> Resolution, the Contract Fees are imposed pursuant to </w:t>
      </w:r>
      <w:r>
        <w:rPr>
          <w:rFonts w:cs="Times New Roman"/>
          <w:szCs w:val="22"/>
        </w:rPr>
        <w:t>17B-1-103 of the Utah Code</w:t>
      </w:r>
      <w:r>
        <w:t xml:space="preserve">, which authorizes the imposition of fees or other charges for commodities, services, or facilities provided by the District, to pay some or all of the District’s costs of providing the commodities, services, and facilities, including the costs of maintaining and operating the district, acquiring, purchasing, constructing, improving, or enlarging district facilities, issuing bonds, and paying debt service on District bonds, and providing a reserve established by the Board; and pursuant to 17D-4-302 of the Utah Code, which authorizes a fee or other charge for an administrative service that the public infrastructure district provides, to pay some or all of the public infrastructure district's costs of acquiring, improving, or extending improvements, facilities, or property. </w:t>
      </w:r>
      <w:r>
        <w:rPr>
          <w:szCs w:val="22"/>
        </w:rPr>
        <w:t xml:space="preserve">See </w:t>
      </w:r>
      <w:r>
        <w:t>“THE 2026A-2 SR BONDS—Security for the 2026A-2 SR Bonds—</w:t>
      </w:r>
      <w:r>
        <w:rPr>
          <w:i/>
        </w:rPr>
        <w:t>Contract Fee Revenue</w:t>
      </w:r>
      <w:r>
        <w:t>.” Pursuant to the Contract Fee Interlocal Agreement, the City has agreed to collect the Contract Fees imposed by the District and to remit such Contract Fees on at least a monthly basis. See “THE 2026A-2 SR BONDS—Security for the 2026A-2 SR Bonds—</w:t>
      </w:r>
      <w:r>
        <w:rPr>
          <w:i/>
        </w:rPr>
        <w:t>Contract Fee Interlocal Agreement</w:t>
      </w:r>
      <w:r>
        <w:rPr>
          <w:iCs/>
        </w:rPr>
        <w:t>.”</w:t>
      </w:r>
      <w:r>
        <w:t xml:space="preserve"> </w:t>
      </w:r>
    </w:p>
    <w:p w14:paraId="0C4B3F10" w14:textId="4CBF6A0C" w:rsidR="00E70930" w:rsidRPr="00514870" w:rsidRDefault="00E70930" w:rsidP="00E70930">
      <w:pPr>
        <w:pStyle w:val="00BodyText5"/>
      </w:pPr>
      <w:r>
        <w:t>An opinion of counsel to the District will be delivered to the effect that, based on the assumptions stated therein, (a) the Contract Fee</w:t>
      </w:r>
      <w:r w:rsidR="00CD137B">
        <w:t>s</w:t>
      </w:r>
      <w:r>
        <w:t xml:space="preserve"> Resolution has been duly and properly adopted and complies in all material respects with the procedural rules of the District and the requirements of State law and remains in full force and effect on the date of issuance of the 2026A-2 SR Bonds; (b) the Contract Fees are in the nature of a fee permitted under the District Act, Utah Code section 17D-4-302, and may be pledged to the payment of the principal of, and interest on, the 2026A-2 SR Bonds; (c) the Contract Fees are valid and enforceable under the same and, pursuant to Utah Code section 17B-1-902</w:t>
      </w:r>
      <w:r>
        <w:rPr>
          <w:rFonts w:cs="Times New Roman"/>
          <w:szCs w:val="22"/>
        </w:rPr>
        <w:t>,</w:t>
      </w:r>
      <w:r>
        <w:t xml:space="preserve"> from and after the date of issuance of the 2026A-2 SR Bonds, as set forth in the Contract Fee</w:t>
      </w:r>
      <w:r w:rsidR="00CD137B">
        <w:t>s</w:t>
      </w:r>
      <w:r>
        <w:t xml:space="preserve"> Resolution and until paid, the Contract Fees shall constitute a perpetual lien on and against property within the District, and any such lien may be foreclosed in the same manner as provided by the laws of the State for the foreclosure of mechanic’s liens; (d) it is reasonable to conclude that in the event of a challenge a court would find that such a perpetual lien, under existing case law, would have priority over other encumbrances on the property whether arising before or after the date of issuance of the 2026A-2 SR Bonds except for liens for taxes, assessments and other governmental rates, fees, tolls and charges and (e) no further election under the constitution or other laws of the State is required to impose the Contract Fees.</w:t>
      </w:r>
    </w:p>
    <w:p w14:paraId="3DBEF4DF" w14:textId="66542BB8" w:rsidR="00E70930" w:rsidRPr="00B403B9" w:rsidRDefault="00E70930" w:rsidP="00E70930">
      <w:pPr>
        <w:pStyle w:val="00BodyText5"/>
        <w:rPr>
          <w:rFonts w:eastAsia="Times New Roman"/>
          <w:b/>
          <w:szCs w:val="22"/>
        </w:rPr>
      </w:pPr>
      <w:r>
        <w:rPr>
          <w:b/>
        </w:rPr>
        <w:t>The enforceability of fees in the nature of the Contract Fees and the corresponding remedies described above are judicially untested. There is no assurance that the Contract Fees would be characterized by a court of competent jurisdiction as a charge imposed for the provision of facilities or payment of debt service (and, consequently, a statutorily authorized fee), nor can there be any assurance that a court would rule in favor of the enforceability of the Contract Fee</w:t>
      </w:r>
      <w:r w:rsidR="00CD137B">
        <w:rPr>
          <w:b/>
        </w:rPr>
        <w:t>s</w:t>
      </w:r>
      <w:r>
        <w:rPr>
          <w:b/>
        </w:rPr>
        <w:t xml:space="preserve"> Resolution, the imposition of the Contract Fees, or the statutory lien relating thereto.</w:t>
      </w:r>
    </w:p>
    <w:p w14:paraId="789BA229" w14:textId="77777777" w:rsidR="00D55F94" w:rsidRPr="00AC0A9A" w:rsidRDefault="00D55F94" w:rsidP="00B471D8">
      <w:pPr>
        <w:pStyle w:val="Kutak1L2"/>
        <w:numPr>
          <w:ilvl w:val="1"/>
          <w:numId w:val="12"/>
        </w:numPr>
      </w:pPr>
      <w:bookmarkStart w:id="73" w:name="_Toc466439449"/>
      <w:r>
        <w:t xml:space="preserve">Risks Related to Revenues Payable Under the Contract Fee Interlocal Agreement </w:t>
      </w:r>
      <w:bookmarkEnd w:id="73"/>
    </w:p>
    <w:p w14:paraId="027F90ED" w14:textId="1796D8A2" w:rsidR="00D55F94" w:rsidRPr="00D55F94" w:rsidRDefault="00D55F94" w:rsidP="00B471D8">
      <w:pPr>
        <w:pStyle w:val="BodyText"/>
        <w:numPr>
          <w:ilvl w:val="2"/>
          <w:numId w:val="12"/>
        </w:numPr>
        <w:spacing w:after="240"/>
      </w:pPr>
      <w:r>
        <w:t xml:space="preserve">Pursuant to the Contract Fee Interlocal Agreement, the City has agreed to (a) collect the Contract Fees imposed by the District; (b) remit such Contract Fees on at least a monthly basis to the District, no later than the 30th day of the calendar month immediately following; and (c) require proof of payment of the Contract Fees prior to the issuance of a building permit by the City. Receipt of amounts due from the City under the Contract Fee Interlocal Agreement are dependent upon the ability and willingness of the City to adhere to the terms of the Contract Fee Interlocal Agreement and to collect the required revenues and deposit such revenues as required by the Contract Fee Interlocal Agreement. The obligations of the City under the Contract Fee Interlocal Agreement are not secured by any lien on City assets or revenues, other than the Contract Fees identified therein. If the City defaults under the Contract Fee Interlocal Agreement, the District may exercise any and all rights available at law or in equity, including damages, court costs, and attorney fees. </w:t>
      </w:r>
    </w:p>
    <w:p w14:paraId="7CBE4581" w14:textId="61CC3850" w:rsidR="00DA5978" w:rsidRDefault="00572690" w:rsidP="00B471D8">
      <w:pPr>
        <w:pStyle w:val="Heading2"/>
        <w:numPr>
          <w:ilvl w:val="1"/>
          <w:numId w:val="2"/>
        </w:numPr>
        <w:rPr>
          <w:rFonts w:eastAsia="Times New Roman"/>
          <w:sz w:val="22"/>
          <w:szCs w:val="22"/>
        </w:rPr>
      </w:pPr>
      <w:bookmarkStart w:id="74" w:name="_Toc235521046"/>
      <w:r>
        <w:rPr>
          <w:rFonts w:eastAsia="Times New Roman"/>
          <w:sz w:val="22"/>
          <w:szCs w:val="22"/>
        </w:rPr>
        <w:t>Additional Obligations</w:t>
      </w:r>
      <w:bookmarkEnd w:id="65"/>
      <w:bookmarkEnd w:id="74"/>
    </w:p>
    <w:p w14:paraId="0D0123F7" w14:textId="77777777" w:rsidR="00EF54C3" w:rsidRDefault="00D55F94" w:rsidP="00EF54C3">
      <w:pPr>
        <w:pStyle w:val="00BodyText1"/>
        <w:ind w:firstLine="720"/>
        <w:jc w:val="both"/>
        <w:rPr>
          <w:sz w:val="22"/>
          <w:szCs w:val="22"/>
        </w:rPr>
      </w:pPr>
      <w:r>
        <w:rPr>
          <w:sz w:val="22"/>
          <w:szCs w:val="22"/>
        </w:rPr>
        <w:t>The District may issue Additional SR Obligations, without the consent of the Consent Parties of the 2026A-2 SR Bonds, subject to the satisfaction of certain conditions set forth in the SR Indenture and described in “THE 2026A-2 SR BONDS—Certain SR Indenture Provisions—Additional SR Obligations</w:t>
      </w:r>
      <w:r w:rsidR="00EF54C3">
        <w:rPr>
          <w:sz w:val="22"/>
          <w:szCs w:val="22"/>
        </w:rPr>
        <w:t>.</w:t>
      </w:r>
      <w:r>
        <w:rPr>
          <w:sz w:val="22"/>
          <w:szCs w:val="22"/>
        </w:rPr>
        <w:t>” The issuance of Additional SR Obligations would potentially dilute the security available for the 2026A-2 SR Bonds.</w:t>
      </w:r>
      <w:r w:rsidR="00EF54C3">
        <w:rPr>
          <w:sz w:val="22"/>
          <w:szCs w:val="22"/>
        </w:rPr>
        <w:t xml:space="preserve"> </w:t>
      </w:r>
    </w:p>
    <w:p w14:paraId="01533E35" w14:textId="3E57B7E9" w:rsidR="00B77CC1" w:rsidRPr="00C75606" w:rsidRDefault="00463C9D" w:rsidP="00EF54C3">
      <w:pPr>
        <w:pStyle w:val="00BodyText1"/>
        <w:ind w:firstLine="720"/>
        <w:jc w:val="both"/>
        <w:rPr>
          <w:rFonts w:cs="Times New Roman"/>
          <w:sz w:val="22"/>
          <w:szCs w:val="22"/>
        </w:rPr>
      </w:pPr>
      <w:r w:rsidRPr="00EF54C3">
        <w:rPr>
          <w:rFonts w:cs="Times New Roman"/>
          <w:sz w:val="22"/>
          <w:szCs w:val="22"/>
        </w:rPr>
        <w:t xml:space="preserve">The District may issue Additional LT Obligations, without the consent of the Consent Parties of the </w:t>
      </w:r>
      <w:r w:rsidR="00787226" w:rsidRPr="00EF54C3">
        <w:rPr>
          <w:rFonts w:cs="Times New Roman"/>
          <w:sz w:val="22"/>
          <w:szCs w:val="22"/>
        </w:rPr>
        <w:t>2026A-1 Senior LT Bond</w:t>
      </w:r>
      <w:r w:rsidRPr="00EF54C3">
        <w:rPr>
          <w:rFonts w:cs="Times New Roman"/>
          <w:sz w:val="22"/>
          <w:szCs w:val="22"/>
        </w:rPr>
        <w:t xml:space="preserve">s, subject to the satisfaction of certain conditions set forth in the </w:t>
      </w:r>
      <w:r w:rsidR="000F65D0" w:rsidRPr="00EF54C3">
        <w:rPr>
          <w:rFonts w:cs="Times New Roman"/>
          <w:sz w:val="22"/>
          <w:szCs w:val="22"/>
        </w:rPr>
        <w:t xml:space="preserve">Senior </w:t>
      </w:r>
      <w:r w:rsidRPr="00EF54C3">
        <w:rPr>
          <w:rFonts w:cs="Times New Roman"/>
          <w:sz w:val="22"/>
          <w:szCs w:val="22"/>
        </w:rPr>
        <w:t xml:space="preserve">LT Indenture and described in </w:t>
      </w:r>
      <w:r w:rsidR="00272237" w:rsidRPr="00EF54C3">
        <w:rPr>
          <w:rFonts w:cs="Times New Roman"/>
          <w:sz w:val="22"/>
          <w:szCs w:val="22"/>
        </w:rPr>
        <w:t>“THE 2026A-1 SENIOR LT BONDS</w:t>
      </w:r>
      <w:r w:rsidRPr="00EF54C3">
        <w:rPr>
          <w:rFonts w:cs="Times New Roman"/>
          <w:sz w:val="22"/>
          <w:szCs w:val="22"/>
        </w:rPr>
        <w:t xml:space="preserve">—Certain </w:t>
      </w:r>
      <w:r w:rsidR="000F65D0" w:rsidRPr="00EF54C3">
        <w:rPr>
          <w:rFonts w:cs="Times New Roman"/>
          <w:sz w:val="22"/>
          <w:szCs w:val="22"/>
        </w:rPr>
        <w:t xml:space="preserve">Senior </w:t>
      </w:r>
      <w:r w:rsidRPr="00EF54C3">
        <w:rPr>
          <w:rFonts w:cs="Times New Roman"/>
          <w:sz w:val="22"/>
          <w:szCs w:val="22"/>
        </w:rPr>
        <w:t>LT Indenture Provisions—</w:t>
      </w:r>
      <w:r w:rsidRPr="00EF54C3">
        <w:rPr>
          <w:rFonts w:cs="Times New Roman"/>
          <w:i/>
          <w:sz w:val="22"/>
          <w:szCs w:val="22"/>
        </w:rPr>
        <w:t>Additional LT Obligations</w:t>
      </w:r>
      <w:r w:rsidR="00822695">
        <w:rPr>
          <w:rFonts w:cs="Times New Roman"/>
          <w:sz w:val="22"/>
          <w:szCs w:val="22"/>
        </w:rPr>
        <w:t>,</w:t>
      </w:r>
      <w:r w:rsidRPr="00EF54C3">
        <w:rPr>
          <w:rFonts w:cs="Times New Roman"/>
          <w:sz w:val="22"/>
          <w:szCs w:val="22"/>
        </w:rPr>
        <w:t>”</w:t>
      </w:r>
      <w:r w:rsidR="00822695">
        <w:rPr>
          <w:rFonts w:cs="Times New Roman"/>
          <w:sz w:val="22"/>
          <w:szCs w:val="22"/>
        </w:rPr>
        <w:t xml:space="preserve"> </w:t>
      </w:r>
      <w:r w:rsidR="00822695" w:rsidRPr="00822695">
        <w:rPr>
          <w:rFonts w:cs="Times New Roman"/>
          <w:sz w:val="22"/>
          <w:szCs w:val="22"/>
        </w:rPr>
        <w:t>and, without the consent of the Consent Parties of the 2026B Subordinate LT Bonds, subject to the satisfaction of certain conditions described in “THE 2026B SUBORDINATE LT BONDS—Certain Subordinate LT Indenture Provisions—</w:t>
      </w:r>
      <w:r w:rsidR="00822695" w:rsidRPr="00822695">
        <w:rPr>
          <w:rFonts w:cs="Times New Roman"/>
          <w:i/>
          <w:sz w:val="22"/>
          <w:szCs w:val="22"/>
        </w:rPr>
        <w:t xml:space="preserve">Additional </w:t>
      </w:r>
      <w:r w:rsidR="00822695">
        <w:rPr>
          <w:rFonts w:cs="Times New Roman"/>
          <w:i/>
          <w:sz w:val="22"/>
          <w:szCs w:val="22"/>
        </w:rPr>
        <w:t xml:space="preserve">LT </w:t>
      </w:r>
      <w:r w:rsidR="00822695" w:rsidRPr="00822695">
        <w:rPr>
          <w:rFonts w:cs="Times New Roman"/>
          <w:i/>
          <w:sz w:val="22"/>
          <w:szCs w:val="22"/>
        </w:rPr>
        <w:t>Obligations</w:t>
      </w:r>
      <w:r w:rsidR="00822695" w:rsidRPr="00822695">
        <w:rPr>
          <w:rFonts w:cs="Times New Roman"/>
          <w:sz w:val="22"/>
          <w:szCs w:val="22"/>
        </w:rPr>
        <w:t>.”</w:t>
      </w:r>
      <w:r w:rsidRPr="00EF54C3">
        <w:rPr>
          <w:rFonts w:cs="Times New Roman"/>
          <w:sz w:val="22"/>
          <w:szCs w:val="22"/>
        </w:rPr>
        <w:t xml:space="preserve"> The District’s issuance of Additional LT Obligations (as defined in the </w:t>
      </w:r>
      <w:r w:rsidR="00822695">
        <w:rPr>
          <w:rFonts w:cs="Times New Roman"/>
          <w:sz w:val="22"/>
          <w:szCs w:val="22"/>
        </w:rPr>
        <w:t>respective LT</w:t>
      </w:r>
      <w:r w:rsidRPr="00EF54C3">
        <w:rPr>
          <w:rFonts w:cs="Times New Roman"/>
          <w:sz w:val="22"/>
          <w:szCs w:val="22"/>
        </w:rPr>
        <w:t xml:space="preserve"> Indenture, see also “APPENDIX C—SELECTED DEFINITIONS”) is also subject to the limitations of the Governing Document and electoral authorization (including the Bond Consent).</w:t>
      </w:r>
      <w:r w:rsidR="00EF54C3" w:rsidRPr="00EF54C3">
        <w:rPr>
          <w:rFonts w:cs="Times New Roman"/>
          <w:sz w:val="22"/>
          <w:szCs w:val="22"/>
        </w:rPr>
        <w:t xml:space="preserve"> </w:t>
      </w:r>
      <w:r w:rsidR="00B77CC1" w:rsidRPr="00EF54C3">
        <w:rPr>
          <w:rFonts w:cs="Times New Roman"/>
          <w:sz w:val="22"/>
          <w:szCs w:val="22"/>
        </w:rPr>
        <w:t xml:space="preserve">The issuance of Additional </w:t>
      </w:r>
      <w:r w:rsidR="00B77CC1" w:rsidRPr="00C75606">
        <w:rPr>
          <w:rFonts w:cs="Times New Roman"/>
          <w:sz w:val="22"/>
          <w:szCs w:val="22"/>
        </w:rPr>
        <w:t xml:space="preserve">LT Obligations would potentially dilute the security available for the </w:t>
      </w:r>
      <w:r w:rsidR="00787226" w:rsidRPr="00C75606">
        <w:rPr>
          <w:rFonts w:cs="Times New Roman"/>
          <w:sz w:val="22"/>
          <w:szCs w:val="22"/>
        </w:rPr>
        <w:t>LT Bond</w:t>
      </w:r>
      <w:r w:rsidR="00B77CC1" w:rsidRPr="00C75606">
        <w:rPr>
          <w:rFonts w:cs="Times New Roman"/>
          <w:sz w:val="22"/>
          <w:szCs w:val="22"/>
        </w:rPr>
        <w:t xml:space="preserve">s. </w:t>
      </w:r>
    </w:p>
    <w:p w14:paraId="15051B37" w14:textId="051EE0B7" w:rsidR="00D55F94" w:rsidRPr="00D55F94" w:rsidRDefault="00D55F94" w:rsidP="00D55F94">
      <w:pPr>
        <w:keepNext/>
        <w:keepLines/>
        <w:numPr>
          <w:ilvl w:val="1"/>
          <w:numId w:val="0"/>
        </w:numPr>
        <w:tabs>
          <w:tab w:val="num" w:pos="0"/>
        </w:tabs>
        <w:spacing w:after="180"/>
        <w:outlineLvl w:val="1"/>
        <w:rPr>
          <w:b/>
          <w:sz w:val="22"/>
          <w:szCs w:val="28"/>
        </w:rPr>
      </w:pPr>
      <w:bookmarkStart w:id="75" w:name="_Toc115431152"/>
      <w:r>
        <w:rPr>
          <w:b/>
          <w:sz w:val="22"/>
          <w:szCs w:val="28"/>
        </w:rPr>
        <w:t>No Reserve Fund, Surplus Fund, or Capitalized Interest for the 2026A-2 SR Bonds</w:t>
      </w:r>
      <w:bookmarkEnd w:id="75"/>
    </w:p>
    <w:p w14:paraId="7FF1C446" w14:textId="1DAF5F87" w:rsidR="00D55F94" w:rsidRPr="00D55F94" w:rsidRDefault="00E758BC" w:rsidP="00D55F94">
      <w:pPr>
        <w:spacing w:after="180"/>
        <w:ind w:firstLine="720"/>
        <w:jc w:val="both"/>
        <w:rPr>
          <w:sz w:val="22"/>
          <w:szCs w:val="28"/>
        </w:rPr>
      </w:pPr>
      <w:r>
        <w:rPr>
          <w:sz w:val="22"/>
          <w:szCs w:val="28"/>
        </w:rPr>
        <w:t>The SR Indenture does not provide for the funding of any capitalized interest, reserve fund, surplus fund or any other fund or account from which the principal of and accrued interest on the 2026A-2 SR Bonds may be paid, other than the SR Bond Fund. The District is therefore reliant exclusively upon future SR Pledged Revenue to pay debt service on 2026A-2 SR Bonds.</w:t>
      </w:r>
    </w:p>
    <w:p w14:paraId="7903B394" w14:textId="0FB75B81" w:rsidR="00D55F94" w:rsidRPr="00D55F94" w:rsidRDefault="00D55F94" w:rsidP="00D55F94">
      <w:pPr>
        <w:spacing w:after="180"/>
        <w:ind w:firstLine="720"/>
        <w:jc w:val="both"/>
        <w:rPr>
          <w:b/>
          <w:bCs/>
          <w:sz w:val="22"/>
          <w:szCs w:val="28"/>
        </w:rPr>
      </w:pPr>
      <w:r>
        <w:rPr>
          <w:b/>
          <w:bCs/>
          <w:sz w:val="22"/>
          <w:szCs w:val="28"/>
        </w:rPr>
        <w:t xml:space="preserve">The capitalized interest to be deposited in the </w:t>
      </w:r>
      <w:r w:rsidR="007217C3">
        <w:rPr>
          <w:b/>
          <w:bCs/>
          <w:sz w:val="22"/>
          <w:szCs w:val="28"/>
        </w:rPr>
        <w:t>Senior LT Bond Fund</w:t>
      </w:r>
      <w:r>
        <w:rPr>
          <w:b/>
          <w:bCs/>
          <w:sz w:val="22"/>
          <w:szCs w:val="28"/>
        </w:rPr>
        <w:t xml:space="preserve"> from proceeds of the </w:t>
      </w:r>
      <w:r w:rsidR="00787226">
        <w:rPr>
          <w:b/>
          <w:bCs/>
          <w:sz w:val="22"/>
          <w:szCs w:val="28"/>
        </w:rPr>
        <w:t>2026A-1 Senior LT Bond</w:t>
      </w:r>
      <w:r>
        <w:rPr>
          <w:b/>
          <w:bCs/>
          <w:sz w:val="22"/>
          <w:szCs w:val="28"/>
        </w:rPr>
        <w:t xml:space="preserve">s secure </w:t>
      </w:r>
      <w:r>
        <w:rPr>
          <w:b/>
          <w:bCs/>
          <w:sz w:val="22"/>
          <w:szCs w:val="28"/>
          <w:u w:val="single"/>
        </w:rPr>
        <w:t>only</w:t>
      </w:r>
      <w:r>
        <w:rPr>
          <w:b/>
          <w:bCs/>
          <w:sz w:val="22"/>
          <w:szCs w:val="28"/>
        </w:rPr>
        <w:t xml:space="preserve"> the </w:t>
      </w:r>
      <w:r w:rsidR="00787226">
        <w:rPr>
          <w:b/>
          <w:bCs/>
          <w:sz w:val="22"/>
          <w:szCs w:val="28"/>
        </w:rPr>
        <w:t>2026A-1 Senior LT Bond</w:t>
      </w:r>
      <w:r>
        <w:rPr>
          <w:b/>
          <w:bCs/>
          <w:sz w:val="22"/>
          <w:szCs w:val="28"/>
        </w:rPr>
        <w:t xml:space="preserve">s and is not available for application to the 2026A-2 SR Bonds. </w:t>
      </w:r>
    </w:p>
    <w:p w14:paraId="31B19656" w14:textId="1E49E110" w:rsidR="00DA5978" w:rsidRPr="00DA2177" w:rsidRDefault="00887C4E" w:rsidP="00B471D8">
      <w:pPr>
        <w:pStyle w:val="Heading2"/>
        <w:numPr>
          <w:ilvl w:val="1"/>
          <w:numId w:val="2"/>
        </w:numPr>
        <w:rPr>
          <w:rFonts w:eastAsia="Times New Roman"/>
          <w:sz w:val="22"/>
          <w:szCs w:val="22"/>
        </w:rPr>
      </w:pPr>
      <w:bookmarkStart w:id="76" w:name="_Toc235521047"/>
      <w:r>
        <w:rPr>
          <w:rFonts w:eastAsia="Times New Roman"/>
          <w:sz w:val="22"/>
          <w:szCs w:val="22"/>
        </w:rPr>
        <w:t>Development Not Assured</w:t>
      </w:r>
      <w:bookmarkEnd w:id="76"/>
    </w:p>
    <w:p w14:paraId="1E69F02E" w14:textId="77777777" w:rsidR="002877CF" w:rsidRPr="00DA2177" w:rsidRDefault="002877CF" w:rsidP="002877CF">
      <w:pPr>
        <w:pStyle w:val="00BodyText5"/>
        <w:rPr>
          <w:rFonts w:cs="Times New Roman"/>
          <w:szCs w:val="22"/>
        </w:rPr>
      </w:pPr>
      <w:r w:rsidRPr="00DA2177">
        <w:rPr>
          <w:rFonts w:cs="Times New Roman"/>
          <w:b/>
          <w:bCs/>
          <w:i/>
          <w:iCs/>
          <w:szCs w:val="22"/>
        </w:rPr>
        <w:t>General</w:t>
      </w:r>
      <w:r w:rsidRPr="00DA2177">
        <w:rPr>
          <w:rFonts w:cs="Times New Roman"/>
          <w:szCs w:val="22"/>
        </w:rPr>
        <w:t xml:space="preserve">. The repayment of the LT Bonds is dependent upon an increase in the assessed valuation of property in the District to provide a tax base from which ad valorem property tax revenues, including the Senior Required Mill Levy and Subordinate Required Mill Levy are to be collected. </w:t>
      </w:r>
      <w:r>
        <w:rPr>
          <w:rFonts w:cs="Times New Roman"/>
          <w:szCs w:val="22"/>
        </w:rPr>
        <w:t xml:space="preserve">The repayment of the 2026A-2 SR Bonds is dependent upon Homebuilders pulling building permits for property within the Development. </w:t>
      </w:r>
      <w:r w:rsidRPr="00DA2177">
        <w:rPr>
          <w:rFonts w:cs="Times New Roman"/>
          <w:szCs w:val="22"/>
        </w:rPr>
        <w:t>Such increase in assessed valuation</w:t>
      </w:r>
      <w:r>
        <w:rPr>
          <w:rFonts w:cs="Times New Roman"/>
          <w:szCs w:val="22"/>
        </w:rPr>
        <w:t xml:space="preserve"> and pulling of building permits</w:t>
      </w:r>
      <w:r w:rsidRPr="00DA2177">
        <w:rPr>
          <w:rFonts w:cs="Times New Roman"/>
          <w:szCs w:val="22"/>
        </w:rPr>
        <w:t xml:space="preserve"> is dependent upon development within such areas, which, in turn, is dependent upon the completion of public infrastructure necessary to support the planned development, market demand, market conditions, and a variety of other factors beyond the control of the District and the Developer.</w:t>
      </w:r>
    </w:p>
    <w:p w14:paraId="60F554B5" w14:textId="267F04DA" w:rsidR="00F93F9B" w:rsidRDefault="00CE115F" w:rsidP="00511C1C">
      <w:pPr>
        <w:pStyle w:val="00BodyText5"/>
        <w:rPr>
          <w:rFonts w:cs="Times New Roman"/>
          <w:szCs w:val="22"/>
        </w:rPr>
      </w:pPr>
      <w:r>
        <w:rPr>
          <w:rFonts w:cs="Times New Roman"/>
          <w:b/>
          <w:bCs/>
          <w:i/>
          <w:iCs/>
          <w:szCs w:val="22"/>
        </w:rPr>
        <w:t>Contemplated Development and Status</w:t>
      </w:r>
      <w:r>
        <w:rPr>
          <w:rFonts w:cs="Times New Roman"/>
          <w:szCs w:val="22"/>
        </w:rPr>
        <w:t>. According to the Developer, and as described in the Market Study, at full buildout the Development is planned to contain 1,074 residential units, consisting of 722 townhomes</w:t>
      </w:r>
      <w:r w:rsidR="005965EB">
        <w:rPr>
          <w:rFonts w:cs="Times New Roman"/>
          <w:szCs w:val="22"/>
        </w:rPr>
        <w:t xml:space="preserve"> and 352</w:t>
      </w:r>
      <w:r>
        <w:rPr>
          <w:rFonts w:cs="Times New Roman"/>
          <w:szCs w:val="22"/>
        </w:rPr>
        <w:t xml:space="preserve"> single family detached homes. </w:t>
      </w:r>
      <w:r>
        <w:rPr>
          <w:rFonts w:cs="Times New Roman"/>
          <w:b/>
          <w:bCs/>
          <w:szCs w:val="22"/>
        </w:rPr>
        <w:t>However, the foregoing and all other descriptions of the Development herein reflect the current contemplated uses of such property as depicted in the Developer’s site plan and the actual use of property within the Development is subject to change</w:t>
      </w:r>
      <w:r>
        <w:rPr>
          <w:rFonts w:cs="Times New Roman"/>
          <w:szCs w:val="22"/>
        </w:rPr>
        <w:t>. The 1,074 residential units within the Development are anticipated to constructed by the Homebuilders and sold to individual homeowners. It is not anticipated that the Developer will be responsible for the vertical construction of any residential units.</w:t>
      </w:r>
    </w:p>
    <w:p w14:paraId="4C08AE00" w14:textId="02FCDF44" w:rsidR="00CE115F" w:rsidRPr="00DA2177" w:rsidRDefault="00CE115F" w:rsidP="00CE115F">
      <w:pPr>
        <w:pStyle w:val="00BodyText5"/>
        <w:rPr>
          <w:rFonts w:cs="Times New Roman"/>
          <w:szCs w:val="22"/>
        </w:rPr>
      </w:pPr>
      <w:r>
        <w:rPr>
          <w:rFonts w:cs="Times New Roman"/>
          <w:szCs w:val="22"/>
        </w:rPr>
        <w:t>The Market Study attached hereto as APPENDIX B provides an analysis of the assumed build-out schedule and product mix (including price levels) of the Development. Based upon the build-out schedule and product mix (including price levels) set forth in the Market Study, and certain other assumptions specified in the Financial Forecasts, the Financial Forecasts included in APPENDIX A hereto provide certain forecasts of revenue of the District. No assurance can be given that build-out will occur as presently planned, within the presently anticipated timeframes and resulting in the presently anticipated product values, or projected appreciation in values. All development projections, including, without limitation, the ultimate number of residential units, unit types, and price levels thereof to be constructed in the Development, are dependent upon market activity, governmental regulations, general economic conditions, and other factors over which the District and the Developer have no control. See “—Risks Inherent in Market Study and Financial Forecasts” below, “THE DEVELOPMENT,” “APPENDIX A—FINANCIAL FORECASTS” and “APPENDIX B—MARKET STUDY.”</w:t>
      </w:r>
    </w:p>
    <w:p w14:paraId="0408134A" w14:textId="582B04C6" w:rsidR="00CE115F" w:rsidRPr="00DA2177" w:rsidRDefault="00CE115F" w:rsidP="00CE115F">
      <w:pPr>
        <w:pStyle w:val="00BodyText5"/>
        <w:rPr>
          <w:rFonts w:cs="Times New Roman"/>
          <w:szCs w:val="22"/>
        </w:rPr>
      </w:pPr>
      <w:r>
        <w:rPr>
          <w:rFonts w:cs="Times New Roman"/>
          <w:szCs w:val="22"/>
        </w:rPr>
        <w:t xml:space="preserve">According to the Developer, all property in the Development has been zoned for its current planned uses. The parcels within the Development are in varying stages of site plan (where necessary) and plat approval. For a description of such approvals see, “THE DEVELOPMENT—Zoning, Public Approvals, and Platting” herein. No assurance is provided that such site plans and final plat approvals will be obtained in the manner or timeframe anticipated herein or at all. </w:t>
      </w:r>
    </w:p>
    <w:p w14:paraId="44D8B6D4" w14:textId="13FF9598" w:rsidR="00CE115F" w:rsidRPr="00DA2177" w:rsidRDefault="00CE115F" w:rsidP="00CE115F">
      <w:pPr>
        <w:pStyle w:val="00BodyText5"/>
        <w:rPr>
          <w:rFonts w:cs="Times New Roman"/>
          <w:szCs w:val="22"/>
        </w:rPr>
      </w:pPr>
      <w:r>
        <w:rPr>
          <w:rFonts w:cs="Times New Roman"/>
          <w:b/>
          <w:bCs/>
          <w:i/>
          <w:iCs/>
          <w:szCs w:val="22"/>
        </w:rPr>
        <w:t>Improvement Costs</w:t>
      </w:r>
      <w:r>
        <w:rPr>
          <w:rFonts w:cs="Times New Roman"/>
          <w:szCs w:val="22"/>
        </w:rPr>
        <w:t xml:space="preserve">. </w:t>
      </w:r>
      <w:r w:rsidR="00551B51">
        <w:rPr>
          <w:rFonts w:cs="Times New Roman"/>
          <w:szCs w:val="22"/>
        </w:rPr>
        <w:t>According to the Developer, the total cost of the Improvements required to serve the Development is estimated to be approximately $130,088,548, of which approximately $71,088,548 constitute Developer Improvements and approximately $59,000,000 constitute Homebuilder Improvements. It is anticipated that a portion of the Developer Improvements in the amount of $[NET PROCEEDS]</w:t>
      </w:r>
      <w:r w:rsidR="00551B51">
        <w:rPr>
          <w:rStyle w:val="FootnoteReference"/>
          <w:rFonts w:eastAsia="Calibri" w:cs="Times New Roman"/>
          <w:szCs w:val="22"/>
        </w:rPr>
        <w:footnoteReference w:customMarkFollows="1" w:id="13"/>
        <w:t>*</w:t>
      </w:r>
      <w:r w:rsidR="00551B51">
        <w:rPr>
          <w:rFonts w:cs="Times New Roman"/>
          <w:szCs w:val="22"/>
        </w:rPr>
        <w:t xml:space="preserve"> will be financed by the District and the remaining $[________]</w:t>
      </w:r>
      <w:r w:rsidR="00551B51">
        <w:rPr>
          <w:rFonts w:cs="Times New Roman"/>
          <w:szCs w:val="22"/>
          <w:vertAlign w:val="superscript"/>
        </w:rPr>
        <w:t>*</w:t>
      </w:r>
      <w:r w:rsidR="00551B51">
        <w:rPr>
          <w:rFonts w:cs="Times New Roman"/>
          <w:szCs w:val="22"/>
        </w:rPr>
        <w:t xml:space="preserve"> Developer Improvements are anticipated to be financed by the Developer, with all of the Homebuilder Improvements to be financed by the Homebuilders</w:t>
      </w:r>
      <w:r>
        <w:rPr>
          <w:rFonts w:cs="Times New Roman"/>
          <w:szCs w:val="22"/>
        </w:rPr>
        <w:t xml:space="preserve">. See “USE OF PROCEEDS AND DEBT SERVICE REQUIREMENTS” herein. The foregoing estimates do not include costs of improvements relating to </w:t>
      </w:r>
      <w:r w:rsidR="00FF373A">
        <w:rPr>
          <w:rFonts w:cs="Times New Roman"/>
          <w:szCs w:val="22"/>
        </w:rPr>
        <w:t>[</w:t>
      </w:r>
      <w:r>
        <w:rPr>
          <w:rFonts w:cs="Times New Roman"/>
          <w:szCs w:val="22"/>
        </w:rPr>
        <w:t>relocation of U-111 and construction of 6400 West (other than segment one, which is included) and related road improvements, which are anticipated to be funded or reimbursed from funds appropriated by the Utah legislature and the County</w:t>
      </w:r>
      <w:r w:rsidR="00FF373A">
        <w:rPr>
          <w:rFonts w:cs="Times New Roman"/>
          <w:szCs w:val="22"/>
        </w:rPr>
        <w:t>]</w:t>
      </w:r>
      <w:r>
        <w:rPr>
          <w:rFonts w:cs="Times New Roman"/>
          <w:szCs w:val="22"/>
        </w:rPr>
        <w:t xml:space="preserve">. See </w:t>
      </w:r>
      <w:r>
        <w:rPr>
          <w:rFonts w:cs="Times New Roman"/>
          <w:bCs/>
          <w:szCs w:val="22"/>
        </w:rPr>
        <w:t>“THE DEVELOPMENT—Plan of Finance for the Development—</w:t>
      </w:r>
      <w:r w:rsidR="00476F13">
        <w:rPr>
          <w:rFonts w:cs="Times New Roman"/>
          <w:bCs/>
          <w:i/>
          <w:iCs/>
          <w:szCs w:val="22"/>
        </w:rPr>
        <w:t>Improvements</w:t>
      </w:r>
      <w:r>
        <w:rPr>
          <w:rFonts w:cs="Times New Roman"/>
          <w:bCs/>
          <w:szCs w:val="22"/>
        </w:rPr>
        <w:t xml:space="preserve">.” </w:t>
      </w:r>
      <w:r>
        <w:rPr>
          <w:rFonts w:cs="Times New Roman"/>
          <w:szCs w:val="22"/>
        </w:rPr>
        <w:t xml:space="preserve">The estimated costs of </w:t>
      </w:r>
      <w:r w:rsidR="00476F13">
        <w:rPr>
          <w:rFonts w:cs="Times New Roman"/>
          <w:szCs w:val="22"/>
        </w:rPr>
        <w:t>Improvements</w:t>
      </w:r>
      <w:r>
        <w:rPr>
          <w:rFonts w:cs="Times New Roman"/>
          <w:szCs w:val="22"/>
        </w:rPr>
        <w:t xml:space="preserve"> provided herein do not include the costs of vertical construction. The estimated costs described herein required for the construction of </w:t>
      </w:r>
      <w:r w:rsidR="00476F13">
        <w:rPr>
          <w:rFonts w:cs="Times New Roman"/>
          <w:szCs w:val="22"/>
        </w:rPr>
        <w:t>Improvements</w:t>
      </w:r>
      <w:r>
        <w:rPr>
          <w:rFonts w:cs="Times New Roman"/>
          <w:szCs w:val="22"/>
        </w:rPr>
        <w:t xml:space="preserve"> within the District are subject to change. No assurance is given that the costs of </w:t>
      </w:r>
      <w:r w:rsidR="00476F13">
        <w:rPr>
          <w:rFonts w:cs="Times New Roman"/>
          <w:szCs w:val="22"/>
        </w:rPr>
        <w:t>Improvements</w:t>
      </w:r>
      <w:r>
        <w:rPr>
          <w:rFonts w:cs="Times New Roman"/>
          <w:szCs w:val="22"/>
        </w:rPr>
        <w:t xml:space="preserve"> necessary to serve the District will not exceed the estimates provided herein.</w:t>
      </w:r>
    </w:p>
    <w:p w14:paraId="48EABEA7" w14:textId="65D41DA4" w:rsidR="00CE115F" w:rsidRPr="00DA2177" w:rsidRDefault="00CE115F" w:rsidP="00CE115F">
      <w:pPr>
        <w:pStyle w:val="00BodyText5"/>
        <w:rPr>
          <w:rFonts w:cs="Times New Roman"/>
          <w:szCs w:val="22"/>
        </w:rPr>
      </w:pPr>
      <w:r>
        <w:rPr>
          <w:rFonts w:cs="Times New Roman"/>
          <w:szCs w:val="22"/>
        </w:rPr>
        <w:t xml:space="preserve">The foregoing estimated costs of the infrastructure required for the Development are based upon present plans for the Development as described herein (which are subject to change), present costs, and estimated costs for </w:t>
      </w:r>
      <w:r w:rsidR="00476F13">
        <w:rPr>
          <w:rFonts w:cs="Times New Roman"/>
          <w:szCs w:val="22"/>
        </w:rPr>
        <w:t>Improvements</w:t>
      </w:r>
      <w:r>
        <w:rPr>
          <w:rFonts w:cs="Times New Roman"/>
          <w:szCs w:val="22"/>
        </w:rPr>
        <w:t xml:space="preserve"> which have not yet been designed or engineered. The costs of </w:t>
      </w:r>
      <w:r w:rsidR="00476F13">
        <w:rPr>
          <w:rFonts w:cs="Times New Roman"/>
          <w:szCs w:val="22"/>
        </w:rPr>
        <w:t>Improvements</w:t>
      </w:r>
      <w:r>
        <w:rPr>
          <w:rFonts w:cs="Times New Roman"/>
          <w:szCs w:val="22"/>
        </w:rPr>
        <w:t xml:space="preserve"> are subject to many factors not within the control of the District or the Developer, including but not limited to, labor conditions, </w:t>
      </w:r>
      <w:r w:rsidR="00822695">
        <w:rPr>
          <w:rFonts w:cs="Times New Roman"/>
          <w:szCs w:val="22"/>
        </w:rPr>
        <w:t xml:space="preserve">trade policies and tariffs, </w:t>
      </w:r>
      <w:r>
        <w:rPr>
          <w:rFonts w:cs="Times New Roman"/>
          <w:szCs w:val="22"/>
        </w:rPr>
        <w:t xml:space="preserve">access to and cost of building supplies, energy costs, availability and costs of fuel, transportation costs and economic conditions generally. The actual costs of </w:t>
      </w:r>
      <w:r w:rsidR="00476F13">
        <w:rPr>
          <w:rFonts w:cs="Times New Roman"/>
          <w:szCs w:val="22"/>
        </w:rPr>
        <w:t>Improvements</w:t>
      </w:r>
      <w:r>
        <w:rPr>
          <w:rFonts w:cs="Times New Roman"/>
          <w:szCs w:val="22"/>
        </w:rPr>
        <w:t xml:space="preserve"> may vary from such estimates and such variance may be material. No assurance is given that the costs of public and private improvements necessary to serve the District will not exceed the estimates provided herein.</w:t>
      </w:r>
    </w:p>
    <w:p w14:paraId="70A0EC20" w14:textId="74E9EF75" w:rsidR="00CE115F" w:rsidRPr="00DA2177" w:rsidRDefault="00CE115F" w:rsidP="00CE115F">
      <w:pPr>
        <w:pStyle w:val="00BodyText5"/>
        <w:rPr>
          <w:rFonts w:cs="Times New Roman"/>
          <w:szCs w:val="22"/>
        </w:rPr>
      </w:pPr>
      <w:r>
        <w:rPr>
          <w:rFonts w:cs="Times New Roman"/>
          <w:szCs w:val="22"/>
        </w:rPr>
        <w:t>It is not anticipated that the District will have funding sufficient to provide the infrastructure required and, as a result, the District will be dependent upon the Developer to do so, as described above. There can be no assurance that the Developer will continue to fund the costs of the private and public infrastructure required for the Development or will have adequate financial resources to do so. No independent investigation has been made of the financial resources of the Developer. There can be no assurance that the construction of the planned Public Improvements or private improvements required for the Development will occur in any particular time or manner presently anticipated, or at all.</w:t>
      </w:r>
    </w:p>
    <w:p w14:paraId="688F7132" w14:textId="38389D20" w:rsidR="00CE115F" w:rsidRPr="00DA2177" w:rsidRDefault="00CE115F" w:rsidP="00CE115F">
      <w:pPr>
        <w:pStyle w:val="00BodyText5"/>
        <w:rPr>
          <w:rFonts w:cs="Times New Roman"/>
          <w:szCs w:val="22"/>
        </w:rPr>
      </w:pPr>
      <w:r>
        <w:rPr>
          <w:rFonts w:cs="Times New Roman"/>
          <w:szCs w:val="22"/>
        </w:rPr>
        <w:t xml:space="preserve">If the </w:t>
      </w:r>
      <w:r w:rsidR="00476F13">
        <w:rPr>
          <w:rFonts w:cs="Times New Roman"/>
          <w:szCs w:val="22"/>
        </w:rPr>
        <w:t>Improvements</w:t>
      </w:r>
      <w:r>
        <w:rPr>
          <w:rFonts w:cs="Times New Roman"/>
          <w:szCs w:val="22"/>
        </w:rPr>
        <w:t xml:space="preserve"> necessary to fully support all buildings within the District are not completed as anticipated herein and, as a result, build-out of the District is not completed in the time and manner reflected in the Market Study, the assessed valuation forecasted for the District will not be realized in the manner forecasted, which could have a material, adverse effect on the District’s ability to repay the Bonds. See the Market Study set forth in APPENDIX B hereto for the build-out projections for construction within the District and Financial Forecasts set forth in APPENDIX A for the corresponding estimated assessed valuation relating to such planned development. </w:t>
      </w:r>
    </w:p>
    <w:p w14:paraId="6E106601" w14:textId="3E8B3DC0" w:rsidR="00507B86" w:rsidRPr="00507B86" w:rsidRDefault="00CE115F" w:rsidP="00507B86">
      <w:pPr>
        <w:pStyle w:val="BodyText"/>
        <w:ind w:firstLine="720"/>
        <w:rPr>
          <w:rFonts w:cs="Times New Roman"/>
          <w:szCs w:val="22"/>
        </w:rPr>
      </w:pPr>
      <w:r>
        <w:rPr>
          <w:rFonts w:cs="Times New Roman"/>
          <w:b/>
          <w:bCs/>
          <w:i/>
          <w:iCs/>
          <w:szCs w:val="22"/>
        </w:rPr>
        <w:t>Vertical Construction Costs</w:t>
      </w:r>
      <w:r>
        <w:rPr>
          <w:rFonts w:cs="Times New Roman"/>
          <w:szCs w:val="22"/>
        </w:rPr>
        <w:t xml:space="preserve">. It is not anticipated that the Developer will undertake any vertical construction within the Development. Each Homebuilder will be responsible to pay their respective costs of all vertical construction within the Development. </w:t>
      </w:r>
      <w:bookmarkStart w:id="77" w:name="_Hlk83142273"/>
      <w:r>
        <w:rPr>
          <w:rFonts w:cs="Times New Roman"/>
          <w:szCs w:val="22"/>
        </w:rPr>
        <w:t xml:space="preserve">No information is provided with respect to any financing that may be necessary in connection with vertical construction of the Development. </w:t>
      </w:r>
      <w:bookmarkEnd w:id="77"/>
      <w:r>
        <w:rPr>
          <w:rFonts w:cs="Times New Roman"/>
          <w:szCs w:val="22"/>
        </w:rPr>
        <w:t>No assurance is provided that any such financing will be obtained by the Homebuilders or third-party developers in the amounts or timing needed in order to construct buildings within the Development.</w:t>
      </w:r>
    </w:p>
    <w:p w14:paraId="49EBAB38" w14:textId="571E7C8A" w:rsidR="00CE115F" w:rsidRPr="00DA2177" w:rsidRDefault="00CE115F" w:rsidP="00CE115F">
      <w:pPr>
        <w:pStyle w:val="00BodyText5"/>
        <w:rPr>
          <w:rFonts w:cs="Times New Roman"/>
          <w:szCs w:val="22"/>
        </w:rPr>
      </w:pPr>
      <w:r>
        <w:rPr>
          <w:rFonts w:cs="Times New Roman"/>
          <w:szCs w:val="22"/>
        </w:rPr>
        <w:t xml:space="preserve">There can be no assurance that the Homebuilders or any other owners of property will fund the costs of the vertical construction required for the Development or will have adequate financial resources to do so. No independent investigation has been made of the financial resources of the Developer, the Homebuilders, or any property owner or developer presently owning, or anticipated to own, property in the Development. There can be no assurance that the construction of the planned vertical construction within the Development will occur in any particular time or manner presently anticipated, or at all. </w:t>
      </w:r>
    </w:p>
    <w:p w14:paraId="71144F65" w14:textId="406258CB" w:rsidR="00CE115F" w:rsidRPr="00DA2177" w:rsidRDefault="00CE115F" w:rsidP="00CE115F">
      <w:pPr>
        <w:pStyle w:val="00BodyText5"/>
        <w:rPr>
          <w:rFonts w:cs="Times New Roman"/>
          <w:szCs w:val="22"/>
        </w:rPr>
      </w:pPr>
      <w:r>
        <w:rPr>
          <w:rFonts w:cs="Times New Roman"/>
          <w:szCs w:val="22"/>
        </w:rPr>
        <w:t>If any financing necessary to fully support the construction of all buildings within the District is not obtained and, as a result, build-out of the District is not completed in the time and manner reflected in the Market Study, the assessed valuation forecasted for the District and the receipt of Contract Fee Revenues will not be realized in the manner forecasted, which could have a material, adverse effect on the District’s ability to repay the Bonds. See the Market Study set forth in APPENDIX B hereto for the build-out projections for construction within the District and the Financial Forecasts set forth in APPENDIX A for information regarding the District’s ability to make debt service payments on the Bonds.</w:t>
      </w:r>
    </w:p>
    <w:p w14:paraId="3336BD8B" w14:textId="77777777" w:rsidR="00CE115F" w:rsidRPr="00DA2177" w:rsidRDefault="00CE115F" w:rsidP="00CE115F">
      <w:pPr>
        <w:pStyle w:val="00BodyText5"/>
        <w:rPr>
          <w:rFonts w:cs="Times New Roman"/>
          <w:szCs w:val="22"/>
        </w:rPr>
      </w:pPr>
      <w:r>
        <w:rPr>
          <w:rFonts w:cs="Times New Roman"/>
          <w:b/>
          <w:bCs/>
          <w:i/>
          <w:iCs/>
          <w:szCs w:val="22"/>
        </w:rPr>
        <w:t>Competition with Other Developments</w:t>
      </w:r>
      <w:r>
        <w:rPr>
          <w:rFonts w:cs="Times New Roman"/>
          <w:szCs w:val="22"/>
        </w:rPr>
        <w:t>. The Development competes with developments in surrounding areas and can be expected to compete with existing and future developments, some of which are not yet known. Such competition may adversely affect the rate of development within the District. See the Market Study set forth in APPENDIX B hereto.</w:t>
      </w:r>
    </w:p>
    <w:p w14:paraId="25658F3A" w14:textId="53797BC7" w:rsidR="00CE115F" w:rsidRPr="00DA2177" w:rsidRDefault="00CE115F" w:rsidP="00CE115F">
      <w:pPr>
        <w:pStyle w:val="00BodyText5"/>
        <w:rPr>
          <w:rFonts w:cs="Times New Roman"/>
          <w:szCs w:val="22"/>
        </w:rPr>
      </w:pPr>
      <w:r>
        <w:rPr>
          <w:rFonts w:cs="Times New Roman"/>
          <w:b/>
          <w:bCs/>
          <w:i/>
          <w:iCs/>
          <w:szCs w:val="22"/>
        </w:rPr>
        <w:t>Other Factors Affecting the Development</w:t>
      </w:r>
      <w:r>
        <w:rPr>
          <w:rFonts w:cs="Times New Roman"/>
          <w:szCs w:val="22"/>
        </w:rPr>
        <w:t xml:space="preserve">. Many unpredictable factors could influence the Development, including competing developments, prevailing interest rates, availability of development and construction funding, economic conditions generally, </w:t>
      </w:r>
      <w:r w:rsidR="00F72D0B">
        <w:rPr>
          <w:rFonts w:cs="Times New Roman"/>
          <w:szCs w:val="22"/>
        </w:rPr>
        <w:t xml:space="preserve">trade policies and tariffs, </w:t>
      </w:r>
      <w:r>
        <w:rPr>
          <w:rFonts w:cs="Times New Roman"/>
          <w:szCs w:val="22"/>
        </w:rPr>
        <w:t>development and supply of residential housing in the area, availability of mortgages, availability of property insurance, construction costs, labor conditions and unemployment rates, access to and cost of building supplies, availability and costs of fuel, transportation costs, and severe weather and acts of god, among other things. See also “THE DEVELOPMENT—Competition” and “APPENDIX D—ECONOMIC AND DEMOGRAPHIC INFORMATION.”</w:t>
      </w:r>
    </w:p>
    <w:p w14:paraId="34AAC988" w14:textId="3648E427" w:rsidR="008B62BB" w:rsidRPr="00DA2177" w:rsidRDefault="005D4D65" w:rsidP="00CE115F">
      <w:pPr>
        <w:pStyle w:val="00BodyText5"/>
        <w:rPr>
          <w:rFonts w:cs="Times New Roman"/>
          <w:b/>
          <w:bCs/>
          <w:iCs/>
          <w:szCs w:val="22"/>
        </w:rPr>
      </w:pPr>
      <w:r>
        <w:rPr>
          <w:rFonts w:cs="Times New Roman"/>
          <w:b/>
          <w:bCs/>
          <w:i/>
          <w:iCs/>
          <w:szCs w:val="22"/>
        </w:rPr>
        <w:t>Potential Nuisances and Environmental Matters</w:t>
      </w:r>
      <w:r>
        <w:rPr>
          <w:rFonts w:cs="Times New Roman"/>
          <w:szCs w:val="22"/>
        </w:rPr>
        <w:t>.</w:t>
      </w:r>
      <w:r>
        <w:rPr>
          <w:rFonts w:cs="Times New Roman"/>
          <w:b/>
          <w:bCs/>
          <w:iCs/>
          <w:szCs w:val="22"/>
        </w:rPr>
        <w:t xml:space="preserve"> </w:t>
      </w:r>
    </w:p>
    <w:p w14:paraId="2E813FAC" w14:textId="1CAC1F2E" w:rsidR="00D175FC" w:rsidRPr="00DA2177" w:rsidRDefault="00D175FC" w:rsidP="00E202A8">
      <w:pPr>
        <w:pStyle w:val="00BodyText5"/>
        <w:rPr>
          <w:rFonts w:cs="Times New Roman"/>
          <w:bCs/>
          <w:iCs/>
          <w:szCs w:val="22"/>
        </w:rPr>
      </w:pPr>
      <w:r>
        <w:rPr>
          <w:rFonts w:cs="Times New Roman"/>
          <w:bCs/>
          <w:i/>
          <w:iCs/>
          <w:szCs w:val="22"/>
        </w:rPr>
        <w:t>Environmental Assessment</w:t>
      </w:r>
      <w:r>
        <w:rPr>
          <w:rFonts w:cs="Times New Roman"/>
          <w:bCs/>
          <w:iCs/>
          <w:szCs w:val="22"/>
        </w:rPr>
        <w:t xml:space="preserve">. </w:t>
      </w:r>
      <w:r>
        <w:rPr>
          <w:rFonts w:cs="Times New Roman"/>
          <w:szCs w:val="22"/>
        </w:rPr>
        <w:t xml:space="preserve">The Phase I ESA (defined herein) revealed that the groundwater beneath some of the property within the Development was impacted by sulfate and moderate oil staining. The Phase II ESA (defined herein) revealed excessive concentrations of metals-impacted soils and noted that a Soil Management Plan (defined herein) should be developed in order to remediate such impacted soils. The Developer has since completed a Soil Management Plan and intends to comply with the general recommendations provided in the Phase I ESA and Phase II ESA. The Developer has undertaken remediation measures, which [are anticipated to be completed in the [_______] quarter of 202[_].] The Geotechnical Reports (defined herein) made recommendations </w:t>
      </w:r>
      <w:r>
        <w:rPr>
          <w:rFonts w:eastAsia="Calibri" w:cs="Times New Roman"/>
          <w:szCs w:val="22"/>
        </w:rPr>
        <w:t>for providing positive drainage during construction and maintaining drainage within the Development based on the suitability of certain superficial on-site soils.</w:t>
      </w:r>
      <w:r>
        <w:rPr>
          <w:rFonts w:cs="Times New Roman"/>
          <w:szCs w:val="22"/>
        </w:rPr>
        <w:t xml:space="preserve"> </w:t>
      </w:r>
      <w:r>
        <w:rPr>
          <w:rFonts w:cs="Times New Roman"/>
          <w:bCs/>
          <w:iCs/>
          <w:szCs w:val="22"/>
        </w:rPr>
        <w:t xml:space="preserve">The Developer intends to comply with all recommendations of the Geotechnical Reports. </w:t>
      </w:r>
      <w:r>
        <w:rPr>
          <w:rStyle w:val="ui-provider"/>
        </w:rPr>
        <w:t xml:space="preserve">No assurance is provided that during or subsequent to the development of the Development hazardous materials or other adverse environmental conditions will not be discovered on the property which could hinder or prohibit development. Should such a discovery occur, it is possible that the Development and marketing of the Development could be materially adversely affected and, as a result, may adversely affect the receipt of the SR Pledged Revenue or </w:t>
      </w:r>
      <w:r w:rsidR="000F65D0">
        <w:rPr>
          <w:rStyle w:val="ui-provider"/>
        </w:rPr>
        <w:t xml:space="preserve">Senior </w:t>
      </w:r>
      <w:r>
        <w:rPr>
          <w:rStyle w:val="ui-provider"/>
        </w:rPr>
        <w:t xml:space="preserve">LT Pledged Revenue causing an insufficiency of such SR Pledged Revenue or </w:t>
      </w:r>
      <w:r w:rsidR="000F65D0">
        <w:rPr>
          <w:rStyle w:val="ui-provider"/>
        </w:rPr>
        <w:t xml:space="preserve">Senior </w:t>
      </w:r>
      <w:r>
        <w:rPr>
          <w:rStyle w:val="ui-provider"/>
        </w:rPr>
        <w:t>LT Pledged Revenue to pay debt service on the Bonds.</w:t>
      </w:r>
      <w:r>
        <w:rPr>
          <w:rFonts w:cs="Times New Roman"/>
          <w:bCs/>
          <w:iCs/>
          <w:szCs w:val="22"/>
        </w:rPr>
        <w:t xml:space="preserve"> See “THE DEVELOPMENT</w:t>
      </w:r>
      <w:r>
        <w:rPr>
          <w:rFonts w:cs="Times New Roman"/>
          <w:szCs w:val="22"/>
        </w:rPr>
        <w:t>—Environmental Matters.”</w:t>
      </w:r>
      <w:r w:rsidR="000807EC">
        <w:rPr>
          <w:rFonts w:cs="Times New Roman"/>
          <w:szCs w:val="22"/>
        </w:rPr>
        <w:t xml:space="preserve"> [</w:t>
      </w:r>
      <w:r w:rsidR="000807EC" w:rsidRPr="000807EC">
        <w:rPr>
          <w:rFonts w:cs="Times New Roman"/>
          <w:szCs w:val="22"/>
          <w:highlight w:val="cyan"/>
        </w:rPr>
        <w:t>CONFIRM/UPDATE</w:t>
      </w:r>
      <w:r w:rsidR="000807EC">
        <w:rPr>
          <w:rFonts w:cs="Times New Roman"/>
          <w:szCs w:val="22"/>
        </w:rPr>
        <w:t>]</w:t>
      </w:r>
    </w:p>
    <w:p w14:paraId="333669E7" w14:textId="2C0F6D0F" w:rsidR="008B62BB" w:rsidRPr="00DA2177" w:rsidRDefault="008B62BB" w:rsidP="008B62BB">
      <w:pPr>
        <w:pStyle w:val="00BodyText5"/>
        <w:rPr>
          <w:rFonts w:cs="Times New Roman"/>
          <w:szCs w:val="22"/>
        </w:rPr>
      </w:pPr>
      <w:bookmarkStart w:id="78" w:name="_Hlk83123261"/>
      <w:r>
        <w:rPr>
          <w:rFonts w:cs="Times New Roman"/>
          <w:i/>
          <w:iCs/>
          <w:szCs w:val="22"/>
        </w:rPr>
        <w:t>Climate Change</w:t>
      </w:r>
      <w:r>
        <w:rPr>
          <w:rFonts w:cs="Times New Roman"/>
          <w:i/>
          <w:szCs w:val="22"/>
        </w:rPr>
        <w:t xml:space="preserve">. </w:t>
      </w:r>
      <w:r>
        <w:rPr>
          <w:rFonts w:cs="Times New Roman"/>
          <w:szCs w:val="22"/>
        </w:rPr>
        <w:t xml:space="preserve">Climate change, including change caused by human activities, may have material adverse effects on the Development. As greenhouse gas emissions continue to accumulate in the atmosphere, climate change is expected to intensify, increasing the frequency, severity and timing of extreme weather events such as drought, wildfires, floods and heat waves. The future fiscal impact of climate change on the Development is difficult to predict, but it could be significant and it could have a material adverse effect on the receipt of </w:t>
      </w:r>
      <w:r w:rsidR="000F65D0">
        <w:rPr>
          <w:rFonts w:cs="Times New Roman"/>
          <w:szCs w:val="22"/>
        </w:rPr>
        <w:t xml:space="preserve">Senior </w:t>
      </w:r>
      <w:r>
        <w:rPr>
          <w:rFonts w:cs="Times New Roman"/>
          <w:szCs w:val="22"/>
        </w:rPr>
        <w:t>LT Pledged Revenue</w:t>
      </w:r>
      <w:r w:rsidR="002877CF">
        <w:rPr>
          <w:rFonts w:cs="Times New Roman"/>
          <w:szCs w:val="22"/>
        </w:rPr>
        <w:t xml:space="preserve"> and Subordinate LT Pledged Revenue</w:t>
      </w:r>
      <w:r>
        <w:rPr>
          <w:rFonts w:cs="Times New Roman"/>
          <w:szCs w:val="22"/>
        </w:rPr>
        <w:t xml:space="preserve"> or the payment of Contract Fees.</w:t>
      </w:r>
    </w:p>
    <w:p w14:paraId="49898E12" w14:textId="55B84177" w:rsidR="008B62BB" w:rsidRDefault="008B62BB" w:rsidP="008B62BB">
      <w:pPr>
        <w:pStyle w:val="00BodyText5"/>
        <w:rPr>
          <w:rFonts w:cs="Times New Roman"/>
          <w:szCs w:val="22"/>
        </w:rPr>
      </w:pPr>
      <w:r>
        <w:rPr>
          <w:rFonts w:cs="Times New Roman"/>
          <w:i/>
          <w:iCs/>
          <w:szCs w:val="22"/>
        </w:rPr>
        <w:t>Drought</w:t>
      </w:r>
      <w:r>
        <w:rPr>
          <w:rFonts w:cs="Times New Roman"/>
          <w:szCs w:val="22"/>
        </w:rPr>
        <w:t xml:space="preserve">. </w:t>
      </w:r>
      <w:r w:rsidR="00A30A83" w:rsidRPr="00A30A83">
        <w:rPr>
          <w:rFonts w:cs="Times New Roman"/>
          <w:szCs w:val="22"/>
        </w:rPr>
        <w:t>From time to time, the State experiences droughts. According to the Utah Division of Natural Resources, the County is currently experiencing severe</w:t>
      </w:r>
      <w:r w:rsidR="00A30A83">
        <w:rPr>
          <w:rFonts w:cs="Times New Roman"/>
          <w:szCs w:val="22"/>
        </w:rPr>
        <w:t xml:space="preserve"> to extreme</w:t>
      </w:r>
      <w:r w:rsidR="00A30A83" w:rsidRPr="00A30A83">
        <w:rPr>
          <w:rFonts w:cs="Times New Roman"/>
          <w:szCs w:val="22"/>
        </w:rPr>
        <w:t xml:space="preserve"> drought conditions. There can be no assurance that drought conditions will not continue or reappear in the future. </w:t>
      </w:r>
      <w:r>
        <w:rPr>
          <w:rFonts w:cs="Times New Roman"/>
          <w:szCs w:val="22"/>
        </w:rPr>
        <w:t xml:space="preserve">The persistence or reappearance of drought conditions may result in a delay or in an inability to pursue the Development which could materially adversely </w:t>
      </w:r>
      <w:r w:rsidR="00A00636">
        <w:rPr>
          <w:rFonts w:cs="Times New Roman"/>
          <w:szCs w:val="22"/>
        </w:rPr>
        <w:t xml:space="preserve">affect </w:t>
      </w:r>
      <w:r>
        <w:rPr>
          <w:rFonts w:cs="Times New Roman"/>
          <w:szCs w:val="22"/>
        </w:rPr>
        <w:t xml:space="preserve">the receipt of </w:t>
      </w:r>
      <w:r w:rsidR="000F65D0">
        <w:rPr>
          <w:rFonts w:cs="Times New Roman"/>
          <w:szCs w:val="22"/>
        </w:rPr>
        <w:t xml:space="preserve">Senior </w:t>
      </w:r>
      <w:r>
        <w:rPr>
          <w:rFonts w:cs="Times New Roman"/>
          <w:szCs w:val="22"/>
        </w:rPr>
        <w:t>LT Pledged Revenue</w:t>
      </w:r>
      <w:r w:rsidR="002877CF">
        <w:rPr>
          <w:rFonts w:cs="Times New Roman"/>
          <w:szCs w:val="22"/>
        </w:rPr>
        <w:t xml:space="preserve"> and Subordinate LT Pledged Revenue</w:t>
      </w:r>
      <w:r>
        <w:rPr>
          <w:rFonts w:cs="Times New Roman"/>
          <w:szCs w:val="22"/>
        </w:rPr>
        <w:t xml:space="preserve"> or the payment of Contract Fees.</w:t>
      </w:r>
    </w:p>
    <w:p w14:paraId="2B56DC38" w14:textId="739DB611" w:rsidR="00A00636" w:rsidRPr="00B97110" w:rsidRDefault="00A00636" w:rsidP="00A00636">
      <w:pPr>
        <w:pStyle w:val="00BodyText5"/>
      </w:pPr>
      <w:r w:rsidRPr="00361C39">
        <w:rPr>
          <w:i/>
          <w:iCs/>
        </w:rPr>
        <w:t>Natural Disasters</w:t>
      </w:r>
      <w:r>
        <w:t xml:space="preserve">. </w:t>
      </w:r>
      <w:r w:rsidRPr="000F5C7B">
        <w:t>The District, like all Utah communities, may be subject to unpredictable seismic activity, fires, flood, or other natural disasters. In the event of a severe earthquake, fire, flood or other natural disaster, there may be significant damage to both property and infrastructure in the District. A natural disaster could result in the property owners being unable or unwilling to pay property taxes when due</w:t>
      </w:r>
      <w:r>
        <w:t xml:space="preserve"> or reduce building permit activity, delaying the payment of Contract Fees.</w:t>
      </w:r>
      <w:r w:rsidRPr="000F5C7B">
        <w:t xml:space="preserve"> In addition, the value of land in the District could be diminished in the aftermath of such a natural disaster, which could have a material adverse effect on the receipt of </w:t>
      </w:r>
      <w:r w:rsidR="000F65D0">
        <w:t xml:space="preserve">Senior </w:t>
      </w:r>
      <w:r w:rsidR="00E91282">
        <w:t>LT</w:t>
      </w:r>
      <w:r w:rsidRPr="00A80E31">
        <w:t xml:space="preserve"> Pledged Revenue</w:t>
      </w:r>
      <w:r w:rsidR="002877CF">
        <w:t xml:space="preserve"> and Subordinate LT Pledged Revenue</w:t>
      </w:r>
      <w:r>
        <w:t xml:space="preserve">. </w:t>
      </w:r>
      <w:r w:rsidRPr="00194745">
        <w:t>According to the Utah Division of Forestry, Fire and State Lands, the District is in an area with</w:t>
      </w:r>
      <w:r>
        <w:t xml:space="preserve"> </w:t>
      </w:r>
      <w:r w:rsidRPr="00194745">
        <w:t>high wildfire hazard potential.</w:t>
      </w:r>
      <w:r w:rsidRPr="002D4928">
        <w:t xml:space="preserve"> No assurances can be given as to whether any future wildfire will impact any portion of the District. The occurrence of wildfires could have an adverse effect, among others matters, on the availability of property insurance and marketability of property within the District.</w:t>
      </w:r>
    </w:p>
    <w:bookmarkEnd w:id="78"/>
    <w:p w14:paraId="0140AAA5" w14:textId="54947BF7" w:rsidR="00DA5978" w:rsidRPr="00DA2177" w:rsidRDefault="00DA5978" w:rsidP="00DA5978">
      <w:pPr>
        <w:pStyle w:val="00BodyText5"/>
        <w:rPr>
          <w:rFonts w:cs="Times New Roman"/>
          <w:b/>
          <w:i/>
          <w:szCs w:val="22"/>
        </w:rPr>
      </w:pPr>
      <w:r>
        <w:rPr>
          <w:rFonts w:cs="Times New Roman"/>
          <w:b/>
          <w:i/>
          <w:szCs w:val="22"/>
        </w:rPr>
        <w:t>Financial Condition of the Developer</w:t>
      </w:r>
      <w:r>
        <w:rPr>
          <w:rFonts w:cs="Times New Roman"/>
          <w:szCs w:val="22"/>
        </w:rPr>
        <w:t>. There has been no independent investigation of and no representation is made in this Official Statement regarding the financial soundness of the Developer or of its managerial capability to develop and market the Development as planned. Moreover, the financial circumstances of the Developer can change from time to time. Development is dependent upon the Developer’s implementation of the site development plan contemplated herein, as described above in “—Development Not Assured” and “THE DEVELOPMENT” Furthermore, the Developer is not under a binding obligation to develop its property within the Development as planned, nor is there any restriction on the right of the Developer to sell any or all of its property within the Development or to withdraw completely from the Development.</w:t>
      </w:r>
    </w:p>
    <w:p w14:paraId="14FA0FBF" w14:textId="1E4CFA1A" w:rsidR="00DA5978" w:rsidRPr="00DA2177" w:rsidRDefault="00DA5978" w:rsidP="00DA5978">
      <w:pPr>
        <w:pStyle w:val="00BodyText5"/>
        <w:rPr>
          <w:rFonts w:cs="Times New Roman"/>
          <w:szCs w:val="22"/>
        </w:rPr>
      </w:pPr>
      <w:r>
        <w:rPr>
          <w:rFonts w:cs="Times New Roman"/>
          <w:szCs w:val="22"/>
        </w:rPr>
        <w:t>Prospective investors are urged to make such investigation as deemed necessary concerning the financial soundness of the Developer and its ability to implement the plan of Development as described herein.</w:t>
      </w:r>
    </w:p>
    <w:p w14:paraId="2593B30A" w14:textId="2862BD75" w:rsidR="00560F61" w:rsidRPr="00DA2177" w:rsidRDefault="00560F61" w:rsidP="00B471D8">
      <w:pPr>
        <w:pStyle w:val="Heading2"/>
        <w:numPr>
          <w:ilvl w:val="1"/>
          <w:numId w:val="2"/>
        </w:numPr>
        <w:rPr>
          <w:rFonts w:eastAsia="Times New Roman"/>
          <w:sz w:val="22"/>
          <w:szCs w:val="22"/>
        </w:rPr>
      </w:pPr>
      <w:bookmarkStart w:id="79" w:name="_Toc235521048"/>
      <w:r>
        <w:rPr>
          <w:rFonts w:eastAsia="Times New Roman"/>
          <w:sz w:val="22"/>
          <w:szCs w:val="22"/>
        </w:rPr>
        <w:t>Risks Related to Inability to Obtain Outside Financing</w:t>
      </w:r>
      <w:bookmarkEnd w:id="79"/>
      <w:r>
        <w:rPr>
          <w:rFonts w:eastAsia="Times New Roman"/>
          <w:sz w:val="22"/>
          <w:szCs w:val="22"/>
        </w:rPr>
        <w:t xml:space="preserve"> </w:t>
      </w:r>
    </w:p>
    <w:p w14:paraId="70984968" w14:textId="26C8C67C" w:rsidR="00560F61" w:rsidRDefault="00AD4074" w:rsidP="00D57F04">
      <w:pPr>
        <w:pStyle w:val="BodyText"/>
        <w:spacing w:after="240"/>
        <w:ind w:firstLine="720"/>
        <w:rPr>
          <w:rFonts w:cs="Times New Roman"/>
          <w:szCs w:val="22"/>
        </w:rPr>
      </w:pPr>
      <w:r>
        <w:rPr>
          <w:rFonts w:eastAsia="Times New Roman" w:cs="Times New Roman"/>
          <w:szCs w:val="20"/>
        </w:rPr>
        <w:t xml:space="preserve">It is not anticipated that the Developer will undertake any vertical construction within the Development. It is anticipated that vertical construction of Development will be undertaken by the Homebuilders. </w:t>
      </w:r>
      <w:r>
        <w:rPr>
          <w:rFonts w:cs="Times New Roman"/>
          <w:szCs w:val="22"/>
        </w:rPr>
        <w:t>The proposed Development may be affected by the ability of the Homebuilders and any other property owners to obtain financing, including for vertical construction as contemplated herein. Vertical construction within the Development may be dependent upon the Homebuilders obtaining financing for such buildings. No information is provided with respect to any financing that may be necessary in connection with vertical construction of the Development. In the event that financing is not obtained or is inadequate to complete the Development as presently contemplated, the anticipated development may be delayed or abandoned and the anticipated taxable value of property within the Development may be less than the projections contained in the Market Study. In addition, if financing for vertical construction is not obtained, it is unlikely that building permits will be pulled or Contract Fees paid. As a result, if financing for vertical construction is not obtained, LT Pledged Revenue and SR Pledged Revenue is likely to decrease. These risks could have a materially adverse impact on the ability of the District to timely pay debt service on the Bonds.</w:t>
      </w:r>
    </w:p>
    <w:p w14:paraId="059586FD" w14:textId="6C437D32" w:rsidR="00301638" w:rsidRDefault="00301638" w:rsidP="00301638">
      <w:pPr>
        <w:keepNext/>
        <w:tabs>
          <w:tab w:val="left" w:pos="2520"/>
        </w:tabs>
        <w:spacing w:after="240"/>
        <w:outlineLvl w:val="1"/>
        <w:rPr>
          <w:rFonts w:eastAsia="Times New Roman" w:cs="Times New Roman"/>
          <w:b/>
          <w:sz w:val="22"/>
        </w:rPr>
      </w:pPr>
      <w:bookmarkStart w:id="80" w:name="_Toc137475084"/>
      <w:r>
        <w:rPr>
          <w:rFonts w:eastAsia="Times New Roman" w:cs="Times New Roman"/>
          <w:b/>
          <w:sz w:val="22"/>
        </w:rPr>
        <w:t>Risks Related to Infectious Disease Outbreak</w:t>
      </w:r>
      <w:bookmarkEnd w:id="80"/>
    </w:p>
    <w:p w14:paraId="720B6A21" w14:textId="5259A80C" w:rsidR="00510D02" w:rsidRPr="00510D02" w:rsidRDefault="00510D02" w:rsidP="00510D02">
      <w:pPr>
        <w:spacing w:after="240"/>
        <w:ind w:firstLine="720"/>
        <w:jc w:val="both"/>
        <w:rPr>
          <w:rFonts w:eastAsia="Calibri" w:cs="Times New Roman"/>
          <w:sz w:val="22"/>
        </w:rPr>
      </w:pPr>
      <w:r>
        <w:rPr>
          <w:rFonts w:eastAsia="Calibri" w:cs="Times New Roman"/>
          <w:sz w:val="22"/>
        </w:rPr>
        <w:t xml:space="preserve">An outbreak of infectious disease can trigger governmentally imposed restrictions and changes in consumer behavior that could negatively impact local economic conditions. Such changes can cause unemployment rates to rise, supply chain disruptions, taxable sales to decrease, delinquencies in tax payments, and other negative pressures on economic activity that could adversely affect the District’s operations and finances. </w:t>
      </w:r>
      <w:bookmarkStart w:id="81" w:name="_Hlk124423455"/>
      <w:r>
        <w:rPr>
          <w:rFonts w:eastAsia="Calibri" w:cs="Times New Roman"/>
          <w:sz w:val="22"/>
        </w:rPr>
        <w:t>Such reduced economic activity could in turn negatively impact property values, the collections of Contract Fee R</w:t>
      </w:r>
      <w:r w:rsidRPr="00DD7083">
        <w:rPr>
          <w:rFonts w:eastAsia="Calibri" w:cs="Times New Roman"/>
          <w:sz w:val="22"/>
          <w:szCs w:val="22"/>
        </w:rPr>
        <w:t xml:space="preserve">evenues, </w:t>
      </w:r>
      <w:r w:rsidR="00DD7083">
        <w:rPr>
          <w:rFonts w:eastAsia="Calibri" w:cs="Times New Roman"/>
          <w:sz w:val="22"/>
          <w:szCs w:val="22"/>
        </w:rPr>
        <w:t xml:space="preserve">the </w:t>
      </w:r>
      <w:r w:rsidR="00DD7083" w:rsidRPr="00DD7083">
        <w:rPr>
          <w:rFonts w:cs="Times New Roman"/>
          <w:bCs/>
          <w:sz w:val="22"/>
          <w:szCs w:val="22"/>
        </w:rPr>
        <w:t>Senior Required Mill Levy</w:t>
      </w:r>
      <w:r w:rsidR="00DD7083">
        <w:rPr>
          <w:rFonts w:cs="Times New Roman"/>
          <w:bCs/>
          <w:sz w:val="22"/>
          <w:szCs w:val="22"/>
        </w:rPr>
        <w:t>,</w:t>
      </w:r>
      <w:r w:rsidR="00DD7083" w:rsidRPr="00DD7083">
        <w:rPr>
          <w:rFonts w:cs="Times New Roman"/>
          <w:bCs/>
          <w:sz w:val="22"/>
          <w:szCs w:val="22"/>
        </w:rPr>
        <w:t xml:space="preserve"> and </w:t>
      </w:r>
      <w:r w:rsidR="00DD7083">
        <w:rPr>
          <w:rFonts w:cs="Times New Roman"/>
          <w:bCs/>
          <w:sz w:val="22"/>
          <w:szCs w:val="22"/>
        </w:rPr>
        <w:t xml:space="preserve">the </w:t>
      </w:r>
      <w:r w:rsidR="00DD7083" w:rsidRPr="00DD7083">
        <w:rPr>
          <w:rFonts w:cs="Times New Roman"/>
          <w:bCs/>
          <w:sz w:val="22"/>
          <w:szCs w:val="22"/>
        </w:rPr>
        <w:t>Subordinate Required Mill Levy</w:t>
      </w:r>
      <w:r w:rsidR="00DD7083">
        <w:rPr>
          <w:rFonts w:cs="Times New Roman"/>
          <w:bCs/>
          <w:sz w:val="22"/>
          <w:szCs w:val="22"/>
        </w:rPr>
        <w:t>,</w:t>
      </w:r>
      <w:r w:rsidR="00DD7083" w:rsidRPr="00DD7083">
        <w:rPr>
          <w:rFonts w:eastAsia="Calibri" w:cs="Times New Roman"/>
          <w:sz w:val="22"/>
          <w:szCs w:val="22"/>
        </w:rPr>
        <w:t xml:space="preserve"> </w:t>
      </w:r>
      <w:r w:rsidRPr="00DD7083">
        <w:rPr>
          <w:rFonts w:eastAsia="Calibri" w:cs="Times New Roman"/>
          <w:sz w:val="22"/>
          <w:szCs w:val="22"/>
        </w:rPr>
        <w:t>an</w:t>
      </w:r>
      <w:r>
        <w:rPr>
          <w:rFonts w:eastAsia="Calibri" w:cs="Times New Roman"/>
          <w:sz w:val="22"/>
        </w:rPr>
        <w:t xml:space="preserve">d the operations and finances of the District. </w:t>
      </w:r>
      <w:bookmarkEnd w:id="81"/>
    </w:p>
    <w:p w14:paraId="6FF6228A" w14:textId="77777777" w:rsidR="00E81E0B" w:rsidRDefault="00510D02" w:rsidP="00510D02">
      <w:pPr>
        <w:spacing w:after="240"/>
        <w:ind w:firstLine="720"/>
        <w:jc w:val="both"/>
        <w:rPr>
          <w:rFonts w:eastAsia="Calibri" w:cs="Times New Roman"/>
          <w:b/>
          <w:bCs/>
          <w:sz w:val="22"/>
        </w:rPr>
      </w:pPr>
      <w:r>
        <w:rPr>
          <w:rFonts w:eastAsia="Calibri" w:cs="Times New Roman"/>
          <w:b/>
          <w:bCs/>
          <w:sz w:val="22"/>
        </w:rPr>
        <w:t>In addition, as the scope and impact of any potential future pandemic</w:t>
      </w:r>
      <w:r w:rsidR="00E81E0B">
        <w:rPr>
          <w:rFonts w:eastAsia="Calibri" w:cs="Times New Roman"/>
          <w:b/>
          <w:bCs/>
          <w:sz w:val="22"/>
        </w:rPr>
        <w:t xml:space="preserve"> </w:t>
      </w:r>
      <w:r>
        <w:rPr>
          <w:rFonts w:eastAsia="Calibri" w:cs="Times New Roman"/>
          <w:b/>
          <w:bCs/>
          <w:sz w:val="22"/>
        </w:rPr>
        <w:t>is currently unknown, assumptions, information and conclusions set forth in the Financial Forecasts (APPENDIX A) and the Market Study (APPENDIX B) must be read and considered in the context of the matters described herein, which may materially and adversely affect the assumptions, information and conclusions set forth in those reports.</w:t>
      </w:r>
      <w:r w:rsidR="00E81E0B">
        <w:rPr>
          <w:rFonts w:eastAsia="Calibri" w:cs="Times New Roman"/>
          <w:b/>
          <w:bCs/>
          <w:sz w:val="22"/>
        </w:rPr>
        <w:t xml:space="preserve"> </w:t>
      </w:r>
    </w:p>
    <w:p w14:paraId="7426DD53" w14:textId="14FAAE1C" w:rsidR="00510D02" w:rsidRPr="00E81E0B" w:rsidRDefault="00E81E0B" w:rsidP="00510D02">
      <w:pPr>
        <w:spacing w:after="240"/>
        <w:ind w:firstLine="720"/>
        <w:jc w:val="both"/>
        <w:rPr>
          <w:rFonts w:eastAsia="Calibri" w:cs="Times New Roman"/>
          <w:sz w:val="22"/>
        </w:rPr>
      </w:pPr>
      <w:r w:rsidRPr="00E81E0B">
        <w:rPr>
          <w:rFonts w:eastAsia="Calibri" w:cs="Times New Roman"/>
          <w:sz w:val="22"/>
        </w:rPr>
        <w:t>See also “FORWARD LOOKING STATEMENTS.”</w:t>
      </w:r>
    </w:p>
    <w:p w14:paraId="583ACA3F" w14:textId="1D9D387E" w:rsidR="00DA5978" w:rsidRPr="00DA2177" w:rsidRDefault="00DA5978" w:rsidP="00B471D8">
      <w:pPr>
        <w:pStyle w:val="Heading2"/>
        <w:numPr>
          <w:ilvl w:val="1"/>
          <w:numId w:val="2"/>
        </w:numPr>
        <w:rPr>
          <w:rFonts w:eastAsia="Times New Roman"/>
          <w:sz w:val="22"/>
          <w:szCs w:val="22"/>
        </w:rPr>
      </w:pPr>
      <w:bookmarkStart w:id="82" w:name="_Toc14260974"/>
      <w:bookmarkStart w:id="83" w:name="_Toc235521049"/>
      <w:r>
        <w:rPr>
          <w:rFonts w:eastAsia="Times New Roman"/>
          <w:sz w:val="22"/>
          <w:szCs w:val="22"/>
        </w:rPr>
        <w:t>Risk</w:t>
      </w:r>
      <w:bookmarkEnd w:id="82"/>
      <w:r>
        <w:rPr>
          <w:rFonts w:eastAsia="Times New Roman"/>
          <w:sz w:val="22"/>
          <w:szCs w:val="22"/>
        </w:rPr>
        <w:t>s Related to Property Tax Revenue</w:t>
      </w:r>
      <w:bookmarkEnd w:id="83"/>
    </w:p>
    <w:p w14:paraId="1080AB9D" w14:textId="77777777" w:rsidR="009117DE" w:rsidRPr="00DA2177" w:rsidRDefault="009117DE" w:rsidP="009117DE">
      <w:pPr>
        <w:pStyle w:val="00BodyText5"/>
        <w:rPr>
          <w:rFonts w:cs="Times New Roman"/>
          <w:szCs w:val="22"/>
        </w:rPr>
      </w:pPr>
      <w:r w:rsidRPr="00DA2177">
        <w:rPr>
          <w:rFonts w:cs="Times New Roman"/>
          <w:szCs w:val="22"/>
        </w:rPr>
        <w:t xml:space="preserve">The owners of the LT Bonds are dependent upon an increase in the assessed valuation of property in the District to provide a tax base from which ad valorem property tax revenues, including the Senior LT Pledged Revenue and Subordinate LT Pledged Revenue are to be collected. </w:t>
      </w:r>
    </w:p>
    <w:p w14:paraId="3006C1E6" w14:textId="2C365F62" w:rsidR="005C2E07" w:rsidRPr="000E5D4E" w:rsidRDefault="005C2E07" w:rsidP="005C2E07">
      <w:pPr>
        <w:pStyle w:val="00BodyText5"/>
      </w:pPr>
      <w:r w:rsidRPr="00C01FC1">
        <w:rPr>
          <w:b/>
          <w:bCs/>
          <w:i/>
          <w:iCs/>
        </w:rPr>
        <w:t>202</w:t>
      </w:r>
      <w:r>
        <w:rPr>
          <w:b/>
          <w:bCs/>
          <w:i/>
          <w:iCs/>
        </w:rPr>
        <w:t>5</w:t>
      </w:r>
      <w:r w:rsidRPr="00C01FC1">
        <w:rPr>
          <w:b/>
          <w:bCs/>
          <w:i/>
          <w:iCs/>
        </w:rPr>
        <w:t xml:space="preserve"> Taxable Value Estimate</w:t>
      </w:r>
      <w:r w:rsidRPr="00C01FC1">
        <w:t>. The taxable value of property in the District as of the 202</w:t>
      </w:r>
      <w:r>
        <w:t>5</w:t>
      </w:r>
      <w:r w:rsidRPr="00C01FC1">
        <w:t xml:space="preserve"> tax year was estimated at </w:t>
      </w:r>
      <w:r w:rsidRPr="00351811">
        <w:t>$</w:t>
      </w:r>
      <w:r>
        <w:t>[TAX VALUE]</w:t>
      </w:r>
      <w:r w:rsidRPr="00C01FC1">
        <w:t xml:space="preserve"> based on the </w:t>
      </w:r>
      <w:r>
        <w:t>County A</w:t>
      </w:r>
      <w:r w:rsidRPr="00C01FC1">
        <w:t xml:space="preserve">ssessor’s records for parcels located entirely or partially within the District. Due to the recent creation of the District, no </w:t>
      </w:r>
      <w:r>
        <w:t xml:space="preserve">currently available </w:t>
      </w:r>
      <w:r w:rsidRPr="00C01FC1">
        <w:t xml:space="preserve">taxable value is available from the </w:t>
      </w:r>
      <w:r>
        <w:t>County A</w:t>
      </w:r>
      <w:r w:rsidRPr="00C01FC1">
        <w:t xml:space="preserve">ssessor specifically for the property within the District. As a result, it is possible that the actual taxable value of property in the District is less than the estimated taxable values used in the </w:t>
      </w:r>
      <w:r w:rsidR="00440877">
        <w:t xml:space="preserve">LT </w:t>
      </w:r>
      <w:r w:rsidRPr="00C01FC1">
        <w:t xml:space="preserve">Financial Forecast, which could have a material adverse impact on the </w:t>
      </w:r>
      <w:r w:rsidRPr="00A80E31">
        <w:t xml:space="preserve">amount of the </w:t>
      </w:r>
      <w:r w:rsidR="009117DE">
        <w:t xml:space="preserve">Senior </w:t>
      </w:r>
      <w:r w:rsidR="00440877">
        <w:t>LT</w:t>
      </w:r>
      <w:r w:rsidRPr="00A80E31">
        <w:t xml:space="preserve"> Pledged Revenue</w:t>
      </w:r>
      <w:r w:rsidR="009117DE">
        <w:t xml:space="preserve"> and Subordinate LT Pledged Revenue</w:t>
      </w:r>
      <w:r w:rsidRPr="00A80E31">
        <w:t xml:space="preserve"> available for payment of the </w:t>
      </w:r>
      <w:r w:rsidR="00787226">
        <w:t>LT Bond</w:t>
      </w:r>
      <w:r w:rsidRPr="00A80E31">
        <w:t>s</w:t>
      </w:r>
      <w:r w:rsidRPr="00C01FC1">
        <w:t>.</w:t>
      </w:r>
    </w:p>
    <w:p w14:paraId="24084309" w14:textId="7F71294B" w:rsidR="00DA5978" w:rsidRPr="00DA2177" w:rsidRDefault="00DA5978" w:rsidP="00DA5978">
      <w:pPr>
        <w:pStyle w:val="00BodyText5"/>
        <w:rPr>
          <w:rFonts w:cs="Times New Roman"/>
          <w:b/>
          <w:i/>
          <w:szCs w:val="22"/>
        </w:rPr>
      </w:pPr>
      <w:r>
        <w:rPr>
          <w:rFonts w:cs="Times New Roman"/>
          <w:szCs w:val="22"/>
          <w:u w:val="single"/>
        </w:rPr>
        <w:t>Assessed Valuation Procedures and Factors; Market Value of Land</w:t>
      </w:r>
      <w:r>
        <w:rPr>
          <w:rFonts w:cs="Times New Roman"/>
          <w:szCs w:val="22"/>
        </w:rPr>
        <w:t xml:space="preserve">. The taxable value of the property in the District is determined according to a procedure described under “FINANCIAL INFORMATION—Ad Valorem Property Taxes.” Assessed valuation may be affected by a number of factors beyond the control of the District. For example, property owners are allowed each year by State law to challenge the valuations of their property, and no assurance can be given that owners of property in the Development will not do so. Should the actions of property owners result in lower assessed valuations of property in the Development, the security for the </w:t>
      </w:r>
      <w:r w:rsidR="00787226">
        <w:rPr>
          <w:rFonts w:cs="Times New Roman"/>
          <w:szCs w:val="22"/>
        </w:rPr>
        <w:t>LT Bond</w:t>
      </w:r>
      <w:r>
        <w:rPr>
          <w:rFonts w:cs="Times New Roman"/>
          <w:szCs w:val="22"/>
        </w:rPr>
        <w:t>s would be diminished, increasing the risk of nonpayment.</w:t>
      </w:r>
    </w:p>
    <w:p w14:paraId="6C0084B6" w14:textId="484E2FF2" w:rsidR="00DA5978" w:rsidRPr="00DA2177" w:rsidRDefault="00DA5978" w:rsidP="00DA5978">
      <w:pPr>
        <w:pStyle w:val="00BodyText5"/>
        <w:rPr>
          <w:rFonts w:cs="Times New Roman"/>
          <w:szCs w:val="22"/>
        </w:rPr>
      </w:pPr>
      <w:r>
        <w:rPr>
          <w:rFonts w:cs="Times New Roman"/>
          <w:szCs w:val="22"/>
        </w:rPr>
        <w:t>In addition, the projected taxable value of property in the Development set forth in the Market Study is based on certain assumptions as to the manner in which various properties will be assessed by the Salt Lake County (the “</w:t>
      </w:r>
      <w:r>
        <w:rPr>
          <w:rFonts w:cs="Times New Roman"/>
          <w:b/>
          <w:szCs w:val="22"/>
        </w:rPr>
        <w:t>County</w:t>
      </w:r>
      <w:r>
        <w:rPr>
          <w:rFonts w:cs="Times New Roman"/>
          <w:szCs w:val="22"/>
        </w:rPr>
        <w:t xml:space="preserve">”) Assessor. While these assumptions are based on information provided by the County </w:t>
      </w:r>
      <w:r w:rsidR="005C7909">
        <w:rPr>
          <w:rFonts w:cs="Times New Roman"/>
          <w:szCs w:val="22"/>
        </w:rPr>
        <w:t>A</w:t>
      </w:r>
      <w:r>
        <w:rPr>
          <w:rFonts w:cs="Times New Roman"/>
          <w:szCs w:val="22"/>
        </w:rPr>
        <w:t>ssessor, no assurance is given that any particular methodology presently used by the County Assessor to determine the actual value of property will continue to be used in the future. Any change in the methodology by which the actual value of property is determined could adversely affect the taxable value of property in the District and the property taxes that may be generated thereby. See also “—Risks Inherent in Market Study and Financial Forecast</w:t>
      </w:r>
      <w:r w:rsidR="004B0447">
        <w:rPr>
          <w:rFonts w:cs="Times New Roman"/>
          <w:szCs w:val="22"/>
        </w:rPr>
        <w:t>s</w:t>
      </w:r>
      <w:r>
        <w:rPr>
          <w:rFonts w:cs="Times New Roman"/>
          <w:szCs w:val="22"/>
        </w:rPr>
        <w:t>” herein and “APPENDIX A—FINANCIAL FORECASTS” and “APPENDIX B—MARKET STUDY” hereto.</w:t>
      </w:r>
    </w:p>
    <w:p w14:paraId="5E76A58A" w14:textId="4DF3DD5D" w:rsidR="00FC1254" w:rsidRPr="00DA2177" w:rsidRDefault="00DA5978" w:rsidP="00FC1254">
      <w:pPr>
        <w:pStyle w:val="00BodyText5"/>
        <w:rPr>
          <w:rFonts w:cs="Times New Roman"/>
          <w:szCs w:val="22"/>
        </w:rPr>
      </w:pPr>
      <w:bookmarkStart w:id="84" w:name="_Toc494806502"/>
      <w:bookmarkStart w:id="85" w:name="_Toc532887272"/>
      <w:bookmarkStart w:id="86" w:name="_Toc8822610"/>
      <w:bookmarkStart w:id="87" w:name="_Toc14438743"/>
      <w:r>
        <w:rPr>
          <w:rFonts w:cs="Times New Roman"/>
          <w:szCs w:val="22"/>
          <w:u w:val="single"/>
        </w:rPr>
        <w:t>Potential Tax-Exempt Status of Current Owners and Transfers to Tax-Exempt Users</w:t>
      </w:r>
      <w:bookmarkEnd w:id="84"/>
      <w:bookmarkEnd w:id="85"/>
      <w:bookmarkEnd w:id="86"/>
      <w:bookmarkEnd w:id="87"/>
      <w:r>
        <w:rPr>
          <w:rFonts w:cs="Times New Roman"/>
          <w:i/>
          <w:szCs w:val="22"/>
        </w:rPr>
        <w:t xml:space="preserve">. </w:t>
      </w:r>
      <w:r>
        <w:rPr>
          <w:rFonts w:cs="Times New Roman"/>
          <w:szCs w:val="22"/>
        </w:rPr>
        <w:t xml:space="preserve">Property used for tax-exempt purposes is not subject to taxation by the District. It is possible that property within the District which currently does generate property taxes pledged to the payment of the </w:t>
      </w:r>
      <w:r w:rsidR="00787226">
        <w:rPr>
          <w:rFonts w:cs="Times New Roman"/>
          <w:szCs w:val="22"/>
        </w:rPr>
        <w:t>LT Bond</w:t>
      </w:r>
      <w:r>
        <w:rPr>
          <w:rFonts w:cs="Times New Roman"/>
          <w:szCs w:val="22"/>
        </w:rPr>
        <w:t xml:space="preserve">s will be transferred to tax-exempt users. </w:t>
      </w:r>
      <w:r w:rsidR="00A80F5F" w:rsidRPr="00A80F5F">
        <w:rPr>
          <w:rFonts w:cs="Times New Roman"/>
          <w:szCs w:val="22"/>
        </w:rPr>
        <w:t xml:space="preserve">For example, in certain circumstances, certain types of multi-family projects owned by non-profits and operated for charitable purposes can qualify for an exemption from property taxation. </w:t>
      </w:r>
      <w:r>
        <w:rPr>
          <w:rFonts w:cs="Times New Roman"/>
          <w:szCs w:val="22"/>
        </w:rPr>
        <w:t xml:space="preserve">It is possible that a future </w:t>
      </w:r>
      <w:r w:rsidR="00A80F5F">
        <w:rPr>
          <w:rFonts w:cs="Times New Roman"/>
          <w:szCs w:val="22"/>
        </w:rPr>
        <w:t xml:space="preserve">multi-family residential </w:t>
      </w:r>
      <w:r>
        <w:rPr>
          <w:rFonts w:cs="Times New Roman"/>
          <w:szCs w:val="22"/>
        </w:rPr>
        <w:t>project in the District could qualify for tax-exempt status using tax credits or on some other basis</w:t>
      </w:r>
      <w:r w:rsidR="00822695">
        <w:rPr>
          <w:rFonts w:cs="Times New Roman"/>
          <w:szCs w:val="22"/>
        </w:rPr>
        <w:t xml:space="preserve"> </w:t>
      </w:r>
      <w:r w:rsidR="00822695" w:rsidRPr="00822695">
        <w:rPr>
          <w:rFonts w:cs="Times New Roman"/>
          <w:szCs w:val="22"/>
        </w:rPr>
        <w:t>could qualify for tax-exempt status if sold to a non-profit and operated for charitable purposes,</w:t>
      </w:r>
      <w:r>
        <w:rPr>
          <w:rFonts w:cs="Times New Roman"/>
          <w:szCs w:val="22"/>
        </w:rPr>
        <w:t xml:space="preserve"> although </w:t>
      </w:r>
      <w:r w:rsidR="00A80F5F">
        <w:rPr>
          <w:rFonts w:cs="Times New Roman"/>
          <w:szCs w:val="22"/>
        </w:rPr>
        <w:t xml:space="preserve">none of the foregoing </w:t>
      </w:r>
      <w:r>
        <w:rPr>
          <w:rFonts w:cs="Times New Roman"/>
          <w:szCs w:val="22"/>
        </w:rPr>
        <w:t xml:space="preserve">are currently planned </w:t>
      </w:r>
      <w:r w:rsidR="00A80F5F">
        <w:rPr>
          <w:rFonts w:cs="Times New Roman"/>
          <w:szCs w:val="22"/>
        </w:rPr>
        <w:t>within</w:t>
      </w:r>
      <w:r>
        <w:rPr>
          <w:rFonts w:cs="Times New Roman"/>
          <w:szCs w:val="22"/>
        </w:rPr>
        <w:t xml:space="preserve"> the Develop</w:t>
      </w:r>
      <w:r w:rsidR="00A80F5F">
        <w:rPr>
          <w:rFonts w:cs="Times New Roman"/>
          <w:szCs w:val="22"/>
        </w:rPr>
        <w:t>ment</w:t>
      </w:r>
      <w:r>
        <w:rPr>
          <w:rFonts w:cs="Times New Roman"/>
          <w:szCs w:val="22"/>
        </w:rPr>
        <w:t xml:space="preserve">. In addition, it is possible that some or all of the property in the District could be condemned for public use, in which case it may no longer be subject to taxation by the District or other taxing entities. </w:t>
      </w:r>
    </w:p>
    <w:p w14:paraId="08B98B68" w14:textId="20BBABDD" w:rsidR="00FC1254" w:rsidRPr="00DA2177" w:rsidRDefault="00FC1254" w:rsidP="00FC1254">
      <w:pPr>
        <w:pStyle w:val="00BodyText5"/>
        <w:rPr>
          <w:rFonts w:cs="Times New Roman"/>
          <w:b/>
          <w:szCs w:val="22"/>
        </w:rPr>
      </w:pPr>
      <w:r>
        <w:rPr>
          <w:rFonts w:cs="Times New Roman"/>
          <w:b/>
          <w:i/>
          <w:iCs/>
          <w:szCs w:val="22"/>
        </w:rPr>
        <w:t xml:space="preserve">No covenants imposing payments in lieu of taxes (“PILOT”) are currently recorded on the property in the District, and the Developer has no present plan to record a PILOT. Unless a PILOT is recorded against property in the District, no revenues for the payment of the </w:t>
      </w:r>
      <w:r w:rsidR="00787226">
        <w:rPr>
          <w:rFonts w:cs="Times New Roman"/>
          <w:b/>
          <w:i/>
          <w:iCs/>
          <w:szCs w:val="22"/>
        </w:rPr>
        <w:t>LT Bond</w:t>
      </w:r>
      <w:r>
        <w:rPr>
          <w:rFonts w:cs="Times New Roman"/>
          <w:b/>
          <w:i/>
          <w:iCs/>
          <w:szCs w:val="22"/>
        </w:rPr>
        <w:t xml:space="preserve">s will be generated from any tax-exempt property within the District. </w:t>
      </w:r>
      <w:r w:rsidR="00A80F5F" w:rsidRPr="00A80F5F">
        <w:rPr>
          <w:rFonts w:cs="Times New Roman"/>
          <w:b/>
          <w:i/>
          <w:iCs/>
          <w:szCs w:val="22"/>
        </w:rPr>
        <w:t>Moreover, development plans are subject to change and no assurance is provided that any of the parcels being currently marketed for sale by the Developer to third-party builders and developers will not be sold, or that parcels purchased by third-party builders and developers from the Developer will not be later re-sold, to entities that ultimately develop or use the property for tax-exempt purposes.</w:t>
      </w:r>
    </w:p>
    <w:p w14:paraId="62298F16" w14:textId="27F06EE9" w:rsidR="00D13CA4" w:rsidRPr="00DA2177" w:rsidRDefault="00DA5978" w:rsidP="00DA5978">
      <w:pPr>
        <w:pStyle w:val="00BodyText5"/>
        <w:rPr>
          <w:rFonts w:cs="Times New Roman"/>
          <w:szCs w:val="22"/>
        </w:rPr>
      </w:pPr>
      <w:r>
        <w:rPr>
          <w:rFonts w:cs="Times New Roman"/>
          <w:szCs w:val="22"/>
          <w:u w:val="single"/>
        </w:rPr>
        <w:t>Tax Collections</w:t>
      </w:r>
      <w:r>
        <w:rPr>
          <w:rFonts w:cs="Times New Roman"/>
          <w:szCs w:val="22"/>
        </w:rPr>
        <w:t xml:space="preserve">. The duty to pay property taxes does not constitute a personal obligation of the property owners within the Development. Rather, the obligation to pay property taxes is tied to the specific properties taxed, and if timely payment is not made, the obligation constitutes a lien against the specific properties for which taxes are unpaid. </w:t>
      </w:r>
    </w:p>
    <w:p w14:paraId="19DC221F" w14:textId="4D129328" w:rsidR="00DA5978" w:rsidRPr="00DA2177" w:rsidRDefault="00DA5978" w:rsidP="00DA5978">
      <w:pPr>
        <w:pStyle w:val="00BodyText5"/>
        <w:rPr>
          <w:rFonts w:cs="Times New Roman"/>
          <w:b/>
          <w:i/>
          <w:szCs w:val="22"/>
        </w:rPr>
      </w:pPr>
      <w:r>
        <w:rPr>
          <w:rFonts w:cs="Times New Roman"/>
          <w:szCs w:val="22"/>
        </w:rPr>
        <w:t xml:space="preserve">To enforce property tax liens, the County Treasurer is obligated to cause the sale of tax liens upon the property that is subject to the delinquent taxes, as provided by law, and the revenue derived from such sale, if any, is applied to the delinquent taxes. The County Treasurer has the power to foreclose on and cause the sale of the property that is subject to the delinquent tax, after the period allowed for the property owner to redeem such taxes, as provided by law. Such redemption period is currently five years, during which a property owner may pay all taxes due and prevent such foreclosure. Foreclosure can be a time-consuming and expensive process and does not necessarily result in recovery of all amounts due and unpaid. </w:t>
      </w:r>
    </w:p>
    <w:p w14:paraId="2D15C76B" w14:textId="161F8D7B" w:rsidR="00DA5978" w:rsidRPr="00DA2177" w:rsidRDefault="00DA5978" w:rsidP="00DA5978">
      <w:pPr>
        <w:pStyle w:val="00BodyText5"/>
        <w:rPr>
          <w:rFonts w:cs="Times New Roman"/>
          <w:szCs w:val="22"/>
        </w:rPr>
      </w:pPr>
      <w:r>
        <w:rPr>
          <w:rFonts w:cs="Times New Roman"/>
          <w:szCs w:val="22"/>
        </w:rPr>
        <w:t>In addition, the ability of the County Treasurer to enforce tax liens could be delayed by bankruptcy laws and other laws affecting creditor’s rights generally. During the pendency of any bankruptcy of any property owner, the parcels owned by such property owner could be sold only if the bankruptcy court approves the sale. There is no assurance that property taxes would be paid during the pendency of any bankruptcy; nor is it possible to predict the timeliness of such payment.</w:t>
      </w:r>
    </w:p>
    <w:p w14:paraId="30C09618" w14:textId="7FD4FE82" w:rsidR="00DA5978" w:rsidRPr="00DA2177" w:rsidRDefault="00DA5978" w:rsidP="00DA5978">
      <w:pPr>
        <w:pStyle w:val="00BodyText5"/>
        <w:rPr>
          <w:rFonts w:cs="Times New Roman"/>
          <w:szCs w:val="22"/>
        </w:rPr>
      </w:pPr>
      <w:r>
        <w:rPr>
          <w:rFonts w:cs="Times New Roman"/>
          <w:bCs/>
          <w:iCs/>
          <w:szCs w:val="22"/>
          <w:u w:val="single"/>
        </w:rPr>
        <w:t>Taxpayer Concentration</w:t>
      </w:r>
      <w:r>
        <w:rPr>
          <w:rFonts w:cs="Times New Roman"/>
          <w:szCs w:val="22"/>
        </w:rPr>
        <w:t>. The Developer presently own</w:t>
      </w:r>
      <w:r w:rsidR="00361BA1">
        <w:rPr>
          <w:rFonts w:cs="Times New Roman"/>
          <w:szCs w:val="22"/>
        </w:rPr>
        <w:t>s</w:t>
      </w:r>
      <w:r>
        <w:rPr>
          <w:rFonts w:cs="Times New Roman"/>
          <w:szCs w:val="22"/>
        </w:rPr>
        <w:t xml:space="preserve"> all of the property within the Development. As such, the generation of the </w:t>
      </w:r>
      <w:r w:rsidR="000F65D0">
        <w:rPr>
          <w:rFonts w:cs="Times New Roman"/>
          <w:szCs w:val="22"/>
        </w:rPr>
        <w:t xml:space="preserve">Senior </w:t>
      </w:r>
      <w:r>
        <w:rPr>
          <w:rFonts w:cs="Times New Roman"/>
          <w:szCs w:val="22"/>
        </w:rPr>
        <w:t xml:space="preserve">LT Pledged Revenue </w:t>
      </w:r>
      <w:r w:rsidR="001567A9">
        <w:rPr>
          <w:rFonts w:cs="Times New Roman"/>
          <w:szCs w:val="22"/>
        </w:rPr>
        <w:t xml:space="preserve">and Subordinate LT Pledged Revenue </w:t>
      </w:r>
      <w:r>
        <w:rPr>
          <w:rFonts w:cs="Times New Roman"/>
          <w:szCs w:val="22"/>
        </w:rPr>
        <w:t xml:space="preserve">may be dependent upon a limited number of taxpayers for timely payment of property taxes until such time, if any, as the concentration of property ownership within the District changes. </w:t>
      </w:r>
    </w:p>
    <w:p w14:paraId="674AD941" w14:textId="7A923193" w:rsidR="00DA5978" w:rsidRPr="00822695" w:rsidRDefault="00DA5978" w:rsidP="00822695">
      <w:pPr>
        <w:pStyle w:val="00BodyText5"/>
      </w:pPr>
      <w:r>
        <w:rPr>
          <w:rFonts w:cs="Times New Roman"/>
          <w:szCs w:val="22"/>
        </w:rPr>
        <w:t xml:space="preserve">Property taxes on land are not personal obligations of the Developer or any other property owner. No party has guaranteed the payment of the principal of or interest on the </w:t>
      </w:r>
      <w:r w:rsidR="00787226">
        <w:rPr>
          <w:rFonts w:cs="Times New Roman"/>
          <w:szCs w:val="22"/>
        </w:rPr>
        <w:t>LT Bond</w:t>
      </w:r>
      <w:r>
        <w:rPr>
          <w:rFonts w:cs="Times New Roman"/>
          <w:szCs w:val="22"/>
        </w:rPr>
        <w:t xml:space="preserve">s, and no financial information regarding the Developer or any other entity which may develop property within the Development is provided in this Official Statement. </w:t>
      </w:r>
      <w:r w:rsidR="00822695" w:rsidRPr="006121A0">
        <w:rPr>
          <w:rFonts w:cs="Times New Roman"/>
          <w:szCs w:val="22"/>
        </w:rPr>
        <w:t>See “THE DEVELOPMENT—Planned Development” and “—Land Ownership.”</w:t>
      </w:r>
    </w:p>
    <w:p w14:paraId="116B5C28" w14:textId="792A43E5" w:rsidR="00DA5978" w:rsidRPr="00DA2177" w:rsidRDefault="00E52AA2" w:rsidP="00B471D8">
      <w:pPr>
        <w:pStyle w:val="Heading2"/>
        <w:numPr>
          <w:ilvl w:val="1"/>
          <w:numId w:val="2"/>
        </w:numPr>
        <w:rPr>
          <w:rFonts w:eastAsia="Times New Roman"/>
          <w:sz w:val="22"/>
          <w:szCs w:val="22"/>
        </w:rPr>
      </w:pPr>
      <w:bookmarkStart w:id="88" w:name="_Toc235521050"/>
      <w:r>
        <w:rPr>
          <w:rFonts w:eastAsia="Times New Roman"/>
          <w:sz w:val="22"/>
          <w:szCs w:val="22"/>
        </w:rPr>
        <w:t>Risks Inherent in Market Study and Financial Forecasts</w:t>
      </w:r>
      <w:bookmarkEnd w:id="88"/>
    </w:p>
    <w:p w14:paraId="5EBB3755" w14:textId="4F3F8F03" w:rsidR="00DA5978" w:rsidRPr="00DA2177" w:rsidRDefault="00F603D5" w:rsidP="00DA5978">
      <w:pPr>
        <w:pStyle w:val="00BodyText5"/>
        <w:rPr>
          <w:rFonts w:cs="Times New Roman"/>
          <w:szCs w:val="22"/>
        </w:rPr>
      </w:pPr>
      <w:r>
        <w:rPr>
          <w:rFonts w:cs="Times New Roman"/>
          <w:b/>
          <w:bCs/>
          <w:i/>
          <w:iCs/>
          <w:szCs w:val="22"/>
        </w:rPr>
        <w:t>Market Study</w:t>
      </w:r>
      <w:r>
        <w:rPr>
          <w:rFonts w:cs="Times New Roman"/>
          <w:szCs w:val="22"/>
        </w:rPr>
        <w:t>. The Developer has engaged Zonda Advisory for the purpose of assessing the value of contemplated planned uses of the Development, as presently depicted on the Developer’s site plan, the results of which are set forth in the Market Study, attached hereto as APPENDIX B. The projections set forth in the Market Study are based on certain assumptions, disclaimers and limiting conditions more particularly set forth therein. The Market Study does not address or evaluate other factors which could impact whether the Development as presently depicted on the Developer’s site plan proceeds as described herein, including the availability of funding, entitlements, general economic conditions (which may change)</w:t>
      </w:r>
      <w:r w:rsidR="00822695">
        <w:rPr>
          <w:rFonts w:cs="Times New Roman"/>
          <w:szCs w:val="22"/>
        </w:rPr>
        <w:t>, trade policies and tariffs,</w:t>
      </w:r>
      <w:r>
        <w:rPr>
          <w:rFonts w:cs="Times New Roman"/>
          <w:szCs w:val="22"/>
        </w:rPr>
        <w:t xml:space="preserve"> and other matters described in “—Development Not Assured” above, and also assumes certain methodologies with respect to the County Assessor’s determination of market value, which methodologies are subject to change.</w:t>
      </w:r>
    </w:p>
    <w:p w14:paraId="5B24AC3A" w14:textId="42FB0883" w:rsidR="00361BA1" w:rsidRDefault="00F603D5" w:rsidP="00361BA1">
      <w:pPr>
        <w:pStyle w:val="00BodyText5"/>
      </w:pPr>
      <w:r>
        <w:rPr>
          <w:rFonts w:cs="Times New Roman"/>
          <w:b/>
          <w:bCs/>
          <w:i/>
          <w:iCs/>
          <w:szCs w:val="22"/>
        </w:rPr>
        <w:t>Financial Forecasts</w:t>
      </w:r>
      <w:r>
        <w:rPr>
          <w:rFonts w:cs="Times New Roman"/>
          <w:szCs w:val="22"/>
        </w:rPr>
        <w:t xml:space="preserve">. The Developer has engaged CLA for the purpose of projecting cash flows with respect to the District. </w:t>
      </w:r>
      <w:r w:rsidR="00361BA1" w:rsidRPr="000E5D4E">
        <w:t>Such Financial Forecast</w:t>
      </w:r>
      <w:r w:rsidR="00361BA1">
        <w:t>s</w:t>
      </w:r>
      <w:r w:rsidR="00361BA1" w:rsidRPr="000E5D4E">
        <w:t xml:space="preserve"> utilized certain information contained in the Market Study and certain assumptions more particularly set forth therein. See “FORWARD-LOOKING STATEMENTS,” and APPENDIX A hereto</w:t>
      </w:r>
      <w:r w:rsidR="00361BA1">
        <w:t xml:space="preserve">. </w:t>
      </w:r>
    </w:p>
    <w:p w14:paraId="18B34151" w14:textId="2B8F36D0" w:rsidR="00F603D5" w:rsidRDefault="00F603D5" w:rsidP="00F603D5">
      <w:pPr>
        <w:pStyle w:val="00BodyText5"/>
        <w:rPr>
          <w:rFonts w:cs="Times New Roman"/>
          <w:szCs w:val="22"/>
        </w:rPr>
      </w:pPr>
      <w:r>
        <w:rPr>
          <w:rFonts w:cs="Times New Roman"/>
          <w:szCs w:val="22"/>
        </w:rPr>
        <w:t xml:space="preserve">The Financial Forecasts project the payment of debt service on the Bonds, based on the absorption schedule and market values presented therein, and the other assumptions more particularly described in the </w:t>
      </w:r>
      <w:r w:rsidR="00ED7DD9">
        <w:rPr>
          <w:rFonts w:cs="Times New Roman"/>
          <w:szCs w:val="22"/>
        </w:rPr>
        <w:t xml:space="preserve">applicable </w:t>
      </w:r>
      <w:r>
        <w:rPr>
          <w:rFonts w:cs="Times New Roman"/>
          <w:szCs w:val="22"/>
        </w:rPr>
        <w:t xml:space="preserve">Financial Forecast. </w:t>
      </w:r>
    </w:p>
    <w:p w14:paraId="43B55CD0" w14:textId="5A6A7CBF" w:rsidR="00F72D0B" w:rsidRPr="00F72D0B" w:rsidRDefault="00A42F48" w:rsidP="00F72D0B">
      <w:pPr>
        <w:pStyle w:val="00BodyText5"/>
      </w:pPr>
      <w:r>
        <w:rPr>
          <w:rFonts w:cs="Times New Roman"/>
          <w:i/>
          <w:iCs/>
          <w:szCs w:val="22"/>
        </w:rPr>
        <w:t>LT Financial Forecast</w:t>
      </w:r>
      <w:r>
        <w:rPr>
          <w:rFonts w:cs="Times New Roman"/>
          <w:szCs w:val="22"/>
        </w:rPr>
        <w:t xml:space="preserve">. As </w:t>
      </w:r>
      <w:r w:rsidR="0051528A">
        <w:rPr>
          <w:rFonts w:cs="Times New Roman"/>
          <w:szCs w:val="22"/>
        </w:rPr>
        <w:t>projected</w:t>
      </w:r>
      <w:r>
        <w:rPr>
          <w:rFonts w:cs="Times New Roman"/>
          <w:szCs w:val="22"/>
        </w:rPr>
        <w:t xml:space="preserve"> in the LT Financial Forecast, under the “base case” scenario, it is anticipated that the LT Surplus Fund can be filled to the Maximum Surplus Amount in 20[__]</w:t>
      </w:r>
      <w:r>
        <w:rPr>
          <w:rFonts w:cs="Times New Roman"/>
          <w:szCs w:val="22"/>
          <w:vertAlign w:val="superscript"/>
        </w:rPr>
        <w:footnoteReference w:customMarkFollows="1" w:id="14"/>
        <w:t>*</w:t>
      </w:r>
      <w:r>
        <w:rPr>
          <w:rFonts w:cs="Times New Roman"/>
          <w:szCs w:val="22"/>
        </w:rPr>
        <w:t xml:space="preserve">. The LT Financial Forecast presents an alternative scenario in </w:t>
      </w:r>
      <w:r w:rsidR="002709A5">
        <w:rPr>
          <w:rFonts w:cs="Times New Roman"/>
          <w:szCs w:val="22"/>
        </w:rPr>
        <w:t>[</w:t>
      </w:r>
      <w:r>
        <w:rPr>
          <w:rFonts w:cs="Times New Roman"/>
          <w:szCs w:val="22"/>
        </w:rPr>
        <w:t>Note 10 (on page 19)</w:t>
      </w:r>
      <w:r w:rsidR="002709A5">
        <w:rPr>
          <w:rFonts w:cs="Times New Roman"/>
          <w:szCs w:val="22"/>
        </w:rPr>
        <w:t>]</w:t>
      </w:r>
      <w:r>
        <w:rPr>
          <w:rFonts w:cs="Times New Roman"/>
          <w:szCs w:val="22"/>
        </w:rPr>
        <w:t xml:space="preserve">. </w:t>
      </w:r>
      <w:r w:rsidR="002709A5">
        <w:rPr>
          <w:rFonts w:cs="Times New Roman"/>
          <w:szCs w:val="22"/>
        </w:rPr>
        <w:t>[</w:t>
      </w:r>
      <w:r>
        <w:rPr>
          <w:rFonts w:cs="Times New Roman"/>
          <w:szCs w:val="22"/>
        </w:rPr>
        <w:t xml:space="preserve">Note 10 </w:t>
      </w:r>
      <w:r w:rsidR="002709A5">
        <w:rPr>
          <w:rFonts w:cs="Times New Roman"/>
          <w:szCs w:val="22"/>
        </w:rPr>
        <w:t xml:space="preserve">] </w:t>
      </w:r>
      <w:r>
        <w:rPr>
          <w:rFonts w:cs="Times New Roman"/>
          <w:szCs w:val="22"/>
        </w:rPr>
        <w:t xml:space="preserve">assumes the build out schedule is slowed to </w:t>
      </w:r>
      <w:r w:rsidR="002709A5">
        <w:rPr>
          <w:rFonts w:cs="Times New Roman"/>
          <w:szCs w:val="22"/>
        </w:rPr>
        <w:t>[</w:t>
      </w:r>
      <w:r>
        <w:rPr>
          <w:rFonts w:cs="Times New Roman"/>
          <w:szCs w:val="22"/>
        </w:rPr>
        <w:t>60%</w:t>
      </w:r>
      <w:r w:rsidR="002709A5">
        <w:rPr>
          <w:rFonts w:cs="Times New Roman"/>
          <w:szCs w:val="22"/>
        </w:rPr>
        <w:t>]</w:t>
      </w:r>
      <w:r>
        <w:rPr>
          <w:rFonts w:cs="Times New Roman"/>
          <w:szCs w:val="22"/>
        </w:rPr>
        <w:t xml:space="preserve"> of the reasonably expected pace. Under this scenario, the LT Surplus Fund is drawn in 20[__]</w:t>
      </w:r>
      <w:r>
        <w:rPr>
          <w:rFonts w:cs="Times New Roman"/>
          <w:szCs w:val="22"/>
          <w:vertAlign w:val="superscript"/>
        </w:rPr>
        <w:t>*</w:t>
      </w:r>
      <w:r>
        <w:rPr>
          <w:rFonts w:cs="Times New Roman"/>
          <w:szCs w:val="22"/>
        </w:rPr>
        <w:t xml:space="preserve"> to pay Trustee fees and debt service on the </w:t>
      </w:r>
      <w:r w:rsidR="00787226">
        <w:rPr>
          <w:rFonts w:cs="Times New Roman"/>
          <w:szCs w:val="22"/>
        </w:rPr>
        <w:t>2026A-1 Senior LT Bond</w:t>
      </w:r>
      <w:r>
        <w:rPr>
          <w:rFonts w:cs="Times New Roman"/>
          <w:szCs w:val="22"/>
        </w:rPr>
        <w:t>s can be filled to the Maximum Surplus Amount in 20[__]</w:t>
      </w:r>
      <w:r w:rsidR="001567A9">
        <w:rPr>
          <w:rFonts w:cs="Times New Roman"/>
          <w:szCs w:val="22"/>
        </w:rPr>
        <w:t>,</w:t>
      </w:r>
      <w:r>
        <w:rPr>
          <w:rFonts w:cs="Times New Roman"/>
          <w:szCs w:val="22"/>
          <w:vertAlign w:val="superscript"/>
        </w:rPr>
        <w:t>*</w:t>
      </w:r>
      <w:r w:rsidR="001567A9" w:rsidRPr="001567A9">
        <w:rPr>
          <w:rFonts w:cs="Times New Roman"/>
          <w:szCs w:val="22"/>
        </w:rPr>
        <w:t xml:space="preserve"> </w:t>
      </w:r>
      <w:r>
        <w:rPr>
          <w:rFonts w:cs="Times New Roman"/>
          <w:szCs w:val="22"/>
        </w:rPr>
        <w:t xml:space="preserve">the </w:t>
      </w:r>
      <w:r w:rsidR="00787226">
        <w:rPr>
          <w:rFonts w:cs="Times New Roman"/>
          <w:szCs w:val="22"/>
        </w:rPr>
        <w:t>2026A-1 Senior LT Bond</w:t>
      </w:r>
      <w:r>
        <w:rPr>
          <w:rFonts w:cs="Times New Roman"/>
          <w:szCs w:val="22"/>
        </w:rPr>
        <w:t xml:space="preserve">s are repaid by their maturity date of March 1, </w:t>
      </w:r>
      <w:r w:rsidR="00EF21D5">
        <w:rPr>
          <w:rFonts w:cs="Times New Roman"/>
          <w:szCs w:val="22"/>
        </w:rPr>
        <w:t>2057</w:t>
      </w:r>
      <w:r w:rsidR="001567A9">
        <w:rPr>
          <w:rFonts w:cs="Times New Roman"/>
          <w:szCs w:val="22"/>
        </w:rPr>
        <w:t>,</w:t>
      </w:r>
      <w:r>
        <w:rPr>
          <w:rFonts w:cs="Times New Roman"/>
          <w:szCs w:val="22"/>
          <w:vertAlign w:val="superscript"/>
        </w:rPr>
        <w:t xml:space="preserve">* </w:t>
      </w:r>
      <w:r w:rsidR="001567A9">
        <w:rPr>
          <w:rFonts w:cs="Times New Roman"/>
          <w:szCs w:val="22"/>
        </w:rPr>
        <w:t xml:space="preserve">and the 2026B Subordinate LT Bonds are repaid by their maturity date of March 15, </w:t>
      </w:r>
      <w:r w:rsidR="00EF21D5">
        <w:rPr>
          <w:rFonts w:cs="Times New Roman"/>
          <w:szCs w:val="22"/>
        </w:rPr>
        <w:t>2057</w:t>
      </w:r>
      <w:r w:rsidR="001567A9">
        <w:rPr>
          <w:rFonts w:cs="Times New Roman"/>
          <w:szCs w:val="22"/>
        </w:rPr>
        <w:t>.</w:t>
      </w:r>
      <w:r w:rsidR="001567A9" w:rsidRPr="001567A9">
        <w:rPr>
          <w:rFonts w:cs="Times New Roman"/>
          <w:szCs w:val="22"/>
          <w:vertAlign w:val="superscript"/>
        </w:rPr>
        <w:t>*</w:t>
      </w:r>
      <w:r w:rsidR="00F72D0B">
        <w:rPr>
          <w:rFonts w:cs="Times New Roman"/>
          <w:szCs w:val="22"/>
          <w:vertAlign w:val="superscript"/>
        </w:rPr>
        <w:t xml:space="preserve"> </w:t>
      </w:r>
    </w:p>
    <w:p w14:paraId="1FB671B4" w14:textId="773691ED" w:rsidR="00F72D0B" w:rsidRPr="006121A0" w:rsidRDefault="00F72D0B" w:rsidP="00F72D0B">
      <w:pPr>
        <w:pStyle w:val="00BodyText5"/>
        <w:rPr>
          <w:rFonts w:cs="Times New Roman"/>
          <w:szCs w:val="22"/>
        </w:rPr>
      </w:pPr>
      <w:r w:rsidRPr="006121A0">
        <w:rPr>
          <w:rFonts w:cs="Times New Roman"/>
          <w:szCs w:val="22"/>
        </w:rPr>
        <w:t xml:space="preserve">These dates represent a forecast and there is no guaranty that any payments will be made on or after such date or, further, that the </w:t>
      </w:r>
      <w:r>
        <w:rPr>
          <w:rFonts w:cs="Times New Roman"/>
          <w:szCs w:val="22"/>
        </w:rPr>
        <w:t>2026A-1 Senior LT Bonds</w:t>
      </w:r>
      <w:r w:rsidRPr="006121A0">
        <w:rPr>
          <w:rFonts w:cs="Times New Roman"/>
          <w:szCs w:val="22"/>
        </w:rPr>
        <w:t xml:space="preserve"> will be paid prior to their discharge date of March 1, 206</w:t>
      </w:r>
      <w:r>
        <w:rPr>
          <w:rFonts w:cs="Times New Roman"/>
          <w:szCs w:val="22"/>
        </w:rPr>
        <w:t>7</w:t>
      </w:r>
      <w:r w:rsidRPr="006121A0">
        <w:rPr>
          <w:rFonts w:cs="Times New Roman"/>
          <w:szCs w:val="22"/>
        </w:rPr>
        <w:t xml:space="preserve"> or the </w:t>
      </w:r>
      <w:r>
        <w:rPr>
          <w:rFonts w:cs="Times New Roman"/>
          <w:szCs w:val="22"/>
        </w:rPr>
        <w:t>2026B Subordinate LT Bonds</w:t>
      </w:r>
      <w:r w:rsidRPr="006121A0">
        <w:rPr>
          <w:rFonts w:cs="Times New Roman"/>
          <w:szCs w:val="22"/>
        </w:rPr>
        <w:t xml:space="preserve"> will be paid prior to their discharge date of </w:t>
      </w:r>
      <w:r>
        <w:rPr>
          <w:rFonts w:cs="Times New Roman"/>
          <w:szCs w:val="22"/>
        </w:rPr>
        <w:t>March 15, 2067</w:t>
      </w:r>
      <w:r w:rsidRPr="006121A0">
        <w:rPr>
          <w:rFonts w:cs="Times New Roman"/>
          <w:szCs w:val="22"/>
        </w:rPr>
        <w:t>. See “FORWARD-LOOKING STATEMENTS” and “RISK FACTORS—Development Not Assured” and “—Risks Inherent in Market Study and Financial Forecast</w:t>
      </w:r>
      <w:r>
        <w:rPr>
          <w:rFonts w:cs="Times New Roman"/>
          <w:szCs w:val="22"/>
        </w:rPr>
        <w:t>s</w:t>
      </w:r>
      <w:r w:rsidRPr="006121A0">
        <w:rPr>
          <w:rFonts w:cs="Times New Roman"/>
          <w:szCs w:val="22"/>
        </w:rPr>
        <w:t>,” and APPENDIX A</w:t>
      </w:r>
      <w:r>
        <w:rPr>
          <w:rFonts w:cs="Times New Roman"/>
          <w:szCs w:val="22"/>
        </w:rPr>
        <w:t>-1</w:t>
      </w:r>
      <w:r w:rsidRPr="006121A0">
        <w:rPr>
          <w:rFonts w:cs="Times New Roman"/>
          <w:szCs w:val="22"/>
        </w:rPr>
        <w:t xml:space="preserve"> hereto.</w:t>
      </w:r>
    </w:p>
    <w:p w14:paraId="46210B80" w14:textId="0B48C44B" w:rsidR="000E322D" w:rsidRDefault="000E322D" w:rsidP="00F603D5">
      <w:pPr>
        <w:pStyle w:val="00BodyText5"/>
        <w:rPr>
          <w:rFonts w:cs="Times New Roman"/>
          <w:b/>
          <w:i/>
          <w:szCs w:val="22"/>
        </w:rPr>
      </w:pPr>
      <w:r>
        <w:rPr>
          <w:rFonts w:cs="Times New Roman"/>
          <w:b/>
          <w:i/>
          <w:szCs w:val="22"/>
        </w:rPr>
        <w:t>Past increases in taxable value are not a guarantee that taxable values will increase in the future. Further, taxable values are likely to decrease in certain future years, even if the overall trend of taxable values is to increase in the future. Actual results will vary from those projected, and such variations may be material.</w:t>
      </w:r>
    </w:p>
    <w:p w14:paraId="5FC2E816" w14:textId="7F47A4B9" w:rsidR="007F7C27" w:rsidRDefault="00A42F48" w:rsidP="00F603D5">
      <w:pPr>
        <w:pStyle w:val="00BodyText5"/>
        <w:rPr>
          <w:rFonts w:cs="Times New Roman"/>
          <w:bCs/>
          <w:iCs/>
          <w:szCs w:val="22"/>
        </w:rPr>
      </w:pPr>
      <w:r>
        <w:rPr>
          <w:rFonts w:cs="Times New Roman"/>
          <w:bCs/>
          <w:i/>
          <w:szCs w:val="22"/>
        </w:rPr>
        <w:t>SR Financial Forecast</w:t>
      </w:r>
      <w:r>
        <w:rPr>
          <w:rFonts w:cs="Times New Roman"/>
          <w:bCs/>
          <w:iCs/>
          <w:szCs w:val="22"/>
        </w:rPr>
        <w:t xml:space="preserve">. </w:t>
      </w:r>
      <w:bookmarkStart w:id="89" w:name="_Hlk164409910"/>
      <w:r>
        <w:rPr>
          <w:rFonts w:cs="Times New Roman"/>
          <w:bCs/>
          <w:iCs/>
          <w:szCs w:val="22"/>
        </w:rPr>
        <w:t>[As further described therein, the SR Financial Forecast assumes construction of [___] residential units rather than the 1,074 residential units anticipated in this Official Statement and the maturity date of the 2026A-2 SR Bonds is based on a 50% slowdown of anticipated absorption; however, pursuant to the SR Financial Forecast, it is anticipated that the 2026A-2 SR Bonds will repaid on December 1, 20[__],</w:t>
      </w:r>
      <w:r w:rsidR="00691E9F">
        <w:rPr>
          <w:rStyle w:val="FootnoteReference"/>
          <w:rFonts w:cs="Times New Roman"/>
          <w:szCs w:val="22"/>
        </w:rPr>
        <w:footnoteReference w:customMarkFollows="1" w:id="15"/>
        <w:t>*</w:t>
      </w:r>
      <w:r>
        <w:rPr>
          <w:rFonts w:cs="Times New Roman"/>
          <w:bCs/>
          <w:iCs/>
          <w:szCs w:val="22"/>
        </w:rPr>
        <w:t xml:space="preserve"> ahead of their maturity date of December 1, 20</w:t>
      </w:r>
      <w:r w:rsidR="00575ED3">
        <w:rPr>
          <w:rFonts w:cs="Times New Roman"/>
          <w:bCs/>
          <w:iCs/>
          <w:szCs w:val="22"/>
        </w:rPr>
        <w:t>33</w:t>
      </w:r>
      <w:r>
        <w:rPr>
          <w:rFonts w:cs="Times New Roman"/>
          <w:bCs/>
          <w:iCs/>
          <w:szCs w:val="22"/>
        </w:rPr>
        <w:t>.</w:t>
      </w:r>
      <w:r w:rsidR="008D39D3" w:rsidRPr="008D39D3">
        <w:rPr>
          <w:rFonts w:cs="Times New Roman"/>
          <w:bCs/>
          <w:iCs/>
          <w:szCs w:val="22"/>
          <w:vertAlign w:val="superscript"/>
        </w:rPr>
        <w:t>*</w:t>
      </w:r>
      <w:r>
        <w:rPr>
          <w:rFonts w:cs="Times New Roman"/>
          <w:bCs/>
          <w:iCs/>
          <w:szCs w:val="22"/>
        </w:rPr>
        <w:t xml:space="preserve"> </w:t>
      </w:r>
      <w:bookmarkEnd w:id="89"/>
    </w:p>
    <w:p w14:paraId="663E05CE" w14:textId="279867CB" w:rsidR="00943774" w:rsidRPr="00DA2177" w:rsidRDefault="000E322D" w:rsidP="001C16D1">
      <w:pPr>
        <w:pStyle w:val="00BodyText5"/>
        <w:rPr>
          <w:rFonts w:cs="Times New Roman"/>
          <w:szCs w:val="22"/>
        </w:rPr>
      </w:pPr>
      <w:r>
        <w:rPr>
          <w:rFonts w:cs="Times New Roman"/>
          <w:szCs w:val="22"/>
        </w:rPr>
        <w:t xml:space="preserve">Actual rates of development will be affected by many factors. The Market Study and the Financial Forecasts are based, in part, on certain important assumptions, including contemplated uses of the Development as set forth on the Developer’s site plan, the estimated absorption projection and the assumed product pricing for the Development. While the Developer has stated that it has no actual knowledge that such estimated absorption projection and assumed product pricing and the values of the contemplated uses depicted on the Developer’s present absorption schedule, as reflected in the Market Study and the Financial Forecasts, are not reasonable, the Developer does not assure or guarantee any aspect of the Market Study or the Financial Forecasts. No assurance can be given that the actual rate development and market values will be as presented in the Market Study or that cash flows will be as presented in the Financial Forecasts. </w:t>
      </w:r>
    </w:p>
    <w:p w14:paraId="79008B3B" w14:textId="301A5EBE" w:rsidR="00DA5978" w:rsidRPr="00DA2177" w:rsidRDefault="00DA5978" w:rsidP="00DA5978">
      <w:pPr>
        <w:pStyle w:val="00BodyText5"/>
        <w:rPr>
          <w:rFonts w:cs="Times New Roman"/>
          <w:szCs w:val="22"/>
        </w:rPr>
      </w:pPr>
      <w:r>
        <w:rPr>
          <w:rFonts w:cs="Times New Roman"/>
          <w:szCs w:val="22"/>
        </w:rPr>
        <w:t xml:space="preserve">The information presented in </w:t>
      </w:r>
      <w:r>
        <w:rPr>
          <w:rFonts w:cs="Times New Roman"/>
          <w:caps/>
          <w:szCs w:val="22"/>
        </w:rPr>
        <w:t>APPENDIX</w:t>
      </w:r>
      <w:r>
        <w:rPr>
          <w:rFonts w:cs="Times New Roman"/>
          <w:szCs w:val="22"/>
        </w:rPr>
        <w:t xml:space="preserve"> A and APPENDIX B are inherently subject to variations between the assumptions and actual results and those variations could be material. See “—Development Not Assured,” “—Risks Related to Property Tax Revenue” and —Risks Related to Revenues Payable Under the Contract Fee Interlocal Agreement” above, and “FORWARD-LOOKING STATEMENTS.”</w:t>
      </w:r>
    </w:p>
    <w:p w14:paraId="24EA4AA6" w14:textId="102002E3" w:rsidR="00DA5978" w:rsidRPr="00DA2177" w:rsidRDefault="00DA5978" w:rsidP="00DA5978">
      <w:pPr>
        <w:pStyle w:val="00BodyText5"/>
        <w:rPr>
          <w:rFonts w:cs="Times New Roman"/>
          <w:szCs w:val="22"/>
        </w:rPr>
      </w:pPr>
      <w:r>
        <w:rPr>
          <w:rFonts w:cs="Times New Roman"/>
          <w:szCs w:val="22"/>
        </w:rPr>
        <w:t>The Financial Forecasts and the Market Study attached hereto as APPENDICES A and B, respectively, are an integral part of this Official Statement. Investors are encouraged to read the entire Official Statement, including the Financial Forecasts and the Market Study, to obtain information essential to the making of an informed investment decision.</w:t>
      </w:r>
      <w:r w:rsidR="002709A5">
        <w:rPr>
          <w:rFonts w:cs="Times New Roman"/>
          <w:szCs w:val="22"/>
        </w:rPr>
        <w:t xml:space="preserve"> [</w:t>
      </w:r>
      <w:r w:rsidR="002709A5" w:rsidRPr="002709A5">
        <w:rPr>
          <w:rFonts w:cs="Times New Roman"/>
          <w:szCs w:val="22"/>
          <w:highlight w:val="cyan"/>
        </w:rPr>
        <w:t>UPDATE UPON FINALIZATION</w:t>
      </w:r>
      <w:r w:rsidR="002709A5">
        <w:rPr>
          <w:rFonts w:cs="Times New Roman"/>
          <w:szCs w:val="22"/>
        </w:rPr>
        <w:t>]</w:t>
      </w:r>
    </w:p>
    <w:p w14:paraId="592653EF" w14:textId="1D3E40B8" w:rsidR="00DA5978" w:rsidRPr="00DA2177" w:rsidRDefault="00DA5978" w:rsidP="00B471D8">
      <w:pPr>
        <w:pStyle w:val="Heading2"/>
        <w:numPr>
          <w:ilvl w:val="1"/>
          <w:numId w:val="2"/>
        </w:numPr>
        <w:rPr>
          <w:rFonts w:eastAsia="Times New Roman"/>
          <w:sz w:val="22"/>
          <w:szCs w:val="22"/>
        </w:rPr>
      </w:pPr>
      <w:bookmarkStart w:id="90" w:name="_Toc14260979"/>
      <w:bookmarkStart w:id="91" w:name="_Toc235521051"/>
      <w:r>
        <w:rPr>
          <w:rFonts w:eastAsia="Times New Roman"/>
          <w:sz w:val="22"/>
          <w:szCs w:val="22"/>
        </w:rPr>
        <w:t>Private Interests</w:t>
      </w:r>
      <w:bookmarkEnd w:id="90"/>
      <w:r>
        <w:rPr>
          <w:rFonts w:eastAsia="Times New Roman"/>
          <w:sz w:val="22"/>
          <w:szCs w:val="22"/>
        </w:rPr>
        <w:t xml:space="preserve"> of Board of Trustees</w:t>
      </w:r>
      <w:bookmarkEnd w:id="91"/>
    </w:p>
    <w:p w14:paraId="2E6EE43F" w14:textId="2B3F5850" w:rsidR="00DA5978" w:rsidRPr="00DA2177" w:rsidRDefault="00DA5978" w:rsidP="00DA5978">
      <w:pPr>
        <w:pStyle w:val="00BodyText5"/>
        <w:rPr>
          <w:rFonts w:cs="Times New Roman"/>
          <w:szCs w:val="22"/>
        </w:rPr>
      </w:pPr>
      <w:r>
        <w:rPr>
          <w:rFonts w:cs="Times New Roman"/>
          <w:szCs w:val="22"/>
        </w:rPr>
        <w:t xml:space="preserve">According to disclosure statements executed by each director of the District’s Board prior to taking any official action relating to the Bonds, all of the directors have potential or existing personal or private interests relating to the issuance or delivery of the Bonds or the expenditure of the proceeds thereof because they are one or more of the following: an owner or principal in the Developer entity, an employee of or consultant for the Developer entity, an owner or employee of an affiliate of the Developer entity, or an owner of property located within the District. It is anticipated that a portion of the proceeds of the Bonds will be used to partially reimburse the Developer for amounts outstanding under an </w:t>
      </w:r>
      <w:bookmarkStart w:id="92" w:name="_Hlk94517718"/>
      <w:r>
        <w:rPr>
          <w:rFonts w:cs="Times New Roman"/>
          <w:szCs w:val="22"/>
        </w:rPr>
        <w:t xml:space="preserve">Infrastructure Acquisition and Reimbursement Agreement </w:t>
      </w:r>
      <w:bookmarkEnd w:id="92"/>
      <w:r>
        <w:rPr>
          <w:rFonts w:cs="Times New Roman"/>
          <w:szCs w:val="22"/>
        </w:rPr>
        <w:t>with the Developer. See “THE DISTRICT—Governing Board” and “—Agreements and Resolutions—</w:t>
      </w:r>
      <w:r>
        <w:rPr>
          <w:rFonts w:cs="Times New Roman"/>
          <w:i/>
          <w:szCs w:val="22"/>
        </w:rPr>
        <w:t>Infrastructure Acquisition and Reimbursement Agreement.</w:t>
      </w:r>
      <w:r>
        <w:rPr>
          <w:rFonts w:cs="Times New Roman"/>
          <w:szCs w:val="22"/>
        </w:rPr>
        <w:t>”</w:t>
      </w:r>
    </w:p>
    <w:p w14:paraId="2FAE423C" w14:textId="77777777" w:rsidR="00DA5978" w:rsidRPr="00DA2177" w:rsidRDefault="00DA5978" w:rsidP="00B471D8">
      <w:pPr>
        <w:pStyle w:val="Heading2"/>
        <w:numPr>
          <w:ilvl w:val="1"/>
          <w:numId w:val="2"/>
        </w:numPr>
        <w:rPr>
          <w:rFonts w:eastAsia="Times New Roman"/>
          <w:sz w:val="22"/>
          <w:szCs w:val="22"/>
        </w:rPr>
      </w:pPr>
      <w:bookmarkStart w:id="93" w:name="_Toc14260980"/>
      <w:bookmarkStart w:id="94" w:name="_Toc235521052"/>
      <w:r>
        <w:rPr>
          <w:rFonts w:eastAsia="Times New Roman"/>
          <w:sz w:val="22"/>
          <w:szCs w:val="22"/>
        </w:rPr>
        <w:t>Legal Constraints on District Operations</w:t>
      </w:r>
      <w:bookmarkEnd w:id="93"/>
      <w:bookmarkEnd w:id="94"/>
    </w:p>
    <w:p w14:paraId="4B2FD648" w14:textId="6D994FFD" w:rsidR="00DA5978" w:rsidRDefault="00DA5978" w:rsidP="00DA5978">
      <w:pPr>
        <w:pStyle w:val="00BodyText5"/>
        <w:rPr>
          <w:rFonts w:cs="Times New Roman"/>
          <w:szCs w:val="22"/>
        </w:rPr>
      </w:pPr>
      <w:r>
        <w:rPr>
          <w:rFonts w:cs="Times New Roman"/>
          <w:szCs w:val="22"/>
        </w:rPr>
        <w:t>Various State laws and constitutional provisions govern the assessment and collection of ad valorem property taxes; impose limitations on revenues and spending of the State and local governments, including the District; and limit fees and charges imposed by such entities. There can be no assurance that there will not be changes in interpretation of, or additions to, the applicable laws and provisions which would have a material adverse effect, directly or indirectly, on the affairs of the District, and, as a result, the ability of the District to generate the revenues required to pay, and apply such revenues to the payment of, the Bonds.</w:t>
      </w:r>
    </w:p>
    <w:p w14:paraId="24E08FBA" w14:textId="77777777" w:rsidR="0035557E" w:rsidRPr="00086B78" w:rsidRDefault="0035557E" w:rsidP="0035557E">
      <w:pPr>
        <w:pStyle w:val="Heading2"/>
        <w:numPr>
          <w:ilvl w:val="0"/>
          <w:numId w:val="0"/>
        </w:numPr>
        <w:rPr>
          <w:rFonts w:eastAsia="Times New Roman"/>
          <w:sz w:val="22"/>
          <w:szCs w:val="22"/>
        </w:rPr>
      </w:pPr>
      <w:bookmarkStart w:id="95" w:name="_Toc163075744"/>
      <w:bookmarkStart w:id="96" w:name="_Toc235521053"/>
      <w:r>
        <w:rPr>
          <w:rFonts w:eastAsia="Times New Roman"/>
          <w:sz w:val="22"/>
          <w:szCs w:val="22"/>
        </w:rPr>
        <w:t>Withholding of Revenues by State Auditor</w:t>
      </w:r>
      <w:bookmarkEnd w:id="95"/>
      <w:bookmarkEnd w:id="96"/>
    </w:p>
    <w:p w14:paraId="55F6AA4F" w14:textId="323F31AD" w:rsidR="0035557E" w:rsidRPr="0005379C" w:rsidRDefault="0035557E" w:rsidP="0035557E">
      <w:pPr>
        <w:spacing w:after="240"/>
        <w:ind w:firstLine="720"/>
        <w:jc w:val="both"/>
        <w:rPr>
          <w:sz w:val="22"/>
          <w:szCs w:val="22"/>
        </w:rPr>
      </w:pPr>
      <w:r>
        <w:rPr>
          <w:sz w:val="22"/>
        </w:rPr>
        <w:t>The Utah Code permits the auditor of the State (the “</w:t>
      </w:r>
      <w:r>
        <w:rPr>
          <w:b/>
          <w:bCs/>
          <w:sz w:val="22"/>
        </w:rPr>
        <w:t>State Auditor</w:t>
      </w:r>
      <w:r>
        <w:rPr>
          <w:sz w:val="22"/>
        </w:rPr>
        <w:t>”) to withhold State allocated funds or the disbursement of property taxes from a taxing entity (including the District), if necessary, to ensure that officials and employees of the taxing entity comply with State laws and procedures in the budgeting, expenditures, and financial reporting or to ensure the taxing entity registers and maintains its registration with the Lieutenant Governor’s Office of the State. The State Auditor may not withhold funds until the taxing entity has received formal written notice of noncompliance from the Auditor and has been given 60 days to make the specified corrections. If a taxing entity has not adopted a budget in compliance with State law, the State Auditor is required to provide the taxing entity notice of its failure to comply and may prohibit the taxing entity from accessing money held in an account of a financial institution by contacting the financial institution and requesting it prohibit the taxing entity’s access or by filing an action in district court requesting an order of the court to prohibit a financial institution from providing the taxing entity access to an account. The Utah Code requires the State Auditor to authorize disbursement to a taxing entity if the disbursement is necessary to avoid a major disruption in the operations of the taxing entity or to meet debt service obligations. Notwithstanding the foregoing, it is possible that a failure by the District to timely adopt budgets or otherwise comply with State laws could impact the District’s ability to receive and access funds of the District, including LT Pledged Revenues or SR Pledged Revenues, or timely pay debt service on the Bonds.</w:t>
      </w:r>
      <w:r w:rsidR="00361BA1">
        <w:rPr>
          <w:sz w:val="22"/>
        </w:rPr>
        <w:t xml:space="preserve"> </w:t>
      </w:r>
      <w:r w:rsidR="00361BA1" w:rsidRPr="00361BA1">
        <w:rPr>
          <w:sz w:val="22"/>
        </w:rPr>
        <w:t xml:space="preserve">The District adopted a </w:t>
      </w:r>
      <w:r w:rsidR="00361BA1">
        <w:rPr>
          <w:sz w:val="22"/>
        </w:rPr>
        <w:t>[</w:t>
      </w:r>
      <w:r w:rsidR="00361BA1" w:rsidRPr="00361BA1">
        <w:rPr>
          <w:sz w:val="22"/>
        </w:rPr>
        <w:t>tentative</w:t>
      </w:r>
      <w:r w:rsidR="00361BA1">
        <w:rPr>
          <w:sz w:val="22"/>
        </w:rPr>
        <w:t>][final]</w:t>
      </w:r>
      <w:r w:rsidR="00361BA1" w:rsidRPr="00361BA1">
        <w:rPr>
          <w:sz w:val="22"/>
        </w:rPr>
        <w:t xml:space="preserve"> budget on </w:t>
      </w:r>
      <w:r w:rsidR="00361BA1">
        <w:rPr>
          <w:sz w:val="22"/>
        </w:rPr>
        <w:t>[________]</w:t>
      </w:r>
      <w:r w:rsidR="00361BA1" w:rsidRPr="00361BA1">
        <w:rPr>
          <w:sz w:val="22"/>
        </w:rPr>
        <w:t xml:space="preserve">, 2026 </w:t>
      </w:r>
      <w:r w:rsidR="00361BA1">
        <w:rPr>
          <w:sz w:val="22"/>
        </w:rPr>
        <w:t>[</w:t>
      </w:r>
      <w:r w:rsidR="00361BA1" w:rsidRPr="00361BA1">
        <w:rPr>
          <w:sz w:val="22"/>
        </w:rPr>
        <w:t xml:space="preserve">and anticipates adopting a </w:t>
      </w:r>
      <w:r w:rsidR="00361BA1">
        <w:rPr>
          <w:sz w:val="22"/>
        </w:rPr>
        <w:t>[</w:t>
      </w:r>
      <w:r w:rsidR="00361BA1" w:rsidRPr="00361BA1">
        <w:rPr>
          <w:sz w:val="22"/>
        </w:rPr>
        <w:t>final</w:t>
      </w:r>
      <w:r w:rsidR="00361BA1">
        <w:rPr>
          <w:sz w:val="22"/>
        </w:rPr>
        <w:t>]</w:t>
      </w:r>
      <w:r w:rsidR="00361BA1" w:rsidRPr="00361BA1">
        <w:rPr>
          <w:sz w:val="22"/>
        </w:rPr>
        <w:t xml:space="preserve"> budget</w:t>
      </w:r>
      <w:r w:rsidR="00361BA1">
        <w:rPr>
          <w:sz w:val="22"/>
        </w:rPr>
        <w:t xml:space="preserve"> [amendment]</w:t>
      </w:r>
      <w:r w:rsidR="00361BA1" w:rsidRPr="00361BA1">
        <w:rPr>
          <w:sz w:val="22"/>
        </w:rPr>
        <w:t xml:space="preserve"> around the time of the issuance of the Bonds</w:t>
      </w:r>
      <w:r w:rsidR="00361BA1">
        <w:rPr>
          <w:sz w:val="22"/>
        </w:rPr>
        <w:t>.]</w:t>
      </w:r>
    </w:p>
    <w:p w14:paraId="053C63DF" w14:textId="77777777" w:rsidR="00DA5978" w:rsidRPr="00DA2177" w:rsidRDefault="00DA5978" w:rsidP="00B471D8">
      <w:pPr>
        <w:pStyle w:val="Heading2"/>
        <w:numPr>
          <w:ilvl w:val="1"/>
          <w:numId w:val="2"/>
        </w:numPr>
        <w:rPr>
          <w:rFonts w:eastAsia="Times New Roman"/>
          <w:sz w:val="22"/>
          <w:szCs w:val="22"/>
        </w:rPr>
      </w:pPr>
      <w:bookmarkStart w:id="97" w:name="_Toc14260983"/>
      <w:bookmarkStart w:id="98" w:name="_Toc235521054"/>
      <w:r>
        <w:rPr>
          <w:rFonts w:eastAsia="Times New Roman"/>
          <w:sz w:val="22"/>
          <w:szCs w:val="22"/>
        </w:rPr>
        <w:t>Enforceability of Bondholders’ Remedies upon Default</w:t>
      </w:r>
      <w:bookmarkEnd w:id="97"/>
      <w:bookmarkEnd w:id="98"/>
    </w:p>
    <w:p w14:paraId="570C15E0" w14:textId="77777777" w:rsidR="00425026" w:rsidRPr="00DA2177" w:rsidRDefault="00425026" w:rsidP="00425026">
      <w:pPr>
        <w:pStyle w:val="00BodyText5"/>
        <w:rPr>
          <w:rFonts w:cs="Times New Roman"/>
          <w:szCs w:val="22"/>
        </w:rPr>
      </w:pPr>
      <w:bookmarkStart w:id="99" w:name="_Toc14260985"/>
      <w:r>
        <w:rPr>
          <w:rFonts w:cs="Times New Roman"/>
          <w:szCs w:val="22"/>
        </w:rPr>
        <w:t xml:space="preserve">The remedies available to the owners of the Bonds upon a default are in many respects dependent upon judicial action, which is often subject to discretion and delay under existing constitutional law, statutory law, and judicial decisions, including specifically the federal Bankruptcy Code. </w:t>
      </w:r>
      <w:r>
        <w:rPr>
          <w:rFonts w:eastAsia="Calibri" w:cs="Times New Roman"/>
          <w:szCs w:val="22"/>
        </w:rPr>
        <w:t xml:space="preserve">Consequently, any enforcement proceedings may entail risks of delay, and/or limitation or modification of their rights as otherwise provided under the Indentures and the Bonds. </w:t>
      </w:r>
      <w:r>
        <w:rPr>
          <w:rFonts w:cs="Times New Roman"/>
          <w:szCs w:val="22"/>
        </w:rPr>
        <w:t>The legal opinions to be delivered concurrently with delivery of the Bonds will be qualified as to enforceability of the various legal instruments by limitations imposed by bankruptcy, reorganization, and insolvency or other similar laws affecting the rights of creditors generally, now or hereafter in effect; to usual equity principles which may limit the specific enforcement under State law of certain remedies; to the exercise by the United States of America of the powers delegated to it by the federal constitution; and to the reasonable and necessary exercise, in certain exceptional situations, of the police power inherent in the sovereignty of the State and its governmental bodies, in the interest of serving an important public purpose.</w:t>
      </w:r>
    </w:p>
    <w:p w14:paraId="7F28B0D8" w14:textId="77777777" w:rsidR="00DA5978" w:rsidRPr="00DA2177" w:rsidRDefault="00DA5978" w:rsidP="00B471D8">
      <w:pPr>
        <w:pStyle w:val="Heading2"/>
        <w:numPr>
          <w:ilvl w:val="1"/>
          <w:numId w:val="2"/>
        </w:numPr>
        <w:rPr>
          <w:rFonts w:eastAsia="Times New Roman"/>
          <w:sz w:val="22"/>
          <w:szCs w:val="22"/>
        </w:rPr>
      </w:pPr>
      <w:bookmarkStart w:id="100" w:name="_Toc24634325"/>
      <w:bookmarkStart w:id="101" w:name="_Toc235521055"/>
      <w:bookmarkEnd w:id="99"/>
      <w:r>
        <w:rPr>
          <w:rFonts w:eastAsia="Times New Roman"/>
          <w:sz w:val="22"/>
          <w:szCs w:val="22"/>
        </w:rPr>
        <w:t>Risk of Internal Revenue Service Audit</w:t>
      </w:r>
      <w:bookmarkEnd w:id="100"/>
      <w:bookmarkEnd w:id="101"/>
    </w:p>
    <w:p w14:paraId="789709F7" w14:textId="25DF7DE4" w:rsidR="00616834" w:rsidRPr="00DA2177" w:rsidRDefault="00616834" w:rsidP="00616834">
      <w:pPr>
        <w:pStyle w:val="00BodyText5"/>
        <w:rPr>
          <w:rFonts w:cs="Times New Roman"/>
          <w:szCs w:val="22"/>
        </w:rPr>
      </w:pPr>
      <w:bookmarkStart w:id="102" w:name="_Toc166306586"/>
      <w:r>
        <w:rPr>
          <w:rFonts w:cs="Times New Roman"/>
          <w:szCs w:val="22"/>
        </w:rPr>
        <w:t>The Internal Revenue Service (the “</w:t>
      </w:r>
      <w:r>
        <w:rPr>
          <w:rFonts w:cs="Times New Roman"/>
          <w:b/>
          <w:szCs w:val="22"/>
        </w:rPr>
        <w:t>Service</w:t>
      </w:r>
      <w:r>
        <w:rPr>
          <w:rFonts w:cs="Times New Roman"/>
          <w:szCs w:val="22"/>
        </w:rPr>
        <w:t xml:space="preserve">”) has a program of auditing tax-exempt bonds which can include those issued by special purpose governmental units, such as the District, for the purpose of determining whether the Service agrees (a) with the determination of Bond Counsel that interest on the Bonds is tax-exempt for federal income tax purposes or (b) that the District is in or remains in compliance with Service regulations and rulings applicable to governmental bonds such as the Bonds. The commencement of an audit of the Bonds could adversely affect the market value and liquidity of the Bonds, regardless of the final outcome. An adverse determination by the Service with respect to the tax-exempt status of interest on the Bonds could be expected to adversely impact the secondary market, if any, for the Bonds, and, if a secondary market exists, would also be expected to adversely impact the price at which the Bonds can be sold. The Indentures do not provide for any adjustment to the interest rates borne by the Bonds in the event of a change in the tax-exempt status of the Bonds. Owners of the Bonds should note that, if the Service audits the Bonds, under current audit procedures the Service will treat the District as the taxpayer during the initial stage of the audit, and the owners of the Bonds will have limited rights to participate in such procedures. There can be no assurance that the District will have revenues available to contest an adverse determination by the Service. No transaction participant, including none of the District, the Underwriter, or Bond Counsel is obligated to pay or reimburse the Owner of any Bond for audit or litigation costs in connection with any legal action, by the Service or otherwise, relating to the Bonds. </w:t>
      </w:r>
    </w:p>
    <w:p w14:paraId="5566372C" w14:textId="7A21EBEE" w:rsidR="00616834" w:rsidRDefault="00616834" w:rsidP="00616834">
      <w:pPr>
        <w:pStyle w:val="00BodyText5"/>
        <w:rPr>
          <w:rFonts w:cs="Times New Roman"/>
          <w:szCs w:val="22"/>
        </w:rPr>
      </w:pPr>
      <w:r>
        <w:rPr>
          <w:rFonts w:cs="Times New Roman"/>
          <w:szCs w:val="22"/>
        </w:rPr>
        <w:t>There can be no assurance that an audit by the Service of the Bonds will not be commenced. However, the District has no reason to believe that any such audit will be commenced, or that if commenced, an audit would result in a conclusion of noncompliance with any applicable Service regulation or ruling. No rulings have been or will be sought from the Service with respect to any federal tax matters relating to the issuance, purchase, ownership, receipt or accrual of interest upon, or disposition of, the Bonds. See also “TAX MATTERS” herein.</w:t>
      </w:r>
    </w:p>
    <w:p w14:paraId="722DC735" w14:textId="77777777" w:rsidR="00B61053" w:rsidRPr="00B61053" w:rsidRDefault="00B61053" w:rsidP="00B471D8">
      <w:pPr>
        <w:keepNext/>
        <w:numPr>
          <w:ilvl w:val="1"/>
          <w:numId w:val="2"/>
        </w:numPr>
        <w:spacing w:after="240"/>
        <w:jc w:val="both"/>
        <w:outlineLvl w:val="1"/>
        <w:rPr>
          <w:rFonts w:eastAsia="Times New Roman" w:cs="Times New Roman"/>
          <w:b/>
          <w:bCs/>
          <w:color w:val="000000"/>
          <w:sz w:val="22"/>
          <w:szCs w:val="26"/>
        </w:rPr>
      </w:pPr>
      <w:bookmarkStart w:id="103" w:name="_Toc100323923"/>
      <w:r>
        <w:rPr>
          <w:rFonts w:eastAsia="Times New Roman" w:cs="Times New Roman"/>
          <w:b/>
          <w:bCs/>
          <w:color w:val="000000"/>
          <w:sz w:val="22"/>
          <w:szCs w:val="26"/>
        </w:rPr>
        <w:t>Future Changes in Law</w:t>
      </w:r>
      <w:bookmarkEnd w:id="103"/>
    </w:p>
    <w:bookmarkEnd w:id="102"/>
    <w:p w14:paraId="66B5310F" w14:textId="6FB15D64" w:rsidR="00B61053" w:rsidRDefault="00B61053" w:rsidP="00B61053">
      <w:pPr>
        <w:pStyle w:val="00BodyText5"/>
      </w:pPr>
      <w:r>
        <w:rPr>
          <w:b/>
          <w:i/>
        </w:rPr>
        <w:t>General</w:t>
      </w:r>
      <w:r>
        <w:t>. Various State laws, constitutional provisions and federal laws and regulations apply to the obligations created by the issuance of the Bonds and various agreements described herein. There can be no assurance that there will not be any change in, interpretation of, or addition to the applicable laws and provisions which would have a material effect, directly or indirectly, on the affairs of the District or the Developer.</w:t>
      </w:r>
    </w:p>
    <w:p w14:paraId="5027FD4A" w14:textId="6916302B" w:rsidR="00B61053" w:rsidRDefault="00B61053" w:rsidP="00B61053">
      <w:pPr>
        <w:pStyle w:val="00BodyText5"/>
      </w:pPr>
      <w:r>
        <w:rPr>
          <w:b/>
          <w:i/>
        </w:rPr>
        <w:t>Changes in Federal and State Tax Law</w:t>
      </w:r>
      <w:r>
        <w:t>. From time to time, there are Presidential proposals, proposals of various federal committees, and legislative proposals in the Congress and in the states that, if enacted, could alter or amend the federal and state tax matters referred to herein or adversely affect the marketability or market value of the Bonds or otherwise prevent holders of the Bonds from realizing the full benefit of the tax exemption of interest on the Bonds. Further, such proposals may impact the marketability or market value of the Bonds simply by being proposed. It cannot be predicted whether or in what form any such proposal might be enacted or whether if enacted it would apply to bonds issued prior to enactment. In addition, regulatory actions are from time to time announced or proposed and litigation is threatened or commenced which, if implemented or concluded in a particular manner, could adversely affect the market value, marketability or tax status of the Bonds. It cannot be predicted whether any such regulatory action will be implemented, how any particular litigation or judicial action will be resolved, or whether the Bonds would be impacted thereby.</w:t>
      </w:r>
    </w:p>
    <w:p w14:paraId="1342DBAF" w14:textId="06F277EF" w:rsidR="0093475E" w:rsidRPr="00F374A0" w:rsidRDefault="0093475E" w:rsidP="00B61053">
      <w:pPr>
        <w:pStyle w:val="00BodyText5"/>
      </w:pPr>
      <w:r>
        <w:t>Purchasers of the Bonds should consult their tax advisors regarding any pending or proposed legislation, regulatory initiatives or litigation.</w:t>
      </w:r>
    </w:p>
    <w:p w14:paraId="3C986BF2" w14:textId="08C4092C" w:rsidR="00DA5978" w:rsidRPr="00DA2177" w:rsidRDefault="00DA5978" w:rsidP="00790EE8">
      <w:pPr>
        <w:pStyle w:val="Heading2"/>
        <w:rPr>
          <w:rFonts w:eastAsia="Times New Roman"/>
          <w:sz w:val="22"/>
          <w:szCs w:val="22"/>
        </w:rPr>
      </w:pPr>
      <w:bookmarkStart w:id="104" w:name="_Toc235521056"/>
      <w:r>
        <w:rPr>
          <w:rFonts w:eastAsia="Times New Roman"/>
          <w:sz w:val="22"/>
          <w:szCs w:val="22"/>
        </w:rPr>
        <w:t>Offering; Restrictions on Purchase; Investor Suitability</w:t>
      </w:r>
      <w:bookmarkEnd w:id="104"/>
    </w:p>
    <w:p w14:paraId="3E71F962" w14:textId="39C3E95F" w:rsidR="00DA5978" w:rsidRPr="00DA2177" w:rsidRDefault="00DA5978" w:rsidP="00FB7974">
      <w:pPr>
        <w:pStyle w:val="00BodyText5"/>
        <w:rPr>
          <w:rFonts w:cs="Times New Roman"/>
          <w:szCs w:val="22"/>
        </w:rPr>
      </w:pPr>
      <w:r>
        <w:rPr>
          <w:rFonts w:cs="Times New Roman"/>
          <w:szCs w:val="22"/>
        </w:rPr>
        <w:t xml:space="preserve">Each initial purchaser of the Bonds represents that it is (i) a “qualified institutional buyer” (as defined in Rule 144A under the Securities Act) or (ii) an “accredited investor” (as defined in Rule 501 of Regulation D under the Securities Act). </w:t>
      </w:r>
    </w:p>
    <w:p w14:paraId="3578EF9B" w14:textId="3959DC98" w:rsidR="00DA5978" w:rsidRPr="00DA2177" w:rsidRDefault="00DA5978" w:rsidP="00DA5978">
      <w:pPr>
        <w:pStyle w:val="00BodyText5"/>
        <w:rPr>
          <w:rFonts w:cs="Times New Roman"/>
          <w:b/>
          <w:szCs w:val="22"/>
        </w:rPr>
      </w:pPr>
      <w:r>
        <w:rPr>
          <w:rFonts w:cs="Times New Roman"/>
          <w:b/>
          <w:szCs w:val="22"/>
        </w:rPr>
        <w:t>The foregoing standards are minimum requirements for prospective purchasers of the Bonds. The satisfaction of such standards does not necessarily mean that the Bonds are a suitable investment for a prospective investor. Accordingly, each prospective investor is urged to consult with its own legal, tax and financial advisors to determine whether an investment in the Bonds is appropriate in light of its individual legal, tax, and financial situation.</w:t>
      </w:r>
    </w:p>
    <w:p w14:paraId="6517878B" w14:textId="4B0851FF" w:rsidR="00E24236" w:rsidRPr="00DA2177" w:rsidRDefault="00E24236" w:rsidP="00B471D8">
      <w:pPr>
        <w:pStyle w:val="Heading2"/>
        <w:numPr>
          <w:ilvl w:val="1"/>
          <w:numId w:val="2"/>
        </w:numPr>
        <w:rPr>
          <w:rFonts w:eastAsia="Times New Roman"/>
          <w:sz w:val="22"/>
          <w:szCs w:val="22"/>
        </w:rPr>
      </w:pPr>
      <w:bookmarkStart w:id="105" w:name="_Toc235521057"/>
      <w:r>
        <w:rPr>
          <w:rFonts w:eastAsia="Times New Roman"/>
          <w:sz w:val="22"/>
          <w:szCs w:val="22"/>
        </w:rPr>
        <w:t>Limitation on Administrative Expenses</w:t>
      </w:r>
      <w:bookmarkEnd w:id="105"/>
    </w:p>
    <w:p w14:paraId="6B89E132" w14:textId="507C4978" w:rsidR="00595BAB" w:rsidRPr="007A71AD" w:rsidRDefault="007F7C27" w:rsidP="007A71AD">
      <w:pPr>
        <w:pStyle w:val="00BodyText5"/>
        <w:rPr>
          <w:rFonts w:cs="Times New Roman"/>
          <w:bCs/>
          <w:szCs w:val="22"/>
        </w:rPr>
      </w:pPr>
      <w:r>
        <w:rPr>
          <w:rFonts w:cs="Times New Roman"/>
          <w:szCs w:val="22"/>
        </w:rPr>
        <w:t xml:space="preserve">The Governing Document limits the District’s imposition of ad valorem property taxes for all purposes to </w:t>
      </w:r>
      <w:r w:rsidR="00DA3361">
        <w:rPr>
          <w:rFonts w:cs="Times New Roman"/>
          <w:szCs w:val="22"/>
        </w:rPr>
        <w:t>0.004</w:t>
      </w:r>
      <w:r>
        <w:rPr>
          <w:rFonts w:cs="Times New Roman"/>
          <w:szCs w:val="22"/>
        </w:rPr>
        <w:t xml:space="preserve"> per dollar of taxable value </w:t>
      </w:r>
      <w:r>
        <w:rPr>
          <w:rFonts w:cs="Times New Roman"/>
          <w:bCs/>
          <w:szCs w:val="22"/>
        </w:rPr>
        <w:t>(the “</w:t>
      </w:r>
      <w:r>
        <w:rPr>
          <w:rFonts w:cs="Times New Roman"/>
          <w:b/>
          <w:bCs/>
          <w:szCs w:val="22"/>
        </w:rPr>
        <w:t>Maximum Debt Mill Levy</w:t>
      </w:r>
      <w:r>
        <w:rPr>
          <w:rFonts w:cs="Times New Roman"/>
          <w:bCs/>
          <w:szCs w:val="22"/>
        </w:rPr>
        <w:t xml:space="preserve">”), which is also the maximum tax rate set forth in the definitions of </w:t>
      </w:r>
      <w:r w:rsidR="000F65D0">
        <w:rPr>
          <w:rFonts w:cs="Times New Roman"/>
          <w:bCs/>
          <w:szCs w:val="22"/>
        </w:rPr>
        <w:t xml:space="preserve">Senior </w:t>
      </w:r>
      <w:r>
        <w:rPr>
          <w:rFonts w:cs="Times New Roman"/>
          <w:bCs/>
          <w:szCs w:val="22"/>
        </w:rPr>
        <w:t xml:space="preserve">Required Mill Levy </w:t>
      </w:r>
      <w:r w:rsidR="00FE5454">
        <w:rPr>
          <w:rFonts w:cs="Times New Roman"/>
          <w:bCs/>
          <w:szCs w:val="22"/>
        </w:rPr>
        <w:t xml:space="preserve">and Subordinate Required Mill Levy </w:t>
      </w:r>
      <w:r>
        <w:rPr>
          <w:rFonts w:cs="Times New Roman"/>
          <w:bCs/>
          <w:szCs w:val="22"/>
        </w:rPr>
        <w:t>set forth herein</w:t>
      </w:r>
      <w:r>
        <w:rPr>
          <w:rFonts w:cs="Times New Roman"/>
          <w:szCs w:val="22"/>
        </w:rPr>
        <w:t xml:space="preserve">. See “THE DISTRICT—Governing Document Authorizations and Limitations.” </w:t>
      </w:r>
      <w:r w:rsidR="00FE5454" w:rsidRPr="00FE5454">
        <w:rPr>
          <w:rFonts w:cs="Times New Roman"/>
          <w:bCs/>
          <w:szCs w:val="22"/>
        </w:rPr>
        <w:t>Pursuant to the LT Indentures, the District first applies Senior LT Pledged Revenues and Subordinate LT Pledged Revenues (to the extent not paid through the Senior LT Pledged Revenues), as applicable, to pay for Administrative Expenses of the District</w:t>
      </w:r>
      <w:r w:rsidR="00FE5454">
        <w:rPr>
          <w:rFonts w:cs="Times New Roman"/>
          <w:bCs/>
          <w:szCs w:val="22"/>
        </w:rPr>
        <w:t>.</w:t>
      </w:r>
      <w:r w:rsidR="00FE5454">
        <w:rPr>
          <w:rFonts w:cs="Times New Roman"/>
          <w:szCs w:val="22"/>
        </w:rPr>
        <w:t xml:space="preserve"> </w:t>
      </w:r>
      <w:r w:rsidR="00800756" w:rsidRPr="00800756">
        <w:rPr>
          <w:rFonts w:cs="Times New Roman"/>
          <w:bCs/>
          <w:szCs w:val="22"/>
        </w:rPr>
        <w:t>Administrative Expenses are limited (i) in calendar year 2026 to the amount of $50,000, and (ii) for each calendar year thereafter, an additional 2%</w:t>
      </w:r>
      <w:r>
        <w:rPr>
          <w:rFonts w:cs="Times New Roman"/>
          <w:szCs w:val="22"/>
        </w:rPr>
        <w:t>.</w:t>
      </w:r>
      <w:r>
        <w:rPr>
          <w:rFonts w:cs="Times New Roman"/>
          <w:bCs/>
          <w:szCs w:val="22"/>
        </w:rPr>
        <w:t xml:space="preserve"> </w:t>
      </w:r>
      <w:r w:rsidR="00800756" w:rsidRPr="00800756">
        <w:rPr>
          <w:rFonts w:cs="Times New Roman"/>
          <w:bCs/>
          <w:szCs w:val="22"/>
        </w:rPr>
        <w:t xml:space="preserve">Therefore, for so long as the </w:t>
      </w:r>
      <w:r w:rsidR="005C7909">
        <w:rPr>
          <w:rFonts w:cs="Times New Roman"/>
          <w:bCs/>
          <w:szCs w:val="22"/>
        </w:rPr>
        <w:t xml:space="preserve">LT </w:t>
      </w:r>
      <w:r w:rsidR="00800756" w:rsidRPr="00800756">
        <w:rPr>
          <w:rFonts w:cs="Times New Roman"/>
          <w:bCs/>
          <w:szCs w:val="22"/>
        </w:rPr>
        <w:t>Bonds are Outstanding, it is not anticipated that the District will be able to impose ad valorem property taxes to fund Administrative Expenses in excess of such limitation.</w:t>
      </w:r>
      <w:r w:rsidR="007A71AD">
        <w:rPr>
          <w:rFonts w:cs="Times New Roman"/>
          <w:bCs/>
          <w:szCs w:val="22"/>
        </w:rPr>
        <w:t xml:space="preserve"> </w:t>
      </w:r>
      <w:r w:rsidR="00595BAB">
        <w:rPr>
          <w:rFonts w:cs="Times New Roman"/>
          <w:szCs w:val="22"/>
        </w:rPr>
        <w:t>Pursuant to the SR Indenture, i</w:t>
      </w:r>
      <w:r>
        <w:rPr>
          <w:rFonts w:cs="Times New Roman"/>
          <w:szCs w:val="22"/>
        </w:rPr>
        <w:t>n the event there are no revenues available to pay Administrative Expenses under the LT Indenture</w:t>
      </w:r>
      <w:r w:rsidR="00800756">
        <w:rPr>
          <w:rFonts w:cs="Times New Roman"/>
          <w:szCs w:val="22"/>
        </w:rPr>
        <w:t>s</w:t>
      </w:r>
      <w:r>
        <w:rPr>
          <w:rFonts w:cs="Times New Roman"/>
          <w:szCs w:val="22"/>
        </w:rPr>
        <w:t xml:space="preserve">, </w:t>
      </w:r>
      <w:r w:rsidR="00595BAB">
        <w:rPr>
          <w:rFonts w:cs="Times New Roman"/>
          <w:szCs w:val="22"/>
        </w:rPr>
        <w:t xml:space="preserve">the District first applies SR Pledged Revenues to pay for Administrative Expenses of the District. </w:t>
      </w:r>
    </w:p>
    <w:p w14:paraId="268329A0" w14:textId="6B9508B5" w:rsidR="00E9264E" w:rsidRPr="00361BA1" w:rsidRDefault="00FF1771" w:rsidP="00361BA1">
      <w:pPr>
        <w:pStyle w:val="00BodyText5"/>
        <w:rPr>
          <w:rFonts w:cs="Times New Roman"/>
          <w:szCs w:val="22"/>
        </w:rPr>
      </w:pPr>
      <w:r w:rsidRPr="00B96B68">
        <w:rPr>
          <w:rFonts w:eastAsia="Calibri" w:cs="Times New Roman"/>
          <w:bCs/>
          <w:szCs w:val="22"/>
        </w:rPr>
        <w:t>The District will utilize the LT Working Capital Fund to pay Administrative Expenses through [</w:t>
      </w:r>
      <w:r>
        <w:rPr>
          <w:rFonts w:eastAsia="Calibri" w:cs="Times New Roman"/>
          <w:bCs/>
          <w:szCs w:val="22"/>
        </w:rPr>
        <w:t>_____]</w:t>
      </w:r>
      <w:r w:rsidRPr="00B96B68">
        <w:rPr>
          <w:rFonts w:eastAsia="Calibri" w:cs="Times New Roman"/>
          <w:bCs/>
          <w:szCs w:val="22"/>
        </w:rPr>
        <w:t xml:space="preserve"> 1, 202[_].</w:t>
      </w:r>
      <w:r>
        <w:rPr>
          <w:rFonts w:eastAsia="Calibri" w:cs="Times New Roman"/>
          <w:bCs/>
          <w:szCs w:val="22"/>
        </w:rPr>
        <w:t xml:space="preserve"> </w:t>
      </w:r>
      <w:r w:rsidR="00E9264E" w:rsidRPr="00361BA1">
        <w:rPr>
          <w:rFonts w:cs="Times New Roman"/>
          <w:szCs w:val="22"/>
        </w:rPr>
        <w:t xml:space="preserve">The District has entered into the Administration Funding Agreement (defined herein) with the Developer, but the obligation of the Developer to advance funds thereunder for Administrative Expenses is anticipated to terminate on [__________], 20[__] and there can be no assurance that the Developer will fund Administrative Expenses after such date. </w:t>
      </w:r>
      <w:r w:rsidR="00361BA1" w:rsidRPr="00361BA1">
        <w:rPr>
          <w:rFonts w:cs="Times New Roman"/>
          <w:szCs w:val="22"/>
        </w:rPr>
        <w:t>In the event the then applicable limit is not enough to cover Administrative Expenses for a given year, there can be no assurance that the District would have adequate financial resources to pay such excess costs.</w:t>
      </w:r>
      <w:r w:rsidR="00361BA1">
        <w:rPr>
          <w:rFonts w:cs="Times New Roman"/>
          <w:szCs w:val="22"/>
        </w:rPr>
        <w:t xml:space="preserve"> </w:t>
      </w:r>
      <w:r w:rsidR="00E9264E">
        <w:rPr>
          <w:rFonts w:cs="Times New Roman"/>
          <w:bCs/>
          <w:szCs w:val="22"/>
        </w:rPr>
        <w:t>See “THE DISTRICT</w:t>
      </w:r>
      <w:r w:rsidR="00E9264E">
        <w:rPr>
          <w:rFonts w:cs="Times New Roman"/>
          <w:szCs w:val="22"/>
        </w:rPr>
        <w:t>—Agreements and Resolutions—</w:t>
      </w:r>
      <w:r w:rsidR="00E9264E">
        <w:rPr>
          <w:rFonts w:cs="Times New Roman"/>
          <w:i/>
          <w:iCs/>
          <w:szCs w:val="22"/>
        </w:rPr>
        <w:t>Administration Funding Agreement</w:t>
      </w:r>
      <w:r w:rsidR="00E9264E">
        <w:rPr>
          <w:rFonts w:cs="Times New Roman"/>
          <w:iCs/>
          <w:szCs w:val="22"/>
        </w:rPr>
        <w:t>.”</w:t>
      </w:r>
    </w:p>
    <w:p w14:paraId="5ACA843F" w14:textId="110AE6AB" w:rsidR="00361BA1" w:rsidRPr="00361BA1" w:rsidRDefault="00361BA1" w:rsidP="00361BA1">
      <w:pPr>
        <w:pStyle w:val="00BodyText5"/>
        <w:rPr>
          <w:rFonts w:cs="Times New Roman"/>
          <w:szCs w:val="22"/>
        </w:rPr>
      </w:pPr>
      <w:r w:rsidRPr="00361BA1">
        <w:rPr>
          <w:rFonts w:cs="Times New Roman"/>
          <w:szCs w:val="22"/>
        </w:rPr>
        <w:t xml:space="preserve">As referenced above, the Administrative Expenses of the District are payable from the </w:t>
      </w:r>
      <w:r w:rsidR="000F65D0">
        <w:rPr>
          <w:rFonts w:cs="Times New Roman"/>
          <w:szCs w:val="22"/>
        </w:rPr>
        <w:t xml:space="preserve">Senior </w:t>
      </w:r>
      <w:r>
        <w:rPr>
          <w:rFonts w:cs="Times New Roman"/>
          <w:szCs w:val="22"/>
        </w:rPr>
        <w:t>LT</w:t>
      </w:r>
      <w:r w:rsidRPr="00361BA1">
        <w:rPr>
          <w:rFonts w:cs="Times New Roman"/>
          <w:szCs w:val="22"/>
        </w:rPr>
        <w:t xml:space="preserve"> Pledged Revenues</w:t>
      </w:r>
      <w:r w:rsidR="00595BAB">
        <w:rPr>
          <w:rFonts w:cs="Times New Roman"/>
          <w:szCs w:val="22"/>
        </w:rPr>
        <w:t xml:space="preserve"> and Subordinate LT Pledged Revenues</w:t>
      </w:r>
      <w:r w:rsidRPr="00361BA1">
        <w:rPr>
          <w:rFonts w:cs="Times New Roman"/>
          <w:szCs w:val="22"/>
        </w:rPr>
        <w:t xml:space="preserve">, subject to the limitations set forth in the </w:t>
      </w:r>
      <w:r>
        <w:rPr>
          <w:rFonts w:cs="Times New Roman"/>
          <w:szCs w:val="22"/>
        </w:rPr>
        <w:t xml:space="preserve">LT </w:t>
      </w:r>
      <w:r w:rsidRPr="00361BA1">
        <w:rPr>
          <w:rFonts w:cs="Times New Roman"/>
          <w:szCs w:val="22"/>
        </w:rPr>
        <w:t>Indenture</w:t>
      </w:r>
      <w:r w:rsidR="00595BAB">
        <w:rPr>
          <w:rFonts w:cs="Times New Roman"/>
          <w:szCs w:val="22"/>
        </w:rPr>
        <w:t>s</w:t>
      </w:r>
      <w:r w:rsidRPr="00361BA1">
        <w:rPr>
          <w:rFonts w:cs="Times New Roman"/>
          <w:szCs w:val="22"/>
        </w:rPr>
        <w:t xml:space="preserve">. Accordingly, for any year in which Administrative Expenses equal or exceed the total </w:t>
      </w:r>
      <w:r w:rsidR="000F65D0">
        <w:rPr>
          <w:rFonts w:cs="Times New Roman"/>
          <w:szCs w:val="22"/>
        </w:rPr>
        <w:t xml:space="preserve">Senior </w:t>
      </w:r>
      <w:r>
        <w:rPr>
          <w:rFonts w:cs="Times New Roman"/>
          <w:szCs w:val="22"/>
        </w:rPr>
        <w:t>LT</w:t>
      </w:r>
      <w:r w:rsidRPr="00361BA1">
        <w:rPr>
          <w:rFonts w:cs="Times New Roman"/>
          <w:szCs w:val="22"/>
        </w:rPr>
        <w:t xml:space="preserve"> Pledged Revenues</w:t>
      </w:r>
      <w:r w:rsidR="00595BAB">
        <w:rPr>
          <w:rFonts w:cs="Times New Roman"/>
          <w:szCs w:val="22"/>
        </w:rPr>
        <w:t xml:space="preserve"> and Subordinate LT Pledged Revenues</w:t>
      </w:r>
      <w:r w:rsidRPr="00361BA1">
        <w:rPr>
          <w:rFonts w:cs="Times New Roman"/>
          <w:szCs w:val="22"/>
        </w:rPr>
        <w:t xml:space="preserve">, no </w:t>
      </w:r>
      <w:r w:rsidR="000F65D0">
        <w:rPr>
          <w:rFonts w:cs="Times New Roman"/>
          <w:szCs w:val="22"/>
        </w:rPr>
        <w:t xml:space="preserve">Senior </w:t>
      </w:r>
      <w:r>
        <w:rPr>
          <w:rFonts w:cs="Times New Roman"/>
          <w:szCs w:val="22"/>
        </w:rPr>
        <w:t>LT</w:t>
      </w:r>
      <w:r w:rsidRPr="00361BA1">
        <w:rPr>
          <w:rFonts w:cs="Times New Roman"/>
          <w:szCs w:val="22"/>
        </w:rPr>
        <w:t xml:space="preserve"> Pledged Revenues</w:t>
      </w:r>
      <w:r w:rsidR="00595BAB">
        <w:rPr>
          <w:rFonts w:cs="Times New Roman"/>
          <w:szCs w:val="22"/>
        </w:rPr>
        <w:t xml:space="preserve"> or Subordinate LT Pledged Revenues</w:t>
      </w:r>
      <w:r w:rsidRPr="00361BA1">
        <w:rPr>
          <w:rFonts w:cs="Times New Roman"/>
          <w:szCs w:val="22"/>
        </w:rPr>
        <w:t xml:space="preserve"> will be available for payment of the </w:t>
      </w:r>
      <w:r w:rsidR="00787226">
        <w:rPr>
          <w:rFonts w:cs="Times New Roman"/>
          <w:szCs w:val="22"/>
        </w:rPr>
        <w:t>LT Bond</w:t>
      </w:r>
      <w:r w:rsidRPr="00361BA1">
        <w:rPr>
          <w:rFonts w:cs="Times New Roman"/>
          <w:szCs w:val="22"/>
        </w:rPr>
        <w:t>s.</w:t>
      </w:r>
    </w:p>
    <w:p w14:paraId="15C068F4" w14:textId="77777777" w:rsidR="00E9264E" w:rsidRPr="00DA2177" w:rsidRDefault="00E9264E" w:rsidP="00E9264E">
      <w:pPr>
        <w:pStyle w:val="00BodyText5"/>
        <w:rPr>
          <w:rFonts w:cs="Times New Roman"/>
          <w:bCs/>
          <w:szCs w:val="22"/>
        </w:rPr>
      </w:pPr>
      <w:r>
        <w:rPr>
          <w:rFonts w:cs="Times New Roman"/>
          <w:bCs/>
          <w:szCs w:val="22"/>
        </w:rPr>
        <w:t>No assurance is provided, however, that the foregoing will be sufficient to cover operations and administrative expenses of the District for a given year and no assurance is provided that the District would have adequate financial resources to pay such excess costs.</w:t>
      </w:r>
    </w:p>
    <w:p w14:paraId="5E6F73BC" w14:textId="77777777" w:rsidR="00DA5978" w:rsidRPr="00DA2177" w:rsidRDefault="00DA5978" w:rsidP="00B471D8">
      <w:pPr>
        <w:pStyle w:val="Heading2"/>
        <w:numPr>
          <w:ilvl w:val="1"/>
          <w:numId w:val="2"/>
        </w:numPr>
        <w:rPr>
          <w:rFonts w:eastAsia="Times New Roman"/>
          <w:sz w:val="22"/>
          <w:szCs w:val="22"/>
        </w:rPr>
      </w:pPr>
      <w:bookmarkStart w:id="106" w:name="_Toc235521058"/>
      <w:r>
        <w:rPr>
          <w:rFonts w:eastAsia="Times New Roman"/>
          <w:sz w:val="22"/>
          <w:szCs w:val="22"/>
        </w:rPr>
        <w:t>Restrictions on Transferability</w:t>
      </w:r>
      <w:bookmarkEnd w:id="106"/>
    </w:p>
    <w:p w14:paraId="74B7CCC2" w14:textId="1B568611" w:rsidR="00DA5978" w:rsidRPr="00DA2177" w:rsidRDefault="00DA5978" w:rsidP="00DA5978">
      <w:pPr>
        <w:pStyle w:val="00BodyText5"/>
        <w:rPr>
          <w:rFonts w:cs="Times New Roman"/>
          <w:szCs w:val="22"/>
        </w:rPr>
      </w:pPr>
      <w:r>
        <w:rPr>
          <w:rFonts w:cs="Times New Roman"/>
          <w:b/>
          <w:szCs w:val="22"/>
        </w:rPr>
        <w:t xml:space="preserve">By their acceptance of the Bonds, each Owner acknowledges that such Bonds may be sold, transferred or otherwise disposed of only in minimum denominations of $500,000 and any integral multiple of $1,000 in excess thereof, except as otherwise provided in the applicable Indenture. </w:t>
      </w:r>
      <w:r>
        <w:rPr>
          <w:rFonts w:cs="Times New Roman"/>
          <w:szCs w:val="22"/>
        </w:rPr>
        <w:t xml:space="preserve">See </w:t>
      </w:r>
      <w:r w:rsidR="00434B32" w:rsidRPr="00434B32">
        <w:rPr>
          <w:rFonts w:cs="Times New Roman"/>
          <w:szCs w:val="22"/>
        </w:rPr>
        <w:t xml:space="preserve">“THE 2026A-1 SENIOR LT BONDS—Authorized Denominations of the 2026A-1 SENIOR LT BONDS,” “THE 2026A-2 SR </w:t>
      </w:r>
      <w:r w:rsidR="005C7909">
        <w:rPr>
          <w:rFonts w:cs="Times New Roman"/>
          <w:szCs w:val="22"/>
        </w:rPr>
        <w:t>BONDS</w:t>
      </w:r>
      <w:r w:rsidR="00434B32" w:rsidRPr="00434B32">
        <w:rPr>
          <w:rFonts w:cs="Times New Roman"/>
          <w:szCs w:val="22"/>
        </w:rPr>
        <w:t>—Form, Denomination and Registration,” and “THE 2026B SUBORDINATE LT BONDS—Authorized Denominations of the 2026B Subordinate LT Bonds.”</w:t>
      </w:r>
    </w:p>
    <w:p w14:paraId="504C4873" w14:textId="6CBD197E" w:rsidR="00FB7ADF" w:rsidRPr="00DA2177" w:rsidRDefault="00FB7ADF" w:rsidP="00FB7ADF">
      <w:pPr>
        <w:pStyle w:val="00BodyText5"/>
        <w:rPr>
          <w:rFonts w:cs="Times New Roman"/>
          <w:szCs w:val="22"/>
        </w:rPr>
      </w:pPr>
      <w:r>
        <w:rPr>
          <w:rFonts w:cs="Times New Roman"/>
          <w:szCs w:val="22"/>
        </w:rPr>
        <w:t>Each subsequent transferee of the Bonds will be deemed to have represented and warranted as follows: Each subsequent purchaser of a Bond (i) is a “qualified institutional buyer” within the meaning of Rule 144A of the Securities Act or an accredited investor and (ii) is acquiring such Bond for its own account or for the account of a “qualified institutional buyer” within the meaning of Rule 144A of the Securities Act or an accredited investor, as the case may be, and not with a view to further distribution thereof but expressly reserves the right to re-sell the Bond.</w:t>
      </w:r>
    </w:p>
    <w:p w14:paraId="0CE1720A" w14:textId="50E221EA" w:rsidR="00216E00" w:rsidRPr="00DA2177" w:rsidRDefault="00216E00" w:rsidP="00B471D8">
      <w:pPr>
        <w:pStyle w:val="Heading2"/>
        <w:numPr>
          <w:ilvl w:val="1"/>
          <w:numId w:val="2"/>
        </w:numPr>
        <w:rPr>
          <w:rFonts w:eastAsia="Times New Roman"/>
          <w:sz w:val="22"/>
          <w:szCs w:val="22"/>
        </w:rPr>
      </w:pPr>
      <w:bookmarkStart w:id="107" w:name="_Toc235521059"/>
      <w:r>
        <w:rPr>
          <w:rFonts w:eastAsia="Times New Roman"/>
          <w:sz w:val="22"/>
          <w:szCs w:val="22"/>
        </w:rPr>
        <w:t>Limited Operating History</w:t>
      </w:r>
      <w:bookmarkEnd w:id="107"/>
    </w:p>
    <w:p w14:paraId="0E3BE514" w14:textId="4F7BEBEF" w:rsidR="00216E00" w:rsidRPr="00DA2177" w:rsidRDefault="00216E00" w:rsidP="00216E00">
      <w:pPr>
        <w:pStyle w:val="00BodyText1"/>
        <w:ind w:firstLine="720"/>
        <w:jc w:val="both"/>
        <w:rPr>
          <w:rFonts w:cs="Times New Roman"/>
          <w:sz w:val="22"/>
          <w:szCs w:val="22"/>
        </w:rPr>
      </w:pPr>
      <w:r>
        <w:rPr>
          <w:rFonts w:cs="Times New Roman"/>
          <w:sz w:val="22"/>
          <w:szCs w:val="22"/>
        </w:rPr>
        <w:t>The District was incorporated on October 21, 2021. As of the 202[_] tax year, property within the District was assigned a taxable value of $[_______]. Until the District’s assessed valuation increases to sufficient levels to generate tax revenues to pay operational and debt service expenses, which is not guaranteed to occur, the District expects to pay its operational expenses from advances made by the Developer under the Administration Funding Agreement (see “THE DISTRICT—Agreements and Resolutions—</w:t>
      </w:r>
      <w:r>
        <w:rPr>
          <w:rFonts w:cs="Times New Roman"/>
          <w:i/>
          <w:iCs/>
          <w:sz w:val="22"/>
          <w:szCs w:val="22"/>
        </w:rPr>
        <w:t>Administration Funding Agreement</w:t>
      </w:r>
      <w:r>
        <w:rPr>
          <w:rFonts w:cs="Times New Roman"/>
          <w:sz w:val="22"/>
          <w:szCs w:val="22"/>
        </w:rPr>
        <w:t xml:space="preserve">”). In addition, a portion of the interest on the </w:t>
      </w:r>
      <w:r w:rsidR="00787226">
        <w:rPr>
          <w:rFonts w:cs="Times New Roman"/>
          <w:sz w:val="22"/>
          <w:szCs w:val="22"/>
        </w:rPr>
        <w:t>2026A-1 Senior LT Bond</w:t>
      </w:r>
      <w:r>
        <w:rPr>
          <w:rFonts w:cs="Times New Roman"/>
          <w:sz w:val="22"/>
          <w:szCs w:val="22"/>
        </w:rPr>
        <w:t xml:space="preserve">s will be paid from capitalized interest to be funded with proceeds of the </w:t>
      </w:r>
      <w:r w:rsidR="00787226">
        <w:rPr>
          <w:rFonts w:cs="Times New Roman"/>
          <w:sz w:val="22"/>
          <w:szCs w:val="22"/>
        </w:rPr>
        <w:t>2026A-1 Senior LT Bond</w:t>
      </w:r>
      <w:r>
        <w:rPr>
          <w:rFonts w:cs="Times New Roman"/>
          <w:sz w:val="22"/>
          <w:szCs w:val="22"/>
        </w:rPr>
        <w:t>s in the amount of $[_______]</w:t>
      </w:r>
      <w:r>
        <w:rPr>
          <w:rStyle w:val="FootnoteReference"/>
          <w:rFonts w:cs="Times New Roman"/>
          <w:sz w:val="22"/>
          <w:szCs w:val="22"/>
        </w:rPr>
        <w:footnoteReference w:customMarkFollows="1" w:id="16"/>
        <w:t>*</w:t>
      </w:r>
      <w:r>
        <w:rPr>
          <w:rFonts w:cs="Times New Roman"/>
          <w:sz w:val="22"/>
          <w:szCs w:val="22"/>
        </w:rPr>
        <w:t xml:space="preserve">, which will fund all interest through </w:t>
      </w:r>
      <w:r w:rsidR="00691E9F">
        <w:rPr>
          <w:rFonts w:cs="Times New Roman"/>
          <w:sz w:val="22"/>
          <w:szCs w:val="22"/>
        </w:rPr>
        <w:t>March</w:t>
      </w:r>
      <w:r>
        <w:rPr>
          <w:rFonts w:cs="Times New Roman"/>
          <w:sz w:val="22"/>
          <w:szCs w:val="22"/>
        </w:rPr>
        <w:t xml:space="preserve"> 1, 202[_]</w:t>
      </w:r>
      <w:r>
        <w:rPr>
          <w:rFonts w:cs="Times New Roman"/>
          <w:sz w:val="22"/>
          <w:szCs w:val="22"/>
          <w:vertAlign w:val="superscript"/>
        </w:rPr>
        <w:t>*</w:t>
      </w:r>
      <w:r>
        <w:rPr>
          <w:rFonts w:cs="Times New Roman"/>
          <w:sz w:val="22"/>
          <w:szCs w:val="22"/>
        </w:rPr>
        <w:t xml:space="preserve"> </w:t>
      </w:r>
      <w:r w:rsidR="00434B32">
        <w:rPr>
          <w:rFonts w:cs="Times New Roman"/>
          <w:sz w:val="22"/>
          <w:szCs w:val="22"/>
        </w:rPr>
        <w:t>[</w:t>
      </w:r>
      <w:r>
        <w:rPr>
          <w:rFonts w:cs="Times New Roman"/>
          <w:sz w:val="22"/>
          <w:szCs w:val="22"/>
        </w:rPr>
        <w:t xml:space="preserve">and a portion of the interest due </w:t>
      </w:r>
      <w:r w:rsidR="00691E9F">
        <w:rPr>
          <w:rFonts w:cs="Times New Roman"/>
          <w:sz w:val="22"/>
          <w:szCs w:val="22"/>
        </w:rPr>
        <w:t>March</w:t>
      </w:r>
      <w:r>
        <w:rPr>
          <w:rFonts w:cs="Times New Roman"/>
          <w:sz w:val="22"/>
          <w:szCs w:val="22"/>
        </w:rPr>
        <w:t xml:space="preserve"> 1, 202[_]</w:t>
      </w:r>
      <w:r w:rsidR="00434B32">
        <w:rPr>
          <w:rFonts w:cs="Times New Roman"/>
          <w:sz w:val="22"/>
          <w:szCs w:val="22"/>
        </w:rPr>
        <w:t>].</w:t>
      </w:r>
      <w:r>
        <w:rPr>
          <w:rFonts w:cs="Times New Roman"/>
          <w:sz w:val="22"/>
          <w:szCs w:val="22"/>
          <w:vertAlign w:val="superscript"/>
        </w:rPr>
        <w:t>*</w:t>
      </w:r>
      <w:r>
        <w:rPr>
          <w:rFonts w:cs="Times New Roman"/>
          <w:sz w:val="22"/>
          <w:szCs w:val="22"/>
        </w:rPr>
        <w:t xml:space="preserve"> </w:t>
      </w:r>
    </w:p>
    <w:p w14:paraId="6AD8BF49" w14:textId="53E2582F" w:rsidR="0075493D" w:rsidRPr="00DA2177" w:rsidRDefault="000E6F29" w:rsidP="00AF1F50">
      <w:pPr>
        <w:pStyle w:val="Heading1"/>
        <w:rPr>
          <w:rFonts w:eastAsia="Times New Roman" w:cs="Times New Roman"/>
          <w:sz w:val="22"/>
          <w:szCs w:val="22"/>
        </w:rPr>
      </w:pPr>
      <w:bookmarkStart w:id="108" w:name="_Toc235521060"/>
      <w:r>
        <w:rPr>
          <w:rFonts w:eastAsia="Times New Roman" w:cs="Times New Roman"/>
          <w:sz w:val="22"/>
          <w:szCs w:val="22"/>
        </w:rPr>
        <w:t>THE 2026A-1 SENIOR LT BONDS</w:t>
      </w:r>
      <w:bookmarkEnd w:id="108"/>
    </w:p>
    <w:p w14:paraId="1BEC3E33" w14:textId="07BADD41" w:rsidR="00DF7D11" w:rsidRPr="00C624AA" w:rsidRDefault="00DF7D11" w:rsidP="00DF7D11">
      <w:pPr>
        <w:pStyle w:val="00BodyText5"/>
        <w:rPr>
          <w:rFonts w:cs="Times New Roman"/>
          <w:i/>
          <w:szCs w:val="22"/>
        </w:rPr>
      </w:pPr>
      <w:r>
        <w:rPr>
          <w:rFonts w:cs="Times New Roman"/>
          <w:i/>
          <w:szCs w:val="22"/>
        </w:rPr>
        <w:t xml:space="preserve">The following is a summary of certain general provisions of the </w:t>
      </w:r>
      <w:r w:rsidR="00787226">
        <w:rPr>
          <w:rFonts w:cs="Times New Roman"/>
          <w:i/>
          <w:szCs w:val="22"/>
        </w:rPr>
        <w:t>2026A-1 Senior LT Bond</w:t>
      </w:r>
      <w:r>
        <w:rPr>
          <w:rFonts w:cs="Times New Roman"/>
          <w:i/>
          <w:szCs w:val="22"/>
        </w:rPr>
        <w:t xml:space="preserve">s. Reference is hereby made to the </w:t>
      </w:r>
      <w:r w:rsidR="000F65D0">
        <w:rPr>
          <w:rFonts w:cs="Times New Roman"/>
          <w:i/>
          <w:szCs w:val="22"/>
        </w:rPr>
        <w:t xml:space="preserve">Senior </w:t>
      </w:r>
      <w:r>
        <w:rPr>
          <w:rFonts w:cs="Times New Roman"/>
          <w:i/>
          <w:szCs w:val="22"/>
        </w:rPr>
        <w:t xml:space="preserve">LT Indenture in its entirety for the detailed provisions pertaining to the </w:t>
      </w:r>
      <w:r w:rsidR="00787226">
        <w:rPr>
          <w:rFonts w:cs="Times New Roman"/>
          <w:i/>
          <w:szCs w:val="22"/>
        </w:rPr>
        <w:t>2026A-1 Senior LT Bond</w:t>
      </w:r>
      <w:r>
        <w:rPr>
          <w:rFonts w:cs="Times New Roman"/>
          <w:i/>
          <w:szCs w:val="22"/>
        </w:rPr>
        <w:t>s.</w:t>
      </w:r>
    </w:p>
    <w:p w14:paraId="182F330E" w14:textId="4960A6CF" w:rsidR="0075493D" w:rsidRPr="00C624AA" w:rsidRDefault="003904FF" w:rsidP="00AF1F50">
      <w:pPr>
        <w:pStyle w:val="Heading2"/>
        <w:rPr>
          <w:rFonts w:eastAsia="Times New Roman"/>
          <w:sz w:val="22"/>
          <w:szCs w:val="22"/>
        </w:rPr>
      </w:pPr>
      <w:bookmarkStart w:id="109" w:name="_Toc235521061"/>
      <w:r>
        <w:rPr>
          <w:rFonts w:eastAsia="Times New Roman"/>
          <w:sz w:val="22"/>
          <w:szCs w:val="22"/>
        </w:rPr>
        <w:t>Description</w:t>
      </w:r>
      <w:bookmarkEnd w:id="109"/>
    </w:p>
    <w:p w14:paraId="65C66A57" w14:textId="26C6B260" w:rsidR="0075493D" w:rsidRDefault="003904FF" w:rsidP="00D8144E">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 xml:space="preserve">s will be issued in the principal amount, will be dated and will mature as indicated on the inside cover of this Official Statement. For a complete statement of the details and conditions of the issuance of the </w:t>
      </w:r>
      <w:r w:rsidR="00787226">
        <w:rPr>
          <w:rFonts w:cs="Times New Roman"/>
          <w:szCs w:val="22"/>
        </w:rPr>
        <w:t>2026A-1 Senior LT Bond</w:t>
      </w:r>
      <w:r>
        <w:rPr>
          <w:rFonts w:cs="Times New Roman"/>
          <w:szCs w:val="22"/>
        </w:rPr>
        <w:t xml:space="preserve">s, reference is made to the </w:t>
      </w:r>
      <w:r w:rsidR="000F65D0">
        <w:rPr>
          <w:rFonts w:cs="Times New Roman"/>
          <w:szCs w:val="22"/>
        </w:rPr>
        <w:t xml:space="preserve">Senior </w:t>
      </w:r>
      <w:r>
        <w:rPr>
          <w:rFonts w:cs="Times New Roman"/>
          <w:szCs w:val="22"/>
        </w:rPr>
        <w:t xml:space="preserve">LT Indenture and the Bond Resolution, copies of which are available from the Underwriter prior to delivery of the </w:t>
      </w:r>
      <w:r w:rsidR="00787226">
        <w:rPr>
          <w:rFonts w:cs="Times New Roman"/>
          <w:szCs w:val="22"/>
        </w:rPr>
        <w:t>2026A-1 Senior LT Bond</w:t>
      </w:r>
      <w:r>
        <w:rPr>
          <w:rFonts w:cs="Times New Roman"/>
          <w:szCs w:val="22"/>
        </w:rPr>
        <w:t xml:space="preserve">s. See “INTRODUCTION—Additional Information.” </w:t>
      </w:r>
    </w:p>
    <w:p w14:paraId="28A43C3E" w14:textId="3EB09404" w:rsidR="005F7805" w:rsidRPr="00DA2177" w:rsidRDefault="005F7805" w:rsidP="00D8144E">
      <w:pPr>
        <w:pStyle w:val="00BodyText5"/>
        <w:rPr>
          <w:rFonts w:cs="Times New Roman"/>
          <w:szCs w:val="22"/>
        </w:rPr>
      </w:pPr>
      <w:r>
        <w:rPr>
          <w:rFonts w:cs="Times New Roman"/>
          <w:b/>
          <w:i/>
          <w:szCs w:val="22"/>
        </w:rPr>
        <w:t xml:space="preserve">The </w:t>
      </w:r>
      <w:r w:rsidR="00787226">
        <w:rPr>
          <w:rFonts w:cs="Times New Roman"/>
          <w:b/>
          <w:i/>
          <w:szCs w:val="22"/>
        </w:rPr>
        <w:t>2026A-1 Senior LT Bond</w:t>
      </w:r>
      <w:r>
        <w:rPr>
          <w:rFonts w:cs="Times New Roman"/>
          <w:b/>
          <w:i/>
          <w:szCs w:val="22"/>
        </w:rPr>
        <w:t xml:space="preserve">s are authorized, issued and secured by and in accordance with the </w:t>
      </w:r>
      <w:r w:rsidR="000F65D0">
        <w:rPr>
          <w:rFonts w:cs="Times New Roman"/>
          <w:b/>
          <w:i/>
          <w:szCs w:val="22"/>
        </w:rPr>
        <w:t xml:space="preserve">Senior </w:t>
      </w:r>
      <w:r>
        <w:rPr>
          <w:rFonts w:cs="Times New Roman"/>
          <w:b/>
          <w:i/>
          <w:szCs w:val="22"/>
        </w:rPr>
        <w:t xml:space="preserve">LT Indenture. No covenant, agreement or other provision of the SR Indenture </w:t>
      </w:r>
      <w:r w:rsidR="001B22AA">
        <w:rPr>
          <w:rFonts w:cs="Times New Roman"/>
          <w:b/>
          <w:i/>
          <w:szCs w:val="22"/>
        </w:rPr>
        <w:t xml:space="preserve">or the Subordinate LT Indenture </w:t>
      </w:r>
      <w:r>
        <w:rPr>
          <w:rFonts w:cs="Times New Roman"/>
          <w:b/>
          <w:i/>
          <w:szCs w:val="22"/>
        </w:rPr>
        <w:t xml:space="preserve">secures or is otherwise made by the District or the Trustee for the benefit of Owners of the </w:t>
      </w:r>
      <w:r w:rsidR="00787226">
        <w:rPr>
          <w:rFonts w:cs="Times New Roman"/>
          <w:b/>
          <w:i/>
          <w:szCs w:val="22"/>
        </w:rPr>
        <w:t>2026A-1 Senior LT Bond</w:t>
      </w:r>
      <w:r>
        <w:rPr>
          <w:rFonts w:cs="Times New Roman"/>
          <w:b/>
          <w:i/>
          <w:szCs w:val="22"/>
        </w:rPr>
        <w:t>s.</w:t>
      </w:r>
    </w:p>
    <w:p w14:paraId="798E9F1F" w14:textId="2F97E9C1" w:rsidR="00240E92" w:rsidRPr="00DA2177" w:rsidRDefault="00240E92" w:rsidP="00240E92">
      <w:pPr>
        <w:pStyle w:val="Heading2"/>
        <w:rPr>
          <w:rFonts w:eastAsia="Times New Roman"/>
          <w:sz w:val="22"/>
          <w:szCs w:val="22"/>
        </w:rPr>
      </w:pPr>
      <w:bookmarkStart w:id="110" w:name="_Toc235521062"/>
      <w:r>
        <w:rPr>
          <w:rFonts w:eastAsia="Times New Roman"/>
          <w:sz w:val="22"/>
          <w:szCs w:val="22"/>
        </w:rPr>
        <w:t xml:space="preserve">Discharge on March 1, </w:t>
      </w:r>
      <w:r w:rsidR="00381A2D">
        <w:rPr>
          <w:rFonts w:eastAsia="Times New Roman"/>
          <w:sz w:val="22"/>
          <w:szCs w:val="22"/>
        </w:rPr>
        <w:t>2067</w:t>
      </w:r>
      <w:bookmarkEnd w:id="110"/>
    </w:p>
    <w:p w14:paraId="2D326D07" w14:textId="33006E5D" w:rsidR="00240E92" w:rsidRPr="00DA2177" w:rsidRDefault="00240E92" w:rsidP="00240E92">
      <w:pPr>
        <w:pStyle w:val="00BodyText5"/>
        <w:rPr>
          <w:rFonts w:cs="Times New Roman"/>
          <w:szCs w:val="22"/>
        </w:rPr>
      </w:pPr>
      <w:r>
        <w:rPr>
          <w:rFonts w:cs="Times New Roman"/>
          <w:b/>
          <w:szCs w:val="22"/>
        </w:rPr>
        <w:t xml:space="preserve">Notwithstanding any other provision in the </w:t>
      </w:r>
      <w:r w:rsidR="000F65D0">
        <w:rPr>
          <w:rFonts w:cs="Times New Roman"/>
          <w:b/>
          <w:szCs w:val="22"/>
        </w:rPr>
        <w:t xml:space="preserve">Senior </w:t>
      </w:r>
      <w:r>
        <w:rPr>
          <w:rFonts w:cs="Times New Roman"/>
          <w:b/>
          <w:szCs w:val="22"/>
        </w:rPr>
        <w:t xml:space="preserve">LT Indenture, </w:t>
      </w:r>
      <w:r w:rsidR="00F72D0B">
        <w:rPr>
          <w:rFonts w:cs="Times New Roman"/>
          <w:b/>
          <w:szCs w:val="22"/>
        </w:rPr>
        <w:t xml:space="preserve">in </w:t>
      </w:r>
      <w:r w:rsidR="00F72D0B" w:rsidRPr="00F72D0B">
        <w:rPr>
          <w:rFonts w:cs="Times New Roman"/>
          <w:b/>
          <w:szCs w:val="22"/>
        </w:rPr>
        <w:t xml:space="preserve">accordance with the Governing Document (because the District is not permitted to impose an ad valorem property tax levy after a period exceeding forty (40) years from the first date of imposition of the property tax levy </w:t>
      </w:r>
      <w:r w:rsidR="001B22AA">
        <w:rPr>
          <w:rFonts w:cs="Times New Roman"/>
          <w:b/>
          <w:szCs w:val="22"/>
        </w:rPr>
        <w:t>for</w:t>
      </w:r>
      <w:r w:rsidR="00F72D0B" w:rsidRPr="00F72D0B">
        <w:rPr>
          <w:rFonts w:cs="Times New Roman"/>
          <w:b/>
          <w:szCs w:val="22"/>
        </w:rPr>
        <w:t xml:space="preserve"> the 2026A-1 Senior LT Bonds) </w:t>
      </w:r>
      <w:r>
        <w:rPr>
          <w:rFonts w:cs="Times New Roman"/>
          <w:b/>
          <w:szCs w:val="22"/>
        </w:rPr>
        <w:t xml:space="preserve">in the event that any amount of principal of or interest on the </w:t>
      </w:r>
      <w:r w:rsidR="00787226">
        <w:rPr>
          <w:rFonts w:cs="Times New Roman"/>
          <w:b/>
          <w:szCs w:val="22"/>
        </w:rPr>
        <w:t>2026A-1 Senior LT Bond</w:t>
      </w:r>
      <w:r>
        <w:rPr>
          <w:rFonts w:cs="Times New Roman"/>
          <w:b/>
          <w:szCs w:val="22"/>
        </w:rPr>
        <w:t xml:space="preserve">s remains unpaid after the application of all </w:t>
      </w:r>
      <w:r w:rsidR="000F65D0">
        <w:rPr>
          <w:rFonts w:cs="Times New Roman"/>
          <w:b/>
          <w:szCs w:val="22"/>
        </w:rPr>
        <w:t xml:space="preserve">Senior </w:t>
      </w:r>
      <w:r>
        <w:rPr>
          <w:rFonts w:cs="Times New Roman"/>
          <w:b/>
          <w:szCs w:val="22"/>
        </w:rPr>
        <w:t xml:space="preserve">LT Pledged Revenue available therefor on March 1, </w:t>
      </w:r>
      <w:r w:rsidR="00381A2D">
        <w:rPr>
          <w:rFonts w:cs="Times New Roman"/>
          <w:b/>
          <w:szCs w:val="22"/>
        </w:rPr>
        <w:t>2067</w:t>
      </w:r>
      <w:r>
        <w:rPr>
          <w:rFonts w:cs="Times New Roman"/>
          <w:b/>
          <w:szCs w:val="22"/>
        </w:rPr>
        <w:t xml:space="preserve">, the </w:t>
      </w:r>
      <w:r w:rsidR="00787226">
        <w:rPr>
          <w:rFonts w:cs="Times New Roman"/>
          <w:b/>
          <w:szCs w:val="22"/>
        </w:rPr>
        <w:t>2026A-1 Senior LT Bond</w:t>
      </w:r>
      <w:r>
        <w:rPr>
          <w:rFonts w:cs="Times New Roman"/>
          <w:b/>
          <w:szCs w:val="22"/>
        </w:rPr>
        <w:t xml:space="preserve">s and the lien of the </w:t>
      </w:r>
      <w:r w:rsidR="000F65D0">
        <w:rPr>
          <w:rFonts w:cs="Times New Roman"/>
          <w:b/>
          <w:szCs w:val="22"/>
        </w:rPr>
        <w:t xml:space="preserve">Senior </w:t>
      </w:r>
      <w:r>
        <w:rPr>
          <w:rFonts w:cs="Times New Roman"/>
          <w:b/>
          <w:szCs w:val="22"/>
        </w:rPr>
        <w:t xml:space="preserve">LT Indenture securing payment thereof are to be deemed discharged, the estate and rights thereby granted are to cease, terminate, and be void, and thereupon the Trustee is to cancel and discharge the lien of the </w:t>
      </w:r>
      <w:r w:rsidR="000F65D0">
        <w:rPr>
          <w:rFonts w:cs="Times New Roman"/>
          <w:b/>
          <w:szCs w:val="22"/>
        </w:rPr>
        <w:t xml:space="preserve">Senior </w:t>
      </w:r>
      <w:r>
        <w:rPr>
          <w:rFonts w:cs="Times New Roman"/>
          <w:b/>
          <w:szCs w:val="22"/>
        </w:rPr>
        <w:t xml:space="preserve">LT Indenture, and execute and deliver to the District such instruments in writing as are to be requested to evidence the same. Upon such discharge, the Owners will have no recourse to the District or any property of the District for the payment of any amount of principal of or interest on the </w:t>
      </w:r>
      <w:r w:rsidR="00787226">
        <w:rPr>
          <w:rFonts w:cs="Times New Roman"/>
          <w:b/>
          <w:szCs w:val="22"/>
        </w:rPr>
        <w:t>2026A-1 Senior LT Bond</w:t>
      </w:r>
      <w:r>
        <w:rPr>
          <w:rFonts w:cs="Times New Roman"/>
          <w:b/>
          <w:szCs w:val="22"/>
        </w:rPr>
        <w:t>s remaining unpaid.</w:t>
      </w:r>
    </w:p>
    <w:p w14:paraId="09C57284" w14:textId="0CC0B90E" w:rsidR="0075493D" w:rsidRPr="00DA2177" w:rsidRDefault="003904FF" w:rsidP="00AF1F50">
      <w:pPr>
        <w:pStyle w:val="Heading2"/>
        <w:rPr>
          <w:rFonts w:eastAsia="Times New Roman"/>
          <w:sz w:val="22"/>
          <w:szCs w:val="22"/>
        </w:rPr>
      </w:pPr>
      <w:bookmarkStart w:id="111" w:name="_Toc235521063"/>
      <w:r>
        <w:rPr>
          <w:rFonts w:eastAsia="Times New Roman"/>
          <w:sz w:val="22"/>
          <w:szCs w:val="22"/>
        </w:rPr>
        <w:t xml:space="preserve">Authorized Denominations of the </w:t>
      </w:r>
      <w:r w:rsidR="00787226">
        <w:rPr>
          <w:rFonts w:eastAsia="Times New Roman"/>
          <w:sz w:val="22"/>
          <w:szCs w:val="22"/>
        </w:rPr>
        <w:t>2026A-1 Senior LT Bond</w:t>
      </w:r>
      <w:r>
        <w:rPr>
          <w:rFonts w:eastAsia="Times New Roman"/>
          <w:sz w:val="22"/>
          <w:szCs w:val="22"/>
        </w:rPr>
        <w:t>s</w:t>
      </w:r>
      <w:bookmarkEnd w:id="111"/>
    </w:p>
    <w:p w14:paraId="0914D499" w14:textId="657F14E1" w:rsidR="00EE052E" w:rsidRPr="00DA2177" w:rsidRDefault="003904FF" w:rsidP="00D8144E">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s are being issued in “</w:t>
      </w:r>
      <w:r>
        <w:rPr>
          <w:rFonts w:cs="Times New Roman"/>
          <w:b/>
          <w:szCs w:val="22"/>
        </w:rPr>
        <w:t>Authorized Denominations</w:t>
      </w:r>
      <w:r>
        <w:rPr>
          <w:rFonts w:cs="Times New Roman"/>
          <w:szCs w:val="22"/>
        </w:rPr>
        <w:t xml:space="preserve">,” defined in the </w:t>
      </w:r>
      <w:r w:rsidR="000F65D0">
        <w:rPr>
          <w:rFonts w:cs="Times New Roman"/>
          <w:szCs w:val="22"/>
        </w:rPr>
        <w:t xml:space="preserve">Senior </w:t>
      </w:r>
      <w:r>
        <w:rPr>
          <w:rFonts w:cs="Times New Roman"/>
          <w:szCs w:val="22"/>
        </w:rPr>
        <w:t xml:space="preserve">LT Indenture to mean the amount of $500,000 or any integral multiple of $1,000 in excess thereof, provided that no individual </w:t>
      </w:r>
      <w:r w:rsidR="00787226">
        <w:rPr>
          <w:rFonts w:cs="Times New Roman"/>
          <w:szCs w:val="22"/>
        </w:rPr>
        <w:t>2026A-1 Senior LT Bond</w:t>
      </w:r>
      <w:r>
        <w:rPr>
          <w:rFonts w:cs="Times New Roman"/>
          <w:szCs w:val="22"/>
        </w:rPr>
        <w:t xml:space="preserve"> may be in an amount which exceeds the principal amount coming due on any maturity date. Notwithstanding the foregoing, in the event a </w:t>
      </w:r>
      <w:r w:rsidR="00787226">
        <w:rPr>
          <w:rFonts w:cs="Times New Roman"/>
          <w:szCs w:val="22"/>
        </w:rPr>
        <w:t>2026A-1 Senior LT Bond</w:t>
      </w:r>
      <w:r>
        <w:rPr>
          <w:rFonts w:cs="Times New Roman"/>
          <w:szCs w:val="22"/>
        </w:rPr>
        <w:t xml:space="preserve"> is partially redeemed and the unredeemed portion is less than $500,000, such unredeemed portion of such </w:t>
      </w:r>
      <w:r w:rsidR="00787226">
        <w:rPr>
          <w:rFonts w:cs="Times New Roman"/>
          <w:szCs w:val="22"/>
        </w:rPr>
        <w:t>2026A-1 Senior LT Bond</w:t>
      </w:r>
      <w:r>
        <w:rPr>
          <w:rFonts w:cs="Times New Roman"/>
          <w:szCs w:val="22"/>
        </w:rPr>
        <w:t xml:space="preserve"> may be issued in the largest possible denomination of less than $500,000, in an integral multiple of $1,000. </w:t>
      </w:r>
    </w:p>
    <w:p w14:paraId="495C279D" w14:textId="77777777" w:rsidR="0075493D" w:rsidRPr="00DA2177" w:rsidRDefault="003904FF" w:rsidP="00AF1F50">
      <w:pPr>
        <w:pStyle w:val="Heading2"/>
        <w:rPr>
          <w:rFonts w:eastAsia="Times New Roman"/>
          <w:sz w:val="22"/>
          <w:szCs w:val="22"/>
        </w:rPr>
      </w:pPr>
      <w:bookmarkStart w:id="112" w:name="_Toc235521064"/>
      <w:r>
        <w:rPr>
          <w:rFonts w:eastAsia="Times New Roman"/>
          <w:sz w:val="22"/>
          <w:szCs w:val="22"/>
        </w:rPr>
        <w:t>Payment of Principal and Interest</w:t>
      </w:r>
      <w:bookmarkEnd w:id="112"/>
    </w:p>
    <w:p w14:paraId="7581C903" w14:textId="79A6E1D7" w:rsidR="00991068" w:rsidRPr="00DA2177" w:rsidRDefault="00991068" w:rsidP="00991068">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 xml:space="preserve">s will bear interest at the rate set forth on the inside cover hereof (computed on the basis of a 360-day year of twelve 30-day months) payable to the extent of </w:t>
      </w:r>
      <w:r w:rsidR="000F65D0">
        <w:rPr>
          <w:rFonts w:cs="Times New Roman"/>
          <w:szCs w:val="22"/>
        </w:rPr>
        <w:t xml:space="preserve">Senior </w:t>
      </w:r>
      <w:r>
        <w:rPr>
          <w:rFonts w:cs="Times New Roman"/>
          <w:szCs w:val="22"/>
        </w:rPr>
        <w:t>LT Pledged Revenue available therefor annually on each March 1, commencing March 1, 202</w:t>
      </w:r>
      <w:r w:rsidR="00F72D0B">
        <w:rPr>
          <w:rFonts w:cs="Times New Roman"/>
          <w:szCs w:val="22"/>
        </w:rPr>
        <w:t>7</w:t>
      </w:r>
      <w:r>
        <w:rPr>
          <w:rFonts w:cs="Times New Roman"/>
          <w:szCs w:val="22"/>
        </w:rPr>
        <w:t xml:space="preserve"> (each a “</w:t>
      </w:r>
      <w:r w:rsidR="00F72D0B">
        <w:rPr>
          <w:rFonts w:cs="Times New Roman"/>
          <w:b/>
          <w:szCs w:val="22"/>
        </w:rPr>
        <w:t>Senior LT Interest Payment Date</w:t>
      </w:r>
      <w:r>
        <w:rPr>
          <w:rFonts w:cs="Times New Roman"/>
          <w:szCs w:val="22"/>
        </w:rPr>
        <w:t xml:space="preserve">”). </w:t>
      </w:r>
    </w:p>
    <w:p w14:paraId="0A942379" w14:textId="2D908746" w:rsidR="004C7B35" w:rsidRPr="004C7B35" w:rsidRDefault="004C7B35" w:rsidP="004C7B35">
      <w:pPr>
        <w:pStyle w:val="00BodyText5"/>
        <w:rPr>
          <w:rFonts w:cs="Times New Roman"/>
          <w:szCs w:val="22"/>
        </w:rPr>
      </w:pPr>
      <w:r w:rsidRPr="004C7B35">
        <w:rPr>
          <w:rFonts w:cs="Times New Roman"/>
          <w:szCs w:val="22"/>
        </w:rPr>
        <w:t xml:space="preserve">The Senior LT Indenture provides that the principal of and premium, if any, on the 2026A-1 Senior LT Bonds are payable in lawful money of the United States of America to the owner of each 2026A-1 Senior LT Bond upon maturity or prior redemption and presentation at the principal office of the Trustee. The interest on any 2026A-1 Senior LT Bond is payable to the person in whose name such 2026A-1 Senior LT Bond is registered, at their address as it appears on the registration books maintained by or on behalf of the District by the Trustee, at the close of business on the </w:t>
      </w:r>
      <w:r w:rsidR="00AC1E9B">
        <w:rPr>
          <w:rFonts w:cs="Times New Roman"/>
          <w:szCs w:val="22"/>
        </w:rPr>
        <w:t>Senior LT Record Date</w:t>
      </w:r>
      <w:r w:rsidRPr="004C7B35">
        <w:rPr>
          <w:rFonts w:cs="Times New Roman"/>
          <w:szCs w:val="22"/>
        </w:rPr>
        <w:t xml:space="preserve"> (defined in the Senior LT Indenture as the 15th day of the calendar month next preceding each </w:t>
      </w:r>
      <w:r>
        <w:rPr>
          <w:rFonts w:cs="Times New Roman"/>
          <w:szCs w:val="22"/>
        </w:rPr>
        <w:t>Senior LT Interest Payment Date</w:t>
      </w:r>
      <w:r w:rsidRPr="004C7B35">
        <w:rPr>
          <w:rFonts w:cs="Times New Roman"/>
          <w:szCs w:val="22"/>
        </w:rPr>
        <w:t xml:space="preserve">), irrespective of any transfer or exchange of such 2026A-1 Senior LT Bond subsequent to such </w:t>
      </w:r>
      <w:r w:rsidR="00AC1E9B">
        <w:rPr>
          <w:rFonts w:cs="Times New Roman"/>
          <w:szCs w:val="22"/>
        </w:rPr>
        <w:t>Senior LT Record Date</w:t>
      </w:r>
      <w:r w:rsidRPr="004C7B35">
        <w:rPr>
          <w:rFonts w:cs="Times New Roman"/>
          <w:szCs w:val="22"/>
        </w:rPr>
        <w:t xml:space="preserve"> and prior to such </w:t>
      </w:r>
      <w:r>
        <w:rPr>
          <w:rFonts w:cs="Times New Roman"/>
          <w:szCs w:val="22"/>
        </w:rPr>
        <w:t>Senior LT Interest Payment Date</w:t>
      </w:r>
      <w:r w:rsidRPr="004C7B35">
        <w:rPr>
          <w:rFonts w:cs="Times New Roman"/>
          <w:szCs w:val="22"/>
        </w:rPr>
        <w:t xml:space="preserve">; provided that any such interest not so timely paid or duly provided for shall cease to be payable to the person who is the 2026A-1 Senior LT Bond Owner thereof at the close of business on the </w:t>
      </w:r>
      <w:r w:rsidR="00AC1E9B">
        <w:rPr>
          <w:rFonts w:cs="Times New Roman"/>
          <w:szCs w:val="22"/>
        </w:rPr>
        <w:t>Senior LT Record Date</w:t>
      </w:r>
      <w:r w:rsidRPr="004C7B35">
        <w:rPr>
          <w:rFonts w:cs="Times New Roman"/>
          <w:szCs w:val="22"/>
        </w:rPr>
        <w:t xml:space="preserve"> and shall be payable to the person who is the 2026A-1 Senior LT Bond Owner thereof at the close of business on a Special Record Date for the payment of any such unpaid interest. Such Special Record Date shall be fixed by the Trustee whenever moneys become available for payment of the unpaid interest and notice of the Special Record Date shall be given to the Owners not less than ten (10) days prior to the Special Record Date by first-class mail to each such 2026A-1 Senior LT Bond Owner as shown on the registration books kept by the Trustee on a date selected by the Trustee. Such notice shall state the date of the Special Record Date and the date fixed for the payment of such unpaid interest.</w:t>
      </w:r>
    </w:p>
    <w:p w14:paraId="7021853D" w14:textId="2771AE47" w:rsidR="004C7B35" w:rsidRPr="004C7B35" w:rsidRDefault="004C7B35" w:rsidP="004C7B35">
      <w:pPr>
        <w:pStyle w:val="00BodyText5"/>
        <w:rPr>
          <w:rFonts w:cs="Times New Roman"/>
          <w:szCs w:val="22"/>
        </w:rPr>
      </w:pPr>
      <w:r w:rsidRPr="004C7B35">
        <w:rPr>
          <w:rFonts w:cs="Times New Roman"/>
          <w:szCs w:val="22"/>
        </w:rPr>
        <w:t xml:space="preserve">Interest payments shall be paid by check or draft of the Trustee mailed on or before the </w:t>
      </w:r>
      <w:r>
        <w:rPr>
          <w:rFonts w:cs="Times New Roman"/>
          <w:szCs w:val="22"/>
        </w:rPr>
        <w:t>Senior LT Interest Payment Date</w:t>
      </w:r>
      <w:r w:rsidRPr="004C7B35">
        <w:rPr>
          <w:rFonts w:cs="Times New Roman"/>
          <w:szCs w:val="22"/>
        </w:rPr>
        <w:t xml:space="preserve"> to the Owners. The Trustee may make payments of interest on any 2026A-1 Senior LT Bond by such alternative means as may be mutually agreed to between the 2026A-1 Senior LT Bond Owner of such 2026A-1 Senior LT Bond and the Trustee; provided that the District shall not be required to incur any expenses in connection with such alternative means of payment. </w:t>
      </w:r>
    </w:p>
    <w:p w14:paraId="51015C69" w14:textId="22738F4F" w:rsidR="004C7B35" w:rsidRPr="004C7B35" w:rsidRDefault="004C7B35" w:rsidP="004C7B35">
      <w:pPr>
        <w:pStyle w:val="00BodyText5"/>
        <w:rPr>
          <w:rFonts w:cs="Times New Roman"/>
          <w:szCs w:val="22"/>
        </w:rPr>
      </w:pPr>
      <w:r w:rsidRPr="004C7B35">
        <w:rPr>
          <w:rFonts w:cs="Times New Roman"/>
          <w:szCs w:val="22"/>
        </w:rPr>
        <w:t xml:space="preserve">To the extent principal of any 2026A-1 Senior LT Bond is not paid when due, such principal shall remain Outstanding until paid, subject to the discharge provisions of the Senior LT Indenture. To the extent interest on any 2026A-1 Senior LT Bond is not paid when due, such interest shall compound annually on each </w:t>
      </w:r>
      <w:r>
        <w:rPr>
          <w:rFonts w:cs="Times New Roman"/>
          <w:szCs w:val="22"/>
        </w:rPr>
        <w:t>Senior LT Interest Payment Date</w:t>
      </w:r>
      <w:r w:rsidRPr="004C7B35">
        <w:rPr>
          <w:rFonts w:cs="Times New Roman"/>
          <w:szCs w:val="22"/>
        </w:rPr>
        <w:t>, at the interest rate then borne by the 2026A-1 Senior LT Bond; provided however, that notwithstanding anything in the Senior LT Indenture to the contrary, the District shall not be obligated to pay more than the amount permitted by law.</w:t>
      </w:r>
    </w:p>
    <w:p w14:paraId="05928DE4" w14:textId="1BFC5BC6" w:rsidR="0075493D" w:rsidRPr="00C624AA" w:rsidRDefault="008B2F85" w:rsidP="008B2F85">
      <w:pPr>
        <w:pStyle w:val="00BodyText5"/>
        <w:rPr>
          <w:rFonts w:cs="Times New Roman"/>
          <w:szCs w:val="22"/>
        </w:rPr>
      </w:pPr>
      <w:r>
        <w:rPr>
          <w:rFonts w:cs="Times New Roman"/>
          <w:szCs w:val="22"/>
        </w:rPr>
        <w:t xml:space="preserve">Payments for the principal of and interest on the </w:t>
      </w:r>
      <w:r w:rsidR="00787226">
        <w:rPr>
          <w:rFonts w:cs="Times New Roman"/>
          <w:szCs w:val="22"/>
        </w:rPr>
        <w:t>2026A-1 Senior LT Bond</w:t>
      </w:r>
      <w:r>
        <w:rPr>
          <w:rFonts w:cs="Times New Roman"/>
          <w:szCs w:val="22"/>
        </w:rPr>
        <w:t>s will be made as described in “APPENDIX G—BOOK-ENTRY-ONLY SYSTEM.”</w:t>
      </w:r>
    </w:p>
    <w:p w14:paraId="625A2923" w14:textId="77777777" w:rsidR="0075493D" w:rsidRPr="00C624AA" w:rsidRDefault="003904FF" w:rsidP="00F72480">
      <w:pPr>
        <w:pStyle w:val="Heading2"/>
        <w:rPr>
          <w:rFonts w:eastAsia="Times New Roman"/>
          <w:sz w:val="22"/>
          <w:szCs w:val="22"/>
        </w:rPr>
      </w:pPr>
      <w:bookmarkStart w:id="113" w:name="_Toc235521065"/>
      <w:r>
        <w:rPr>
          <w:rFonts w:eastAsia="Times New Roman"/>
          <w:sz w:val="22"/>
          <w:szCs w:val="22"/>
        </w:rPr>
        <w:t>Redemption</w:t>
      </w:r>
      <w:bookmarkEnd w:id="113"/>
    </w:p>
    <w:p w14:paraId="2D2C7B0C" w14:textId="6EE234DC" w:rsidR="003135DE" w:rsidRPr="00DA2177" w:rsidRDefault="003904FF" w:rsidP="003135DE">
      <w:pPr>
        <w:pStyle w:val="00BodyText5"/>
        <w:rPr>
          <w:rFonts w:cs="Times New Roman"/>
          <w:szCs w:val="22"/>
        </w:rPr>
      </w:pPr>
      <w:r>
        <w:rPr>
          <w:rStyle w:val="00BodyText5Char"/>
          <w:rFonts w:cs="Times New Roman"/>
          <w:b/>
          <w:bCs/>
          <w:i/>
          <w:iCs/>
          <w:szCs w:val="22"/>
        </w:rPr>
        <w:t>Optional Redemption</w:t>
      </w:r>
      <w:r>
        <w:rPr>
          <w:rStyle w:val="00BodyText5Char"/>
          <w:rFonts w:cs="Times New Roman"/>
          <w:szCs w:val="22"/>
        </w:rPr>
        <w:t xml:space="preserve">. </w:t>
      </w:r>
      <w:r w:rsidR="004C7B35">
        <w:rPr>
          <w:rStyle w:val="00BodyText5Char"/>
          <w:rFonts w:cs="Times New Roman"/>
          <w:szCs w:val="22"/>
        </w:rPr>
        <w:t xml:space="preserve">The </w:t>
      </w:r>
      <w:r w:rsidR="004C7B35">
        <w:rPr>
          <w:rFonts w:cs="Times New Roman"/>
          <w:szCs w:val="22"/>
        </w:rPr>
        <w:t>o</w:t>
      </w:r>
      <w:r>
        <w:rPr>
          <w:rFonts w:cs="Times New Roman"/>
          <w:szCs w:val="22"/>
        </w:rPr>
        <w:t xml:space="preserve">ptional redemption provisions </w:t>
      </w:r>
      <w:r w:rsidR="004C7B35">
        <w:rPr>
          <w:rFonts w:cs="Times New Roman"/>
          <w:szCs w:val="22"/>
        </w:rPr>
        <w:t xml:space="preserve">for the 2026A-1 Senior LT Bonds </w:t>
      </w:r>
      <w:r>
        <w:rPr>
          <w:rFonts w:cs="Times New Roman"/>
          <w:szCs w:val="22"/>
        </w:rPr>
        <w:t>will be as set forth in the final Official Statement.</w:t>
      </w:r>
    </w:p>
    <w:p w14:paraId="12613063" w14:textId="402FB4A6" w:rsidR="0075493D" w:rsidRPr="00C624AA" w:rsidRDefault="003904FF" w:rsidP="00D8144E">
      <w:pPr>
        <w:pStyle w:val="00BodyText5"/>
        <w:rPr>
          <w:rFonts w:cs="Times New Roman"/>
          <w:b/>
          <w:i/>
          <w:szCs w:val="22"/>
        </w:rPr>
      </w:pPr>
      <w:r>
        <w:rPr>
          <w:rStyle w:val="00BodyText5Char"/>
          <w:rFonts w:cs="Times New Roman"/>
          <w:b/>
          <w:bCs/>
          <w:i/>
          <w:iCs/>
          <w:szCs w:val="22"/>
        </w:rPr>
        <w:t>Mandatory Sinking Fund Redemption</w:t>
      </w:r>
      <w:r>
        <w:rPr>
          <w:rFonts w:cs="Times New Roman"/>
          <w:szCs w:val="22"/>
        </w:rPr>
        <w:t xml:space="preserve">. The </w:t>
      </w:r>
      <w:r w:rsidR="00787226">
        <w:rPr>
          <w:rFonts w:cs="Times New Roman"/>
          <w:szCs w:val="22"/>
        </w:rPr>
        <w:t>2026A-1 Senior LT Bond</w:t>
      </w:r>
      <w:r>
        <w:rPr>
          <w:rFonts w:cs="Times New Roman"/>
          <w:szCs w:val="22"/>
        </w:rPr>
        <w:t xml:space="preserve">s maturing on March 1, </w:t>
      </w:r>
      <w:r w:rsidR="00EF21D5">
        <w:rPr>
          <w:rFonts w:cs="Times New Roman"/>
          <w:szCs w:val="22"/>
        </w:rPr>
        <w:t>2057</w:t>
      </w:r>
      <w:r>
        <w:rPr>
          <w:rFonts w:cs="Times New Roman"/>
          <w:szCs w:val="22"/>
          <w:vertAlign w:val="superscript"/>
        </w:rPr>
        <w:footnoteReference w:customMarkFollows="1" w:id="17"/>
        <w:t>*</w:t>
      </w:r>
      <w:r>
        <w:rPr>
          <w:rFonts w:cs="Times New Roman"/>
          <w:szCs w:val="22"/>
        </w:rPr>
        <w:t xml:space="preserve"> are</w:t>
      </w:r>
      <w:r w:rsidR="004C7B35">
        <w:rPr>
          <w:rFonts w:cs="Times New Roman"/>
          <w:szCs w:val="22"/>
        </w:rPr>
        <w:t xml:space="preserve"> also</w:t>
      </w:r>
      <w:r>
        <w:rPr>
          <w:rFonts w:cs="Times New Roman"/>
          <w:szCs w:val="22"/>
        </w:rPr>
        <w:t xml:space="preserve"> subject to mandatory sinking fund redemption, in part, by lot, on March 1, 20[__]</w:t>
      </w:r>
      <w:r>
        <w:rPr>
          <w:rFonts w:cs="Times New Roman"/>
          <w:szCs w:val="22"/>
          <w:vertAlign w:val="superscript"/>
        </w:rPr>
        <w:t>*</w:t>
      </w:r>
      <w:r>
        <w:rPr>
          <w:rFonts w:cs="Times New Roman"/>
          <w:szCs w:val="22"/>
        </w:rPr>
        <w:t xml:space="preserve"> and on each March 1 thereafter prior to the maturity date of such </w:t>
      </w:r>
      <w:r w:rsidR="00787226">
        <w:rPr>
          <w:rFonts w:cs="Times New Roman"/>
          <w:szCs w:val="22"/>
        </w:rPr>
        <w:t>2026A-1 Senior LT Bond</w:t>
      </w:r>
      <w:r>
        <w:rPr>
          <w:rFonts w:cs="Times New Roman"/>
          <w:szCs w:val="22"/>
        </w:rPr>
        <w:t xml:space="preserve">s, upon payment of par and accrued interest, without redemption premium, in the annual amounts set forth below: </w:t>
      </w:r>
    </w:p>
    <w:tbl>
      <w:tblPr>
        <w:tblW w:w="8658" w:type="dxa"/>
        <w:jc w:val="center"/>
        <w:tblLayout w:type="fixed"/>
        <w:tblCellMar>
          <w:left w:w="115" w:type="dxa"/>
          <w:right w:w="115" w:type="dxa"/>
        </w:tblCellMar>
        <w:tblLook w:val="01E0" w:firstRow="1" w:lastRow="1" w:firstColumn="1" w:lastColumn="1" w:noHBand="0" w:noVBand="0"/>
      </w:tblPr>
      <w:tblGrid>
        <w:gridCol w:w="2164"/>
        <w:gridCol w:w="2165"/>
        <w:gridCol w:w="2164"/>
        <w:gridCol w:w="2165"/>
      </w:tblGrid>
      <w:tr w:rsidR="0047340E" w:rsidRPr="00C624AA" w14:paraId="213806E2" w14:textId="7DEA8BC5" w:rsidTr="0047340E">
        <w:trPr>
          <w:jc w:val="center"/>
        </w:trPr>
        <w:tc>
          <w:tcPr>
            <w:tcW w:w="2164" w:type="dxa"/>
            <w:vAlign w:val="bottom"/>
          </w:tcPr>
          <w:p w14:paraId="01ECCBE0" w14:textId="05E04428" w:rsidR="0047340E" w:rsidRPr="00C624AA" w:rsidRDefault="0047340E" w:rsidP="0047340E">
            <w:pPr>
              <w:keepNext/>
              <w:widowControl w:val="0"/>
              <w:autoSpaceDE w:val="0"/>
              <w:autoSpaceDN w:val="0"/>
              <w:adjustRightInd w:val="0"/>
              <w:jc w:val="center"/>
              <w:rPr>
                <w:rFonts w:cs="Times New Roman"/>
                <w:sz w:val="22"/>
                <w:szCs w:val="22"/>
                <w:vertAlign w:val="superscript"/>
              </w:rPr>
            </w:pPr>
            <w:r>
              <w:rPr>
                <w:rFonts w:cs="Times New Roman"/>
                <w:sz w:val="22"/>
                <w:szCs w:val="22"/>
              </w:rPr>
              <w:t>Year of Redemption</w:t>
            </w:r>
            <w:r>
              <w:rPr>
                <w:rFonts w:cs="Times New Roman"/>
                <w:sz w:val="22"/>
                <w:szCs w:val="22"/>
              </w:rPr>
              <w:br/>
              <w:t>(</w:t>
            </w:r>
            <w:r>
              <w:rPr>
                <w:rFonts w:cs="Times New Roman"/>
                <w:sz w:val="22"/>
                <w:szCs w:val="22"/>
                <w:u w:val="single"/>
              </w:rPr>
              <w:t>March 1</w:t>
            </w:r>
            <w:r>
              <w:rPr>
                <w:rFonts w:cs="Times New Roman"/>
                <w:sz w:val="22"/>
                <w:szCs w:val="22"/>
              </w:rPr>
              <w:t>)</w:t>
            </w:r>
            <w:r>
              <w:rPr>
                <w:rFonts w:cs="Times New Roman"/>
                <w:sz w:val="22"/>
                <w:szCs w:val="22"/>
                <w:vertAlign w:val="superscript"/>
              </w:rPr>
              <w:t>*</w:t>
            </w:r>
          </w:p>
        </w:tc>
        <w:tc>
          <w:tcPr>
            <w:tcW w:w="2165" w:type="dxa"/>
            <w:vAlign w:val="bottom"/>
          </w:tcPr>
          <w:p w14:paraId="7455F8D5" w14:textId="05F4B538" w:rsidR="0047340E" w:rsidRPr="00C624AA" w:rsidRDefault="0047340E" w:rsidP="0047340E">
            <w:pPr>
              <w:keepNext/>
              <w:widowControl w:val="0"/>
              <w:autoSpaceDE w:val="0"/>
              <w:autoSpaceDN w:val="0"/>
              <w:adjustRightInd w:val="0"/>
              <w:jc w:val="center"/>
              <w:rPr>
                <w:rFonts w:cs="Times New Roman"/>
                <w:sz w:val="22"/>
                <w:szCs w:val="22"/>
                <w:vertAlign w:val="superscript"/>
              </w:rPr>
            </w:pPr>
            <w:r>
              <w:rPr>
                <w:rFonts w:cs="Times New Roman"/>
                <w:sz w:val="22"/>
                <w:szCs w:val="22"/>
              </w:rPr>
              <w:t>Redemption</w:t>
            </w:r>
            <w:r>
              <w:rPr>
                <w:rFonts w:cs="Times New Roman"/>
                <w:sz w:val="22"/>
                <w:szCs w:val="22"/>
              </w:rPr>
              <w:br/>
            </w:r>
            <w:r>
              <w:rPr>
                <w:rFonts w:cs="Times New Roman"/>
                <w:sz w:val="22"/>
                <w:szCs w:val="22"/>
                <w:u w:val="single"/>
              </w:rPr>
              <w:t>Amount</w:t>
            </w:r>
            <w:r>
              <w:rPr>
                <w:rFonts w:cs="Times New Roman"/>
                <w:i/>
                <w:iCs/>
                <w:sz w:val="22"/>
                <w:szCs w:val="22"/>
                <w:vertAlign w:val="superscript"/>
              </w:rPr>
              <w:t>*</w:t>
            </w:r>
          </w:p>
        </w:tc>
        <w:tc>
          <w:tcPr>
            <w:tcW w:w="2164" w:type="dxa"/>
            <w:vAlign w:val="bottom"/>
          </w:tcPr>
          <w:p w14:paraId="2A0102F9" w14:textId="5F7DF7C5" w:rsidR="0047340E" w:rsidRPr="00C624AA" w:rsidRDefault="0047340E" w:rsidP="0047340E">
            <w:pPr>
              <w:keepNext/>
              <w:widowControl w:val="0"/>
              <w:autoSpaceDE w:val="0"/>
              <w:autoSpaceDN w:val="0"/>
              <w:adjustRightInd w:val="0"/>
              <w:jc w:val="center"/>
              <w:rPr>
                <w:rFonts w:cs="Times New Roman"/>
                <w:sz w:val="22"/>
                <w:szCs w:val="22"/>
              </w:rPr>
            </w:pPr>
            <w:r>
              <w:rPr>
                <w:rFonts w:cs="Times New Roman"/>
                <w:sz w:val="22"/>
                <w:szCs w:val="22"/>
              </w:rPr>
              <w:t>Year of Redemption</w:t>
            </w:r>
            <w:r>
              <w:rPr>
                <w:rFonts w:cs="Times New Roman"/>
                <w:sz w:val="22"/>
                <w:szCs w:val="22"/>
              </w:rPr>
              <w:br/>
              <w:t>(</w:t>
            </w:r>
            <w:r>
              <w:rPr>
                <w:rFonts w:cs="Times New Roman"/>
                <w:sz w:val="22"/>
                <w:szCs w:val="22"/>
                <w:u w:val="single"/>
              </w:rPr>
              <w:t>March 1</w:t>
            </w:r>
            <w:r>
              <w:rPr>
                <w:rFonts w:cs="Times New Roman"/>
                <w:sz w:val="22"/>
                <w:szCs w:val="22"/>
              </w:rPr>
              <w:t>)</w:t>
            </w:r>
            <w:r>
              <w:rPr>
                <w:rFonts w:cs="Times New Roman"/>
                <w:sz w:val="22"/>
                <w:szCs w:val="22"/>
                <w:vertAlign w:val="superscript"/>
              </w:rPr>
              <w:t>*</w:t>
            </w:r>
          </w:p>
        </w:tc>
        <w:tc>
          <w:tcPr>
            <w:tcW w:w="2165" w:type="dxa"/>
            <w:vAlign w:val="bottom"/>
          </w:tcPr>
          <w:p w14:paraId="03DBCE6C" w14:textId="38CBAF9F" w:rsidR="0047340E" w:rsidRPr="00C624AA" w:rsidRDefault="0047340E" w:rsidP="0047340E">
            <w:pPr>
              <w:keepNext/>
              <w:widowControl w:val="0"/>
              <w:autoSpaceDE w:val="0"/>
              <w:autoSpaceDN w:val="0"/>
              <w:adjustRightInd w:val="0"/>
              <w:jc w:val="center"/>
              <w:rPr>
                <w:rFonts w:cs="Times New Roman"/>
                <w:sz w:val="22"/>
                <w:szCs w:val="22"/>
              </w:rPr>
            </w:pPr>
            <w:r>
              <w:rPr>
                <w:rFonts w:cs="Times New Roman"/>
                <w:sz w:val="22"/>
                <w:szCs w:val="22"/>
              </w:rPr>
              <w:t>Redemption</w:t>
            </w:r>
            <w:r>
              <w:rPr>
                <w:rFonts w:cs="Times New Roman"/>
                <w:sz w:val="22"/>
                <w:szCs w:val="22"/>
              </w:rPr>
              <w:br/>
            </w:r>
            <w:r>
              <w:rPr>
                <w:rFonts w:cs="Times New Roman"/>
                <w:sz w:val="22"/>
                <w:szCs w:val="22"/>
                <w:u w:val="single"/>
              </w:rPr>
              <w:t>Amount</w:t>
            </w:r>
            <w:r>
              <w:rPr>
                <w:rFonts w:cs="Times New Roman"/>
                <w:sz w:val="22"/>
                <w:szCs w:val="22"/>
                <w:vertAlign w:val="superscript"/>
              </w:rPr>
              <w:t>*</w:t>
            </w:r>
          </w:p>
        </w:tc>
      </w:tr>
      <w:tr w:rsidR="0047340E" w:rsidRPr="00C624AA" w14:paraId="7E6F7ADD" w14:textId="228AAF0C" w:rsidTr="0047340E">
        <w:trPr>
          <w:jc w:val="center"/>
        </w:trPr>
        <w:tc>
          <w:tcPr>
            <w:tcW w:w="2164" w:type="dxa"/>
            <w:vAlign w:val="center"/>
          </w:tcPr>
          <w:p w14:paraId="7D6CCE1C" w14:textId="05309ACE"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522C0959" w14:textId="142D50D9" w:rsidR="0047340E" w:rsidRPr="00C624AA" w:rsidRDefault="0047340E"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3D6A2079" w14:textId="084497C2"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2B6C95E1" w14:textId="5E9A1E1C" w:rsidR="0047340E" w:rsidRPr="00C624AA" w:rsidRDefault="0047340E"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7FD6749C" w14:textId="7FBE9CFF" w:rsidTr="0047340E">
        <w:trPr>
          <w:jc w:val="center"/>
        </w:trPr>
        <w:tc>
          <w:tcPr>
            <w:tcW w:w="2164" w:type="dxa"/>
            <w:vAlign w:val="center"/>
          </w:tcPr>
          <w:p w14:paraId="15C960D5" w14:textId="7E9C635B"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69947842" w14:textId="4277503E"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4E99CEAF" w14:textId="74ACDC6F"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7D9AE6B6" w14:textId="6A564170"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1B32D3E4" w14:textId="3A91DDD6" w:rsidTr="0047340E">
        <w:trPr>
          <w:jc w:val="center"/>
        </w:trPr>
        <w:tc>
          <w:tcPr>
            <w:tcW w:w="2164" w:type="dxa"/>
            <w:vAlign w:val="center"/>
          </w:tcPr>
          <w:p w14:paraId="61446F71" w14:textId="20082E6C"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19743C1D" w14:textId="2E5BC691"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08F82F31" w14:textId="3749B77C"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3437131D" w14:textId="0AF6928C"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10019083" w14:textId="3FE50EBC" w:rsidTr="0047340E">
        <w:trPr>
          <w:jc w:val="center"/>
        </w:trPr>
        <w:tc>
          <w:tcPr>
            <w:tcW w:w="2164" w:type="dxa"/>
            <w:vAlign w:val="center"/>
          </w:tcPr>
          <w:p w14:paraId="07F7A3E1" w14:textId="40B9AE1C"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42569E3E" w14:textId="76F9753F"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51731BE9" w14:textId="7A37C5AF"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48029CC6" w14:textId="0A922126"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4F66480B" w14:textId="27453DAF" w:rsidTr="0047340E">
        <w:trPr>
          <w:jc w:val="center"/>
        </w:trPr>
        <w:tc>
          <w:tcPr>
            <w:tcW w:w="2164" w:type="dxa"/>
            <w:vAlign w:val="center"/>
          </w:tcPr>
          <w:p w14:paraId="271198DB" w14:textId="2EF059AA"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6921C3ED" w14:textId="26C27389"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265C2FAD" w14:textId="64411252"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399DD62A" w14:textId="7B1687BA"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2B0F4EF9" w14:textId="772DECAF" w:rsidTr="0047340E">
        <w:trPr>
          <w:jc w:val="center"/>
        </w:trPr>
        <w:tc>
          <w:tcPr>
            <w:tcW w:w="2164" w:type="dxa"/>
            <w:vAlign w:val="center"/>
          </w:tcPr>
          <w:p w14:paraId="1794BED4" w14:textId="57F5B37B"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40698490" w14:textId="33692F6D"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37DDF733" w14:textId="62A533F0"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596142A8" w14:textId="0B138D43"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4C36EAA6" w14:textId="77777777" w:rsidTr="0047340E">
        <w:trPr>
          <w:jc w:val="center"/>
        </w:trPr>
        <w:tc>
          <w:tcPr>
            <w:tcW w:w="2164" w:type="dxa"/>
            <w:vAlign w:val="center"/>
          </w:tcPr>
          <w:p w14:paraId="59B229FA" w14:textId="206BE93F"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230139A2" w14:textId="5D17D598"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010CBF37" w14:textId="32DB2E54"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61105FC5" w14:textId="26E1223F"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55A9942A" w14:textId="77777777" w:rsidTr="0047340E">
        <w:trPr>
          <w:jc w:val="center"/>
        </w:trPr>
        <w:tc>
          <w:tcPr>
            <w:tcW w:w="2164" w:type="dxa"/>
            <w:vAlign w:val="center"/>
          </w:tcPr>
          <w:p w14:paraId="6F83A16D" w14:textId="326504A6"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27D4BC19" w14:textId="5F4A83AD"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2740DB55" w14:textId="47C967FA"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7E2B13F5" w14:textId="5960C4AB"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0100961E" w14:textId="77777777" w:rsidTr="0047340E">
        <w:trPr>
          <w:jc w:val="center"/>
        </w:trPr>
        <w:tc>
          <w:tcPr>
            <w:tcW w:w="2164" w:type="dxa"/>
            <w:vAlign w:val="center"/>
          </w:tcPr>
          <w:p w14:paraId="154A6A13" w14:textId="2FB03542"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62D41246" w14:textId="4C266B9B"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7CCDEA2F" w14:textId="5B0CD8FB"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029DF65A" w14:textId="0856A1F7"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3448BF22" w14:textId="77777777" w:rsidTr="0047340E">
        <w:trPr>
          <w:jc w:val="center"/>
        </w:trPr>
        <w:tc>
          <w:tcPr>
            <w:tcW w:w="2164" w:type="dxa"/>
            <w:vAlign w:val="center"/>
          </w:tcPr>
          <w:p w14:paraId="78B3F6DF" w14:textId="623754CA"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2B12BB0E" w14:textId="5156E78F"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089ECD40" w14:textId="1B020633"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4F34B676" w14:textId="7CD96ACD"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6007B07C" w14:textId="77777777" w:rsidTr="0047340E">
        <w:trPr>
          <w:jc w:val="center"/>
        </w:trPr>
        <w:tc>
          <w:tcPr>
            <w:tcW w:w="2164" w:type="dxa"/>
            <w:vAlign w:val="center"/>
          </w:tcPr>
          <w:p w14:paraId="10B5B670" w14:textId="07CAD9F6"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2624A6C1" w14:textId="6BD84216"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671DF933" w14:textId="2437DE05"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03EE177C" w14:textId="188542A1"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58C05087" w14:textId="77777777" w:rsidTr="0047340E">
        <w:trPr>
          <w:jc w:val="center"/>
        </w:trPr>
        <w:tc>
          <w:tcPr>
            <w:tcW w:w="2164" w:type="dxa"/>
            <w:vAlign w:val="center"/>
          </w:tcPr>
          <w:p w14:paraId="3C0E1DAD" w14:textId="20BCCD7C"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04953A69" w14:textId="6DED87FF"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center"/>
          </w:tcPr>
          <w:p w14:paraId="6BEE8956" w14:textId="40B30E31" w:rsidR="0047340E" w:rsidRPr="00C624AA" w:rsidRDefault="0047340E" w:rsidP="0047340E">
            <w:pPr>
              <w:keepNext/>
              <w:widowControl w:val="0"/>
              <w:tabs>
                <w:tab w:val="decimal" w:pos="1206"/>
              </w:tabs>
              <w:autoSpaceDE w:val="0"/>
              <w:autoSpaceDN w:val="0"/>
              <w:adjustRightInd w:val="0"/>
              <w:rPr>
                <w:rFonts w:cs="Times New Roman"/>
                <w:sz w:val="22"/>
                <w:szCs w:val="22"/>
              </w:rPr>
            </w:pPr>
            <w:r>
              <w:rPr>
                <w:color w:val="000000"/>
                <w:sz w:val="22"/>
                <w:szCs w:val="22"/>
              </w:rPr>
              <w:t>20[__]**</w:t>
            </w:r>
          </w:p>
        </w:tc>
        <w:tc>
          <w:tcPr>
            <w:tcW w:w="2165" w:type="dxa"/>
          </w:tcPr>
          <w:p w14:paraId="3917951D" w14:textId="5283C8C5"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r>
      <w:tr w:rsidR="0047340E" w:rsidRPr="00C624AA" w14:paraId="6A77A032" w14:textId="77777777" w:rsidTr="0047340E">
        <w:trPr>
          <w:jc w:val="center"/>
        </w:trPr>
        <w:tc>
          <w:tcPr>
            <w:tcW w:w="2164" w:type="dxa"/>
            <w:vAlign w:val="center"/>
          </w:tcPr>
          <w:p w14:paraId="1F215F29" w14:textId="288F97A4" w:rsidR="0047340E" w:rsidRPr="00C624AA" w:rsidRDefault="0047340E" w:rsidP="0047340E">
            <w:pPr>
              <w:keepNext/>
              <w:widowControl w:val="0"/>
              <w:tabs>
                <w:tab w:val="decimal" w:pos="1206"/>
              </w:tabs>
              <w:autoSpaceDE w:val="0"/>
              <w:autoSpaceDN w:val="0"/>
              <w:adjustRightInd w:val="0"/>
              <w:rPr>
                <w:rFonts w:cs="Times New Roman"/>
                <w:sz w:val="22"/>
                <w:szCs w:val="22"/>
                <w:vertAlign w:val="superscript"/>
              </w:rPr>
            </w:pPr>
            <w:r>
              <w:rPr>
                <w:color w:val="000000"/>
                <w:sz w:val="22"/>
                <w:szCs w:val="22"/>
              </w:rPr>
              <w:t>20[__]</w:t>
            </w:r>
          </w:p>
        </w:tc>
        <w:tc>
          <w:tcPr>
            <w:tcW w:w="2165" w:type="dxa"/>
          </w:tcPr>
          <w:p w14:paraId="5E4C7A50" w14:textId="795DA4A6" w:rsidR="0047340E" w:rsidRPr="00C624AA" w:rsidRDefault="00FF3207" w:rsidP="0047340E">
            <w:pPr>
              <w:keepNext/>
              <w:widowControl w:val="0"/>
              <w:autoSpaceDE w:val="0"/>
              <w:autoSpaceDN w:val="0"/>
              <w:adjustRightInd w:val="0"/>
              <w:ind w:right="612"/>
              <w:jc w:val="right"/>
              <w:rPr>
                <w:rFonts w:cs="Times New Roman"/>
                <w:sz w:val="22"/>
                <w:szCs w:val="22"/>
              </w:rPr>
            </w:pPr>
            <w:r>
              <w:rPr>
                <w:color w:val="000000"/>
                <w:sz w:val="22"/>
                <w:szCs w:val="22"/>
              </w:rPr>
              <w:t>[_____]</w:t>
            </w:r>
          </w:p>
        </w:tc>
        <w:tc>
          <w:tcPr>
            <w:tcW w:w="2164" w:type="dxa"/>
            <w:vAlign w:val="bottom"/>
          </w:tcPr>
          <w:p w14:paraId="36FD47C6" w14:textId="77777777" w:rsidR="0047340E" w:rsidRPr="00C624AA" w:rsidRDefault="0047340E" w:rsidP="0047340E">
            <w:pPr>
              <w:keepNext/>
              <w:widowControl w:val="0"/>
              <w:tabs>
                <w:tab w:val="decimal" w:pos="1206"/>
              </w:tabs>
              <w:autoSpaceDE w:val="0"/>
              <w:autoSpaceDN w:val="0"/>
              <w:adjustRightInd w:val="0"/>
              <w:rPr>
                <w:rFonts w:cs="Times New Roman"/>
                <w:sz w:val="22"/>
                <w:szCs w:val="22"/>
              </w:rPr>
            </w:pPr>
          </w:p>
        </w:tc>
        <w:tc>
          <w:tcPr>
            <w:tcW w:w="2165" w:type="dxa"/>
            <w:vAlign w:val="bottom"/>
          </w:tcPr>
          <w:p w14:paraId="2DB7424F" w14:textId="77777777" w:rsidR="0047340E" w:rsidRPr="00C624AA" w:rsidRDefault="0047340E" w:rsidP="0047340E">
            <w:pPr>
              <w:keepNext/>
              <w:widowControl w:val="0"/>
              <w:autoSpaceDE w:val="0"/>
              <w:autoSpaceDN w:val="0"/>
              <w:adjustRightInd w:val="0"/>
              <w:ind w:right="612"/>
              <w:jc w:val="right"/>
              <w:rPr>
                <w:rFonts w:cs="Times New Roman"/>
                <w:sz w:val="22"/>
                <w:szCs w:val="22"/>
              </w:rPr>
            </w:pPr>
          </w:p>
        </w:tc>
      </w:tr>
    </w:tbl>
    <w:p w14:paraId="59A61A9A" w14:textId="3FDEC881" w:rsidR="000703BF" w:rsidRPr="00C624AA" w:rsidRDefault="000703BF" w:rsidP="000703BF">
      <w:pPr>
        <w:tabs>
          <w:tab w:val="right" w:pos="2880"/>
        </w:tabs>
        <w:rPr>
          <w:rFonts w:cs="Times New Roman"/>
          <w:sz w:val="22"/>
          <w:szCs w:val="22"/>
          <w:u w:val="single"/>
        </w:rPr>
      </w:pPr>
      <w:r>
        <w:rPr>
          <w:rFonts w:cs="Times New Roman"/>
          <w:sz w:val="22"/>
          <w:szCs w:val="22"/>
          <w:u w:val="single"/>
        </w:rPr>
        <w:tab/>
      </w:r>
    </w:p>
    <w:p w14:paraId="44CCD1FA" w14:textId="2AFBBDAC" w:rsidR="00815121" w:rsidRDefault="00815121" w:rsidP="000703BF">
      <w:pPr>
        <w:rPr>
          <w:rFonts w:cs="Times New Roman"/>
          <w:sz w:val="22"/>
          <w:szCs w:val="22"/>
        </w:rPr>
      </w:pPr>
      <w:r>
        <w:rPr>
          <w:rFonts w:cs="Times New Roman"/>
          <w:sz w:val="22"/>
          <w:szCs w:val="22"/>
        </w:rPr>
        <w:t>*</w:t>
      </w:r>
      <w:r>
        <w:rPr>
          <w:rFonts w:cs="Times New Roman"/>
          <w:sz w:val="22"/>
          <w:szCs w:val="22"/>
        </w:rPr>
        <w:tab/>
        <w:t>Preliminary; subject to change.</w:t>
      </w:r>
    </w:p>
    <w:p w14:paraId="253D18E6" w14:textId="2A59743B" w:rsidR="001D703E" w:rsidRPr="00C624AA" w:rsidRDefault="000703BF" w:rsidP="000703BF">
      <w:pPr>
        <w:rPr>
          <w:rFonts w:cs="Times New Roman"/>
          <w:sz w:val="22"/>
          <w:szCs w:val="22"/>
        </w:rPr>
      </w:pPr>
      <w:r>
        <w:rPr>
          <w:rFonts w:cs="Times New Roman"/>
          <w:sz w:val="22"/>
          <w:szCs w:val="22"/>
        </w:rPr>
        <w:t>**</w:t>
      </w:r>
      <w:r>
        <w:rPr>
          <w:rFonts w:cs="Times New Roman"/>
          <w:sz w:val="22"/>
          <w:szCs w:val="22"/>
        </w:rPr>
        <w:tab/>
        <w:t>Final maturity, not a sinking fund redemption</w:t>
      </w:r>
    </w:p>
    <w:p w14:paraId="19B77AA9" w14:textId="77777777" w:rsidR="000703BF" w:rsidRPr="00C624AA" w:rsidRDefault="000703BF" w:rsidP="000703BF">
      <w:pPr>
        <w:rPr>
          <w:rFonts w:cs="Times New Roman"/>
          <w:sz w:val="22"/>
          <w:szCs w:val="22"/>
        </w:rPr>
      </w:pPr>
    </w:p>
    <w:p w14:paraId="50703700" w14:textId="3011DA6B" w:rsidR="00747761" w:rsidRPr="00DA2177" w:rsidRDefault="00747761" w:rsidP="00D8144E">
      <w:pPr>
        <w:pStyle w:val="00BodyText5"/>
        <w:rPr>
          <w:rFonts w:cs="Times New Roman"/>
          <w:szCs w:val="22"/>
        </w:rPr>
      </w:pPr>
      <w:r>
        <w:rPr>
          <w:rFonts w:cs="Times New Roman"/>
          <w:szCs w:val="22"/>
        </w:rPr>
        <w:t xml:space="preserve">On or before </w:t>
      </w:r>
      <w:r w:rsidR="00683F5C">
        <w:rPr>
          <w:rFonts w:cs="Times New Roman"/>
          <w:szCs w:val="22"/>
        </w:rPr>
        <w:t>30</w:t>
      </w:r>
      <w:r>
        <w:rPr>
          <w:rFonts w:cs="Times New Roman"/>
          <w:szCs w:val="22"/>
        </w:rPr>
        <w:t xml:space="preserve"> days prior to each sinking fund installment date as set forth above, the Trustee is to select for redemption, by lot in such manner as the Trustee may determine, from the Outstanding </w:t>
      </w:r>
      <w:r w:rsidR="00787226">
        <w:rPr>
          <w:rFonts w:cs="Times New Roman"/>
          <w:szCs w:val="22"/>
        </w:rPr>
        <w:t>2026A-1 Senior LT Bond</w:t>
      </w:r>
      <w:r>
        <w:rPr>
          <w:rFonts w:cs="Times New Roman"/>
          <w:szCs w:val="22"/>
        </w:rPr>
        <w:t xml:space="preserve">s, a principal amount of such </w:t>
      </w:r>
      <w:r w:rsidR="00787226">
        <w:rPr>
          <w:rFonts w:cs="Times New Roman"/>
          <w:szCs w:val="22"/>
        </w:rPr>
        <w:t>2026A-1 Senior LT Bond</w:t>
      </w:r>
      <w:r>
        <w:rPr>
          <w:rFonts w:cs="Times New Roman"/>
          <w:szCs w:val="22"/>
        </w:rPr>
        <w:t xml:space="preserve">s equal to the applicable sinking fund installment. The amount of the applicable sinking fund installment for any particular date is to be reduced by the principal amount of any </w:t>
      </w:r>
      <w:r w:rsidR="00787226">
        <w:rPr>
          <w:rFonts w:cs="Times New Roman"/>
          <w:szCs w:val="22"/>
        </w:rPr>
        <w:t>2026A-1 Senior LT Bond</w:t>
      </w:r>
      <w:r>
        <w:rPr>
          <w:rFonts w:cs="Times New Roman"/>
          <w:szCs w:val="22"/>
        </w:rPr>
        <w:t xml:space="preserve">s which prior to said date have been redeemed (otherwise than through the operation of the sinking fund) and cancelled and not theretofore applied as a credit against a sinking fund installment. Such reductions are to be applied in such year or years as may be determined by the District. In the event that there are not sufficient moneys in the </w:t>
      </w:r>
      <w:r w:rsidR="007217C3">
        <w:rPr>
          <w:rFonts w:cs="Times New Roman"/>
          <w:szCs w:val="22"/>
        </w:rPr>
        <w:t>Senior LT Bond Fund</w:t>
      </w:r>
      <w:r>
        <w:rPr>
          <w:rFonts w:cs="Times New Roman"/>
          <w:szCs w:val="22"/>
        </w:rPr>
        <w:t xml:space="preserve"> to pay the full amount due in accordance with the foregoing on any sinking fund installment date, the Trustee is to redeem as many </w:t>
      </w:r>
      <w:r w:rsidR="00787226">
        <w:rPr>
          <w:rFonts w:cs="Times New Roman"/>
          <w:szCs w:val="22"/>
        </w:rPr>
        <w:t>2026A-1 Senior LT Bond</w:t>
      </w:r>
      <w:r>
        <w:rPr>
          <w:rFonts w:cs="Times New Roman"/>
          <w:szCs w:val="22"/>
        </w:rPr>
        <w:t xml:space="preserve">s as possible on such date in integral multiples of $1,000, and any redemption amount for which funds are not available to redeem </w:t>
      </w:r>
      <w:r w:rsidR="00787226">
        <w:rPr>
          <w:rFonts w:cs="Times New Roman"/>
          <w:szCs w:val="22"/>
        </w:rPr>
        <w:t>2026A-1 Senior LT Bond</w:t>
      </w:r>
      <w:r>
        <w:rPr>
          <w:rFonts w:cs="Times New Roman"/>
          <w:szCs w:val="22"/>
        </w:rPr>
        <w:t>s is to be added to the redemption amount for the immediately succeeding sinking fund installment date.</w:t>
      </w:r>
    </w:p>
    <w:p w14:paraId="757EE40D" w14:textId="4603FFB8" w:rsidR="0075493D" w:rsidRPr="00DA2177" w:rsidRDefault="00747761" w:rsidP="00071158">
      <w:pPr>
        <w:pStyle w:val="00BodyText5"/>
        <w:rPr>
          <w:rFonts w:cs="Times New Roman"/>
          <w:szCs w:val="22"/>
        </w:rPr>
      </w:pPr>
      <w:r>
        <w:rPr>
          <w:rStyle w:val="00BodyText5Char"/>
          <w:rFonts w:cs="Times New Roman"/>
          <w:b/>
          <w:bCs/>
          <w:i/>
          <w:iCs/>
          <w:szCs w:val="22"/>
        </w:rPr>
        <w:t>General Redemption Provisions</w:t>
      </w:r>
      <w:r>
        <w:rPr>
          <w:rFonts w:cs="Times New Roman"/>
          <w:szCs w:val="22"/>
        </w:rPr>
        <w:t xml:space="preserve">. If less than all of the </w:t>
      </w:r>
      <w:r w:rsidR="00787226">
        <w:rPr>
          <w:rFonts w:cs="Times New Roman"/>
          <w:szCs w:val="22"/>
        </w:rPr>
        <w:t>2026A-1 Senior LT Bond</w:t>
      </w:r>
      <w:r>
        <w:rPr>
          <w:rFonts w:cs="Times New Roman"/>
          <w:szCs w:val="22"/>
        </w:rPr>
        <w:t xml:space="preserve">s within a maturity are to be redeemed on any prior redemption date, the </w:t>
      </w:r>
      <w:r w:rsidR="00787226">
        <w:rPr>
          <w:rFonts w:cs="Times New Roman"/>
          <w:szCs w:val="22"/>
        </w:rPr>
        <w:t>2026A-1 Senior LT Bond</w:t>
      </w:r>
      <w:r>
        <w:rPr>
          <w:rFonts w:cs="Times New Roman"/>
          <w:szCs w:val="22"/>
        </w:rPr>
        <w:t xml:space="preserve">s to be redeemed are to be selected by lot prior to the date fixed for redemption, in such manner as the Trustee is to determine. The </w:t>
      </w:r>
      <w:r w:rsidR="00787226">
        <w:rPr>
          <w:rFonts w:cs="Times New Roman"/>
          <w:szCs w:val="22"/>
        </w:rPr>
        <w:t>2026A-1 Senior LT Bond</w:t>
      </w:r>
      <w:r>
        <w:rPr>
          <w:rFonts w:cs="Times New Roman"/>
          <w:szCs w:val="22"/>
        </w:rPr>
        <w:t xml:space="preserve">s are to be redeemed only in integral multiples of $1,000. In the event a </w:t>
      </w:r>
      <w:r w:rsidR="00787226">
        <w:rPr>
          <w:rFonts w:cs="Times New Roman"/>
          <w:szCs w:val="22"/>
        </w:rPr>
        <w:t>2026A-1 Senior LT Bond</w:t>
      </w:r>
      <w:r>
        <w:rPr>
          <w:rFonts w:cs="Times New Roman"/>
          <w:szCs w:val="22"/>
        </w:rPr>
        <w:t xml:space="preserve"> is of a denomination larger than $1,000, a portion of such </w:t>
      </w:r>
      <w:r w:rsidR="00787226">
        <w:rPr>
          <w:rFonts w:cs="Times New Roman"/>
          <w:szCs w:val="22"/>
        </w:rPr>
        <w:t>2026A-1 Senior LT Bond</w:t>
      </w:r>
      <w:r>
        <w:rPr>
          <w:rFonts w:cs="Times New Roman"/>
          <w:szCs w:val="22"/>
        </w:rPr>
        <w:t xml:space="preserve"> may be redeemed, but only in the principal amount of $1,000 or any integral multiple thereof. Such </w:t>
      </w:r>
      <w:r w:rsidR="00787226">
        <w:rPr>
          <w:rFonts w:cs="Times New Roman"/>
          <w:szCs w:val="22"/>
        </w:rPr>
        <w:t>2026A-1 Senior LT Bond</w:t>
      </w:r>
      <w:r>
        <w:rPr>
          <w:rFonts w:cs="Times New Roman"/>
          <w:szCs w:val="22"/>
        </w:rPr>
        <w:t xml:space="preserve"> is to be treated for the purpose of redemption as that number of </w:t>
      </w:r>
      <w:r w:rsidR="00787226">
        <w:rPr>
          <w:rFonts w:cs="Times New Roman"/>
          <w:szCs w:val="22"/>
        </w:rPr>
        <w:t>2026A-1 Senior LT Bond</w:t>
      </w:r>
      <w:r>
        <w:rPr>
          <w:rFonts w:cs="Times New Roman"/>
          <w:szCs w:val="22"/>
        </w:rPr>
        <w:t xml:space="preserve">s which results from dividing the principal amount of such </w:t>
      </w:r>
      <w:r w:rsidR="00787226">
        <w:rPr>
          <w:rFonts w:cs="Times New Roman"/>
          <w:szCs w:val="22"/>
        </w:rPr>
        <w:t>2026A-1 Senior LT Bond</w:t>
      </w:r>
      <w:r>
        <w:rPr>
          <w:rFonts w:cs="Times New Roman"/>
          <w:szCs w:val="22"/>
        </w:rPr>
        <w:t xml:space="preserve"> by $1,000. In the event a portion of any </w:t>
      </w:r>
      <w:r w:rsidR="00787226">
        <w:rPr>
          <w:rFonts w:cs="Times New Roman"/>
          <w:szCs w:val="22"/>
        </w:rPr>
        <w:t>2026A-1 Senior LT Bond</w:t>
      </w:r>
      <w:r>
        <w:rPr>
          <w:rFonts w:cs="Times New Roman"/>
          <w:szCs w:val="22"/>
        </w:rPr>
        <w:t xml:space="preserve"> is redeemed, the Trustee is to, without charge to the Owner of such </w:t>
      </w:r>
      <w:r w:rsidR="00787226">
        <w:rPr>
          <w:rFonts w:cs="Times New Roman"/>
          <w:szCs w:val="22"/>
        </w:rPr>
        <w:t>2026A-1 Senior LT Bond</w:t>
      </w:r>
      <w:r>
        <w:rPr>
          <w:rFonts w:cs="Times New Roman"/>
          <w:szCs w:val="22"/>
        </w:rPr>
        <w:t xml:space="preserve">, authenticate and deliver a replacement </w:t>
      </w:r>
      <w:r w:rsidR="00787226">
        <w:rPr>
          <w:rFonts w:cs="Times New Roman"/>
          <w:szCs w:val="22"/>
        </w:rPr>
        <w:t>2026A-1 Senior LT Bond</w:t>
      </w:r>
      <w:r>
        <w:rPr>
          <w:rFonts w:cs="Times New Roman"/>
          <w:szCs w:val="22"/>
        </w:rPr>
        <w:t xml:space="preserve"> or </w:t>
      </w:r>
      <w:r w:rsidR="00787226">
        <w:rPr>
          <w:rFonts w:cs="Times New Roman"/>
          <w:szCs w:val="22"/>
        </w:rPr>
        <w:t>2026A-1 Senior LT Bond</w:t>
      </w:r>
      <w:r>
        <w:rPr>
          <w:rFonts w:cs="Times New Roman"/>
          <w:szCs w:val="22"/>
        </w:rPr>
        <w:t>s for the unredeemed portion thereof.</w:t>
      </w:r>
    </w:p>
    <w:p w14:paraId="4B439347" w14:textId="56BC0C7B" w:rsidR="00747761" w:rsidRPr="00F970BF" w:rsidRDefault="00747761" w:rsidP="00D8144E">
      <w:pPr>
        <w:pStyle w:val="00BodyText5"/>
        <w:rPr>
          <w:rFonts w:cs="Times New Roman"/>
          <w:szCs w:val="22"/>
        </w:rPr>
      </w:pPr>
      <w:r>
        <w:rPr>
          <w:rStyle w:val="00BodyText5Char"/>
          <w:rFonts w:cs="Times New Roman"/>
          <w:b/>
          <w:bCs/>
          <w:i/>
          <w:iCs/>
          <w:szCs w:val="22"/>
        </w:rPr>
        <w:t>Notice and Effect of Redemption</w:t>
      </w:r>
      <w:r>
        <w:rPr>
          <w:rFonts w:cs="Times New Roman"/>
          <w:szCs w:val="22"/>
        </w:rPr>
        <w:t xml:space="preserve">. In the event any of the </w:t>
      </w:r>
      <w:r w:rsidR="00787226">
        <w:rPr>
          <w:rFonts w:cs="Times New Roman"/>
          <w:szCs w:val="22"/>
        </w:rPr>
        <w:t>2026A-1 Senior LT Bond</w:t>
      </w:r>
      <w:r>
        <w:rPr>
          <w:rFonts w:cs="Times New Roman"/>
          <w:szCs w:val="22"/>
        </w:rPr>
        <w:t xml:space="preserve">s or portions thereof are called for redemption as aforesaid, notice thereof identifying the </w:t>
      </w:r>
      <w:r w:rsidR="00787226">
        <w:rPr>
          <w:rFonts w:cs="Times New Roman"/>
          <w:szCs w:val="22"/>
        </w:rPr>
        <w:t>2026A-1 Senior LT Bond</w:t>
      </w:r>
      <w:r>
        <w:rPr>
          <w:rFonts w:cs="Times New Roman"/>
          <w:szCs w:val="22"/>
        </w:rPr>
        <w:t xml:space="preserve">s or portions thereof to be redeemed will be given by the Trustee by mailing a copy of the redemption notice by first-class mail (postage prepaid) or by electronic means to DTC or its successors, not less than 20 days prior to the redemption date to the Owner of each </w:t>
      </w:r>
      <w:r w:rsidR="00787226">
        <w:rPr>
          <w:rFonts w:cs="Times New Roman"/>
          <w:szCs w:val="22"/>
        </w:rPr>
        <w:t>2026A-1 Senior LT Bond</w:t>
      </w:r>
      <w:r>
        <w:rPr>
          <w:rFonts w:cs="Times New Roman"/>
          <w:szCs w:val="22"/>
        </w:rPr>
        <w:t xml:space="preserve"> to be redeemed in whole or in part at the address shown on the registration books maintained by or on behalf of the District by the Trustee. Failure to give such notice by mailing to any Owner or by electronic means to DTC or its successors, or any defect therein, is not to affect the validity of any proceeding for the redemption of other </w:t>
      </w:r>
      <w:r w:rsidR="00787226">
        <w:rPr>
          <w:rFonts w:cs="Times New Roman"/>
          <w:szCs w:val="22"/>
        </w:rPr>
        <w:t>2026A-1 Senior LT Bond</w:t>
      </w:r>
      <w:r>
        <w:rPr>
          <w:rFonts w:cs="Times New Roman"/>
          <w:szCs w:val="22"/>
        </w:rPr>
        <w:t xml:space="preserve">s as to which no such failure or defect exists. The redemption of the </w:t>
      </w:r>
      <w:r w:rsidR="00787226">
        <w:rPr>
          <w:rFonts w:cs="Times New Roman"/>
          <w:szCs w:val="22"/>
        </w:rPr>
        <w:t>2026A-1 Senior LT Bond</w:t>
      </w:r>
      <w:r>
        <w:rPr>
          <w:rFonts w:cs="Times New Roman"/>
          <w:szCs w:val="22"/>
        </w:rPr>
        <w:t xml:space="preserve">s may be contingent or subject to such conditions as may be specified in the notice, and if funds for the redemption are not irrevocably deposited with the Trustee or otherwise placed in escrow and in trust prior to the giving of notice of redemption, the notice is to be specifically subject to the deposit of funds by the District. All </w:t>
      </w:r>
      <w:r w:rsidR="00787226">
        <w:rPr>
          <w:rFonts w:cs="Times New Roman"/>
          <w:szCs w:val="22"/>
        </w:rPr>
        <w:t>2026A-1 Senior LT Bond</w:t>
      </w:r>
      <w:r>
        <w:rPr>
          <w:rFonts w:cs="Times New Roman"/>
          <w:szCs w:val="22"/>
        </w:rPr>
        <w:t>s so called for redemption will cease to bear interest after the specified redemption date, provided funds for their redemption are on deposit at the place of payment at that time.</w:t>
      </w:r>
    </w:p>
    <w:p w14:paraId="4146CC74" w14:textId="003BD17D" w:rsidR="004F58B2" w:rsidRPr="00F970BF" w:rsidRDefault="00B869FD" w:rsidP="00B471D8">
      <w:pPr>
        <w:pStyle w:val="Heading2"/>
        <w:numPr>
          <w:ilvl w:val="1"/>
          <w:numId w:val="2"/>
        </w:numPr>
        <w:rPr>
          <w:sz w:val="22"/>
          <w:szCs w:val="22"/>
        </w:rPr>
      </w:pPr>
      <w:bookmarkStart w:id="114" w:name="_Toc235521066"/>
      <w:r>
        <w:rPr>
          <w:sz w:val="22"/>
          <w:szCs w:val="22"/>
        </w:rPr>
        <w:t xml:space="preserve">Security for the </w:t>
      </w:r>
      <w:r w:rsidR="00787226">
        <w:rPr>
          <w:sz w:val="22"/>
          <w:szCs w:val="22"/>
        </w:rPr>
        <w:t>2026A-1 Senior LT Bond</w:t>
      </w:r>
      <w:r>
        <w:rPr>
          <w:sz w:val="22"/>
          <w:szCs w:val="22"/>
        </w:rPr>
        <w:t>s</w:t>
      </w:r>
      <w:bookmarkEnd w:id="114"/>
    </w:p>
    <w:p w14:paraId="5700A638" w14:textId="492F3569" w:rsidR="004F58B2" w:rsidRDefault="004F58B2" w:rsidP="004F58B2">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 xml:space="preserve">s are limited tax general obligations of the District secured by and payable from the </w:t>
      </w:r>
      <w:r w:rsidR="000F65D0">
        <w:rPr>
          <w:rFonts w:cs="Times New Roman"/>
          <w:szCs w:val="22"/>
        </w:rPr>
        <w:t xml:space="preserve">Senior </w:t>
      </w:r>
      <w:r>
        <w:rPr>
          <w:rFonts w:cs="Times New Roman"/>
          <w:szCs w:val="22"/>
        </w:rPr>
        <w:t xml:space="preserve">LT Pledged Revenue consisting of the following revenues: (a) </w:t>
      </w:r>
      <w:r w:rsidR="005C7E1E">
        <w:rPr>
          <w:rFonts w:cs="Times New Roman"/>
          <w:szCs w:val="22"/>
        </w:rPr>
        <w:t>all Senior Property Tax Revenue</w:t>
      </w:r>
      <w:r w:rsidR="004C7B35">
        <w:rPr>
          <w:rFonts w:cs="Times New Roman"/>
          <w:szCs w:val="22"/>
        </w:rPr>
        <w:t>s</w:t>
      </w:r>
      <w:r w:rsidR="005C7E1E">
        <w:rPr>
          <w:rFonts w:cs="Times New Roman"/>
          <w:szCs w:val="22"/>
        </w:rPr>
        <w:t>;</w:t>
      </w:r>
      <w:r>
        <w:rPr>
          <w:rFonts w:cs="Times New Roman"/>
          <w:szCs w:val="22"/>
        </w:rPr>
        <w:t xml:space="preserve"> (b) all </w:t>
      </w:r>
      <w:r w:rsidR="005C7E1E">
        <w:rPr>
          <w:rFonts w:cs="Times New Roman"/>
          <w:szCs w:val="22"/>
        </w:rPr>
        <w:t xml:space="preserve">Senior </w:t>
      </w:r>
      <w:r>
        <w:rPr>
          <w:rFonts w:cs="Times New Roman"/>
          <w:szCs w:val="22"/>
        </w:rPr>
        <w:t xml:space="preserve">Pioneering </w:t>
      </w:r>
      <w:r w:rsidR="004C7B35">
        <w:rPr>
          <w:rFonts w:cs="Times New Roman"/>
          <w:szCs w:val="22"/>
        </w:rPr>
        <w:t>Agreement Revenues, if any</w:t>
      </w:r>
      <w:r>
        <w:rPr>
          <w:rFonts w:cs="Times New Roman"/>
          <w:szCs w:val="22"/>
        </w:rPr>
        <w:t xml:space="preserve">; and (c) any other legally available moneys which the District determines, in its absolute discretion, to credit to the </w:t>
      </w:r>
      <w:r w:rsidR="007217C3">
        <w:rPr>
          <w:rFonts w:cs="Times New Roman"/>
          <w:szCs w:val="22"/>
        </w:rPr>
        <w:t>Senior LT Bond Fund</w:t>
      </w:r>
      <w:r>
        <w:rPr>
          <w:rFonts w:cs="Times New Roman"/>
          <w:szCs w:val="22"/>
        </w:rPr>
        <w:t xml:space="preserve">. </w:t>
      </w:r>
    </w:p>
    <w:p w14:paraId="621D23E1" w14:textId="1342D1F4" w:rsidR="003B6F64" w:rsidRPr="003B6F64" w:rsidRDefault="003B6F64" w:rsidP="003B6F64">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 xml:space="preserve">s are also secured by amounts on deposit in the LT Surplus Fund, which will be initially funded from proceeds of the </w:t>
      </w:r>
      <w:r w:rsidR="00787226">
        <w:rPr>
          <w:rFonts w:cs="Times New Roman"/>
          <w:szCs w:val="22"/>
        </w:rPr>
        <w:t>2026A-1 Senior LT Bond</w:t>
      </w:r>
      <w:r>
        <w:rPr>
          <w:rFonts w:cs="Times New Roman"/>
          <w:szCs w:val="22"/>
        </w:rPr>
        <w:t>s in an amount equal to $[_______]</w:t>
      </w:r>
      <w:r>
        <w:rPr>
          <w:rFonts w:cs="Times New Roman"/>
          <w:szCs w:val="22"/>
          <w:vertAlign w:val="superscript"/>
        </w:rPr>
        <w:t>*</w:t>
      </w:r>
      <w:r>
        <w:rPr>
          <w:rFonts w:cs="Times New Roman"/>
          <w:szCs w:val="22"/>
        </w:rPr>
        <w:t xml:space="preserve"> (as previously defined, the “</w:t>
      </w:r>
      <w:r>
        <w:rPr>
          <w:rFonts w:cs="Times New Roman"/>
          <w:b/>
          <w:szCs w:val="22"/>
        </w:rPr>
        <w:t>Initial Deposit</w:t>
      </w:r>
      <w:r>
        <w:rPr>
          <w:rFonts w:cs="Times New Roman"/>
          <w:szCs w:val="22"/>
        </w:rPr>
        <w:t xml:space="preserve">”), and which will be additionally funded with excess </w:t>
      </w:r>
      <w:r w:rsidR="000F65D0">
        <w:rPr>
          <w:rFonts w:cs="Times New Roman"/>
          <w:szCs w:val="22"/>
        </w:rPr>
        <w:t xml:space="preserve">Senior </w:t>
      </w:r>
      <w:r>
        <w:rPr>
          <w:rFonts w:cs="Times New Roman"/>
          <w:szCs w:val="22"/>
        </w:rPr>
        <w:t>LT Pledged Revenue (if any) up to an amount equal to $[_______]</w:t>
      </w:r>
      <w:r>
        <w:rPr>
          <w:rFonts w:cs="Times New Roman"/>
          <w:szCs w:val="22"/>
          <w:vertAlign w:val="superscript"/>
        </w:rPr>
        <w:footnoteReference w:customMarkFollows="1" w:id="18"/>
        <w:t>*</w:t>
      </w:r>
      <w:r>
        <w:rPr>
          <w:rFonts w:cs="Times New Roman"/>
          <w:szCs w:val="22"/>
        </w:rPr>
        <w:t xml:space="preserve"> (as previously defined, the “</w:t>
      </w:r>
      <w:r>
        <w:rPr>
          <w:rFonts w:cs="Times New Roman"/>
          <w:b/>
          <w:szCs w:val="22"/>
        </w:rPr>
        <w:t>Maximum Surplus Amount</w:t>
      </w:r>
      <w:r>
        <w:rPr>
          <w:rFonts w:cs="Times New Roman"/>
          <w:szCs w:val="22"/>
        </w:rPr>
        <w:t>”) as described</w:t>
      </w:r>
      <w:r w:rsidR="00CC5F89">
        <w:rPr>
          <w:rFonts w:cs="Times New Roman"/>
          <w:szCs w:val="22"/>
        </w:rPr>
        <w:t xml:space="preserve"> under the caption </w:t>
      </w:r>
      <w:r>
        <w:rPr>
          <w:rFonts w:cs="Times New Roman"/>
          <w:szCs w:val="22"/>
        </w:rPr>
        <w:t xml:space="preserve">“—Certain </w:t>
      </w:r>
      <w:r w:rsidR="000F65D0">
        <w:rPr>
          <w:rFonts w:cs="Times New Roman"/>
          <w:szCs w:val="22"/>
        </w:rPr>
        <w:t xml:space="preserve">Senior </w:t>
      </w:r>
      <w:r>
        <w:rPr>
          <w:rFonts w:cs="Times New Roman"/>
          <w:szCs w:val="22"/>
        </w:rPr>
        <w:t>LT Indenture Provisions—</w:t>
      </w:r>
      <w:r>
        <w:rPr>
          <w:rFonts w:cs="Times New Roman"/>
          <w:i/>
          <w:szCs w:val="22"/>
        </w:rPr>
        <w:t xml:space="preserve">Application of </w:t>
      </w:r>
      <w:r w:rsidR="000F65D0">
        <w:rPr>
          <w:rFonts w:cs="Times New Roman"/>
          <w:i/>
          <w:szCs w:val="22"/>
        </w:rPr>
        <w:t xml:space="preserve">Senior </w:t>
      </w:r>
      <w:r>
        <w:rPr>
          <w:rFonts w:cs="Times New Roman"/>
          <w:i/>
          <w:szCs w:val="22"/>
        </w:rPr>
        <w:t>LT Pledged Revenue</w:t>
      </w:r>
      <w:r>
        <w:rPr>
          <w:rFonts w:cs="Times New Roman"/>
          <w:szCs w:val="22"/>
        </w:rPr>
        <w:t xml:space="preserve">.” </w:t>
      </w:r>
    </w:p>
    <w:p w14:paraId="3CD90A88" w14:textId="4CE55031" w:rsidR="00740CC7" w:rsidRPr="00DA2177" w:rsidRDefault="005C7E1E" w:rsidP="00740CC7">
      <w:pPr>
        <w:pStyle w:val="00BodyText5"/>
        <w:rPr>
          <w:rFonts w:cs="Times New Roman"/>
          <w:szCs w:val="22"/>
        </w:rPr>
      </w:pPr>
      <w:r>
        <w:rPr>
          <w:rFonts w:cs="Times New Roman"/>
          <w:b/>
          <w:i/>
          <w:szCs w:val="22"/>
        </w:rPr>
        <w:t xml:space="preserve">Senior </w:t>
      </w:r>
      <w:r w:rsidR="00AB23E1">
        <w:rPr>
          <w:rFonts w:cs="Times New Roman"/>
          <w:b/>
          <w:i/>
          <w:szCs w:val="22"/>
        </w:rPr>
        <w:t>Property Tax Revenues</w:t>
      </w:r>
      <w:r w:rsidR="00AB23E1">
        <w:rPr>
          <w:rFonts w:cs="Times New Roman"/>
          <w:szCs w:val="22"/>
        </w:rPr>
        <w:t xml:space="preserve">. The </w:t>
      </w:r>
      <w:r w:rsidR="000F65D0">
        <w:rPr>
          <w:rFonts w:cs="Times New Roman"/>
          <w:szCs w:val="22"/>
        </w:rPr>
        <w:t xml:space="preserve">Senior </w:t>
      </w:r>
      <w:r w:rsidR="00AB23E1">
        <w:rPr>
          <w:rFonts w:cs="Times New Roman"/>
          <w:szCs w:val="22"/>
        </w:rPr>
        <w:t>LT Indenture defines “</w:t>
      </w:r>
      <w:r w:rsidRPr="00B839B6">
        <w:rPr>
          <w:rFonts w:cs="Times New Roman"/>
          <w:b/>
          <w:szCs w:val="22"/>
        </w:rPr>
        <w:t xml:space="preserve">Senior </w:t>
      </w:r>
      <w:r w:rsidR="00AB23E1">
        <w:rPr>
          <w:rFonts w:cs="Times New Roman"/>
          <w:b/>
          <w:szCs w:val="22"/>
        </w:rPr>
        <w:t>Property Tax Revenues</w:t>
      </w:r>
      <w:r w:rsidR="00AB23E1">
        <w:rPr>
          <w:rFonts w:cs="Times New Roman"/>
          <w:szCs w:val="22"/>
        </w:rPr>
        <w:t xml:space="preserve">” to mean all moneys derived from imposition by the District of the </w:t>
      </w:r>
      <w:r w:rsidR="000F65D0">
        <w:rPr>
          <w:rFonts w:cs="Times New Roman"/>
          <w:szCs w:val="22"/>
        </w:rPr>
        <w:t xml:space="preserve">Senior </w:t>
      </w:r>
      <w:r w:rsidR="00AB23E1">
        <w:rPr>
          <w:rFonts w:cs="Times New Roman"/>
          <w:szCs w:val="22"/>
        </w:rPr>
        <w:t xml:space="preserve">Required Mill Levy (including the allocation to the District of any uniform fees related to personal property). </w:t>
      </w:r>
      <w:r>
        <w:rPr>
          <w:rFonts w:cs="Times New Roman"/>
          <w:szCs w:val="22"/>
        </w:rPr>
        <w:t xml:space="preserve">Senior </w:t>
      </w:r>
      <w:r w:rsidR="00AB23E1">
        <w:rPr>
          <w:rFonts w:cs="Times New Roman"/>
          <w:szCs w:val="22"/>
        </w:rPr>
        <w:t>Property Tax Revenues are net of the collection costs of the County and any tax refunds or abatements authorized by or on behalf of the County.</w:t>
      </w:r>
    </w:p>
    <w:p w14:paraId="6D75D573" w14:textId="349C6ED4" w:rsidR="00740CC7" w:rsidRPr="00DA2177" w:rsidRDefault="00740CC7" w:rsidP="00740CC7">
      <w:pPr>
        <w:pStyle w:val="00BodyText5"/>
        <w:rPr>
          <w:rFonts w:cs="Times New Roman"/>
          <w:szCs w:val="22"/>
        </w:rPr>
      </w:pPr>
      <w:r>
        <w:rPr>
          <w:rFonts w:cs="Times New Roman"/>
          <w:szCs w:val="22"/>
        </w:rPr>
        <w:t xml:space="preserve">The </w:t>
      </w:r>
      <w:r w:rsidR="00787226">
        <w:rPr>
          <w:rFonts w:cs="Times New Roman"/>
          <w:szCs w:val="22"/>
        </w:rPr>
        <w:t>2026A-1 Senior LT Bond</w:t>
      </w:r>
      <w:r>
        <w:rPr>
          <w:rFonts w:cs="Times New Roman"/>
          <w:szCs w:val="22"/>
        </w:rPr>
        <w:t xml:space="preserve">s are not secured by property lying within the District, but rather by, among other things, the District’s obligation under the </w:t>
      </w:r>
      <w:r w:rsidR="000F65D0">
        <w:rPr>
          <w:rFonts w:cs="Times New Roman"/>
          <w:szCs w:val="22"/>
        </w:rPr>
        <w:t xml:space="preserve">Senior </w:t>
      </w:r>
      <w:r>
        <w:rPr>
          <w:rFonts w:cs="Times New Roman"/>
          <w:szCs w:val="22"/>
        </w:rPr>
        <w:t xml:space="preserve">LT Indenture to annually adopt and report a rate of levy, not to exceed the </w:t>
      </w:r>
      <w:r w:rsidR="000F65D0">
        <w:rPr>
          <w:rFonts w:cs="Times New Roman"/>
          <w:szCs w:val="22"/>
        </w:rPr>
        <w:t xml:space="preserve">Senior </w:t>
      </w:r>
      <w:r>
        <w:rPr>
          <w:rFonts w:cs="Times New Roman"/>
          <w:szCs w:val="22"/>
        </w:rPr>
        <w:t xml:space="preserve">Required Mill Levy, for ad valorem property taxes to the County Auditor, in an amount sufficient to pay, along with other legally available revenues, the principal of and interest on the </w:t>
      </w:r>
      <w:r w:rsidR="00787226">
        <w:rPr>
          <w:rFonts w:cs="Times New Roman"/>
          <w:szCs w:val="22"/>
        </w:rPr>
        <w:t>2026A-1 Senior LT Bond</w:t>
      </w:r>
      <w:r>
        <w:rPr>
          <w:rFonts w:cs="Times New Roman"/>
          <w:szCs w:val="22"/>
        </w:rPr>
        <w:t xml:space="preserve">s. The </w:t>
      </w:r>
      <w:r w:rsidR="000F65D0">
        <w:rPr>
          <w:rFonts w:cs="Times New Roman"/>
          <w:szCs w:val="22"/>
        </w:rPr>
        <w:t xml:space="preserve">Senior </w:t>
      </w:r>
      <w:r>
        <w:rPr>
          <w:rFonts w:cs="Times New Roman"/>
          <w:szCs w:val="22"/>
        </w:rPr>
        <w:t>LT Indenture provides that in the event any ad valorem taxes are not paid when due, the District will diligently cooperate with the appropriate county treasurer to enforce the lien of such unpaid taxes against the property for which the taxes are owed. See “—</w:t>
      </w:r>
      <w:r>
        <w:rPr>
          <w:rFonts w:cs="Times New Roman"/>
          <w:i/>
          <w:szCs w:val="22"/>
        </w:rPr>
        <w:t xml:space="preserve">Covenant to Impose the </w:t>
      </w:r>
      <w:r w:rsidR="000F65D0">
        <w:rPr>
          <w:rFonts w:cs="Times New Roman"/>
          <w:i/>
          <w:szCs w:val="22"/>
        </w:rPr>
        <w:t xml:space="preserve">Senior </w:t>
      </w:r>
      <w:r>
        <w:rPr>
          <w:rFonts w:cs="Times New Roman"/>
          <w:i/>
          <w:szCs w:val="22"/>
        </w:rPr>
        <w:t>Required Mill Levy</w:t>
      </w:r>
      <w:r>
        <w:rPr>
          <w:rFonts w:cs="Times New Roman"/>
          <w:szCs w:val="22"/>
        </w:rPr>
        <w:t>” below and “RISK FACTORS—Risks Related to Property Tax Revenue—</w:t>
      </w:r>
      <w:r>
        <w:rPr>
          <w:rFonts w:cs="Times New Roman"/>
          <w:i/>
          <w:szCs w:val="22"/>
        </w:rPr>
        <w:t>Tax Collections</w:t>
      </w:r>
      <w:r>
        <w:rPr>
          <w:rFonts w:cs="Times New Roman"/>
          <w:szCs w:val="22"/>
        </w:rPr>
        <w:t>.”</w:t>
      </w:r>
    </w:p>
    <w:p w14:paraId="0645F07D" w14:textId="2FB67AB9" w:rsidR="00740CC7" w:rsidRPr="00DA2177" w:rsidRDefault="00740CC7" w:rsidP="00740CC7">
      <w:pPr>
        <w:pStyle w:val="00BodyText5"/>
        <w:rPr>
          <w:rFonts w:cs="Times New Roman"/>
          <w:szCs w:val="22"/>
        </w:rPr>
      </w:pPr>
      <w:r>
        <w:rPr>
          <w:rFonts w:cs="Times New Roman"/>
          <w:i/>
          <w:szCs w:val="22"/>
        </w:rPr>
        <w:t xml:space="preserve">Definition of </w:t>
      </w:r>
      <w:r w:rsidR="000F65D0">
        <w:rPr>
          <w:rFonts w:cs="Times New Roman"/>
          <w:i/>
          <w:szCs w:val="22"/>
        </w:rPr>
        <w:t xml:space="preserve">Senior </w:t>
      </w:r>
      <w:r>
        <w:rPr>
          <w:rFonts w:cs="Times New Roman"/>
          <w:i/>
          <w:szCs w:val="22"/>
        </w:rPr>
        <w:t xml:space="preserve">Required Mill Levy. </w:t>
      </w:r>
      <w:r>
        <w:rPr>
          <w:rFonts w:cs="Times New Roman"/>
          <w:szCs w:val="22"/>
        </w:rPr>
        <w:t>“</w:t>
      </w:r>
      <w:r w:rsidR="000F65D0" w:rsidRPr="00B839B6">
        <w:rPr>
          <w:rFonts w:cs="Times New Roman"/>
          <w:b/>
          <w:szCs w:val="22"/>
        </w:rPr>
        <w:t xml:space="preserve">Senior </w:t>
      </w:r>
      <w:r>
        <w:rPr>
          <w:rFonts w:cs="Times New Roman"/>
          <w:b/>
          <w:szCs w:val="22"/>
        </w:rPr>
        <w:t>Required Mill Levy</w:t>
      </w:r>
      <w:r>
        <w:rPr>
          <w:rFonts w:cs="Times New Roman"/>
          <w:szCs w:val="22"/>
        </w:rPr>
        <w:t xml:space="preserve">” is defined in the </w:t>
      </w:r>
      <w:r w:rsidR="000F65D0">
        <w:rPr>
          <w:rFonts w:cs="Times New Roman"/>
          <w:szCs w:val="22"/>
        </w:rPr>
        <w:t xml:space="preserve">Senior </w:t>
      </w:r>
      <w:r>
        <w:rPr>
          <w:rFonts w:cs="Times New Roman"/>
          <w:szCs w:val="22"/>
        </w:rPr>
        <w:t xml:space="preserve">LT Indenture to mean an ad valorem property tax on the taxable property in the District each year in an amount which, if imposed by the District for collection in the current calendar year, after the deduction of the Administrative Expenses and Trustee Fees (each as defined herein), would generate </w:t>
      </w:r>
      <w:r w:rsidR="005C7E1E">
        <w:rPr>
          <w:rFonts w:cs="Times New Roman"/>
          <w:szCs w:val="22"/>
        </w:rPr>
        <w:t xml:space="preserve">Senior </w:t>
      </w:r>
      <w:r>
        <w:rPr>
          <w:rFonts w:cs="Times New Roman"/>
          <w:szCs w:val="22"/>
        </w:rPr>
        <w:t xml:space="preserve">Property Tax Revenues sufficient to pay the principal of, premium if any, and interest on the </w:t>
      </w:r>
      <w:r w:rsidR="00787226">
        <w:rPr>
          <w:rFonts w:cs="Times New Roman"/>
          <w:szCs w:val="22"/>
        </w:rPr>
        <w:t>2026A-1 Senior LT Bond</w:t>
      </w:r>
      <w:r>
        <w:rPr>
          <w:rFonts w:cs="Times New Roman"/>
          <w:szCs w:val="22"/>
        </w:rPr>
        <w:t xml:space="preserve">s as the same become due and payable (less any amount thereof for which amounts are then on deposit in the </w:t>
      </w:r>
      <w:r w:rsidR="007217C3">
        <w:rPr>
          <w:rFonts w:cs="Times New Roman"/>
          <w:szCs w:val="22"/>
        </w:rPr>
        <w:t>Senior LT Bond Fund</w:t>
      </w:r>
      <w:r w:rsidR="00F35B81">
        <w:rPr>
          <w:rFonts w:cs="Times New Roman"/>
          <w:szCs w:val="22"/>
        </w:rPr>
        <w:t xml:space="preserve"> </w:t>
      </w:r>
      <w:r w:rsidR="00F35B81" w:rsidRPr="00F35B81">
        <w:rPr>
          <w:rFonts w:cs="Times New Roman"/>
          <w:szCs w:val="22"/>
        </w:rPr>
        <w:t>and, solely to the extent provided in the Senior LT Indenture, the</w:t>
      </w:r>
      <w:r w:rsidR="00F35B81">
        <w:rPr>
          <w:rFonts w:cs="Times New Roman"/>
          <w:szCs w:val="22"/>
        </w:rPr>
        <w:t xml:space="preserve"> LT</w:t>
      </w:r>
      <w:r w:rsidR="00F35B81" w:rsidRPr="00F35B81">
        <w:rPr>
          <w:rFonts w:cs="Times New Roman"/>
          <w:szCs w:val="22"/>
        </w:rPr>
        <w:t xml:space="preserve"> Surplus Fund</w:t>
      </w:r>
      <w:r>
        <w:rPr>
          <w:rFonts w:cs="Times New Roman"/>
          <w:szCs w:val="22"/>
        </w:rPr>
        <w:t xml:space="preserve">) but not in excess of </w:t>
      </w:r>
      <w:r w:rsidR="00DA3361">
        <w:rPr>
          <w:rFonts w:cs="Times New Roman"/>
          <w:szCs w:val="22"/>
        </w:rPr>
        <w:t>0.004</w:t>
      </w:r>
      <w:r>
        <w:rPr>
          <w:rFonts w:cs="Times New Roman"/>
          <w:szCs w:val="22"/>
        </w:rPr>
        <w:t xml:space="preserve"> per dollar of taxable value; provided, however, that for so long as the amount on deposit in the LT Surplus Fund is less than the Maximum Surplus Amount, the </w:t>
      </w:r>
      <w:r w:rsidR="000F65D0">
        <w:rPr>
          <w:rFonts w:cs="Times New Roman"/>
          <w:szCs w:val="22"/>
        </w:rPr>
        <w:t xml:space="preserve">Senior </w:t>
      </w:r>
      <w:r>
        <w:rPr>
          <w:rFonts w:cs="Times New Roman"/>
          <w:szCs w:val="22"/>
        </w:rPr>
        <w:t xml:space="preserve">Required Mill Levy shall be equal to </w:t>
      </w:r>
      <w:r w:rsidR="00DA3361">
        <w:rPr>
          <w:rFonts w:cs="Times New Roman"/>
          <w:szCs w:val="22"/>
        </w:rPr>
        <w:t>0.004</w:t>
      </w:r>
      <w:r>
        <w:rPr>
          <w:rFonts w:cs="Times New Roman"/>
          <w:szCs w:val="22"/>
        </w:rPr>
        <w:t xml:space="preserve"> per dollar of taxable value, or such lesser amount which, if imposed by the District for collection in the current calendar year, after the deduction of the Administrative Expenses and Trustee Fees, would generate </w:t>
      </w:r>
      <w:r w:rsidR="005C7E1E">
        <w:rPr>
          <w:rFonts w:cs="Times New Roman"/>
          <w:szCs w:val="22"/>
        </w:rPr>
        <w:t xml:space="preserve">Senior </w:t>
      </w:r>
      <w:r>
        <w:rPr>
          <w:rFonts w:cs="Times New Roman"/>
          <w:szCs w:val="22"/>
        </w:rPr>
        <w:t xml:space="preserve">Property Tax Revenues (A) sufficient to pay the principal of, premium if any, and interest on the </w:t>
      </w:r>
      <w:r w:rsidR="00787226">
        <w:rPr>
          <w:rFonts w:cs="Times New Roman"/>
          <w:szCs w:val="22"/>
        </w:rPr>
        <w:t>2026A-1 Senior LT Bond</w:t>
      </w:r>
      <w:r>
        <w:rPr>
          <w:rFonts w:cs="Times New Roman"/>
          <w:szCs w:val="22"/>
        </w:rPr>
        <w:t xml:space="preserve">s as the same become due and payable, and to fully fund the LT Surplus Fund to the Maximum Surplus Amount, or (B) which, when combined with moneys then on deposit in the </w:t>
      </w:r>
      <w:r w:rsidR="007217C3">
        <w:rPr>
          <w:rFonts w:cs="Times New Roman"/>
          <w:szCs w:val="22"/>
        </w:rPr>
        <w:t>Senior LT Bond Fund</w:t>
      </w:r>
      <w:r>
        <w:rPr>
          <w:rFonts w:cs="Times New Roman"/>
          <w:szCs w:val="22"/>
        </w:rPr>
        <w:t xml:space="preserve"> and the LT Surplus Fund, will pay the </w:t>
      </w:r>
      <w:r w:rsidR="00787226">
        <w:rPr>
          <w:rFonts w:cs="Times New Roman"/>
          <w:szCs w:val="22"/>
        </w:rPr>
        <w:t>2026A-1 Senior LT Bond</w:t>
      </w:r>
      <w:r>
        <w:rPr>
          <w:rFonts w:cs="Times New Roman"/>
          <w:szCs w:val="22"/>
        </w:rPr>
        <w:t xml:space="preserve">s in full in the </w:t>
      </w:r>
      <w:r w:rsidR="00AD0041">
        <w:rPr>
          <w:rFonts w:cs="Times New Roman"/>
          <w:szCs w:val="22"/>
        </w:rPr>
        <w:t>Senior LT Bond Year</w:t>
      </w:r>
      <w:r>
        <w:rPr>
          <w:rFonts w:cs="Times New Roman"/>
          <w:szCs w:val="22"/>
        </w:rPr>
        <w:t xml:space="preserve"> such levy is collected; provided however, that pursuant to 17D-4-301</w:t>
      </w:r>
      <w:r w:rsidR="00CD1CA9">
        <w:rPr>
          <w:rFonts w:cs="Times New Roman"/>
          <w:szCs w:val="22"/>
        </w:rPr>
        <w:t>(13)</w:t>
      </w:r>
      <w:r>
        <w:rPr>
          <w:rFonts w:cs="Times New Roman"/>
          <w:szCs w:val="22"/>
        </w:rPr>
        <w:t xml:space="preserve"> of the Utah Code, in the event of any statutory change in the methodology of assessment or collection of property taxes in a manner that reduces the </w:t>
      </w:r>
      <w:r w:rsidR="005C7E1E">
        <w:rPr>
          <w:rFonts w:cs="Times New Roman"/>
          <w:szCs w:val="22"/>
        </w:rPr>
        <w:t xml:space="preserve">Senior </w:t>
      </w:r>
      <w:r>
        <w:rPr>
          <w:rFonts w:cs="Times New Roman"/>
          <w:szCs w:val="22"/>
        </w:rPr>
        <w:t xml:space="preserve">Property Tax Revenues, the District may charge a rate sufficient to receive the amount of property taxes the District would have received before the statutory change in order to pay the debt service on Outstanding </w:t>
      </w:r>
      <w:r w:rsidR="00787226">
        <w:rPr>
          <w:rFonts w:cs="Times New Roman"/>
          <w:szCs w:val="22"/>
        </w:rPr>
        <w:t>2026A-1 Senior LT Bond</w:t>
      </w:r>
      <w:r>
        <w:rPr>
          <w:rFonts w:cs="Times New Roman"/>
          <w:szCs w:val="22"/>
        </w:rPr>
        <w:t>s.</w:t>
      </w:r>
    </w:p>
    <w:p w14:paraId="44279D8A" w14:textId="0EF816BD" w:rsidR="00740CC7" w:rsidRPr="00DA2177" w:rsidRDefault="00740CC7" w:rsidP="00740CC7">
      <w:pPr>
        <w:pStyle w:val="00BodyText5"/>
        <w:rPr>
          <w:rFonts w:cs="Times New Roman"/>
          <w:bCs/>
          <w:szCs w:val="22"/>
        </w:rPr>
      </w:pPr>
      <w:r>
        <w:rPr>
          <w:rFonts w:cs="Times New Roman"/>
          <w:i/>
          <w:szCs w:val="22"/>
        </w:rPr>
        <w:t xml:space="preserve">Covenant to Impose the </w:t>
      </w:r>
      <w:r w:rsidR="000F65D0">
        <w:rPr>
          <w:rFonts w:cs="Times New Roman"/>
          <w:i/>
          <w:szCs w:val="22"/>
        </w:rPr>
        <w:t xml:space="preserve">Senior </w:t>
      </w:r>
      <w:r>
        <w:rPr>
          <w:rFonts w:cs="Times New Roman"/>
          <w:i/>
          <w:szCs w:val="22"/>
        </w:rPr>
        <w:t>Required Mill Levy</w:t>
      </w:r>
      <w:r>
        <w:rPr>
          <w:rFonts w:cs="Times New Roman"/>
          <w:szCs w:val="22"/>
        </w:rPr>
        <w:t xml:space="preserve">. The </w:t>
      </w:r>
      <w:r w:rsidR="000F65D0">
        <w:rPr>
          <w:rFonts w:cs="Times New Roman"/>
          <w:szCs w:val="22"/>
        </w:rPr>
        <w:t xml:space="preserve">Senior </w:t>
      </w:r>
      <w:r>
        <w:rPr>
          <w:rFonts w:cs="Times New Roman"/>
          <w:szCs w:val="22"/>
        </w:rPr>
        <w:t xml:space="preserve">LT Indenture provides that </w:t>
      </w:r>
      <w:r>
        <w:rPr>
          <w:rFonts w:cs="Times New Roman"/>
          <w:bCs/>
          <w:szCs w:val="22"/>
        </w:rPr>
        <w:t xml:space="preserve">for the purpose of paying the principal of, premium if any, and interest on the </w:t>
      </w:r>
      <w:r w:rsidR="00787226">
        <w:rPr>
          <w:rFonts w:cs="Times New Roman"/>
          <w:bCs/>
          <w:szCs w:val="22"/>
        </w:rPr>
        <w:t>2026A-1 Senior LT Bond</w:t>
      </w:r>
      <w:r>
        <w:rPr>
          <w:rFonts w:cs="Times New Roman"/>
          <w:bCs/>
          <w:szCs w:val="22"/>
        </w:rPr>
        <w:t xml:space="preserve">s, </w:t>
      </w:r>
      <w:r w:rsidR="00CC5F89">
        <w:rPr>
          <w:rFonts w:cs="Times New Roman"/>
          <w:bCs/>
          <w:szCs w:val="22"/>
        </w:rPr>
        <w:t xml:space="preserve">and </w:t>
      </w:r>
      <w:r>
        <w:rPr>
          <w:rFonts w:cs="Times New Roman"/>
          <w:bCs/>
          <w:szCs w:val="22"/>
        </w:rPr>
        <w:t xml:space="preserve">funding the LT Surplus Fund to the Maximum Surplus Amount, the </w:t>
      </w:r>
      <w:r>
        <w:rPr>
          <w:rFonts w:cs="Times New Roman"/>
          <w:szCs w:val="22"/>
        </w:rPr>
        <w:t>Board</w:t>
      </w:r>
      <w:r>
        <w:rPr>
          <w:rFonts w:cs="Times New Roman"/>
          <w:bCs/>
          <w:szCs w:val="22"/>
        </w:rPr>
        <w:t xml:space="preserve"> will annually adopt and report to the County Auditor, in each of the years 202</w:t>
      </w:r>
      <w:r w:rsidR="00F35B81">
        <w:rPr>
          <w:rFonts w:cs="Times New Roman"/>
          <w:bCs/>
          <w:szCs w:val="22"/>
        </w:rPr>
        <w:t>7</w:t>
      </w:r>
      <w:r>
        <w:rPr>
          <w:rFonts w:cs="Times New Roman"/>
          <w:bCs/>
          <w:szCs w:val="22"/>
        </w:rPr>
        <w:t xml:space="preserve"> through 205</w:t>
      </w:r>
      <w:r w:rsidR="00572159">
        <w:rPr>
          <w:rFonts w:cs="Times New Roman"/>
          <w:bCs/>
          <w:szCs w:val="22"/>
        </w:rPr>
        <w:t>6</w:t>
      </w:r>
      <w:r>
        <w:rPr>
          <w:rFonts w:cs="Times New Roman"/>
          <w:bCs/>
          <w:szCs w:val="22"/>
        </w:rPr>
        <w:t>, inclusive</w:t>
      </w:r>
      <w:r>
        <w:rPr>
          <w:rFonts w:cs="Times New Roman"/>
          <w:szCs w:val="22"/>
        </w:rPr>
        <w:t>,</w:t>
      </w:r>
      <w:r>
        <w:rPr>
          <w:rFonts w:cs="Times New Roman"/>
          <w:bCs/>
          <w:szCs w:val="22"/>
        </w:rPr>
        <w:t xml:space="preserve"> and in any year thereafter in which the </w:t>
      </w:r>
      <w:r w:rsidR="00787226">
        <w:rPr>
          <w:rFonts w:cs="Times New Roman"/>
          <w:bCs/>
          <w:szCs w:val="22"/>
        </w:rPr>
        <w:t>2026A-1 Senior LT Bond</w:t>
      </w:r>
      <w:r>
        <w:rPr>
          <w:rFonts w:cs="Times New Roman"/>
          <w:bCs/>
          <w:szCs w:val="22"/>
        </w:rPr>
        <w:t xml:space="preserve">s remain Outstanding, in addition to all other taxes, the </w:t>
      </w:r>
      <w:r w:rsidR="000F65D0">
        <w:rPr>
          <w:rFonts w:cs="Times New Roman"/>
          <w:bCs/>
          <w:szCs w:val="22"/>
        </w:rPr>
        <w:t xml:space="preserve">Senior </w:t>
      </w:r>
      <w:r>
        <w:rPr>
          <w:rFonts w:cs="Times New Roman"/>
          <w:bCs/>
          <w:szCs w:val="22"/>
        </w:rPr>
        <w:t xml:space="preserve">Required Mill Levy, subject to the paragraph in the </w:t>
      </w:r>
      <w:r w:rsidR="000F65D0">
        <w:rPr>
          <w:rFonts w:cs="Times New Roman"/>
          <w:bCs/>
          <w:szCs w:val="22"/>
        </w:rPr>
        <w:t xml:space="preserve">Senior </w:t>
      </w:r>
      <w:r>
        <w:rPr>
          <w:rFonts w:cs="Times New Roman"/>
          <w:bCs/>
          <w:szCs w:val="22"/>
        </w:rPr>
        <w:t xml:space="preserve">LT Indenture set forth in bold described below. Nothing in the </w:t>
      </w:r>
      <w:r w:rsidR="000F65D0">
        <w:rPr>
          <w:rFonts w:cs="Times New Roman"/>
          <w:bCs/>
          <w:szCs w:val="22"/>
        </w:rPr>
        <w:t xml:space="preserve">Senior </w:t>
      </w:r>
      <w:r>
        <w:rPr>
          <w:rFonts w:cs="Times New Roman"/>
          <w:bCs/>
          <w:szCs w:val="22"/>
        </w:rPr>
        <w:t xml:space="preserve">LT Indenture is to be construed to require the District to levy an ad valorem property tax for payment of the </w:t>
      </w:r>
      <w:r w:rsidR="00787226">
        <w:rPr>
          <w:rFonts w:cs="Times New Roman"/>
          <w:bCs/>
          <w:szCs w:val="22"/>
        </w:rPr>
        <w:t>2026A-1 Senior LT Bond</w:t>
      </w:r>
      <w:r>
        <w:rPr>
          <w:rFonts w:cs="Times New Roman"/>
          <w:bCs/>
          <w:szCs w:val="22"/>
        </w:rPr>
        <w:t xml:space="preserve">s and funding the LT Surplus Fund to the Maximum Surplus Amount, in excess of the </w:t>
      </w:r>
      <w:r w:rsidR="000F65D0">
        <w:rPr>
          <w:rFonts w:cs="Times New Roman"/>
          <w:bCs/>
          <w:szCs w:val="22"/>
        </w:rPr>
        <w:t xml:space="preserve">Senior </w:t>
      </w:r>
      <w:r>
        <w:rPr>
          <w:rFonts w:cs="Times New Roman"/>
          <w:bCs/>
          <w:szCs w:val="22"/>
        </w:rPr>
        <w:t>Required Mill Levy.</w:t>
      </w:r>
      <w:r w:rsidR="00F35B81">
        <w:rPr>
          <w:rFonts w:cs="Times New Roman"/>
          <w:bCs/>
          <w:szCs w:val="22"/>
        </w:rPr>
        <w:t xml:space="preserve"> </w:t>
      </w:r>
      <w:r w:rsidR="00F35B81" w:rsidRPr="00F35B81">
        <w:rPr>
          <w:rFonts w:cs="Times New Roman"/>
          <w:bCs/>
          <w:szCs w:val="22"/>
        </w:rPr>
        <w:t>When collected, the taxes levied for the foregoing purposes shall be deposited with the Trustee in accordance with the Senior LT Indenture.</w:t>
      </w:r>
    </w:p>
    <w:p w14:paraId="3ED37E77" w14:textId="0955BAB7" w:rsidR="00740CC7" w:rsidRPr="00DA2177" w:rsidRDefault="00740CC7" w:rsidP="00740CC7">
      <w:pPr>
        <w:pStyle w:val="00BodyText5"/>
        <w:rPr>
          <w:rFonts w:cs="Times New Roman"/>
          <w:b/>
          <w:bCs/>
          <w:szCs w:val="22"/>
        </w:rPr>
      </w:pPr>
      <w:r>
        <w:rPr>
          <w:rFonts w:cs="Times New Roman"/>
          <w:b/>
          <w:szCs w:val="22"/>
        </w:rPr>
        <w:t xml:space="preserve">The </w:t>
      </w:r>
      <w:r w:rsidR="000F65D0">
        <w:rPr>
          <w:rFonts w:cs="Times New Roman"/>
          <w:b/>
          <w:szCs w:val="22"/>
        </w:rPr>
        <w:t xml:space="preserve">Senior </w:t>
      </w:r>
      <w:r>
        <w:rPr>
          <w:rFonts w:cs="Times New Roman"/>
          <w:b/>
          <w:szCs w:val="22"/>
        </w:rPr>
        <w:t xml:space="preserve">LT Indenture provides that notwithstanding any other provision in the </w:t>
      </w:r>
      <w:r w:rsidR="000F65D0">
        <w:rPr>
          <w:rFonts w:cs="Times New Roman"/>
          <w:b/>
          <w:szCs w:val="22"/>
        </w:rPr>
        <w:t xml:space="preserve">Senior </w:t>
      </w:r>
      <w:r>
        <w:rPr>
          <w:rFonts w:cs="Times New Roman"/>
          <w:b/>
          <w:szCs w:val="22"/>
        </w:rPr>
        <w:t xml:space="preserve">LT Indenture, in accordance with the Governing Document, the District will not be permitted to impose the </w:t>
      </w:r>
      <w:r w:rsidR="000F65D0">
        <w:rPr>
          <w:rFonts w:cs="Times New Roman"/>
          <w:b/>
          <w:szCs w:val="22"/>
        </w:rPr>
        <w:t xml:space="preserve">Senior </w:t>
      </w:r>
      <w:r>
        <w:rPr>
          <w:rFonts w:cs="Times New Roman"/>
          <w:b/>
          <w:szCs w:val="22"/>
        </w:rPr>
        <w:t xml:space="preserve">Required Mill Levy for payment of the </w:t>
      </w:r>
      <w:r w:rsidR="00787226">
        <w:rPr>
          <w:rFonts w:cs="Times New Roman"/>
          <w:b/>
          <w:szCs w:val="22"/>
        </w:rPr>
        <w:t>2026A-1 Senior LT Bond</w:t>
      </w:r>
      <w:r>
        <w:rPr>
          <w:rFonts w:cs="Times New Roman"/>
          <w:b/>
          <w:szCs w:val="22"/>
        </w:rPr>
        <w:t>s after the tax year 206</w:t>
      </w:r>
      <w:r w:rsidR="00381A2D">
        <w:rPr>
          <w:rFonts w:cs="Times New Roman"/>
          <w:b/>
          <w:szCs w:val="22"/>
        </w:rPr>
        <w:t>6</w:t>
      </w:r>
      <w:r>
        <w:rPr>
          <w:rFonts w:cs="Times New Roman"/>
          <w:b/>
          <w:szCs w:val="22"/>
        </w:rPr>
        <w:t xml:space="preserve"> for payment on </w:t>
      </w:r>
      <w:r>
        <w:rPr>
          <w:b/>
          <w:bCs/>
          <w:color w:val="000000"/>
          <w:szCs w:val="22"/>
        </w:rPr>
        <w:t>March</w:t>
      </w:r>
      <w:r>
        <w:rPr>
          <w:color w:val="000000"/>
          <w:szCs w:val="22"/>
        </w:rPr>
        <w:t xml:space="preserve"> </w:t>
      </w:r>
      <w:r>
        <w:rPr>
          <w:rFonts w:cs="Times New Roman"/>
          <w:b/>
          <w:szCs w:val="22"/>
        </w:rPr>
        <w:t xml:space="preserve">1, </w:t>
      </w:r>
      <w:r w:rsidR="00381A2D">
        <w:rPr>
          <w:rFonts w:cs="Times New Roman"/>
          <w:b/>
          <w:szCs w:val="22"/>
        </w:rPr>
        <w:t>2067</w:t>
      </w:r>
      <w:r>
        <w:rPr>
          <w:rFonts w:cs="Times New Roman"/>
          <w:b/>
          <w:szCs w:val="22"/>
        </w:rPr>
        <w:t>.</w:t>
      </w:r>
    </w:p>
    <w:p w14:paraId="52A77212" w14:textId="0954F771" w:rsidR="00740CC7" w:rsidRDefault="00740CC7" w:rsidP="00740CC7">
      <w:pPr>
        <w:pStyle w:val="00BodyText5"/>
        <w:rPr>
          <w:rFonts w:cs="Times New Roman"/>
          <w:szCs w:val="22"/>
        </w:rPr>
      </w:pPr>
      <w:r>
        <w:rPr>
          <w:rFonts w:cs="Times New Roman"/>
          <w:szCs w:val="22"/>
        </w:rPr>
        <w:t xml:space="preserve">The </w:t>
      </w:r>
      <w:r w:rsidR="000F65D0">
        <w:rPr>
          <w:rFonts w:cs="Times New Roman"/>
          <w:szCs w:val="22"/>
        </w:rPr>
        <w:t xml:space="preserve">Senior </w:t>
      </w:r>
      <w:r>
        <w:rPr>
          <w:rFonts w:cs="Times New Roman"/>
          <w:szCs w:val="22"/>
        </w:rPr>
        <w:t xml:space="preserve">LT Indenture further provides that it is the duty of the Board, annually, at the time and in the manner provided by law for levying other District taxes, to ratify and carry out the provisions of the </w:t>
      </w:r>
      <w:r w:rsidR="000F65D0">
        <w:rPr>
          <w:rFonts w:cs="Times New Roman"/>
          <w:szCs w:val="22"/>
        </w:rPr>
        <w:t xml:space="preserve">Senior </w:t>
      </w:r>
      <w:r>
        <w:rPr>
          <w:rFonts w:cs="Times New Roman"/>
          <w:szCs w:val="22"/>
        </w:rPr>
        <w:t xml:space="preserve">LT Indenture with reference to the levying and collection of taxes; and the Board is to levy, report, and collect said taxes in the manner provided by law for the purpose of paying the principal of, premium, if any, and interest on the </w:t>
      </w:r>
      <w:r w:rsidR="00787226">
        <w:rPr>
          <w:rFonts w:cs="Times New Roman"/>
          <w:szCs w:val="22"/>
        </w:rPr>
        <w:t>2026A-1 Senior LT Bond</w:t>
      </w:r>
      <w:r>
        <w:rPr>
          <w:rFonts w:cs="Times New Roman"/>
          <w:szCs w:val="22"/>
        </w:rPr>
        <w:t>s and funding the LT Surplus Fund to the Maximum Surplus Amount.</w:t>
      </w:r>
    </w:p>
    <w:p w14:paraId="177224C6" w14:textId="05D9BC26" w:rsidR="00D631AF" w:rsidRPr="003935D0" w:rsidRDefault="005C7E1E" w:rsidP="00740CC7">
      <w:pPr>
        <w:pStyle w:val="00BodyText5"/>
        <w:rPr>
          <w:rFonts w:cs="Times New Roman"/>
          <w:szCs w:val="22"/>
        </w:rPr>
      </w:pPr>
      <w:r>
        <w:rPr>
          <w:rFonts w:cs="Times New Roman"/>
          <w:b/>
          <w:bCs/>
          <w:i/>
          <w:iCs/>
          <w:szCs w:val="22"/>
        </w:rPr>
        <w:t xml:space="preserve">Senior </w:t>
      </w:r>
      <w:r w:rsidR="00AB23E1">
        <w:rPr>
          <w:rFonts w:cs="Times New Roman"/>
          <w:b/>
          <w:bCs/>
          <w:i/>
          <w:iCs/>
          <w:szCs w:val="22"/>
        </w:rPr>
        <w:t>Pioneering Agreement Revenue</w:t>
      </w:r>
      <w:r w:rsidR="004C7B35">
        <w:rPr>
          <w:rFonts w:cs="Times New Roman"/>
          <w:b/>
          <w:bCs/>
          <w:i/>
          <w:iCs/>
          <w:szCs w:val="22"/>
        </w:rPr>
        <w:t>s</w:t>
      </w:r>
      <w:r w:rsidR="00AB23E1">
        <w:rPr>
          <w:rFonts w:cs="Times New Roman"/>
          <w:b/>
          <w:bCs/>
          <w:i/>
          <w:iCs/>
          <w:szCs w:val="22"/>
        </w:rPr>
        <w:t xml:space="preserve">. </w:t>
      </w:r>
      <w:r w:rsidR="00AB23E1">
        <w:rPr>
          <w:rFonts w:cs="Times New Roman"/>
          <w:szCs w:val="22"/>
        </w:rPr>
        <w:t>The Indenture defines “</w:t>
      </w:r>
      <w:r w:rsidRPr="00B839B6">
        <w:rPr>
          <w:rFonts w:cs="Times New Roman"/>
          <w:b/>
          <w:bCs/>
          <w:szCs w:val="22"/>
        </w:rPr>
        <w:t xml:space="preserve">Senior </w:t>
      </w:r>
      <w:r w:rsidR="00AB23E1">
        <w:rPr>
          <w:rFonts w:cs="Times New Roman"/>
          <w:b/>
          <w:bCs/>
          <w:szCs w:val="22"/>
        </w:rPr>
        <w:t xml:space="preserve">Pioneering </w:t>
      </w:r>
      <w:r w:rsidR="004C7B35">
        <w:rPr>
          <w:rFonts w:cs="Times New Roman"/>
          <w:b/>
          <w:bCs/>
          <w:szCs w:val="22"/>
        </w:rPr>
        <w:t>Agreement Revenues</w:t>
      </w:r>
      <w:r w:rsidR="00AB23E1">
        <w:rPr>
          <w:rFonts w:cs="Times New Roman"/>
          <w:szCs w:val="22"/>
        </w:rPr>
        <w:t xml:space="preserve">” to mean all revenues received by the District pursuant to a Pioneering Agreement. For purposes of the foregoing, the </w:t>
      </w:r>
      <w:r w:rsidR="00F35B81">
        <w:rPr>
          <w:rFonts w:cs="Times New Roman"/>
          <w:szCs w:val="22"/>
        </w:rPr>
        <w:t xml:space="preserve">Senior LT </w:t>
      </w:r>
      <w:r w:rsidR="00AB23E1">
        <w:rPr>
          <w:rFonts w:cs="Times New Roman"/>
          <w:szCs w:val="22"/>
        </w:rPr>
        <w:t>Indenture defines “</w:t>
      </w:r>
      <w:r w:rsidR="00AB23E1">
        <w:rPr>
          <w:rFonts w:cs="Times New Roman"/>
          <w:b/>
          <w:bCs/>
          <w:szCs w:val="22"/>
        </w:rPr>
        <w:t>Pioneering Agreement</w:t>
      </w:r>
      <w:r w:rsidR="00AB23E1">
        <w:rPr>
          <w:rFonts w:cs="Times New Roman"/>
          <w:szCs w:val="22"/>
        </w:rPr>
        <w:t xml:space="preserve">” to mean </w:t>
      </w:r>
      <w:r w:rsidR="00F35B81" w:rsidRPr="00F35B81">
        <w:t>any interlocal agreement between the District and the City, whereby the City agrees to remit a portion of certain one-time system fees (excluding Contract Fees) representing system improvement costs paid by the District</w:t>
      </w:r>
      <w:r w:rsidR="00AB23E1">
        <w:rPr>
          <w:rFonts w:cs="Times New Roman"/>
          <w:szCs w:val="22"/>
        </w:rPr>
        <w:t xml:space="preserve">. The District has not engaged in any discussions with the City concerning a Pioneering Agreement, and it is not anticipated that the City and the District will enter into any Pioneering Agreement. Repayment of the </w:t>
      </w:r>
      <w:r w:rsidR="009929E0">
        <w:rPr>
          <w:rFonts w:cs="Times New Roman"/>
          <w:szCs w:val="22"/>
        </w:rPr>
        <w:t xml:space="preserve">2026A-1 Senior LT </w:t>
      </w:r>
      <w:r w:rsidR="00AB23E1">
        <w:rPr>
          <w:rFonts w:cs="Times New Roman"/>
          <w:szCs w:val="22"/>
        </w:rPr>
        <w:t xml:space="preserve">Bonds is not dependent on receipt of any </w:t>
      </w:r>
      <w:r>
        <w:rPr>
          <w:rFonts w:cs="Times New Roman"/>
          <w:szCs w:val="22"/>
        </w:rPr>
        <w:t xml:space="preserve">Senior </w:t>
      </w:r>
      <w:r w:rsidR="00AB23E1">
        <w:rPr>
          <w:rFonts w:cs="Times New Roman"/>
          <w:szCs w:val="22"/>
        </w:rPr>
        <w:t xml:space="preserve">Pioneering </w:t>
      </w:r>
      <w:r w:rsidR="004C7B35">
        <w:rPr>
          <w:rFonts w:cs="Times New Roman"/>
          <w:szCs w:val="22"/>
        </w:rPr>
        <w:t>Agreement Revenues</w:t>
      </w:r>
      <w:r w:rsidR="00AB23E1">
        <w:rPr>
          <w:rFonts w:cs="Times New Roman"/>
          <w:szCs w:val="22"/>
        </w:rPr>
        <w:t xml:space="preserve"> and the LT Financial Forecast does not account for any </w:t>
      </w:r>
      <w:r>
        <w:rPr>
          <w:rFonts w:cs="Times New Roman"/>
          <w:szCs w:val="22"/>
        </w:rPr>
        <w:t xml:space="preserve">Senior </w:t>
      </w:r>
      <w:r w:rsidR="00AB23E1">
        <w:rPr>
          <w:rFonts w:cs="Times New Roman"/>
          <w:szCs w:val="22"/>
        </w:rPr>
        <w:t xml:space="preserve">Pioneering </w:t>
      </w:r>
      <w:r w:rsidR="004C7B35">
        <w:rPr>
          <w:rFonts w:cs="Times New Roman"/>
          <w:szCs w:val="22"/>
        </w:rPr>
        <w:t>Agreement Revenues</w:t>
      </w:r>
      <w:r w:rsidR="00AB23E1">
        <w:rPr>
          <w:rFonts w:cs="Times New Roman"/>
          <w:szCs w:val="22"/>
        </w:rPr>
        <w:t>.</w:t>
      </w:r>
    </w:p>
    <w:p w14:paraId="7867FD50" w14:textId="1BA56E03" w:rsidR="00F72480" w:rsidRPr="00DA2177" w:rsidRDefault="005F1FCA" w:rsidP="00F72480">
      <w:pPr>
        <w:pStyle w:val="Heading2"/>
        <w:rPr>
          <w:sz w:val="22"/>
          <w:szCs w:val="22"/>
        </w:rPr>
      </w:pPr>
      <w:bookmarkStart w:id="115" w:name="_Toc235521067"/>
      <w:r>
        <w:rPr>
          <w:sz w:val="22"/>
          <w:szCs w:val="22"/>
        </w:rPr>
        <w:t xml:space="preserve">Certain </w:t>
      </w:r>
      <w:r w:rsidR="000F65D0">
        <w:rPr>
          <w:sz w:val="22"/>
          <w:szCs w:val="22"/>
        </w:rPr>
        <w:t xml:space="preserve">Senior </w:t>
      </w:r>
      <w:r>
        <w:rPr>
          <w:sz w:val="22"/>
          <w:szCs w:val="22"/>
        </w:rPr>
        <w:t>LT Indenture Provisions</w:t>
      </w:r>
      <w:bookmarkEnd w:id="115"/>
    </w:p>
    <w:p w14:paraId="7EC513EA" w14:textId="485F0B13" w:rsidR="00F72480" w:rsidRPr="00DA2177" w:rsidRDefault="00F72480" w:rsidP="00F72480">
      <w:pPr>
        <w:pStyle w:val="00BodyText5"/>
        <w:rPr>
          <w:rFonts w:cs="Times New Roman"/>
          <w:szCs w:val="22"/>
        </w:rPr>
      </w:pPr>
      <w:r>
        <w:rPr>
          <w:rFonts w:cs="Times New Roman"/>
          <w:szCs w:val="22"/>
        </w:rPr>
        <w:t xml:space="preserve">The following is a description of certain provisions of the </w:t>
      </w:r>
      <w:r w:rsidR="000F65D0">
        <w:rPr>
          <w:rFonts w:cs="Times New Roman"/>
          <w:szCs w:val="22"/>
        </w:rPr>
        <w:t xml:space="preserve">Senior </w:t>
      </w:r>
      <w:r>
        <w:rPr>
          <w:rFonts w:cs="Times New Roman"/>
          <w:szCs w:val="22"/>
        </w:rPr>
        <w:t xml:space="preserve">LT Indenture and is subject in all respects to the more specific provisions of the </w:t>
      </w:r>
      <w:r w:rsidR="000F65D0">
        <w:rPr>
          <w:rFonts w:cs="Times New Roman"/>
          <w:szCs w:val="22"/>
        </w:rPr>
        <w:t xml:space="preserve">Senior </w:t>
      </w:r>
      <w:r>
        <w:rPr>
          <w:rFonts w:cs="Times New Roman"/>
          <w:szCs w:val="22"/>
        </w:rPr>
        <w:t xml:space="preserve">LT Indenture. </w:t>
      </w:r>
      <w:r>
        <w:rPr>
          <w:rFonts w:cs="Times New Roman"/>
          <w:i/>
          <w:szCs w:val="22"/>
        </w:rPr>
        <w:t>See “APPENDIX C—SELECTED DEFINITIONS” for definitions of certain capitalized terms and other terms used in this Official Statement.</w:t>
      </w:r>
    </w:p>
    <w:p w14:paraId="2D441AA2" w14:textId="3B8FEB4D" w:rsidR="00E70A93" w:rsidRPr="00F970BF" w:rsidRDefault="00E70A93" w:rsidP="00E758BC">
      <w:pPr>
        <w:pStyle w:val="00BodyText5"/>
        <w:rPr>
          <w:rFonts w:cs="Times New Roman"/>
          <w:b/>
          <w:szCs w:val="22"/>
        </w:rPr>
      </w:pPr>
      <w:r>
        <w:rPr>
          <w:rFonts w:cs="Times New Roman"/>
          <w:b/>
          <w:szCs w:val="22"/>
        </w:rPr>
        <w:t xml:space="preserve">The </w:t>
      </w:r>
      <w:r w:rsidR="000F65D0">
        <w:rPr>
          <w:rFonts w:cs="Times New Roman"/>
          <w:b/>
          <w:szCs w:val="22"/>
        </w:rPr>
        <w:t xml:space="preserve">Senior </w:t>
      </w:r>
      <w:r>
        <w:rPr>
          <w:rFonts w:cs="Times New Roman"/>
          <w:b/>
          <w:szCs w:val="22"/>
        </w:rPr>
        <w:t xml:space="preserve">LT Indenture secures, and the covenants made by the District in the </w:t>
      </w:r>
      <w:r w:rsidR="000F65D0">
        <w:rPr>
          <w:rFonts w:cs="Times New Roman"/>
          <w:b/>
          <w:szCs w:val="22"/>
        </w:rPr>
        <w:t xml:space="preserve">Senior </w:t>
      </w:r>
      <w:r>
        <w:rPr>
          <w:rFonts w:cs="Times New Roman"/>
          <w:b/>
          <w:szCs w:val="22"/>
        </w:rPr>
        <w:t xml:space="preserve">LT Indenture are for the benefit of Owners of, solely the </w:t>
      </w:r>
      <w:r w:rsidR="00787226">
        <w:rPr>
          <w:rFonts w:cs="Times New Roman"/>
          <w:b/>
          <w:szCs w:val="22"/>
        </w:rPr>
        <w:t>2026A-1 Senior LT Bond</w:t>
      </w:r>
      <w:r>
        <w:rPr>
          <w:rFonts w:cs="Times New Roman"/>
          <w:b/>
          <w:szCs w:val="22"/>
        </w:rPr>
        <w:t xml:space="preserve">s. The Owners of the 2026A-2 SR Bonds </w:t>
      </w:r>
      <w:r w:rsidR="009929E0">
        <w:rPr>
          <w:rFonts w:cs="Times New Roman"/>
          <w:b/>
          <w:szCs w:val="22"/>
        </w:rPr>
        <w:t xml:space="preserve">and the 2026B Subordinate LT Bonds </w:t>
      </w:r>
      <w:r>
        <w:rPr>
          <w:rFonts w:cs="Times New Roman"/>
          <w:b/>
          <w:szCs w:val="22"/>
        </w:rPr>
        <w:t xml:space="preserve">are not secured by, nor have any rights to enforce any provision of, the </w:t>
      </w:r>
      <w:r w:rsidR="000F65D0">
        <w:rPr>
          <w:rFonts w:cs="Times New Roman"/>
          <w:b/>
          <w:szCs w:val="22"/>
        </w:rPr>
        <w:t xml:space="preserve">Senior </w:t>
      </w:r>
      <w:r>
        <w:rPr>
          <w:rFonts w:cs="Times New Roman"/>
          <w:b/>
          <w:szCs w:val="22"/>
        </w:rPr>
        <w:t xml:space="preserve">LT Indenture. No funds or accounts held under the </w:t>
      </w:r>
      <w:r w:rsidR="000F65D0">
        <w:rPr>
          <w:rFonts w:cs="Times New Roman"/>
          <w:b/>
          <w:szCs w:val="22"/>
        </w:rPr>
        <w:t xml:space="preserve">Senior </w:t>
      </w:r>
      <w:r>
        <w:rPr>
          <w:rFonts w:cs="Times New Roman"/>
          <w:b/>
          <w:szCs w:val="22"/>
        </w:rPr>
        <w:t>LT Indenture secure payment of the</w:t>
      </w:r>
      <w:r w:rsidR="007607F0">
        <w:rPr>
          <w:rFonts w:cs="Times New Roman"/>
          <w:b/>
          <w:szCs w:val="22"/>
        </w:rPr>
        <w:t xml:space="preserve"> 2026B Subordinate LT Bonds or the</w:t>
      </w:r>
      <w:r>
        <w:rPr>
          <w:rFonts w:cs="Times New Roman"/>
          <w:b/>
          <w:szCs w:val="22"/>
        </w:rPr>
        <w:t xml:space="preserve"> 2026A-2 SR Bonds.</w:t>
      </w:r>
    </w:p>
    <w:p w14:paraId="51783116" w14:textId="4D496DBE" w:rsidR="00F72480" w:rsidRPr="00F970BF" w:rsidRDefault="00F72480" w:rsidP="00F72480">
      <w:pPr>
        <w:pStyle w:val="00BodyText5"/>
        <w:rPr>
          <w:rFonts w:cs="Times New Roman"/>
          <w:szCs w:val="22"/>
        </w:rPr>
      </w:pPr>
      <w:r>
        <w:rPr>
          <w:rFonts w:cs="Times New Roman"/>
          <w:b/>
          <w:i/>
          <w:szCs w:val="22"/>
        </w:rPr>
        <w:t>Creation of Funds and Accounts</w:t>
      </w:r>
      <w:r>
        <w:rPr>
          <w:rFonts w:cs="Times New Roman"/>
          <w:szCs w:val="22"/>
        </w:rPr>
        <w:t xml:space="preserve">. Under the </w:t>
      </w:r>
      <w:r w:rsidR="000F65D0">
        <w:rPr>
          <w:rFonts w:cs="Times New Roman"/>
          <w:szCs w:val="22"/>
        </w:rPr>
        <w:t xml:space="preserve">Senior </w:t>
      </w:r>
      <w:r>
        <w:rPr>
          <w:rFonts w:cs="Times New Roman"/>
          <w:szCs w:val="22"/>
        </w:rPr>
        <w:t xml:space="preserve">LT Indenture, there are created and established the following funds and accounts, which are to be established with the Trustee and maintained by the Trustee in accordance with the provisions of the </w:t>
      </w:r>
      <w:r w:rsidR="000F65D0">
        <w:rPr>
          <w:rFonts w:cs="Times New Roman"/>
          <w:szCs w:val="22"/>
        </w:rPr>
        <w:t xml:space="preserve">Senior </w:t>
      </w:r>
      <w:r>
        <w:rPr>
          <w:rFonts w:cs="Times New Roman"/>
          <w:szCs w:val="22"/>
        </w:rPr>
        <w:t>LT Indenture:</w:t>
      </w:r>
    </w:p>
    <w:p w14:paraId="4F602D06" w14:textId="20AA9949" w:rsidR="00D83DE7" w:rsidRPr="00F970BF" w:rsidRDefault="00D83DE7" w:rsidP="00813F0B">
      <w:pPr>
        <w:pStyle w:val="00BodyText5"/>
        <w:ind w:left="720"/>
        <w:rPr>
          <w:rFonts w:cs="Times New Roman"/>
          <w:szCs w:val="22"/>
        </w:rPr>
      </w:pPr>
      <w:r>
        <w:rPr>
          <w:rFonts w:cs="Times New Roman"/>
          <w:szCs w:val="22"/>
        </w:rPr>
        <w:t>(a)</w:t>
      </w:r>
      <w:r>
        <w:rPr>
          <w:rFonts w:cs="Times New Roman"/>
          <w:szCs w:val="22"/>
        </w:rPr>
        <w:tab/>
        <w:t xml:space="preserve">the </w:t>
      </w:r>
      <w:r w:rsidR="007217C3">
        <w:rPr>
          <w:rFonts w:cs="Times New Roman"/>
          <w:szCs w:val="22"/>
        </w:rPr>
        <w:t>Senior LT Project Fund</w:t>
      </w:r>
      <w:r>
        <w:rPr>
          <w:rFonts w:cs="Times New Roman"/>
          <w:szCs w:val="22"/>
        </w:rPr>
        <w:t>;</w:t>
      </w:r>
    </w:p>
    <w:p w14:paraId="37AC126D" w14:textId="618658FA" w:rsidR="00D83DE7" w:rsidRDefault="00D83DE7" w:rsidP="00813F0B">
      <w:pPr>
        <w:pStyle w:val="00BodyText5"/>
        <w:ind w:left="720"/>
        <w:rPr>
          <w:rFonts w:cs="Times New Roman"/>
          <w:szCs w:val="22"/>
        </w:rPr>
      </w:pPr>
      <w:r>
        <w:rPr>
          <w:rFonts w:cs="Times New Roman"/>
          <w:szCs w:val="22"/>
        </w:rPr>
        <w:t>(b)</w:t>
      </w:r>
      <w:r>
        <w:rPr>
          <w:rFonts w:cs="Times New Roman"/>
          <w:szCs w:val="22"/>
        </w:rPr>
        <w:tab/>
        <w:t xml:space="preserve">the </w:t>
      </w:r>
      <w:r w:rsidR="007217C3">
        <w:rPr>
          <w:rFonts w:cs="Times New Roman"/>
          <w:szCs w:val="22"/>
        </w:rPr>
        <w:t>Senior LT Bond Fund</w:t>
      </w:r>
      <w:r>
        <w:rPr>
          <w:rFonts w:cs="Times New Roman"/>
          <w:szCs w:val="22"/>
        </w:rPr>
        <w:t>;</w:t>
      </w:r>
    </w:p>
    <w:p w14:paraId="5F4BB1DE" w14:textId="3EFFFE30" w:rsidR="00D83DE7" w:rsidRPr="00DA2177" w:rsidRDefault="00D83DE7" w:rsidP="00813F0B">
      <w:pPr>
        <w:pStyle w:val="00BodyText5"/>
        <w:ind w:left="720"/>
        <w:rPr>
          <w:rFonts w:cs="Times New Roman"/>
          <w:szCs w:val="22"/>
        </w:rPr>
      </w:pPr>
      <w:r>
        <w:rPr>
          <w:rFonts w:cs="Times New Roman"/>
          <w:szCs w:val="22"/>
        </w:rPr>
        <w:t>(c)</w:t>
      </w:r>
      <w:r>
        <w:rPr>
          <w:rFonts w:cs="Times New Roman"/>
          <w:szCs w:val="22"/>
        </w:rPr>
        <w:tab/>
        <w:t>the LT Surplus Fund;</w:t>
      </w:r>
    </w:p>
    <w:p w14:paraId="2276485B" w14:textId="77777777" w:rsidR="00CA2CE4" w:rsidRDefault="00D83DE7" w:rsidP="00813F0B">
      <w:pPr>
        <w:pStyle w:val="00BodyText5"/>
        <w:ind w:left="720"/>
        <w:rPr>
          <w:rFonts w:cs="Times New Roman"/>
          <w:szCs w:val="22"/>
        </w:rPr>
      </w:pPr>
      <w:r>
        <w:rPr>
          <w:rFonts w:cs="Times New Roman"/>
          <w:szCs w:val="22"/>
        </w:rPr>
        <w:t>(d)</w:t>
      </w:r>
      <w:r>
        <w:rPr>
          <w:rFonts w:cs="Times New Roman"/>
          <w:szCs w:val="22"/>
        </w:rPr>
        <w:tab/>
        <w:t>the LT Costs of Issuance Fund</w:t>
      </w:r>
      <w:r w:rsidR="00CA2CE4">
        <w:rPr>
          <w:rFonts w:cs="Times New Roman"/>
          <w:szCs w:val="22"/>
        </w:rPr>
        <w:t>; and</w:t>
      </w:r>
    </w:p>
    <w:p w14:paraId="2A300214" w14:textId="25E65CBD" w:rsidR="00D83DE7" w:rsidRPr="00DA2177" w:rsidRDefault="00CA2CE4" w:rsidP="00813F0B">
      <w:pPr>
        <w:pStyle w:val="00BodyText5"/>
        <w:ind w:left="720"/>
        <w:rPr>
          <w:rFonts w:cs="Times New Roman"/>
          <w:szCs w:val="22"/>
        </w:rPr>
      </w:pPr>
      <w:r>
        <w:rPr>
          <w:rFonts w:cs="Times New Roman"/>
          <w:szCs w:val="22"/>
        </w:rPr>
        <w:t xml:space="preserve">(e) </w:t>
      </w:r>
      <w:r>
        <w:rPr>
          <w:rFonts w:cs="Times New Roman"/>
          <w:szCs w:val="22"/>
        </w:rPr>
        <w:tab/>
        <w:t>the LT Working Capital Fund</w:t>
      </w:r>
      <w:r w:rsidR="00D83DE7">
        <w:rPr>
          <w:rFonts w:cs="Times New Roman"/>
          <w:szCs w:val="22"/>
        </w:rPr>
        <w:t>.</w:t>
      </w:r>
    </w:p>
    <w:p w14:paraId="7D63080E" w14:textId="5785ED31" w:rsidR="001E71D5" w:rsidRPr="00DA2177" w:rsidRDefault="007217C3" w:rsidP="00F72480">
      <w:pPr>
        <w:pStyle w:val="00BodyText5"/>
        <w:rPr>
          <w:rFonts w:cs="Times New Roman"/>
          <w:szCs w:val="22"/>
        </w:rPr>
      </w:pPr>
      <w:r>
        <w:rPr>
          <w:rFonts w:cs="Times New Roman"/>
          <w:b/>
          <w:i/>
          <w:szCs w:val="22"/>
        </w:rPr>
        <w:t>Senior LT Project Fund</w:t>
      </w:r>
      <w:r w:rsidR="00896FAF">
        <w:rPr>
          <w:rFonts w:cs="Times New Roman"/>
          <w:szCs w:val="22"/>
        </w:rPr>
        <w:t xml:space="preserve">. The </w:t>
      </w:r>
      <w:r>
        <w:rPr>
          <w:rFonts w:cs="Times New Roman"/>
          <w:szCs w:val="22"/>
        </w:rPr>
        <w:t>Senior LT Project Fund</w:t>
      </w:r>
      <w:r w:rsidR="00896FAF">
        <w:rPr>
          <w:rFonts w:cs="Times New Roman"/>
          <w:szCs w:val="22"/>
        </w:rPr>
        <w:t xml:space="preserve"> is to be maintained by the Trustee in accordance with the terms of the </w:t>
      </w:r>
      <w:r w:rsidR="000F65D0">
        <w:rPr>
          <w:rFonts w:cs="Times New Roman"/>
          <w:szCs w:val="22"/>
        </w:rPr>
        <w:t xml:space="preserve">Senior </w:t>
      </w:r>
      <w:r w:rsidR="00896FAF">
        <w:rPr>
          <w:rFonts w:cs="Times New Roman"/>
          <w:szCs w:val="22"/>
        </w:rPr>
        <w:t>LT Indenture.</w:t>
      </w:r>
    </w:p>
    <w:p w14:paraId="1FD308FB" w14:textId="734328A6" w:rsidR="00B365FF" w:rsidRPr="00B365FF" w:rsidRDefault="00B365FF" w:rsidP="00B365FF">
      <w:pPr>
        <w:pStyle w:val="00BodyText5"/>
        <w:rPr>
          <w:rFonts w:cs="Times New Roman"/>
          <w:szCs w:val="22"/>
        </w:rPr>
      </w:pPr>
      <w:r>
        <w:rPr>
          <w:rFonts w:cs="Times New Roman"/>
          <w:szCs w:val="22"/>
          <w:u w:val="single"/>
        </w:rPr>
        <w:t xml:space="preserve">Transfers from </w:t>
      </w:r>
      <w:r w:rsidR="007217C3">
        <w:rPr>
          <w:rFonts w:cs="Times New Roman"/>
          <w:szCs w:val="22"/>
          <w:u w:val="single"/>
        </w:rPr>
        <w:t>Senior LT Project Fund</w:t>
      </w:r>
      <w:r>
        <w:rPr>
          <w:rFonts w:cs="Times New Roman"/>
          <w:szCs w:val="22"/>
          <w:u w:val="single"/>
        </w:rPr>
        <w:t xml:space="preserve"> to the </w:t>
      </w:r>
      <w:r w:rsidR="007217C3">
        <w:rPr>
          <w:rFonts w:cs="Times New Roman"/>
          <w:szCs w:val="22"/>
          <w:u w:val="single"/>
        </w:rPr>
        <w:t>Senior LT Bond Fund</w:t>
      </w:r>
      <w:r>
        <w:rPr>
          <w:rFonts w:cs="Times New Roman"/>
          <w:szCs w:val="22"/>
        </w:rPr>
        <w:t xml:space="preserve">. In the event the amounts credited to the </w:t>
      </w:r>
      <w:r w:rsidR="007217C3">
        <w:rPr>
          <w:rFonts w:cs="Times New Roman"/>
          <w:szCs w:val="22"/>
        </w:rPr>
        <w:t>Senior LT Bond Fund</w:t>
      </w:r>
      <w:r>
        <w:rPr>
          <w:rFonts w:cs="Times New Roman"/>
          <w:szCs w:val="22"/>
        </w:rPr>
        <w:t xml:space="preserve"> (including amounts transferred therein from the LT Surplus Fund) are insufficient to pay the principal of, premium if any, or interest on the </w:t>
      </w:r>
      <w:r w:rsidR="00787226">
        <w:rPr>
          <w:rFonts w:cs="Times New Roman"/>
          <w:szCs w:val="22"/>
        </w:rPr>
        <w:t>2026A-1 Senior LT Bond</w:t>
      </w:r>
      <w:r>
        <w:rPr>
          <w:rFonts w:cs="Times New Roman"/>
          <w:szCs w:val="22"/>
        </w:rPr>
        <w:t xml:space="preserve">s when due, the Trustee shall transfer from the </w:t>
      </w:r>
      <w:r w:rsidR="007217C3">
        <w:rPr>
          <w:rFonts w:cs="Times New Roman"/>
          <w:szCs w:val="22"/>
        </w:rPr>
        <w:t>Senior LT Project Fund</w:t>
      </w:r>
      <w:r>
        <w:rPr>
          <w:rFonts w:cs="Times New Roman"/>
          <w:szCs w:val="22"/>
        </w:rPr>
        <w:t xml:space="preserve"> to the </w:t>
      </w:r>
      <w:r w:rsidR="007217C3">
        <w:rPr>
          <w:rFonts w:cs="Times New Roman"/>
          <w:szCs w:val="22"/>
        </w:rPr>
        <w:t>Senior LT Bond Fund</w:t>
      </w:r>
      <w:r>
        <w:rPr>
          <w:rFonts w:cs="Times New Roman"/>
          <w:szCs w:val="22"/>
        </w:rPr>
        <w:t xml:space="preserve"> an amount which, when combined with moneys in the </w:t>
      </w:r>
      <w:r w:rsidR="007217C3">
        <w:rPr>
          <w:rFonts w:cs="Times New Roman"/>
          <w:szCs w:val="22"/>
        </w:rPr>
        <w:t>Senior LT Bond Fund</w:t>
      </w:r>
      <w:r>
        <w:rPr>
          <w:rFonts w:cs="Times New Roman"/>
          <w:szCs w:val="22"/>
        </w:rPr>
        <w:t xml:space="preserve">, will be sufficient to make such payments when due; and in the event the amounts in the </w:t>
      </w:r>
      <w:r w:rsidR="007217C3">
        <w:rPr>
          <w:rFonts w:cs="Times New Roman"/>
          <w:szCs w:val="22"/>
        </w:rPr>
        <w:t>Senior LT Bond Fund</w:t>
      </w:r>
      <w:r>
        <w:rPr>
          <w:rFonts w:cs="Times New Roman"/>
          <w:szCs w:val="22"/>
        </w:rPr>
        <w:t xml:space="preserve"> (including amounts transferred therein from the LT Surplus Fund) and the </w:t>
      </w:r>
      <w:r w:rsidR="007217C3">
        <w:rPr>
          <w:rFonts w:cs="Times New Roman"/>
          <w:szCs w:val="22"/>
        </w:rPr>
        <w:t>Senior LT Project Fund</w:t>
      </w:r>
      <w:r>
        <w:rPr>
          <w:rFonts w:cs="Times New Roman"/>
          <w:szCs w:val="22"/>
        </w:rPr>
        <w:t xml:space="preserve"> are insufficient to pay all principal, premium if any, and interest on any due date, the Trustee shall nonetheless transfer all of the moneys in the </w:t>
      </w:r>
      <w:r w:rsidR="007217C3">
        <w:rPr>
          <w:rFonts w:cs="Times New Roman"/>
          <w:szCs w:val="22"/>
        </w:rPr>
        <w:t>Senior LT Project Fund</w:t>
      </w:r>
      <w:r>
        <w:rPr>
          <w:rFonts w:cs="Times New Roman"/>
          <w:szCs w:val="22"/>
        </w:rPr>
        <w:t xml:space="preserve"> to the </w:t>
      </w:r>
      <w:r w:rsidR="007217C3">
        <w:rPr>
          <w:rFonts w:cs="Times New Roman"/>
          <w:szCs w:val="22"/>
        </w:rPr>
        <w:t>Senior LT Bond Fund</w:t>
      </w:r>
      <w:r>
        <w:rPr>
          <w:rFonts w:cs="Times New Roman"/>
          <w:szCs w:val="22"/>
        </w:rPr>
        <w:t xml:space="preserve"> for the purpose of making partial payments as provided under “</w:t>
      </w:r>
      <w:r w:rsidR="007217C3">
        <w:rPr>
          <w:rFonts w:cs="Times New Roman"/>
          <w:szCs w:val="22"/>
        </w:rPr>
        <w:t>Senior LT Bond Fund</w:t>
      </w:r>
      <w:r>
        <w:rPr>
          <w:rFonts w:cs="Times New Roman"/>
          <w:szCs w:val="22"/>
        </w:rPr>
        <w:t xml:space="preserve">.” Amounts in the </w:t>
      </w:r>
      <w:r w:rsidR="007217C3">
        <w:rPr>
          <w:rFonts w:cs="Times New Roman"/>
          <w:szCs w:val="22"/>
        </w:rPr>
        <w:t>Senior LT Project Fund</w:t>
      </w:r>
      <w:r>
        <w:rPr>
          <w:rFonts w:cs="Times New Roman"/>
          <w:szCs w:val="22"/>
        </w:rPr>
        <w:t xml:space="preserve"> shall not be used to redeem </w:t>
      </w:r>
      <w:r w:rsidR="00787226">
        <w:rPr>
          <w:rFonts w:cs="Times New Roman"/>
          <w:szCs w:val="22"/>
        </w:rPr>
        <w:t>2026A-1 Senior LT Bond</w:t>
      </w:r>
      <w:r>
        <w:rPr>
          <w:rFonts w:cs="Times New Roman"/>
          <w:szCs w:val="22"/>
        </w:rPr>
        <w:t xml:space="preserve">s being called pursuant to any optional redemption provisions, but may be used to pay </w:t>
      </w:r>
      <w:r w:rsidR="00787226">
        <w:rPr>
          <w:rFonts w:cs="Times New Roman"/>
          <w:szCs w:val="22"/>
        </w:rPr>
        <w:t>2026A-1 Senior LT Bond</w:t>
      </w:r>
      <w:r>
        <w:rPr>
          <w:rFonts w:cs="Times New Roman"/>
          <w:szCs w:val="22"/>
        </w:rPr>
        <w:t>s coming due as a result of any mandatory redemption.</w:t>
      </w:r>
    </w:p>
    <w:p w14:paraId="5517863E" w14:textId="24A57596" w:rsidR="00FD6014" w:rsidRPr="00DA2177" w:rsidRDefault="00FD6014" w:rsidP="00FD6014">
      <w:pPr>
        <w:pStyle w:val="00BodyText5"/>
        <w:rPr>
          <w:rFonts w:cs="Times New Roman"/>
          <w:szCs w:val="22"/>
        </w:rPr>
      </w:pPr>
      <w:r>
        <w:rPr>
          <w:rFonts w:cs="Times New Roman"/>
          <w:szCs w:val="22"/>
          <w:u w:val="single"/>
        </w:rPr>
        <w:t xml:space="preserve">Draws from the </w:t>
      </w:r>
      <w:r w:rsidR="007217C3">
        <w:rPr>
          <w:rFonts w:cs="Times New Roman"/>
          <w:szCs w:val="22"/>
          <w:u w:val="single"/>
        </w:rPr>
        <w:t>Senior LT Project Fund</w:t>
      </w:r>
      <w:r>
        <w:rPr>
          <w:rFonts w:cs="Times New Roman"/>
          <w:szCs w:val="22"/>
        </w:rPr>
        <w:t xml:space="preserve">. So long as no Event of Default shall have occurred and be continuing, amounts in the </w:t>
      </w:r>
      <w:r w:rsidR="007217C3">
        <w:rPr>
          <w:rFonts w:cs="Times New Roman"/>
          <w:szCs w:val="22"/>
        </w:rPr>
        <w:t>Senior LT Project Fund</w:t>
      </w:r>
      <w:r>
        <w:rPr>
          <w:rFonts w:cs="Times New Roman"/>
          <w:szCs w:val="22"/>
        </w:rPr>
        <w:t xml:space="preserve"> shall be released by the Trustee to the District in accordance with requisitions submitted to the Trustee in substantially the form attached to the </w:t>
      </w:r>
      <w:r w:rsidR="000F65D0">
        <w:rPr>
          <w:rFonts w:cs="Times New Roman"/>
          <w:szCs w:val="22"/>
        </w:rPr>
        <w:t xml:space="preserve">Senior </w:t>
      </w:r>
      <w:r>
        <w:rPr>
          <w:rFonts w:cs="Times New Roman"/>
          <w:szCs w:val="22"/>
        </w:rPr>
        <w:t>LT Indenture, signed by the District Representative and certifying that all amounts drawn will be applied to the payment of the Project Costs</w:t>
      </w:r>
      <w:r w:rsidR="00523C6F">
        <w:rPr>
          <w:rFonts w:cs="Times New Roman"/>
          <w:szCs w:val="22"/>
        </w:rPr>
        <w:t xml:space="preserve"> </w:t>
      </w:r>
      <w:r w:rsidR="00523C6F">
        <w:t>(including any amounts the District determines are necessary to meet any Performance Bond requirements relating thereto</w:t>
      </w:r>
      <w:r w:rsidR="00523C6F" w:rsidRPr="003627E3">
        <w:t>, including disbursing the moneys to a third party escrow agent that is designated by the District which the District determines is necessary to meet any Performance Bond requirements</w:t>
      </w:r>
      <w:r w:rsidR="00523C6F">
        <w:t>)</w:t>
      </w:r>
      <w:r w:rsidR="00523C6F" w:rsidRPr="00BE143F">
        <w:t xml:space="preserve">. The Trustee may rely conclusively on any such </w:t>
      </w:r>
      <w:r w:rsidR="00523C6F">
        <w:t>requisitions</w:t>
      </w:r>
      <w:r w:rsidR="00523C6F" w:rsidRPr="00BE143F">
        <w:t xml:space="preserv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r w:rsidR="00523C6F">
        <w:t xml:space="preserve"> In the event any moneys are requisitioned from the Senior </w:t>
      </w:r>
      <w:r w:rsidR="009929E0">
        <w:t xml:space="preserve">LT </w:t>
      </w:r>
      <w:r w:rsidR="00523C6F">
        <w:t xml:space="preserve">Project Fund, for a Performance Bond </w:t>
      </w:r>
      <w:r w:rsidR="00523C6F" w:rsidRPr="003627E3">
        <w:t>or as necessary to meet any Performance Bond requirements</w:t>
      </w:r>
      <w:r w:rsidR="00523C6F">
        <w:t xml:space="preserve">, the District covenants and agrees that any agreements relating to such Performance Bond shall require that (i) such moneys shall be (A) invested in Permitted Investments and (B) used to pay cost of the Improvements in accordance with </w:t>
      </w:r>
      <w:r w:rsidR="007607F0">
        <w:t>the Senior LT</w:t>
      </w:r>
      <w:r w:rsidR="00523C6F">
        <w:t xml:space="preserve"> Indenture and the Tax Certificate and (ii) that any unspent moneys released from such Performance Bond shall be remitted to the Trustee for deposit in the Senior </w:t>
      </w:r>
      <w:r w:rsidR="009929E0">
        <w:t xml:space="preserve">LT </w:t>
      </w:r>
      <w:r w:rsidR="00523C6F">
        <w:t>Project Fund</w:t>
      </w:r>
      <w:r>
        <w:rPr>
          <w:rFonts w:cs="Times New Roman"/>
          <w:szCs w:val="22"/>
        </w:rPr>
        <w:t>.</w:t>
      </w:r>
    </w:p>
    <w:p w14:paraId="41C9FFD0" w14:textId="0337170C" w:rsidR="001E5063" w:rsidRPr="00DA2177" w:rsidRDefault="001E5063" w:rsidP="00BE1067">
      <w:pPr>
        <w:pStyle w:val="00BodyText5"/>
        <w:rPr>
          <w:rFonts w:cs="Times New Roman"/>
          <w:szCs w:val="22"/>
        </w:rPr>
      </w:pPr>
      <w:r>
        <w:rPr>
          <w:rFonts w:cs="Times New Roman"/>
          <w:iCs/>
          <w:szCs w:val="22"/>
          <w:u w:val="single"/>
        </w:rPr>
        <w:t xml:space="preserve">Termination of </w:t>
      </w:r>
      <w:r w:rsidR="007217C3">
        <w:rPr>
          <w:rFonts w:cs="Times New Roman"/>
          <w:iCs/>
          <w:szCs w:val="22"/>
          <w:u w:val="single"/>
        </w:rPr>
        <w:t>Senior LT Project Fund</w:t>
      </w:r>
      <w:r>
        <w:rPr>
          <w:rFonts w:cs="Times New Roman"/>
          <w:szCs w:val="22"/>
        </w:rPr>
        <w:t xml:space="preserve">. Upon the receipt by the Trustee of a resolution of the District determining that all Project Costs have been paid, any balance remaining in the </w:t>
      </w:r>
      <w:r w:rsidR="007217C3">
        <w:rPr>
          <w:rFonts w:cs="Times New Roman"/>
          <w:szCs w:val="22"/>
        </w:rPr>
        <w:t>Senior LT Project Fund</w:t>
      </w:r>
      <w:r>
        <w:rPr>
          <w:rFonts w:cs="Times New Roman"/>
          <w:szCs w:val="22"/>
        </w:rPr>
        <w:t xml:space="preserve"> shall be credited to the </w:t>
      </w:r>
      <w:r w:rsidR="007217C3">
        <w:rPr>
          <w:rFonts w:cs="Times New Roman"/>
          <w:szCs w:val="22"/>
        </w:rPr>
        <w:t>Senior LT Bond Fund</w:t>
      </w:r>
      <w:r>
        <w:rPr>
          <w:rFonts w:cs="Times New Roman"/>
          <w:szCs w:val="22"/>
        </w:rPr>
        <w:t xml:space="preserve">. The </w:t>
      </w:r>
      <w:r w:rsidR="007217C3">
        <w:rPr>
          <w:rFonts w:cs="Times New Roman"/>
          <w:szCs w:val="22"/>
        </w:rPr>
        <w:t>Senior LT Project Fund</w:t>
      </w:r>
      <w:r>
        <w:rPr>
          <w:rFonts w:cs="Times New Roman"/>
          <w:szCs w:val="22"/>
        </w:rPr>
        <w:t xml:space="preserve"> shall terminate at such time as no further moneys remain therein.</w:t>
      </w:r>
    </w:p>
    <w:p w14:paraId="0476CB6C" w14:textId="71E04EA3" w:rsidR="002E3448" w:rsidRPr="00DA2177" w:rsidRDefault="00E56B00" w:rsidP="00F72480">
      <w:pPr>
        <w:pStyle w:val="00BodyText5"/>
        <w:rPr>
          <w:rFonts w:cs="Times New Roman"/>
          <w:szCs w:val="22"/>
        </w:rPr>
      </w:pPr>
      <w:r>
        <w:rPr>
          <w:rFonts w:cs="Times New Roman"/>
          <w:b/>
          <w:i/>
          <w:szCs w:val="22"/>
        </w:rPr>
        <w:t xml:space="preserve">Application of </w:t>
      </w:r>
      <w:r w:rsidR="000F65D0">
        <w:rPr>
          <w:rFonts w:cs="Times New Roman"/>
          <w:b/>
          <w:i/>
          <w:szCs w:val="22"/>
        </w:rPr>
        <w:t xml:space="preserve">Senior </w:t>
      </w:r>
      <w:r>
        <w:rPr>
          <w:rFonts w:cs="Times New Roman"/>
          <w:b/>
          <w:i/>
          <w:szCs w:val="22"/>
        </w:rPr>
        <w:t>LT Pledged Revenue</w:t>
      </w:r>
      <w:r>
        <w:rPr>
          <w:rFonts w:cs="Times New Roman"/>
          <w:szCs w:val="22"/>
        </w:rPr>
        <w:t xml:space="preserve">. The District will transfer all amounts comprising </w:t>
      </w:r>
      <w:r w:rsidR="000F65D0">
        <w:rPr>
          <w:rFonts w:cs="Times New Roman"/>
          <w:szCs w:val="22"/>
        </w:rPr>
        <w:t xml:space="preserve">Senior </w:t>
      </w:r>
      <w:r>
        <w:rPr>
          <w:rFonts w:cs="Times New Roman"/>
          <w:szCs w:val="22"/>
        </w:rPr>
        <w:t>LT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w:t>
      </w:r>
      <w:r w:rsidR="007607F0">
        <w:rPr>
          <w:rFonts w:cs="Times New Roman"/>
          <w:szCs w:val="22"/>
        </w:rPr>
        <w:t xml:space="preserve"> in the Senior LT Indenture, as set forth below</w:t>
      </w:r>
      <w:r>
        <w:rPr>
          <w:rFonts w:cs="Times New Roman"/>
          <w:szCs w:val="22"/>
        </w:rPr>
        <w:t xml:space="preserve">; provided, however, that in the event that the total amount of </w:t>
      </w:r>
      <w:r w:rsidR="000F65D0">
        <w:rPr>
          <w:rFonts w:cs="Times New Roman"/>
          <w:szCs w:val="22"/>
        </w:rPr>
        <w:t xml:space="preserve">Senior </w:t>
      </w:r>
      <w:r>
        <w:rPr>
          <w:rFonts w:cs="Times New Roman"/>
          <w:szCs w:val="22"/>
        </w:rPr>
        <w:t xml:space="preserve">LT Pledged Revenue received by the District in a calendar month is less than $50,000, the </w:t>
      </w:r>
      <w:r w:rsidR="000F65D0">
        <w:rPr>
          <w:rFonts w:cs="Times New Roman"/>
          <w:szCs w:val="22"/>
        </w:rPr>
        <w:t xml:space="preserve">Senior </w:t>
      </w:r>
      <w:r>
        <w:rPr>
          <w:rFonts w:cs="Times New Roman"/>
          <w:szCs w:val="22"/>
        </w:rPr>
        <w:t xml:space="preserve">LT Pledged Revenue received in such calendar month may instead be remitted to the Trustee no later than the 15th day of the calendar month immediately succeeding the calendar quarter in which such revenue is received by the District (i.e., no later than April 15th for </w:t>
      </w:r>
      <w:r w:rsidR="000F65D0">
        <w:rPr>
          <w:rFonts w:cs="Times New Roman"/>
          <w:szCs w:val="22"/>
        </w:rPr>
        <w:t xml:space="preserve">Senior </w:t>
      </w:r>
      <w:r>
        <w:rPr>
          <w:rFonts w:cs="Times New Roman"/>
          <w:szCs w:val="22"/>
        </w:rPr>
        <w:t xml:space="preserve">LT Pledged Revenue received in January, February, or March; no later than July 15th for </w:t>
      </w:r>
      <w:r w:rsidR="000F65D0">
        <w:rPr>
          <w:rFonts w:cs="Times New Roman"/>
          <w:szCs w:val="22"/>
        </w:rPr>
        <w:t xml:space="preserve">Senior </w:t>
      </w:r>
      <w:r>
        <w:rPr>
          <w:rFonts w:cs="Times New Roman"/>
          <w:szCs w:val="22"/>
        </w:rPr>
        <w:t xml:space="preserve">LT Pledged Revenue received in April, May, or June; no later than October 15th for </w:t>
      </w:r>
      <w:r w:rsidR="000F65D0">
        <w:rPr>
          <w:rFonts w:cs="Times New Roman"/>
          <w:szCs w:val="22"/>
        </w:rPr>
        <w:t xml:space="preserve">Senior </w:t>
      </w:r>
      <w:r>
        <w:rPr>
          <w:rFonts w:cs="Times New Roman"/>
          <w:szCs w:val="22"/>
        </w:rPr>
        <w:t xml:space="preserve">LT Pledged Revenue received in July, August, or September; and no later than January 15th for </w:t>
      </w:r>
      <w:r w:rsidR="000F65D0">
        <w:rPr>
          <w:rFonts w:cs="Times New Roman"/>
          <w:szCs w:val="22"/>
        </w:rPr>
        <w:t xml:space="preserve">Senior </w:t>
      </w:r>
      <w:r>
        <w:rPr>
          <w:rFonts w:cs="Times New Roman"/>
          <w:szCs w:val="22"/>
        </w:rPr>
        <w:t xml:space="preserve">LT Pledged Revenue received in October, November, or December). IN NO EVENT IS THE DISTRICT PERMITTED TO APPLY ANY PORTION OF THE </w:t>
      </w:r>
      <w:r w:rsidR="007607F0">
        <w:rPr>
          <w:rFonts w:cs="Times New Roman"/>
          <w:szCs w:val="22"/>
        </w:rPr>
        <w:t xml:space="preserve">SENIOR </w:t>
      </w:r>
      <w:r>
        <w:rPr>
          <w:rFonts w:cs="Times New Roman"/>
          <w:szCs w:val="22"/>
        </w:rPr>
        <w:t xml:space="preserve">LT PLEDGED REVENUE TO ANY OTHER PURPOSE, OR TO WITHHOLD ANY PORTION OF THE </w:t>
      </w:r>
      <w:r w:rsidR="007607F0">
        <w:rPr>
          <w:rFonts w:cs="Times New Roman"/>
          <w:szCs w:val="22"/>
        </w:rPr>
        <w:t xml:space="preserve">SENIOR </w:t>
      </w:r>
      <w:r>
        <w:rPr>
          <w:rFonts w:cs="Times New Roman"/>
          <w:szCs w:val="22"/>
        </w:rPr>
        <w:t xml:space="preserve">LT PLEDGED REVENUE. </w:t>
      </w:r>
    </w:p>
    <w:p w14:paraId="77351DF7" w14:textId="6751E9BE" w:rsidR="00E56B00" w:rsidRPr="00F970BF" w:rsidRDefault="003305B9" w:rsidP="00F72480">
      <w:pPr>
        <w:pStyle w:val="00BodyText5"/>
        <w:rPr>
          <w:rFonts w:cs="Times New Roman"/>
          <w:szCs w:val="22"/>
        </w:rPr>
      </w:pPr>
      <w:r>
        <w:rPr>
          <w:rFonts w:cs="Times New Roman"/>
          <w:szCs w:val="22"/>
        </w:rPr>
        <w:t xml:space="preserve">The Trustee will credit all </w:t>
      </w:r>
      <w:r w:rsidR="000F65D0">
        <w:rPr>
          <w:rFonts w:cs="Times New Roman"/>
          <w:szCs w:val="22"/>
        </w:rPr>
        <w:t xml:space="preserve">Senior </w:t>
      </w:r>
      <w:r>
        <w:rPr>
          <w:rFonts w:cs="Times New Roman"/>
          <w:szCs w:val="22"/>
        </w:rPr>
        <w:t xml:space="preserve">LT Pledged Revenue as received in the following order of priority (excluding the </w:t>
      </w:r>
      <w:r w:rsidR="000F65D0">
        <w:rPr>
          <w:rFonts w:cs="Times New Roman"/>
          <w:szCs w:val="22"/>
        </w:rPr>
        <w:t xml:space="preserve">Senior </w:t>
      </w:r>
      <w:r>
        <w:rPr>
          <w:rFonts w:cs="Times New Roman"/>
          <w:szCs w:val="22"/>
        </w:rPr>
        <w:t xml:space="preserve">LT Pledged Revenue described in clause (c) of the definition thereof, which is to be deposited directly to the </w:t>
      </w:r>
      <w:r w:rsidR="007217C3">
        <w:rPr>
          <w:rFonts w:cs="Times New Roman"/>
          <w:szCs w:val="22"/>
        </w:rPr>
        <w:t>Senior LT Bond Fund</w:t>
      </w:r>
      <w:r>
        <w:rPr>
          <w:rFonts w:cs="Times New Roman"/>
          <w:szCs w:val="22"/>
        </w:rPr>
        <w:t xml:space="preserve">). For purposes of the following, when credits to more than one fund, account, or purpose are required at any single priority level, such credits are to rank </w:t>
      </w:r>
      <w:r>
        <w:rPr>
          <w:rFonts w:cs="Times New Roman"/>
          <w:i/>
          <w:szCs w:val="22"/>
        </w:rPr>
        <w:t>pari passu</w:t>
      </w:r>
      <w:r>
        <w:rPr>
          <w:rFonts w:cs="Times New Roman"/>
          <w:szCs w:val="22"/>
        </w:rPr>
        <w:t xml:space="preserve"> with each other and when credits are required to go to funds or accounts which are not held by the Trustee under the </w:t>
      </w:r>
      <w:r w:rsidR="000F65D0">
        <w:rPr>
          <w:rFonts w:cs="Times New Roman"/>
          <w:szCs w:val="22"/>
        </w:rPr>
        <w:t xml:space="preserve">Senior </w:t>
      </w:r>
      <w:r>
        <w:rPr>
          <w:rFonts w:cs="Times New Roman"/>
          <w:szCs w:val="22"/>
        </w:rPr>
        <w:t>LT Indenture, the Trustee may rely upon the written instructions of the District with respect to the appropriate funds or accounts to which such credits are to be made.</w:t>
      </w:r>
    </w:p>
    <w:p w14:paraId="23BE4B83" w14:textId="36BB3B8E" w:rsidR="00C422AE" w:rsidRPr="00F970BF" w:rsidRDefault="00E56B00" w:rsidP="00E56B00">
      <w:pPr>
        <w:pStyle w:val="00BodyText5"/>
        <w:ind w:left="720"/>
        <w:rPr>
          <w:rFonts w:cs="Times New Roman"/>
          <w:szCs w:val="22"/>
        </w:rPr>
      </w:pPr>
      <w:r>
        <w:rPr>
          <w:rFonts w:cs="Times New Roman"/>
          <w:szCs w:val="22"/>
        </w:rPr>
        <w:t>FIRST: To the Trustee, in an amount sufficient to pay the Trustee Fees then due and payable;</w:t>
      </w:r>
    </w:p>
    <w:p w14:paraId="13FB5FAD" w14:textId="40E315ED" w:rsidR="000D4511" w:rsidRPr="00F970BF" w:rsidRDefault="00C422AE" w:rsidP="00E56B00">
      <w:pPr>
        <w:pStyle w:val="00BodyText5"/>
        <w:ind w:left="720"/>
        <w:rPr>
          <w:rFonts w:cs="Times New Roman"/>
          <w:szCs w:val="22"/>
        </w:rPr>
      </w:pPr>
      <w:r>
        <w:rPr>
          <w:rFonts w:cs="Times New Roman"/>
          <w:szCs w:val="22"/>
        </w:rPr>
        <w:t>SECOND: To the District, in the amount budgeted by the District</w:t>
      </w:r>
      <w:r w:rsidR="007607F0">
        <w:rPr>
          <w:rFonts w:cs="Times New Roman"/>
          <w:szCs w:val="22"/>
        </w:rPr>
        <w:t xml:space="preserve"> </w:t>
      </w:r>
      <w:r w:rsidR="007607F0" w:rsidRPr="007607F0">
        <w:rPr>
          <w:rFonts w:cs="Times New Roman"/>
          <w:szCs w:val="22"/>
        </w:rPr>
        <w:t>and designated in writing by the Trustee</w:t>
      </w:r>
      <w:r>
        <w:rPr>
          <w:rFonts w:cs="Times New Roman"/>
          <w:szCs w:val="22"/>
        </w:rPr>
        <w:t xml:space="preserve"> to pay Administrative Expenses for the coming Fiscal Year;</w:t>
      </w:r>
    </w:p>
    <w:p w14:paraId="7F4E1FF6" w14:textId="1600F473" w:rsidR="00E56B00" w:rsidRPr="00DA2177" w:rsidRDefault="00C422AE" w:rsidP="00E56B00">
      <w:pPr>
        <w:pStyle w:val="00BodyText5"/>
        <w:ind w:left="720"/>
        <w:rPr>
          <w:rFonts w:cs="Times New Roman"/>
          <w:szCs w:val="22"/>
        </w:rPr>
      </w:pPr>
      <w:r>
        <w:rPr>
          <w:rFonts w:cs="Times New Roman"/>
          <w:szCs w:val="22"/>
        </w:rPr>
        <w:t xml:space="preserve">THIRD: To the credit of the </w:t>
      </w:r>
      <w:r w:rsidR="007217C3">
        <w:rPr>
          <w:rFonts w:cs="Times New Roman"/>
          <w:szCs w:val="22"/>
        </w:rPr>
        <w:t>Senior LT Bond Fund</w:t>
      </w:r>
      <w:r>
        <w:rPr>
          <w:rFonts w:cs="Times New Roman"/>
          <w:szCs w:val="22"/>
        </w:rPr>
        <w:t>, the amounts described in “—</w:t>
      </w:r>
      <w:r w:rsidR="007217C3">
        <w:rPr>
          <w:rFonts w:cs="Times New Roman"/>
          <w:i/>
          <w:szCs w:val="22"/>
        </w:rPr>
        <w:t>Senior LT Bond Fund</w:t>
      </w:r>
      <w:r>
        <w:rPr>
          <w:rFonts w:cs="Times New Roman"/>
          <w:szCs w:val="22"/>
        </w:rPr>
        <w:t xml:space="preserve">” below, and to the credit of any other similar fund or account established for the current payment of the principal of, premium if any, and interest on any </w:t>
      </w:r>
      <w:r w:rsidR="005C7E1E">
        <w:rPr>
          <w:rFonts w:cs="Times New Roman"/>
          <w:szCs w:val="22"/>
        </w:rPr>
        <w:t xml:space="preserve">Senior </w:t>
      </w:r>
      <w:r>
        <w:rPr>
          <w:rFonts w:cs="Times New Roman"/>
          <w:szCs w:val="22"/>
        </w:rPr>
        <w:t xml:space="preserve">LT Parity Bonds, the amounts required by the resolution or other enactment authorizing issuance of the </w:t>
      </w:r>
      <w:r w:rsidR="005C7E1E">
        <w:rPr>
          <w:rFonts w:cs="Times New Roman"/>
          <w:szCs w:val="22"/>
        </w:rPr>
        <w:t xml:space="preserve">Senior </w:t>
      </w:r>
      <w:r>
        <w:rPr>
          <w:rFonts w:cs="Times New Roman"/>
          <w:szCs w:val="22"/>
        </w:rPr>
        <w:t xml:space="preserve">LT Parity Bonds for the then current </w:t>
      </w:r>
      <w:r w:rsidR="00AD0041">
        <w:rPr>
          <w:rFonts w:cs="Times New Roman"/>
          <w:szCs w:val="22"/>
        </w:rPr>
        <w:t>Senior LT Bond Year</w:t>
      </w:r>
      <w:r>
        <w:rPr>
          <w:rFonts w:cs="Times New Roman"/>
          <w:szCs w:val="22"/>
        </w:rPr>
        <w:t>;</w:t>
      </w:r>
    </w:p>
    <w:p w14:paraId="74154FEC" w14:textId="76D3805F" w:rsidR="00E56B00" w:rsidRPr="00DA2177" w:rsidRDefault="00650B1E" w:rsidP="00E56B00">
      <w:pPr>
        <w:pStyle w:val="00BodyText5"/>
        <w:ind w:left="720"/>
        <w:rPr>
          <w:rFonts w:cs="Times New Roman"/>
          <w:szCs w:val="22"/>
        </w:rPr>
      </w:pPr>
      <w:r>
        <w:rPr>
          <w:rFonts w:cs="Times New Roman"/>
          <w:szCs w:val="22"/>
        </w:rPr>
        <w:t xml:space="preserve">FOURTH: To the credit of the LT Surplus Fund and to the credit of any other similar fund or account established to secure payment of the principal of, premium if any, and interest on any </w:t>
      </w:r>
      <w:r w:rsidR="007607F0">
        <w:rPr>
          <w:rFonts w:cs="Times New Roman"/>
          <w:szCs w:val="22"/>
        </w:rPr>
        <w:t xml:space="preserve">Senior </w:t>
      </w:r>
      <w:r>
        <w:rPr>
          <w:rFonts w:cs="Times New Roman"/>
          <w:szCs w:val="22"/>
        </w:rPr>
        <w:t xml:space="preserve">LT Parity Bond, the amount necessary for amounts on deposit in the LT Surplus Fund to equal the Maximum Surplus Amount and for amounts on deposit in any similar account securing </w:t>
      </w:r>
      <w:r w:rsidR="005C7E1E">
        <w:rPr>
          <w:rFonts w:cs="Times New Roman"/>
          <w:szCs w:val="22"/>
        </w:rPr>
        <w:t xml:space="preserve">Senior </w:t>
      </w:r>
      <w:r>
        <w:rPr>
          <w:rFonts w:cs="Times New Roman"/>
          <w:szCs w:val="22"/>
        </w:rPr>
        <w:t xml:space="preserve">LT Parity Bonds to equal the amount required by the resolution or other enactment authorizing issuance of such </w:t>
      </w:r>
      <w:r w:rsidR="005C7E1E">
        <w:rPr>
          <w:rFonts w:cs="Times New Roman"/>
          <w:szCs w:val="22"/>
        </w:rPr>
        <w:t xml:space="preserve">Senior </w:t>
      </w:r>
      <w:r>
        <w:rPr>
          <w:rFonts w:cs="Times New Roman"/>
          <w:szCs w:val="22"/>
        </w:rPr>
        <w:t>LT Parity Bonds; and</w:t>
      </w:r>
    </w:p>
    <w:p w14:paraId="23F8A969" w14:textId="3DAEA323" w:rsidR="00E56B00" w:rsidRPr="00DA2177" w:rsidRDefault="00650B1E" w:rsidP="00E56B00">
      <w:pPr>
        <w:pStyle w:val="00BodyText5"/>
        <w:ind w:left="720"/>
        <w:rPr>
          <w:rFonts w:cs="Times New Roman"/>
          <w:szCs w:val="22"/>
        </w:rPr>
      </w:pPr>
      <w:r>
        <w:rPr>
          <w:rFonts w:cs="Times New Roman"/>
          <w:szCs w:val="22"/>
        </w:rPr>
        <w:t xml:space="preserve">FIFTH: To the District for credit to any other fund or account as may be designated by the District in writing to the Trustee, to be used for any lawful purpose, any </w:t>
      </w:r>
      <w:r w:rsidR="000F65D0">
        <w:rPr>
          <w:rFonts w:cs="Times New Roman"/>
          <w:szCs w:val="22"/>
        </w:rPr>
        <w:t xml:space="preserve">Senior </w:t>
      </w:r>
      <w:r>
        <w:rPr>
          <w:rFonts w:cs="Times New Roman"/>
          <w:szCs w:val="22"/>
        </w:rPr>
        <w:t xml:space="preserve">LT Pledged Revenue received for the remainder of the </w:t>
      </w:r>
      <w:r w:rsidR="00AD0041">
        <w:rPr>
          <w:rFonts w:cs="Times New Roman"/>
          <w:szCs w:val="22"/>
        </w:rPr>
        <w:t>Senior LT Bond Year</w:t>
      </w:r>
      <w:r>
        <w:rPr>
          <w:rFonts w:cs="Times New Roman"/>
          <w:szCs w:val="22"/>
        </w:rPr>
        <w:t xml:space="preserve"> after the payments and accumulations set forth above (which revenues, upon disbursement to or at the direction of the District in accordance with this clause FIFTH, shall be released from the lien of the </w:t>
      </w:r>
      <w:r w:rsidR="000F65D0">
        <w:rPr>
          <w:rFonts w:cs="Times New Roman"/>
          <w:szCs w:val="22"/>
        </w:rPr>
        <w:t xml:space="preserve">Senior </w:t>
      </w:r>
      <w:r>
        <w:rPr>
          <w:rFonts w:cs="Times New Roman"/>
          <w:szCs w:val="22"/>
        </w:rPr>
        <w:t>LT Indenture and shall thereafter no longer constitute “</w:t>
      </w:r>
      <w:r w:rsidR="000F65D0">
        <w:rPr>
          <w:rFonts w:cs="Times New Roman"/>
          <w:szCs w:val="22"/>
        </w:rPr>
        <w:t xml:space="preserve">Senior </w:t>
      </w:r>
      <w:r>
        <w:rPr>
          <w:rFonts w:cs="Times New Roman"/>
          <w:szCs w:val="22"/>
        </w:rPr>
        <w:t xml:space="preserve">LT Pledged Revenue” under the </w:t>
      </w:r>
      <w:r w:rsidR="000F65D0">
        <w:rPr>
          <w:rFonts w:cs="Times New Roman"/>
          <w:szCs w:val="22"/>
        </w:rPr>
        <w:t xml:space="preserve">Senior </w:t>
      </w:r>
      <w:r>
        <w:rPr>
          <w:rFonts w:cs="Times New Roman"/>
          <w:szCs w:val="22"/>
        </w:rPr>
        <w:t>LT Indenture).</w:t>
      </w:r>
    </w:p>
    <w:p w14:paraId="5C54105A" w14:textId="6455A86F" w:rsidR="00E56B00" w:rsidRPr="00DA2177" w:rsidRDefault="00E56B00" w:rsidP="00A01703">
      <w:pPr>
        <w:pStyle w:val="00BodyText5"/>
        <w:rPr>
          <w:rFonts w:cs="Times New Roman"/>
          <w:szCs w:val="22"/>
        </w:rPr>
      </w:pPr>
      <w:r>
        <w:rPr>
          <w:rFonts w:cs="Times New Roman"/>
          <w:szCs w:val="22"/>
        </w:rPr>
        <w:t xml:space="preserve">In the event that any </w:t>
      </w:r>
      <w:r w:rsidR="000F65D0">
        <w:rPr>
          <w:rFonts w:cs="Times New Roman"/>
          <w:szCs w:val="22"/>
        </w:rPr>
        <w:t xml:space="preserve">Senior </w:t>
      </w:r>
      <w:r>
        <w:rPr>
          <w:rFonts w:cs="Times New Roman"/>
          <w:szCs w:val="22"/>
        </w:rPr>
        <w:t xml:space="preserve">LT Pledged Revenue is available to be disbursed in accordance with clause FIFTH above, the District will, in making its determination as to the application of such amounts, take into account that State law places certain restrictions upon use of any moneys representing ad valorem property tax revenue from a property tax levy, and any then existing pledge or encumbrance on such revenues. </w:t>
      </w:r>
    </w:p>
    <w:p w14:paraId="751628AB" w14:textId="02CA26C4" w:rsidR="003305B9" w:rsidRDefault="003305B9" w:rsidP="003305B9">
      <w:pPr>
        <w:pStyle w:val="00BodyText5"/>
        <w:rPr>
          <w:rFonts w:cs="Times New Roman"/>
          <w:szCs w:val="22"/>
        </w:rPr>
      </w:pPr>
      <w:r>
        <w:rPr>
          <w:rFonts w:cs="Times New Roman"/>
          <w:szCs w:val="22"/>
        </w:rPr>
        <w:t xml:space="preserve">The District covenants in the </w:t>
      </w:r>
      <w:r w:rsidR="000F65D0">
        <w:rPr>
          <w:rFonts w:cs="Times New Roman"/>
          <w:szCs w:val="22"/>
        </w:rPr>
        <w:t xml:space="preserve">Senior </w:t>
      </w:r>
      <w:r>
        <w:rPr>
          <w:rFonts w:cs="Times New Roman"/>
          <w:szCs w:val="22"/>
        </w:rPr>
        <w:t xml:space="preserve">LT Indenture that all property tax revenue collected by the District from a property tax levy, or so much thereof as is needed, will first, be designated as </w:t>
      </w:r>
      <w:r w:rsidR="005C7E1E">
        <w:rPr>
          <w:rFonts w:cs="Times New Roman"/>
          <w:szCs w:val="22"/>
        </w:rPr>
        <w:t xml:space="preserve">Senior </w:t>
      </w:r>
      <w:r>
        <w:rPr>
          <w:rFonts w:cs="Times New Roman"/>
          <w:szCs w:val="22"/>
        </w:rPr>
        <w:t xml:space="preserve">Property Tax Revenues in any </w:t>
      </w:r>
      <w:r w:rsidR="00AD0041">
        <w:rPr>
          <w:rFonts w:cs="Times New Roman"/>
          <w:szCs w:val="22"/>
        </w:rPr>
        <w:t>Senior LT Bond Year</w:t>
      </w:r>
      <w:r>
        <w:rPr>
          <w:rFonts w:cs="Times New Roman"/>
          <w:szCs w:val="22"/>
        </w:rPr>
        <w:t xml:space="preserve"> to pay annual debt service on the </w:t>
      </w:r>
      <w:r w:rsidR="00787226">
        <w:rPr>
          <w:rFonts w:cs="Times New Roman"/>
          <w:szCs w:val="22"/>
        </w:rPr>
        <w:t>2026A-1 Senior LT Bond</w:t>
      </w:r>
      <w:r>
        <w:rPr>
          <w:rFonts w:cs="Times New Roman"/>
          <w:szCs w:val="22"/>
        </w:rPr>
        <w:t xml:space="preserve">s and any </w:t>
      </w:r>
      <w:r w:rsidR="005C7E1E">
        <w:rPr>
          <w:rFonts w:cs="Times New Roman"/>
          <w:szCs w:val="22"/>
        </w:rPr>
        <w:t xml:space="preserve">Senior </w:t>
      </w:r>
      <w:r>
        <w:rPr>
          <w:rFonts w:cs="Times New Roman"/>
          <w:szCs w:val="22"/>
        </w:rPr>
        <w:t xml:space="preserve">LT Parity Bonds and to fund such funds and accounts as are required in accordance with the terms of the </w:t>
      </w:r>
      <w:r w:rsidR="000F65D0">
        <w:rPr>
          <w:rFonts w:cs="Times New Roman"/>
          <w:szCs w:val="22"/>
        </w:rPr>
        <w:t xml:space="preserve">Senior </w:t>
      </w:r>
      <w:r>
        <w:rPr>
          <w:rFonts w:cs="Times New Roman"/>
          <w:szCs w:val="22"/>
        </w:rPr>
        <w:t xml:space="preserve">LT Indenture and the resolution, indenture or other enactment authorizing such </w:t>
      </w:r>
      <w:r w:rsidR="005C7E1E">
        <w:rPr>
          <w:rFonts w:cs="Times New Roman"/>
          <w:szCs w:val="22"/>
        </w:rPr>
        <w:t xml:space="preserve">Senior </w:t>
      </w:r>
      <w:r>
        <w:rPr>
          <w:rFonts w:cs="Times New Roman"/>
          <w:szCs w:val="22"/>
        </w:rPr>
        <w:t xml:space="preserve">LT Parity Bonds (including to fill the LT Surplus Fund to the Maximum Surplus Amount, and to fill the surplus fund for any </w:t>
      </w:r>
      <w:r w:rsidR="005C7E1E">
        <w:rPr>
          <w:rFonts w:cs="Times New Roman"/>
          <w:szCs w:val="22"/>
        </w:rPr>
        <w:t xml:space="preserve">Senior </w:t>
      </w:r>
      <w:r>
        <w:rPr>
          <w:rFonts w:cs="Times New Roman"/>
          <w:szCs w:val="22"/>
        </w:rPr>
        <w:t xml:space="preserve">LT Parity Bonds to an amount, with respect to any particular series of </w:t>
      </w:r>
      <w:r w:rsidR="005C7E1E">
        <w:rPr>
          <w:rFonts w:cs="Times New Roman"/>
          <w:szCs w:val="22"/>
        </w:rPr>
        <w:t xml:space="preserve">Senior </w:t>
      </w:r>
      <w:r>
        <w:rPr>
          <w:rFonts w:cs="Times New Roman"/>
          <w:szCs w:val="22"/>
        </w:rPr>
        <w:t xml:space="preserve">LT Parity Bonds, equal to 20% of the original par amount of such </w:t>
      </w:r>
      <w:r w:rsidR="005C7E1E">
        <w:rPr>
          <w:rFonts w:cs="Times New Roman"/>
          <w:szCs w:val="22"/>
        </w:rPr>
        <w:t xml:space="preserve">Senior </w:t>
      </w:r>
      <w:r>
        <w:rPr>
          <w:rFonts w:cs="Times New Roman"/>
          <w:szCs w:val="22"/>
        </w:rPr>
        <w:t>LT Parity Bonds (the “</w:t>
      </w:r>
      <w:r w:rsidR="005C7E1E" w:rsidRPr="00B839B6">
        <w:rPr>
          <w:rFonts w:cs="Times New Roman"/>
          <w:b/>
          <w:szCs w:val="22"/>
        </w:rPr>
        <w:t xml:space="preserve">Senior </w:t>
      </w:r>
      <w:r>
        <w:rPr>
          <w:rFonts w:cs="Times New Roman"/>
          <w:b/>
          <w:szCs w:val="22"/>
        </w:rPr>
        <w:t>LT Parity Bonds Maximum Surplus Amount</w:t>
      </w:r>
      <w:r>
        <w:rPr>
          <w:rFonts w:cs="Times New Roman"/>
          <w:szCs w:val="22"/>
        </w:rPr>
        <w:t>”))</w:t>
      </w:r>
      <w:r w:rsidR="00903D26">
        <w:rPr>
          <w:rFonts w:cs="Times New Roman"/>
          <w:szCs w:val="22"/>
        </w:rPr>
        <w:t>,</w:t>
      </w:r>
      <w:r>
        <w:rPr>
          <w:rFonts w:cs="Times New Roman"/>
          <w:szCs w:val="22"/>
        </w:rPr>
        <w:t xml:space="preserve"> and only after the funding of such payments and accumulations required in such </w:t>
      </w:r>
      <w:r w:rsidR="00AD0041">
        <w:rPr>
          <w:rFonts w:cs="Times New Roman"/>
          <w:szCs w:val="22"/>
        </w:rPr>
        <w:t>Senior LT Bond Year</w:t>
      </w:r>
      <w:r>
        <w:rPr>
          <w:rFonts w:cs="Times New Roman"/>
          <w:szCs w:val="22"/>
        </w:rPr>
        <w:t xml:space="preserve"> can property tax revenue be applied to pay Subordinate LT Obligations. The debt service property tax levy imposed for the payment of Subordinate LT Obligations will be deemed reduced to the rate per dollar of taxable value (if any) available for payment of such Subordinate LT Obligations in any </w:t>
      </w:r>
      <w:r w:rsidR="00AD0041">
        <w:rPr>
          <w:rFonts w:cs="Times New Roman"/>
          <w:szCs w:val="22"/>
        </w:rPr>
        <w:t>Senior LT Bond Year</w:t>
      </w:r>
      <w:r>
        <w:rPr>
          <w:rFonts w:cs="Times New Roman"/>
          <w:szCs w:val="22"/>
        </w:rPr>
        <w:t xml:space="preserve"> after first providing for the full payment and accumulation of all amounts due on the </w:t>
      </w:r>
      <w:r w:rsidR="00787226">
        <w:rPr>
          <w:rFonts w:cs="Times New Roman"/>
          <w:szCs w:val="22"/>
        </w:rPr>
        <w:t>2026A-1 Senior LT Bond</w:t>
      </w:r>
      <w:r>
        <w:rPr>
          <w:rFonts w:cs="Times New Roman"/>
          <w:szCs w:val="22"/>
        </w:rPr>
        <w:t xml:space="preserve">s and any </w:t>
      </w:r>
      <w:r w:rsidR="005C7E1E">
        <w:rPr>
          <w:rFonts w:cs="Times New Roman"/>
          <w:szCs w:val="22"/>
        </w:rPr>
        <w:t xml:space="preserve">Senior </w:t>
      </w:r>
      <w:r>
        <w:rPr>
          <w:rFonts w:cs="Times New Roman"/>
          <w:szCs w:val="22"/>
        </w:rPr>
        <w:t xml:space="preserve">LT Parity Bonds in such </w:t>
      </w:r>
      <w:r w:rsidR="00AD0041">
        <w:rPr>
          <w:rFonts w:cs="Times New Roman"/>
          <w:szCs w:val="22"/>
        </w:rPr>
        <w:t>Senior LT Bond Year</w:t>
      </w:r>
      <w:r>
        <w:rPr>
          <w:rFonts w:cs="Times New Roman"/>
          <w:szCs w:val="22"/>
        </w:rPr>
        <w:t xml:space="preserve">. </w:t>
      </w:r>
    </w:p>
    <w:p w14:paraId="4E0C7614" w14:textId="38E8C0CB" w:rsidR="00C36F36" w:rsidRPr="00DA2177" w:rsidRDefault="00C36F36" w:rsidP="003305B9">
      <w:pPr>
        <w:pStyle w:val="00BodyText5"/>
        <w:rPr>
          <w:rFonts w:cs="Times New Roman"/>
          <w:szCs w:val="22"/>
        </w:rPr>
      </w:pPr>
      <w:r>
        <w:rPr>
          <w:rFonts w:cs="Times New Roman"/>
          <w:szCs w:val="22"/>
        </w:rPr>
        <w:t xml:space="preserve">Notwithstanding any other provision contained in the </w:t>
      </w:r>
      <w:r w:rsidR="000F65D0">
        <w:rPr>
          <w:rFonts w:cs="Times New Roman"/>
          <w:szCs w:val="22"/>
        </w:rPr>
        <w:t xml:space="preserve">Senior </w:t>
      </w:r>
      <w:r>
        <w:rPr>
          <w:rFonts w:cs="Times New Roman"/>
          <w:szCs w:val="22"/>
        </w:rPr>
        <w:t xml:space="preserve">LT Indenture, property tax revenue resulting from or relating to any Unencumbered Debt Service Mill Levy imposed by the District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w:t>
      </w:r>
      <w:r w:rsidR="000F65D0">
        <w:rPr>
          <w:rFonts w:cs="Times New Roman"/>
          <w:szCs w:val="22"/>
        </w:rPr>
        <w:t xml:space="preserve">Senior </w:t>
      </w:r>
      <w:r>
        <w:rPr>
          <w:rFonts w:cs="Times New Roman"/>
          <w:szCs w:val="22"/>
        </w:rPr>
        <w:t xml:space="preserve">Required Mill Levy and any ad valorem property tax imposed for Subordinate LT Obligations, exclusive of the Unencumbered Debt Service Mill Levy) pro rata in accordance with the amounts of mill levies imposed. In no event shall the immediately preceding paragraph operate to reduce or limit in any way the amount of any Unencumbered Debt Service Mill Levy, or the ability of the District to apply the property tax revenue resulting therefrom, so long as determined in accordance with this paragraph in the </w:t>
      </w:r>
      <w:r w:rsidR="000F65D0">
        <w:rPr>
          <w:rFonts w:cs="Times New Roman"/>
          <w:szCs w:val="22"/>
        </w:rPr>
        <w:t xml:space="preserve">Senior </w:t>
      </w:r>
      <w:r>
        <w:rPr>
          <w:rFonts w:cs="Times New Roman"/>
          <w:szCs w:val="22"/>
        </w:rPr>
        <w:t xml:space="preserve">LT Indenture, to the payment of any obligation secured thereby. In no event shall the </w:t>
      </w:r>
      <w:r w:rsidR="000F65D0">
        <w:rPr>
          <w:rFonts w:cs="Times New Roman"/>
          <w:szCs w:val="22"/>
        </w:rPr>
        <w:t xml:space="preserve">Senior </w:t>
      </w:r>
      <w:r>
        <w:rPr>
          <w:rFonts w:cs="Times New Roman"/>
          <w:szCs w:val="22"/>
        </w:rPr>
        <w:t>LT Indenture be interpreted to constitute a lien upon any Unencumbered Debt Service Mill Levy or any property tax revenue derived or relating thereto.</w:t>
      </w:r>
    </w:p>
    <w:p w14:paraId="6E23245A" w14:textId="46C4AA8A" w:rsidR="003305B9" w:rsidRPr="00DA2177" w:rsidRDefault="007217C3" w:rsidP="003305B9">
      <w:pPr>
        <w:pStyle w:val="00BodyText5"/>
        <w:rPr>
          <w:rFonts w:cs="Times New Roman"/>
          <w:szCs w:val="22"/>
        </w:rPr>
      </w:pPr>
      <w:r>
        <w:rPr>
          <w:rFonts w:cs="Times New Roman"/>
          <w:b/>
          <w:i/>
          <w:szCs w:val="22"/>
        </w:rPr>
        <w:t>Senior LT Bond Fund</w:t>
      </w:r>
      <w:r w:rsidR="00896FAF">
        <w:rPr>
          <w:rFonts w:cs="Times New Roman"/>
          <w:szCs w:val="22"/>
        </w:rPr>
        <w:t xml:space="preserve">. There will be credited to the </w:t>
      </w:r>
      <w:r>
        <w:rPr>
          <w:rFonts w:cs="Times New Roman"/>
          <w:szCs w:val="22"/>
        </w:rPr>
        <w:t>Senior LT Bond Fund</w:t>
      </w:r>
      <w:r w:rsidR="00896FAF">
        <w:rPr>
          <w:rFonts w:cs="Times New Roman"/>
          <w:szCs w:val="22"/>
        </w:rPr>
        <w:t xml:space="preserve"> each </w:t>
      </w:r>
      <w:r w:rsidR="00AD0041">
        <w:rPr>
          <w:rFonts w:cs="Times New Roman"/>
          <w:szCs w:val="22"/>
        </w:rPr>
        <w:t>Senior LT Bond Year</w:t>
      </w:r>
      <w:r w:rsidR="00896FAF">
        <w:rPr>
          <w:rFonts w:cs="Times New Roman"/>
          <w:szCs w:val="22"/>
        </w:rPr>
        <w:t xml:space="preserve"> an amount of </w:t>
      </w:r>
      <w:r w:rsidR="000F65D0">
        <w:rPr>
          <w:rFonts w:cs="Times New Roman"/>
          <w:szCs w:val="22"/>
        </w:rPr>
        <w:t xml:space="preserve">Senior </w:t>
      </w:r>
      <w:r w:rsidR="00896FAF">
        <w:rPr>
          <w:rFonts w:cs="Times New Roman"/>
          <w:szCs w:val="22"/>
        </w:rPr>
        <w:t xml:space="preserve">LT Pledged Revenue which, when combined with other legally available moneys in the </w:t>
      </w:r>
      <w:r>
        <w:rPr>
          <w:rFonts w:cs="Times New Roman"/>
          <w:szCs w:val="22"/>
        </w:rPr>
        <w:t>Senior LT Bond Fund</w:t>
      </w:r>
      <w:r w:rsidR="00896FAF">
        <w:rPr>
          <w:rFonts w:cs="Times New Roman"/>
          <w:szCs w:val="22"/>
        </w:rPr>
        <w:t xml:space="preserve"> (not including moneys deposited thereto from other funds pursuant to the terms of the </w:t>
      </w:r>
      <w:r w:rsidR="000F65D0">
        <w:rPr>
          <w:rFonts w:cs="Times New Roman"/>
          <w:szCs w:val="22"/>
        </w:rPr>
        <w:t xml:space="preserve">Senior </w:t>
      </w:r>
      <w:r w:rsidR="00896FAF">
        <w:rPr>
          <w:rFonts w:cs="Times New Roman"/>
          <w:szCs w:val="22"/>
        </w:rPr>
        <w:t xml:space="preserve">LT Indenture), will be sufficient to pay the principal of, premium if any, and interest on the </w:t>
      </w:r>
      <w:r w:rsidR="00787226">
        <w:rPr>
          <w:rFonts w:cs="Times New Roman"/>
          <w:szCs w:val="22"/>
        </w:rPr>
        <w:t>2026A-1 Senior LT Bond</w:t>
      </w:r>
      <w:r w:rsidR="00896FAF">
        <w:rPr>
          <w:rFonts w:cs="Times New Roman"/>
          <w:szCs w:val="22"/>
        </w:rPr>
        <w:t xml:space="preserve">s which has or will become due in the </w:t>
      </w:r>
      <w:r w:rsidR="00AD0041">
        <w:rPr>
          <w:rFonts w:cs="Times New Roman"/>
          <w:szCs w:val="22"/>
        </w:rPr>
        <w:t>Senior LT Bond Year</w:t>
      </w:r>
      <w:r w:rsidR="00896FAF">
        <w:rPr>
          <w:rFonts w:cs="Times New Roman"/>
          <w:szCs w:val="22"/>
        </w:rPr>
        <w:t xml:space="preserve"> in which the credit is made, including as a result of mandatory sinking fund redemption in accordance with the </w:t>
      </w:r>
      <w:r w:rsidR="000F65D0">
        <w:rPr>
          <w:rFonts w:cs="Times New Roman"/>
          <w:szCs w:val="22"/>
        </w:rPr>
        <w:t xml:space="preserve">Senior </w:t>
      </w:r>
      <w:r w:rsidR="00896FAF">
        <w:rPr>
          <w:rFonts w:cs="Times New Roman"/>
          <w:szCs w:val="22"/>
        </w:rPr>
        <w:t>LT Indenture.</w:t>
      </w:r>
    </w:p>
    <w:p w14:paraId="553670D4" w14:textId="3421E5BD" w:rsidR="003305B9" w:rsidRPr="00DA2177" w:rsidRDefault="003305B9" w:rsidP="003305B9">
      <w:pPr>
        <w:pStyle w:val="00BodyText5"/>
        <w:rPr>
          <w:rFonts w:cs="Times New Roman"/>
          <w:szCs w:val="22"/>
        </w:rPr>
      </w:pPr>
      <w:r>
        <w:rPr>
          <w:rFonts w:cs="Times New Roman"/>
          <w:szCs w:val="22"/>
        </w:rPr>
        <w:t xml:space="preserve">Moneys in the </w:t>
      </w:r>
      <w:r w:rsidR="007217C3">
        <w:rPr>
          <w:rFonts w:cs="Times New Roman"/>
          <w:szCs w:val="22"/>
        </w:rPr>
        <w:t>Senior LT Bond Fund</w:t>
      </w:r>
      <w:r>
        <w:rPr>
          <w:rFonts w:cs="Times New Roman"/>
          <w:szCs w:val="22"/>
        </w:rPr>
        <w:t xml:space="preserve"> (including any moneys transferred thereto from other funds pursuant to the terms of the </w:t>
      </w:r>
      <w:r w:rsidR="000F65D0">
        <w:rPr>
          <w:rFonts w:cs="Times New Roman"/>
          <w:szCs w:val="22"/>
        </w:rPr>
        <w:t xml:space="preserve">Senior </w:t>
      </w:r>
      <w:r>
        <w:rPr>
          <w:rFonts w:cs="Times New Roman"/>
          <w:szCs w:val="22"/>
        </w:rPr>
        <w:t xml:space="preserve">LT Indenture) will be used by the Trustee solely to pay the principal of, premium if any, and interest on the </w:t>
      </w:r>
      <w:r w:rsidR="00787226">
        <w:rPr>
          <w:rFonts w:cs="Times New Roman"/>
          <w:szCs w:val="22"/>
        </w:rPr>
        <w:t>2026A-1 Senior LT Bond</w:t>
      </w:r>
      <w:r>
        <w:rPr>
          <w:rFonts w:cs="Times New Roman"/>
          <w:szCs w:val="22"/>
        </w:rPr>
        <w:t>s, in the following order of priority.</w:t>
      </w:r>
    </w:p>
    <w:p w14:paraId="249350A8" w14:textId="651A78A9" w:rsidR="003305B9" w:rsidRPr="00DA2177" w:rsidRDefault="003305B9" w:rsidP="003305B9">
      <w:pPr>
        <w:pStyle w:val="00BodyText5"/>
        <w:ind w:left="720"/>
        <w:rPr>
          <w:rFonts w:cs="Times New Roman"/>
          <w:szCs w:val="22"/>
        </w:rPr>
      </w:pPr>
      <w:r>
        <w:rPr>
          <w:rFonts w:cs="Times New Roman"/>
          <w:szCs w:val="22"/>
        </w:rPr>
        <w:t xml:space="preserve">FIRST: to the payment of interest due and payable in connection with the </w:t>
      </w:r>
      <w:r w:rsidR="00787226">
        <w:rPr>
          <w:rFonts w:cs="Times New Roman"/>
          <w:szCs w:val="22"/>
        </w:rPr>
        <w:t>2026A-1 Senior LT Bond</w:t>
      </w:r>
      <w:r>
        <w:rPr>
          <w:rFonts w:cs="Times New Roman"/>
          <w:szCs w:val="22"/>
        </w:rPr>
        <w:t>s (including without limitation current interest, accrued but unpaid interest, and interest due as a result of compounding, if any); and</w:t>
      </w:r>
    </w:p>
    <w:p w14:paraId="4289F620" w14:textId="235FEBA7" w:rsidR="003305B9" w:rsidRPr="00DA2177" w:rsidRDefault="003305B9" w:rsidP="003305B9">
      <w:pPr>
        <w:pStyle w:val="00BodyText5"/>
        <w:ind w:left="720"/>
        <w:rPr>
          <w:rFonts w:cs="Times New Roman"/>
          <w:szCs w:val="22"/>
        </w:rPr>
      </w:pPr>
      <w:r>
        <w:rPr>
          <w:rFonts w:cs="Times New Roman"/>
          <w:szCs w:val="22"/>
        </w:rPr>
        <w:t xml:space="preserve">SECOND: to the extent any moneys are remaining in the </w:t>
      </w:r>
      <w:r w:rsidR="007217C3">
        <w:rPr>
          <w:rFonts w:cs="Times New Roman"/>
          <w:szCs w:val="22"/>
        </w:rPr>
        <w:t>Senior LT Bond Fund</w:t>
      </w:r>
      <w:r>
        <w:rPr>
          <w:rFonts w:cs="Times New Roman"/>
          <w:szCs w:val="22"/>
        </w:rPr>
        <w:t xml:space="preserve"> after the payment of such interest, to the payment of the principal of and premium, if any, on the </w:t>
      </w:r>
      <w:r w:rsidR="00787226">
        <w:rPr>
          <w:rFonts w:cs="Times New Roman"/>
          <w:szCs w:val="22"/>
        </w:rPr>
        <w:t>2026A-1 Senior LT Bond</w:t>
      </w:r>
      <w:r>
        <w:rPr>
          <w:rFonts w:cs="Times New Roman"/>
          <w:szCs w:val="22"/>
        </w:rPr>
        <w:t>s, whether due at maturity or upon prior redemption.</w:t>
      </w:r>
    </w:p>
    <w:p w14:paraId="41B41333" w14:textId="13775CFA" w:rsidR="003305B9" w:rsidRPr="00DA2177" w:rsidRDefault="003305B9" w:rsidP="003305B9">
      <w:pPr>
        <w:pStyle w:val="00BodyText5"/>
        <w:rPr>
          <w:rFonts w:cs="Times New Roman"/>
          <w:szCs w:val="22"/>
        </w:rPr>
      </w:pPr>
      <w:r>
        <w:rPr>
          <w:rFonts w:cs="Times New Roman"/>
          <w:szCs w:val="22"/>
        </w:rPr>
        <w:t xml:space="preserve">In the event that available moneys in the </w:t>
      </w:r>
      <w:r w:rsidR="007217C3">
        <w:rPr>
          <w:rFonts w:cs="Times New Roman"/>
          <w:szCs w:val="22"/>
        </w:rPr>
        <w:t>Senior LT Bond Fund</w:t>
      </w:r>
      <w:r>
        <w:rPr>
          <w:rFonts w:cs="Times New Roman"/>
          <w:szCs w:val="22"/>
        </w:rPr>
        <w:t xml:space="preserve"> (including any moneys transferred thereto from other funds pursuant to the terms of the </w:t>
      </w:r>
      <w:r w:rsidR="000F65D0">
        <w:rPr>
          <w:rFonts w:cs="Times New Roman"/>
          <w:szCs w:val="22"/>
        </w:rPr>
        <w:t xml:space="preserve">Senior </w:t>
      </w:r>
      <w:r>
        <w:rPr>
          <w:rFonts w:cs="Times New Roman"/>
          <w:szCs w:val="22"/>
        </w:rPr>
        <w:t xml:space="preserve">LT Indenture) are insufficient for the payment of the principal of, premium if any, and interest due on the </w:t>
      </w:r>
      <w:r w:rsidR="00787226">
        <w:rPr>
          <w:rFonts w:cs="Times New Roman"/>
          <w:szCs w:val="22"/>
        </w:rPr>
        <w:t>2026A-1 Senior LT Bond</w:t>
      </w:r>
      <w:r>
        <w:rPr>
          <w:rFonts w:cs="Times New Roman"/>
          <w:szCs w:val="22"/>
        </w:rPr>
        <w:t>s on any due date, the Trustee will apply such amounts on such due date as follows:</w:t>
      </w:r>
    </w:p>
    <w:p w14:paraId="345162BF" w14:textId="58BA5D42" w:rsidR="003305B9" w:rsidRPr="00DA2177" w:rsidRDefault="003305B9" w:rsidP="003305B9">
      <w:pPr>
        <w:pStyle w:val="00BodyText5"/>
        <w:ind w:left="720"/>
        <w:rPr>
          <w:rFonts w:cs="Times New Roman"/>
          <w:szCs w:val="22"/>
        </w:rPr>
      </w:pPr>
      <w:r>
        <w:rPr>
          <w:rFonts w:cs="Times New Roman"/>
          <w:szCs w:val="22"/>
        </w:rPr>
        <w:t xml:space="preserve">FIRST: the Trustee will pay such amounts as are available, proportionally in accordance with the amount of interest due on each </w:t>
      </w:r>
      <w:r w:rsidR="00787226">
        <w:rPr>
          <w:rFonts w:cs="Times New Roman"/>
          <w:szCs w:val="22"/>
        </w:rPr>
        <w:t>2026A-1 Senior LT Bond</w:t>
      </w:r>
      <w:r>
        <w:rPr>
          <w:rFonts w:cs="Times New Roman"/>
          <w:szCs w:val="22"/>
        </w:rPr>
        <w:t>; and</w:t>
      </w:r>
    </w:p>
    <w:p w14:paraId="3145FD59" w14:textId="36B496FA" w:rsidR="003305B9" w:rsidRPr="00DA2177" w:rsidRDefault="003305B9" w:rsidP="003305B9">
      <w:pPr>
        <w:pStyle w:val="00BodyText5"/>
        <w:ind w:left="720"/>
        <w:rPr>
          <w:rFonts w:cs="Times New Roman"/>
          <w:szCs w:val="22"/>
        </w:rPr>
      </w:pPr>
      <w:r>
        <w:rPr>
          <w:rFonts w:cs="Times New Roman"/>
          <w:szCs w:val="22"/>
        </w:rPr>
        <w:t xml:space="preserve">SECOND: the Trustee will apply any remaining amounts to the payment of the principal of and premium, if any, on as many </w:t>
      </w:r>
      <w:r w:rsidR="00787226">
        <w:rPr>
          <w:rFonts w:cs="Times New Roman"/>
          <w:szCs w:val="22"/>
        </w:rPr>
        <w:t>2026A-1 Senior LT Bond</w:t>
      </w:r>
      <w:r>
        <w:rPr>
          <w:rFonts w:cs="Times New Roman"/>
          <w:szCs w:val="22"/>
        </w:rPr>
        <w:t xml:space="preserve">s as can be paid with such remaining amounts, such payments to be in increments of $1,000 or any integral multiple thereof, plus any premium. </w:t>
      </w:r>
      <w:r w:rsidR="00787226">
        <w:rPr>
          <w:rFonts w:cs="Times New Roman"/>
          <w:szCs w:val="22"/>
        </w:rPr>
        <w:t>2026A-1 Senior LT Bond</w:t>
      </w:r>
      <w:r>
        <w:rPr>
          <w:rFonts w:cs="Times New Roman"/>
          <w:szCs w:val="22"/>
        </w:rPr>
        <w:t xml:space="preserve">s or portions thereof to be redeemed pursuant to such partial payment will be selected by lot from the </w:t>
      </w:r>
      <w:r w:rsidR="00787226">
        <w:rPr>
          <w:rFonts w:cs="Times New Roman"/>
          <w:szCs w:val="22"/>
        </w:rPr>
        <w:t>2026A-1 Senior LT Bond</w:t>
      </w:r>
      <w:r>
        <w:rPr>
          <w:rFonts w:cs="Times New Roman"/>
          <w:szCs w:val="22"/>
        </w:rPr>
        <w:t>s the principal of which is due and owing on the due date.</w:t>
      </w:r>
    </w:p>
    <w:p w14:paraId="2013F683" w14:textId="6536AA13" w:rsidR="00FA6AE5" w:rsidRPr="00DA2177" w:rsidRDefault="003305B9" w:rsidP="003305B9">
      <w:pPr>
        <w:pStyle w:val="00BodyText5"/>
        <w:rPr>
          <w:rFonts w:cs="Times New Roman"/>
          <w:szCs w:val="22"/>
        </w:rPr>
      </w:pPr>
      <w:r>
        <w:rPr>
          <w:rFonts w:cs="Times New Roman"/>
          <w:szCs w:val="22"/>
        </w:rPr>
        <w:t xml:space="preserve">Moneys credited to the </w:t>
      </w:r>
      <w:r w:rsidR="007217C3">
        <w:rPr>
          <w:rFonts w:cs="Times New Roman"/>
          <w:szCs w:val="22"/>
        </w:rPr>
        <w:t>Senior LT Bond Fund</w:t>
      </w:r>
      <w:r>
        <w:rPr>
          <w:rFonts w:cs="Times New Roman"/>
          <w:szCs w:val="22"/>
        </w:rPr>
        <w:t xml:space="preserve"> may be invested or deposited as provided in the </w:t>
      </w:r>
      <w:r w:rsidR="000F65D0">
        <w:rPr>
          <w:rFonts w:cs="Times New Roman"/>
          <w:szCs w:val="22"/>
        </w:rPr>
        <w:t xml:space="preserve">Senior </w:t>
      </w:r>
      <w:r>
        <w:rPr>
          <w:rFonts w:cs="Times New Roman"/>
          <w:szCs w:val="22"/>
        </w:rPr>
        <w:t>LT Indenture.</w:t>
      </w:r>
    </w:p>
    <w:p w14:paraId="0FE6A1B6" w14:textId="71F7DDAE" w:rsidR="00FA6AE5" w:rsidRPr="00DA2177" w:rsidRDefault="008A0A0B" w:rsidP="00FA6AE5">
      <w:pPr>
        <w:pStyle w:val="00BodyText5"/>
        <w:rPr>
          <w:rFonts w:cs="Times New Roman"/>
          <w:szCs w:val="22"/>
        </w:rPr>
      </w:pPr>
      <w:r>
        <w:rPr>
          <w:rFonts w:cs="Times New Roman"/>
          <w:b/>
          <w:i/>
          <w:szCs w:val="22"/>
        </w:rPr>
        <w:t>LT Surplus Fund</w:t>
      </w:r>
      <w:r>
        <w:rPr>
          <w:rFonts w:cs="Times New Roman"/>
          <w:szCs w:val="22"/>
        </w:rPr>
        <w:t xml:space="preserve">. The LT Surplus Fund is to be held, disbursed, and administered by the Trustee, and moneys therein are to be used solely in accordance with the </w:t>
      </w:r>
      <w:r w:rsidR="000F65D0">
        <w:rPr>
          <w:rFonts w:cs="Times New Roman"/>
          <w:szCs w:val="22"/>
        </w:rPr>
        <w:t xml:space="preserve">Senior </w:t>
      </w:r>
      <w:r>
        <w:rPr>
          <w:rFonts w:cs="Times New Roman"/>
          <w:szCs w:val="22"/>
        </w:rPr>
        <w:t xml:space="preserve">LT Indenture. The LT Surplus Fund is to secure the </w:t>
      </w:r>
      <w:r w:rsidR="00787226">
        <w:rPr>
          <w:rFonts w:cs="Times New Roman"/>
          <w:szCs w:val="22"/>
        </w:rPr>
        <w:t>2026A-1 Senior LT Bond</w:t>
      </w:r>
      <w:r>
        <w:rPr>
          <w:rFonts w:cs="Times New Roman"/>
          <w:szCs w:val="22"/>
        </w:rPr>
        <w:t xml:space="preserve">s (and only the </w:t>
      </w:r>
      <w:r w:rsidR="00787226">
        <w:rPr>
          <w:rFonts w:cs="Times New Roman"/>
          <w:szCs w:val="22"/>
        </w:rPr>
        <w:t>2026A-1 Senior LT Bond</w:t>
      </w:r>
      <w:r>
        <w:rPr>
          <w:rFonts w:cs="Times New Roman"/>
          <w:szCs w:val="22"/>
        </w:rPr>
        <w:t xml:space="preserve">s) in accordance with the provisions of the </w:t>
      </w:r>
      <w:r w:rsidR="000F65D0">
        <w:rPr>
          <w:rFonts w:cs="Times New Roman"/>
          <w:szCs w:val="22"/>
        </w:rPr>
        <w:t xml:space="preserve">Senior </w:t>
      </w:r>
      <w:r>
        <w:rPr>
          <w:rFonts w:cs="Times New Roman"/>
          <w:szCs w:val="22"/>
        </w:rPr>
        <w:t>LT Indenture.</w:t>
      </w:r>
    </w:p>
    <w:p w14:paraId="49CAB638" w14:textId="0BD57727" w:rsidR="00FA6AE5" w:rsidRPr="00DA2177" w:rsidRDefault="00984977" w:rsidP="00FA6AE5">
      <w:pPr>
        <w:pStyle w:val="00BodyText5"/>
        <w:rPr>
          <w:rFonts w:cs="Times New Roman"/>
          <w:szCs w:val="22"/>
        </w:rPr>
      </w:pPr>
      <w:r>
        <w:rPr>
          <w:rFonts w:cs="Times New Roman"/>
          <w:szCs w:val="22"/>
        </w:rPr>
        <w:t xml:space="preserve">Except for the Initial Deposit, the LT Surplus Fund is not to be funded with </w:t>
      </w:r>
      <w:r w:rsidR="00787226">
        <w:rPr>
          <w:rFonts w:cs="Times New Roman"/>
          <w:szCs w:val="22"/>
        </w:rPr>
        <w:t>2026A-1 Senior LT Bond</w:t>
      </w:r>
      <w:r>
        <w:rPr>
          <w:rFonts w:cs="Times New Roman"/>
          <w:szCs w:val="22"/>
        </w:rPr>
        <w:t xml:space="preserve"> proceeds, but is to be funded solely from deposits of </w:t>
      </w:r>
      <w:r w:rsidR="000F65D0">
        <w:rPr>
          <w:rFonts w:cs="Times New Roman"/>
          <w:szCs w:val="22"/>
        </w:rPr>
        <w:t xml:space="preserve">Senior </w:t>
      </w:r>
      <w:r>
        <w:rPr>
          <w:rFonts w:cs="Times New Roman"/>
          <w:szCs w:val="22"/>
        </w:rPr>
        <w:t>LT Pledged Revenue as described above in “—</w:t>
      </w:r>
      <w:r>
        <w:rPr>
          <w:rFonts w:cs="Times New Roman"/>
          <w:i/>
          <w:szCs w:val="22"/>
        </w:rPr>
        <w:t xml:space="preserve">Application of </w:t>
      </w:r>
      <w:r w:rsidR="000F65D0">
        <w:rPr>
          <w:rFonts w:cs="Times New Roman"/>
          <w:i/>
          <w:szCs w:val="22"/>
        </w:rPr>
        <w:t xml:space="preserve">Senior </w:t>
      </w:r>
      <w:r>
        <w:rPr>
          <w:rFonts w:cs="Times New Roman"/>
          <w:i/>
          <w:szCs w:val="22"/>
        </w:rPr>
        <w:t>LT Pledged Revenue</w:t>
      </w:r>
      <w:r>
        <w:rPr>
          <w:rFonts w:cs="Times New Roman"/>
          <w:szCs w:val="22"/>
        </w:rPr>
        <w:t xml:space="preserve">,” and except to the extent </w:t>
      </w:r>
      <w:r w:rsidR="000F65D0">
        <w:rPr>
          <w:rFonts w:cs="Times New Roman"/>
          <w:szCs w:val="22"/>
        </w:rPr>
        <w:t xml:space="preserve">Senior </w:t>
      </w:r>
      <w:r>
        <w:rPr>
          <w:rFonts w:cs="Times New Roman"/>
          <w:szCs w:val="22"/>
        </w:rPr>
        <w:t xml:space="preserve">LT Pledged Revenue is available under the </w:t>
      </w:r>
      <w:r w:rsidR="000F65D0">
        <w:rPr>
          <w:rFonts w:cs="Times New Roman"/>
          <w:szCs w:val="22"/>
        </w:rPr>
        <w:t xml:space="preserve">Senior </w:t>
      </w:r>
      <w:r>
        <w:rPr>
          <w:rFonts w:cs="Times New Roman"/>
          <w:szCs w:val="22"/>
        </w:rPr>
        <w:t>LT Indenture and except for the Initial Deposit, the District has no obligation to fund the LT Surplus Fund in any amount.</w:t>
      </w:r>
    </w:p>
    <w:p w14:paraId="64485C4E" w14:textId="1DBE901C" w:rsidR="003B1AB7" w:rsidRPr="00DA2177" w:rsidRDefault="003B1AB7" w:rsidP="00FA6AE5">
      <w:pPr>
        <w:pStyle w:val="00BodyText5"/>
        <w:rPr>
          <w:rFonts w:cs="Times New Roman"/>
          <w:szCs w:val="22"/>
        </w:rPr>
      </w:pPr>
      <w:r>
        <w:rPr>
          <w:rFonts w:cs="Times New Roman"/>
          <w:szCs w:val="22"/>
        </w:rPr>
        <w:t xml:space="preserve">In the event the amounts credited to the </w:t>
      </w:r>
      <w:r w:rsidR="007217C3">
        <w:rPr>
          <w:rFonts w:cs="Times New Roman"/>
          <w:szCs w:val="22"/>
        </w:rPr>
        <w:t>Senior LT Bond Fund</w:t>
      </w:r>
      <w:r>
        <w:rPr>
          <w:rFonts w:cs="Times New Roman"/>
          <w:szCs w:val="22"/>
        </w:rPr>
        <w:t xml:space="preserve"> (not including amounts to be transferred thereto from the </w:t>
      </w:r>
      <w:r w:rsidR="007217C3">
        <w:rPr>
          <w:rFonts w:cs="Times New Roman"/>
          <w:szCs w:val="22"/>
        </w:rPr>
        <w:t>Senior LT Project Fund</w:t>
      </w:r>
      <w:r>
        <w:rPr>
          <w:rFonts w:cs="Times New Roman"/>
          <w:szCs w:val="22"/>
        </w:rPr>
        <w:t xml:space="preserve">) are insufficient to pay the principal of, premium if any, or interest on the </w:t>
      </w:r>
      <w:r w:rsidR="00787226">
        <w:rPr>
          <w:rFonts w:cs="Times New Roman"/>
          <w:szCs w:val="22"/>
        </w:rPr>
        <w:t>2026A-1 Senior LT Bond</w:t>
      </w:r>
      <w:r>
        <w:rPr>
          <w:rFonts w:cs="Times New Roman"/>
          <w:szCs w:val="22"/>
        </w:rPr>
        <w:t xml:space="preserve">s when due, the Trustee is to transfer from the LT Surplus Fund to the </w:t>
      </w:r>
      <w:r w:rsidR="007217C3">
        <w:rPr>
          <w:rFonts w:cs="Times New Roman"/>
          <w:szCs w:val="22"/>
        </w:rPr>
        <w:t>Senior LT Bond Fund</w:t>
      </w:r>
      <w:r>
        <w:rPr>
          <w:rFonts w:cs="Times New Roman"/>
          <w:szCs w:val="22"/>
        </w:rPr>
        <w:t xml:space="preserve"> an amount which, when combined with moneys in the </w:t>
      </w:r>
      <w:r w:rsidR="007217C3">
        <w:rPr>
          <w:rFonts w:cs="Times New Roman"/>
          <w:szCs w:val="22"/>
        </w:rPr>
        <w:t>Senior LT Bond Fund</w:t>
      </w:r>
      <w:r>
        <w:rPr>
          <w:rFonts w:cs="Times New Roman"/>
          <w:szCs w:val="22"/>
        </w:rPr>
        <w:t xml:space="preserve"> (prior to any transfers from the </w:t>
      </w:r>
      <w:r w:rsidR="007217C3">
        <w:rPr>
          <w:rFonts w:cs="Times New Roman"/>
          <w:szCs w:val="22"/>
        </w:rPr>
        <w:t>Senior LT Project Fund</w:t>
      </w:r>
      <w:r>
        <w:rPr>
          <w:rFonts w:cs="Times New Roman"/>
          <w:szCs w:val="22"/>
        </w:rPr>
        <w:t xml:space="preserve">) will be sufficient to make such payments when due; and in the event the amounts in the </w:t>
      </w:r>
      <w:r w:rsidR="007217C3">
        <w:rPr>
          <w:rFonts w:cs="Times New Roman"/>
          <w:szCs w:val="22"/>
        </w:rPr>
        <w:t>Senior LT Bond Fund</w:t>
      </w:r>
      <w:r>
        <w:rPr>
          <w:rFonts w:cs="Times New Roman"/>
          <w:szCs w:val="22"/>
        </w:rPr>
        <w:t xml:space="preserve"> (prior to any transfers from the </w:t>
      </w:r>
      <w:r w:rsidR="007217C3">
        <w:rPr>
          <w:rFonts w:cs="Times New Roman"/>
          <w:szCs w:val="22"/>
        </w:rPr>
        <w:t>Senior LT Project Fund</w:t>
      </w:r>
      <w:r>
        <w:rPr>
          <w:rFonts w:cs="Times New Roman"/>
          <w:szCs w:val="22"/>
        </w:rPr>
        <w:t xml:space="preserve">) and the LT Surplus Fund are insufficient to pay all principal, premium if any, and interest on the </w:t>
      </w:r>
      <w:r w:rsidR="00787226">
        <w:rPr>
          <w:rFonts w:cs="Times New Roman"/>
          <w:szCs w:val="22"/>
        </w:rPr>
        <w:t>2026A-1 Senior LT Bond</w:t>
      </w:r>
      <w:r>
        <w:rPr>
          <w:rFonts w:cs="Times New Roman"/>
          <w:szCs w:val="22"/>
        </w:rPr>
        <w:t xml:space="preserve">s on any due date, the Trustee is to nonetheless transfer all of the moneys in the LT Surplus Fund to the </w:t>
      </w:r>
      <w:r w:rsidR="007217C3">
        <w:rPr>
          <w:rFonts w:cs="Times New Roman"/>
          <w:szCs w:val="22"/>
        </w:rPr>
        <w:t>Senior LT Bond Fund</w:t>
      </w:r>
      <w:r>
        <w:rPr>
          <w:rFonts w:cs="Times New Roman"/>
          <w:szCs w:val="22"/>
        </w:rPr>
        <w:t xml:space="preserve"> for the purpose of making partial payments as described in “—</w:t>
      </w:r>
      <w:r w:rsidR="007217C3">
        <w:rPr>
          <w:rFonts w:cs="Times New Roman"/>
          <w:i/>
          <w:szCs w:val="22"/>
        </w:rPr>
        <w:t>Senior LT Bond Fund</w:t>
      </w:r>
      <w:r>
        <w:rPr>
          <w:rFonts w:cs="Times New Roman"/>
          <w:szCs w:val="22"/>
        </w:rPr>
        <w:t xml:space="preserve">” above with respect to the </w:t>
      </w:r>
      <w:r w:rsidR="00787226">
        <w:rPr>
          <w:rFonts w:cs="Times New Roman"/>
          <w:szCs w:val="22"/>
        </w:rPr>
        <w:t>2026A-1 Senior LT Bond</w:t>
      </w:r>
      <w:r>
        <w:rPr>
          <w:rFonts w:cs="Times New Roman"/>
          <w:szCs w:val="22"/>
        </w:rPr>
        <w:t xml:space="preserve">s. Amounts in the LT Surplus Fund are not to be used to redeem less than all of the </w:t>
      </w:r>
      <w:r w:rsidR="00787226">
        <w:rPr>
          <w:rFonts w:cs="Times New Roman"/>
          <w:szCs w:val="22"/>
        </w:rPr>
        <w:t>2026A-1 Senior LT Bond</w:t>
      </w:r>
      <w:r>
        <w:rPr>
          <w:rFonts w:cs="Times New Roman"/>
          <w:szCs w:val="22"/>
        </w:rPr>
        <w:t xml:space="preserve">s being called pursuant to any optional redemption provisions of the </w:t>
      </w:r>
      <w:r w:rsidR="000F65D0">
        <w:rPr>
          <w:rFonts w:cs="Times New Roman"/>
          <w:szCs w:val="22"/>
        </w:rPr>
        <w:t xml:space="preserve">Senior </w:t>
      </w:r>
      <w:r>
        <w:rPr>
          <w:rFonts w:cs="Times New Roman"/>
          <w:szCs w:val="22"/>
        </w:rPr>
        <w:t xml:space="preserve">LT Indenture, but are to be used to pay </w:t>
      </w:r>
      <w:r w:rsidR="00787226">
        <w:rPr>
          <w:rFonts w:cs="Times New Roman"/>
          <w:szCs w:val="22"/>
        </w:rPr>
        <w:t>2026A-1 Senior LT Bond</w:t>
      </w:r>
      <w:r>
        <w:rPr>
          <w:rFonts w:cs="Times New Roman"/>
          <w:szCs w:val="22"/>
        </w:rPr>
        <w:t>s coming due as a result of any mandatory redemption.</w:t>
      </w:r>
    </w:p>
    <w:p w14:paraId="25BF50D6" w14:textId="73CA731C" w:rsidR="003B1AB7" w:rsidRPr="00DA2177" w:rsidRDefault="003B1AB7" w:rsidP="00FA6AE5">
      <w:pPr>
        <w:pStyle w:val="00BodyText5"/>
        <w:rPr>
          <w:rFonts w:cs="Times New Roman"/>
          <w:szCs w:val="22"/>
        </w:rPr>
      </w:pPr>
      <w:r>
        <w:rPr>
          <w:rFonts w:cs="Times New Roman"/>
          <w:szCs w:val="22"/>
        </w:rPr>
        <w:t xml:space="preserve">Moneys credited to the LT Surplus Fund may be invested or deposited by the Trustee at the written direction of the District in Permitted Investments only and in accordance with the laws of the State. The investment of moneys credited to the LT Surplus Fund are to, however, be subject to the covenants and provisions of the </w:t>
      </w:r>
      <w:r w:rsidR="000F65D0">
        <w:rPr>
          <w:rFonts w:cs="Times New Roman"/>
          <w:szCs w:val="22"/>
        </w:rPr>
        <w:t xml:space="preserve">Senior </w:t>
      </w:r>
      <w:r>
        <w:rPr>
          <w:rFonts w:cs="Times New Roman"/>
          <w:szCs w:val="22"/>
        </w:rPr>
        <w:t xml:space="preserve">LT Indenture. Investments in the LT Surplus Fund are to be valued by the Trustee at market value at least quarterly. Interest income from the investment or reinvestment of moneys credited to the LT Surplus Fund are to remain in and become part of the LT Surplus Fund if the LT Surplus Fund balance is less than the Maximum Surplus Amount. At any time that the Trustee determines that the LT Surplus Fund balance exceeds the Maximum Surplus Amount, such excess amounts are to be transferred by the Trustee to the </w:t>
      </w:r>
      <w:r w:rsidR="007217C3">
        <w:rPr>
          <w:rFonts w:cs="Times New Roman"/>
          <w:szCs w:val="22"/>
        </w:rPr>
        <w:t>Senior LT Bond Fund</w:t>
      </w:r>
      <w:r>
        <w:rPr>
          <w:rFonts w:cs="Times New Roman"/>
          <w:szCs w:val="22"/>
        </w:rPr>
        <w:t xml:space="preserve"> on or before the next </w:t>
      </w:r>
      <w:r w:rsidR="00F72D0B">
        <w:rPr>
          <w:rFonts w:cs="Times New Roman"/>
          <w:szCs w:val="22"/>
        </w:rPr>
        <w:t>Senior LT Interest Payment Date</w:t>
      </w:r>
      <w:r>
        <w:rPr>
          <w:rFonts w:cs="Times New Roman"/>
          <w:szCs w:val="22"/>
        </w:rPr>
        <w:t xml:space="preserve">. </w:t>
      </w:r>
    </w:p>
    <w:p w14:paraId="457AD754" w14:textId="42456A39" w:rsidR="00C23A7F" w:rsidRDefault="002E613C" w:rsidP="00FA6AE5">
      <w:pPr>
        <w:pStyle w:val="00BodyText5"/>
        <w:rPr>
          <w:rFonts w:cs="Times New Roman"/>
          <w:szCs w:val="22"/>
        </w:rPr>
      </w:pPr>
      <w:r>
        <w:rPr>
          <w:rFonts w:cs="Times New Roman"/>
          <w:szCs w:val="22"/>
        </w:rPr>
        <w:t xml:space="preserve">It is intended that amounts in the LT Surplus Fund are to be transferred to the </w:t>
      </w:r>
      <w:r w:rsidR="007217C3">
        <w:rPr>
          <w:rFonts w:cs="Times New Roman"/>
          <w:szCs w:val="22"/>
        </w:rPr>
        <w:t>Senior LT Bond Fund</w:t>
      </w:r>
      <w:r>
        <w:rPr>
          <w:rFonts w:cs="Times New Roman"/>
          <w:szCs w:val="22"/>
        </w:rPr>
        <w:t xml:space="preserve"> prior to any transfer from the </w:t>
      </w:r>
      <w:r w:rsidR="007217C3">
        <w:rPr>
          <w:rFonts w:cs="Times New Roman"/>
          <w:szCs w:val="22"/>
        </w:rPr>
        <w:t>Senior LT Project Fund</w:t>
      </w:r>
      <w:r>
        <w:rPr>
          <w:rFonts w:cs="Times New Roman"/>
          <w:szCs w:val="22"/>
        </w:rPr>
        <w:t>.</w:t>
      </w:r>
    </w:p>
    <w:p w14:paraId="019BC220" w14:textId="1EF6EEF6" w:rsidR="003B1AB7" w:rsidRDefault="009F1C41" w:rsidP="00FA6AE5">
      <w:pPr>
        <w:pStyle w:val="00BodyText5"/>
        <w:rPr>
          <w:rFonts w:cs="Times New Roman"/>
          <w:szCs w:val="22"/>
        </w:rPr>
      </w:pPr>
      <w:r>
        <w:rPr>
          <w:rFonts w:cs="Times New Roman"/>
          <w:szCs w:val="22"/>
        </w:rPr>
        <w:t xml:space="preserve">Any amounts on deposit in the LT Surplus Fund on the final maturity date of the </w:t>
      </w:r>
      <w:r w:rsidR="00787226">
        <w:rPr>
          <w:rFonts w:cs="Times New Roman"/>
          <w:szCs w:val="22"/>
        </w:rPr>
        <w:t>2026A-1 Senior LT Bond</w:t>
      </w:r>
      <w:r>
        <w:rPr>
          <w:rFonts w:cs="Times New Roman"/>
          <w:szCs w:val="22"/>
        </w:rPr>
        <w:t xml:space="preserve">s are to be applied to the payment of the </w:t>
      </w:r>
      <w:r w:rsidR="00787226">
        <w:rPr>
          <w:rFonts w:cs="Times New Roman"/>
          <w:szCs w:val="22"/>
        </w:rPr>
        <w:t>2026A-1 Senior LT Bond</w:t>
      </w:r>
      <w:r>
        <w:rPr>
          <w:rFonts w:cs="Times New Roman"/>
          <w:szCs w:val="22"/>
        </w:rPr>
        <w:t xml:space="preserve">s. The availability of such amount is to be taken into account in calculating the </w:t>
      </w:r>
      <w:r w:rsidR="000F65D0">
        <w:rPr>
          <w:rFonts w:cs="Times New Roman"/>
          <w:szCs w:val="22"/>
        </w:rPr>
        <w:t xml:space="preserve">Senior </w:t>
      </w:r>
      <w:r>
        <w:rPr>
          <w:rFonts w:cs="Times New Roman"/>
          <w:szCs w:val="22"/>
        </w:rPr>
        <w:t xml:space="preserve">Required Mill Levy required to be imposed in the levy year prior to the final year of maturity of the </w:t>
      </w:r>
      <w:r w:rsidR="00787226">
        <w:rPr>
          <w:rFonts w:cs="Times New Roman"/>
          <w:szCs w:val="22"/>
        </w:rPr>
        <w:t>2026A-1 Senior LT Bond</w:t>
      </w:r>
      <w:r>
        <w:rPr>
          <w:rFonts w:cs="Times New Roman"/>
          <w:szCs w:val="22"/>
        </w:rPr>
        <w:t xml:space="preserve">s. Any such amount on deposit in the LT Surplus Fund not applied to the payment of the </w:t>
      </w:r>
      <w:r w:rsidR="00787226">
        <w:rPr>
          <w:rFonts w:cs="Times New Roman"/>
          <w:szCs w:val="22"/>
        </w:rPr>
        <w:t>2026A-1 Senior LT Bond</w:t>
      </w:r>
      <w:r>
        <w:rPr>
          <w:rFonts w:cs="Times New Roman"/>
          <w:szCs w:val="22"/>
        </w:rPr>
        <w:t xml:space="preserve">s on the final maturity date shall be released to the District for application to any lawful purpose (which may include, but is not limited to, deposit to any fund for payment of </w:t>
      </w:r>
      <w:r w:rsidR="005C7E1E">
        <w:rPr>
          <w:rFonts w:cs="Times New Roman"/>
          <w:szCs w:val="22"/>
        </w:rPr>
        <w:t xml:space="preserve">Senior </w:t>
      </w:r>
      <w:r>
        <w:rPr>
          <w:rFonts w:cs="Times New Roman"/>
          <w:szCs w:val="22"/>
        </w:rPr>
        <w:t xml:space="preserve">LT Parity Bonds or Subordinate LT Obligations, if so directed by the District, but shall be subject to any other lien thereon then in effect). </w:t>
      </w:r>
    </w:p>
    <w:p w14:paraId="7B73C903" w14:textId="46CCBD79" w:rsidR="00B5612A" w:rsidRDefault="008A0A0B" w:rsidP="00B5612A">
      <w:pPr>
        <w:pStyle w:val="00BodyText5"/>
        <w:rPr>
          <w:rFonts w:cs="Times New Roman"/>
          <w:szCs w:val="22"/>
        </w:rPr>
      </w:pPr>
      <w:r>
        <w:rPr>
          <w:rFonts w:cs="Times New Roman"/>
          <w:b/>
          <w:i/>
          <w:szCs w:val="22"/>
        </w:rPr>
        <w:t>LT Costs of Issuance Fund</w:t>
      </w:r>
      <w:r>
        <w:rPr>
          <w:rFonts w:cs="Times New Roman"/>
          <w:szCs w:val="22"/>
        </w:rPr>
        <w:t xml:space="preserve">. The LT Costs of Issuance Fund is to be maintained by the Trustee. All moneys on deposit in the LT Costs of Issuance Fund are to be applied by the Trustee at the written direction of the District in accordance with the closing memorandum prepared by the Underwriter, which summarizes the approved costs in connection with the issuance of the Bonds, including, without limitation, printing costs, CUSIP fees, regulatory fees, the fees and expenses of bond counsel, general counsel, underwriter’s counsel and other counsel, the fees and expenses of the District’s accountant, manager, special consultants, and other professionals, and the costs of the Trustee, and other costs and expenses of the District relating to the issuance of the Bonds. The Trustee may rely conclusively on any such written direction and closing memorandum and is not to be required to make any independent investigation in connection therewith. Any amounts remaining in the LT Costs of Issuance Fund on the date that is </w:t>
      </w:r>
      <w:r w:rsidR="009929E0">
        <w:rPr>
          <w:rFonts w:cs="Times New Roman"/>
          <w:szCs w:val="22"/>
        </w:rPr>
        <w:t>9</w:t>
      </w:r>
      <w:r>
        <w:rPr>
          <w:rFonts w:cs="Times New Roman"/>
          <w:szCs w:val="22"/>
        </w:rPr>
        <w:t xml:space="preserve">0 days after the date of issuance of the </w:t>
      </w:r>
      <w:r w:rsidR="00787226">
        <w:rPr>
          <w:rFonts w:cs="Times New Roman"/>
          <w:szCs w:val="22"/>
        </w:rPr>
        <w:t>2026A-1 Senior LT Bond</w:t>
      </w:r>
      <w:r>
        <w:rPr>
          <w:rFonts w:cs="Times New Roman"/>
          <w:szCs w:val="22"/>
        </w:rPr>
        <w:t xml:space="preserve">s is to be transferred by the Trustee into the </w:t>
      </w:r>
      <w:r w:rsidR="007217C3">
        <w:rPr>
          <w:rFonts w:cs="Times New Roman"/>
          <w:szCs w:val="22"/>
        </w:rPr>
        <w:t>Senior LT Project Fund</w:t>
      </w:r>
      <w:r>
        <w:rPr>
          <w:rFonts w:cs="Times New Roman"/>
          <w:szCs w:val="22"/>
        </w:rPr>
        <w:t>.</w:t>
      </w:r>
    </w:p>
    <w:p w14:paraId="0FC53EA2" w14:textId="1DEC472E" w:rsidR="00CA2CE4" w:rsidRPr="00CA2CE4" w:rsidRDefault="00B96B68" w:rsidP="00CA2CE4">
      <w:pPr>
        <w:pStyle w:val="00BodyText5"/>
        <w:rPr>
          <w:rFonts w:cs="Times New Roman"/>
          <w:szCs w:val="22"/>
        </w:rPr>
      </w:pPr>
      <w:r>
        <w:rPr>
          <w:rFonts w:cs="Times New Roman"/>
          <w:b/>
          <w:bCs/>
          <w:i/>
          <w:iCs/>
          <w:szCs w:val="22"/>
        </w:rPr>
        <w:t xml:space="preserve">LT </w:t>
      </w:r>
      <w:r w:rsidR="00CA2CE4" w:rsidRPr="00CA2CE4">
        <w:rPr>
          <w:rFonts w:cs="Times New Roman"/>
          <w:b/>
          <w:bCs/>
          <w:i/>
          <w:iCs/>
          <w:szCs w:val="22"/>
        </w:rPr>
        <w:t>Working Capital Fund</w:t>
      </w:r>
      <w:r w:rsidR="00CA2CE4" w:rsidRPr="00CA2CE4">
        <w:rPr>
          <w:rFonts w:cs="Times New Roman"/>
          <w:szCs w:val="22"/>
        </w:rPr>
        <w:t xml:space="preserve">. Amounts in the </w:t>
      </w:r>
      <w:r>
        <w:rPr>
          <w:rFonts w:cs="Times New Roman"/>
          <w:szCs w:val="22"/>
        </w:rPr>
        <w:t xml:space="preserve">LT </w:t>
      </w:r>
      <w:r w:rsidR="00CA2CE4" w:rsidRPr="00CA2CE4">
        <w:rPr>
          <w:rFonts w:cs="Times New Roman"/>
          <w:szCs w:val="22"/>
        </w:rPr>
        <w:t xml:space="preserve">Working Capital Fund are to be released by the Trustee to the District in accordance with requisitions submitted to the Trustee in substantially the form set forth in the Senior </w:t>
      </w:r>
      <w:r w:rsidR="009929E0">
        <w:rPr>
          <w:rFonts w:cs="Times New Roman"/>
          <w:szCs w:val="22"/>
        </w:rPr>
        <w:t xml:space="preserve">LT </w:t>
      </w:r>
      <w:r w:rsidR="00CA2CE4" w:rsidRPr="00CA2CE4">
        <w:rPr>
          <w:rFonts w:cs="Times New Roman"/>
          <w:szCs w:val="22"/>
        </w:rPr>
        <w:t>Indenture, signed by a District Representative and certifying that all amounts drawn will be applied to the payment of Administrative Expenses. The Trustee may rely conclusively on any such requisitions and shall not be required to make any independent investigation in connection therewith. The execution of any requisition by a District Representative shall constitute, unto the Trustee, an irrevocable determination that all conditions precedent to the payments requested have been completed.</w:t>
      </w:r>
    </w:p>
    <w:p w14:paraId="12072E61" w14:textId="49B292B6" w:rsidR="00CA2CE4" w:rsidRPr="00DA2177" w:rsidRDefault="00CA2CE4" w:rsidP="00CA2CE4">
      <w:pPr>
        <w:pStyle w:val="00BodyText5"/>
        <w:rPr>
          <w:rFonts w:cs="Times New Roman"/>
          <w:szCs w:val="22"/>
        </w:rPr>
      </w:pPr>
      <w:r w:rsidRPr="00CA2CE4">
        <w:rPr>
          <w:rFonts w:cs="Times New Roman"/>
          <w:szCs w:val="22"/>
        </w:rPr>
        <w:t xml:space="preserve">On the earlier to occur of (i) </w:t>
      </w:r>
      <w:r>
        <w:rPr>
          <w:rFonts w:cs="Times New Roman"/>
          <w:szCs w:val="22"/>
        </w:rPr>
        <w:t>[_____]</w:t>
      </w:r>
      <w:r w:rsidRPr="00CA2CE4">
        <w:rPr>
          <w:rFonts w:cs="Times New Roman"/>
          <w:szCs w:val="22"/>
        </w:rPr>
        <w:t xml:space="preserve"> 1, 202</w:t>
      </w:r>
      <w:r>
        <w:rPr>
          <w:rFonts w:cs="Times New Roman"/>
          <w:szCs w:val="22"/>
        </w:rPr>
        <w:t>[_]</w:t>
      </w:r>
      <w:r w:rsidR="003E4526">
        <w:rPr>
          <w:rStyle w:val="FootnoteReference"/>
          <w:rFonts w:cs="Times New Roman"/>
          <w:szCs w:val="22"/>
        </w:rPr>
        <w:footnoteReference w:id="19"/>
      </w:r>
      <w:r w:rsidR="003E4526">
        <w:rPr>
          <w:rFonts w:cs="Times New Roman"/>
          <w:szCs w:val="22"/>
        </w:rPr>
        <w:t xml:space="preserve"> </w:t>
      </w:r>
      <w:r w:rsidRPr="00CA2CE4">
        <w:rPr>
          <w:rFonts w:cs="Times New Roman"/>
          <w:szCs w:val="22"/>
        </w:rPr>
        <w:t xml:space="preserve">or (ii) the date of receipt by the Trustee of a resolution of the District determining that amounts on deposit in the </w:t>
      </w:r>
      <w:r w:rsidR="00B96B68">
        <w:rPr>
          <w:rFonts w:cs="Times New Roman"/>
          <w:szCs w:val="22"/>
        </w:rPr>
        <w:t xml:space="preserve">LT </w:t>
      </w:r>
      <w:r w:rsidRPr="00CA2CE4">
        <w:rPr>
          <w:rFonts w:cs="Times New Roman"/>
          <w:szCs w:val="22"/>
        </w:rPr>
        <w:t xml:space="preserve">Working Capital Fund are no longer needed, any balance remaining in the </w:t>
      </w:r>
      <w:r w:rsidR="00B96B68">
        <w:rPr>
          <w:rFonts w:cs="Times New Roman"/>
          <w:szCs w:val="22"/>
        </w:rPr>
        <w:t xml:space="preserve">LT </w:t>
      </w:r>
      <w:r w:rsidRPr="00CA2CE4">
        <w:rPr>
          <w:rFonts w:cs="Times New Roman"/>
          <w:szCs w:val="22"/>
        </w:rPr>
        <w:t xml:space="preserve">Working Capital Fund are to be credited to the Senior </w:t>
      </w:r>
      <w:r w:rsidR="009929E0">
        <w:rPr>
          <w:rFonts w:cs="Times New Roman"/>
          <w:szCs w:val="22"/>
        </w:rPr>
        <w:t xml:space="preserve">LT </w:t>
      </w:r>
      <w:r w:rsidRPr="00CA2CE4">
        <w:rPr>
          <w:rFonts w:cs="Times New Roman"/>
          <w:szCs w:val="22"/>
        </w:rPr>
        <w:t xml:space="preserve">Project Fund, provided that if as of such date the Senior </w:t>
      </w:r>
      <w:r w:rsidR="009929E0">
        <w:rPr>
          <w:rFonts w:cs="Times New Roman"/>
          <w:szCs w:val="22"/>
        </w:rPr>
        <w:t xml:space="preserve">LT </w:t>
      </w:r>
      <w:r w:rsidRPr="00CA2CE4">
        <w:rPr>
          <w:rFonts w:cs="Times New Roman"/>
          <w:szCs w:val="22"/>
        </w:rPr>
        <w:t xml:space="preserve">Project Fund has been terminated, any balance shall be credited to the Senior </w:t>
      </w:r>
      <w:r w:rsidR="00F12A60">
        <w:rPr>
          <w:rFonts w:cs="Times New Roman"/>
          <w:szCs w:val="22"/>
        </w:rPr>
        <w:t xml:space="preserve">LT </w:t>
      </w:r>
      <w:r w:rsidRPr="00CA2CE4">
        <w:rPr>
          <w:rFonts w:cs="Times New Roman"/>
          <w:szCs w:val="22"/>
        </w:rPr>
        <w:t xml:space="preserve">Bond Fund. The </w:t>
      </w:r>
      <w:r w:rsidR="00B96B68">
        <w:rPr>
          <w:rFonts w:cs="Times New Roman"/>
          <w:szCs w:val="22"/>
        </w:rPr>
        <w:t xml:space="preserve">LT </w:t>
      </w:r>
      <w:r w:rsidRPr="00CA2CE4">
        <w:rPr>
          <w:rFonts w:cs="Times New Roman"/>
          <w:szCs w:val="22"/>
        </w:rPr>
        <w:t>Working Capital Fund is to terminate at such time as no further moneys remain therein.</w:t>
      </w:r>
    </w:p>
    <w:p w14:paraId="7A0FDC06" w14:textId="43E370E9" w:rsidR="00B5612A" w:rsidRPr="00DA2177" w:rsidRDefault="00AF5898" w:rsidP="00FA6AE5">
      <w:pPr>
        <w:pStyle w:val="00BodyText5"/>
        <w:rPr>
          <w:rFonts w:cs="Times New Roman"/>
          <w:szCs w:val="22"/>
        </w:rPr>
      </w:pPr>
      <w:r>
        <w:rPr>
          <w:rFonts w:cs="Times New Roman"/>
          <w:b/>
          <w:i/>
          <w:szCs w:val="22"/>
        </w:rPr>
        <w:t xml:space="preserve">Additional Covenants and Agreements of the District in the </w:t>
      </w:r>
      <w:r w:rsidR="000F65D0">
        <w:rPr>
          <w:rFonts w:cs="Times New Roman"/>
          <w:b/>
          <w:i/>
          <w:szCs w:val="22"/>
        </w:rPr>
        <w:t xml:space="preserve">Senior </w:t>
      </w:r>
      <w:r>
        <w:rPr>
          <w:rFonts w:cs="Times New Roman"/>
          <w:b/>
          <w:i/>
          <w:szCs w:val="22"/>
        </w:rPr>
        <w:t>LT Indenture</w:t>
      </w:r>
      <w:r>
        <w:rPr>
          <w:rFonts w:cs="Times New Roman"/>
          <w:szCs w:val="22"/>
        </w:rPr>
        <w:t xml:space="preserve">. The District irrevocably covenants in the </w:t>
      </w:r>
      <w:r w:rsidR="000F65D0">
        <w:rPr>
          <w:rFonts w:cs="Times New Roman"/>
          <w:szCs w:val="22"/>
        </w:rPr>
        <w:t xml:space="preserve">Senior </w:t>
      </w:r>
      <w:r>
        <w:rPr>
          <w:rFonts w:cs="Times New Roman"/>
          <w:szCs w:val="22"/>
        </w:rPr>
        <w:t xml:space="preserve">LT Indenture and agrees with each and every Owner that so long as any of the </w:t>
      </w:r>
      <w:r w:rsidR="00787226">
        <w:rPr>
          <w:rFonts w:cs="Times New Roman"/>
          <w:szCs w:val="22"/>
        </w:rPr>
        <w:t>2026A-1 Senior LT Bond</w:t>
      </w:r>
      <w:r>
        <w:rPr>
          <w:rFonts w:cs="Times New Roman"/>
          <w:szCs w:val="22"/>
        </w:rPr>
        <w:t>s remain Outstanding:</w:t>
      </w:r>
    </w:p>
    <w:p w14:paraId="16FE8F65" w14:textId="35877EEF" w:rsidR="00335DEC" w:rsidRPr="00DA2177" w:rsidRDefault="00335DEC" w:rsidP="00335DEC">
      <w:pPr>
        <w:pStyle w:val="00BodyText5"/>
        <w:ind w:left="720"/>
        <w:rPr>
          <w:rFonts w:cs="Times New Roman"/>
          <w:szCs w:val="22"/>
        </w:rPr>
      </w:pPr>
      <w:r>
        <w:rPr>
          <w:rFonts w:cs="Times New Roman"/>
          <w:szCs w:val="22"/>
        </w:rPr>
        <w:t>(a)</w:t>
      </w:r>
      <w:r>
        <w:rPr>
          <w:rFonts w:cs="Times New Roman"/>
          <w:szCs w:val="22"/>
        </w:rPr>
        <w:tab/>
        <w:t xml:space="preserve">The District will maintain its existence and is not to merge or otherwise alter its corporate structure in any manner or to any extent as might reduce the security provided for the payment of the </w:t>
      </w:r>
      <w:r w:rsidR="00787226">
        <w:rPr>
          <w:rFonts w:cs="Times New Roman"/>
          <w:szCs w:val="22"/>
        </w:rPr>
        <w:t>2026A-1 Senior LT Bond</w:t>
      </w:r>
      <w:r>
        <w:rPr>
          <w:rFonts w:cs="Times New Roman"/>
          <w:szCs w:val="22"/>
        </w:rPr>
        <w:t>s, and will continue to operate and manage the District and its facilities in an efficient and economical manner in accordance with all applicable laws, rules, and regulations.</w:t>
      </w:r>
    </w:p>
    <w:p w14:paraId="3ECFD455" w14:textId="4520764C" w:rsidR="00335DEC" w:rsidRPr="00DA2177" w:rsidRDefault="00335DEC" w:rsidP="00335DEC">
      <w:pPr>
        <w:pStyle w:val="00BodyText5"/>
        <w:ind w:left="720"/>
        <w:rPr>
          <w:rFonts w:cs="Times New Roman"/>
          <w:szCs w:val="22"/>
        </w:rPr>
      </w:pPr>
      <w:r>
        <w:rPr>
          <w:rFonts w:cs="Times New Roman"/>
          <w:szCs w:val="22"/>
        </w:rPr>
        <w:t>(b)</w:t>
      </w:r>
      <w:r>
        <w:rPr>
          <w:rFonts w:cs="Times New Roman"/>
          <w:szCs w:val="22"/>
        </w:rPr>
        <w:tab/>
        <w:t>At least once a year the District will cause an audit to be performed of the records relating to its revenues and expenditures, and the District is to use commercially reasonable efforts to have such audit report completed no later than 200 days following the end of its Fiscal Year. The foregoing covenant is to apply notwithstanding any State law audit exemptions that may exist. In addition, at least once a year in the time and manner provided by law, the District will cause a budget to be prepared and adopted. Copies of the budget and the audit will be filed and recorded in the places, time, and manner provided by law.</w:t>
      </w:r>
    </w:p>
    <w:p w14:paraId="4611A364" w14:textId="77777777" w:rsidR="00335DEC" w:rsidRPr="00DA2177" w:rsidRDefault="00335DEC" w:rsidP="00335DEC">
      <w:pPr>
        <w:pStyle w:val="00BodyText5"/>
        <w:ind w:left="720"/>
        <w:rPr>
          <w:rFonts w:cs="Times New Roman"/>
          <w:szCs w:val="22"/>
        </w:rPr>
      </w:pPr>
      <w:r>
        <w:rPr>
          <w:rFonts w:cs="Times New Roman"/>
          <w:szCs w:val="22"/>
        </w:rPr>
        <w:t>(c)</w:t>
      </w:r>
      <w:r>
        <w:rPr>
          <w:rFonts w:cs="Times New Roman"/>
          <w:szCs w:val="22"/>
        </w:rPr>
        <w:tab/>
        <w:t>The District will carry general liability, public officials’ liability, and such other forms of insurance coverage on insurable District property upon the terms and conditions, and in such amount, as in the judgment of the District will protect the District and its operations.</w:t>
      </w:r>
    </w:p>
    <w:p w14:paraId="2DB60F91" w14:textId="77777777" w:rsidR="00335DEC" w:rsidRPr="00DA2177" w:rsidRDefault="00335DEC" w:rsidP="00335DEC">
      <w:pPr>
        <w:pStyle w:val="00BodyText5"/>
        <w:ind w:left="720"/>
        <w:rPr>
          <w:rFonts w:cs="Times New Roman"/>
          <w:szCs w:val="22"/>
        </w:rPr>
      </w:pPr>
      <w:r>
        <w:rPr>
          <w:rFonts w:cs="Times New Roman"/>
          <w:szCs w:val="22"/>
        </w:rPr>
        <w:t>(d)</w:t>
      </w:r>
      <w:r>
        <w:rPr>
          <w:rFonts w:cs="Times New Roman"/>
          <w:szCs w:val="22"/>
        </w:rPr>
        <w:tab/>
        <w:t>Each District official or other person having custody of any District funds or responsible for the handling of such funds, is to be bonded or insured against theft or defalcation at all times.</w:t>
      </w:r>
    </w:p>
    <w:p w14:paraId="3C7FF828" w14:textId="77777777" w:rsidR="00335DEC" w:rsidRPr="00DA2177" w:rsidRDefault="00335DEC" w:rsidP="00335DEC">
      <w:pPr>
        <w:pStyle w:val="00BodyText5"/>
        <w:ind w:left="720"/>
        <w:rPr>
          <w:rFonts w:cs="Times New Roman"/>
          <w:szCs w:val="22"/>
        </w:rPr>
      </w:pPr>
      <w:r>
        <w:rPr>
          <w:rFonts w:cs="Times New Roman"/>
          <w:szCs w:val="22"/>
        </w:rPr>
        <w:t>(e)</w:t>
      </w:r>
      <w:r>
        <w:rPr>
          <w:rFonts w:cs="Times New Roman"/>
          <w:szCs w:val="22"/>
        </w:rPr>
        <w:tab/>
        <w:t>In the event any ad valorem taxes are not paid when due, the District is to diligently cooperate with the appropriate county treasurer to enforce the lien of such unpaid taxes against the property for which the taxes are owed.</w:t>
      </w:r>
    </w:p>
    <w:p w14:paraId="145FDF24" w14:textId="1748CA8B" w:rsidR="00335DEC" w:rsidRPr="00DA2177" w:rsidRDefault="00335DEC" w:rsidP="00335DEC">
      <w:pPr>
        <w:pStyle w:val="00BodyText5"/>
        <w:ind w:left="720"/>
        <w:rPr>
          <w:rFonts w:cs="Times New Roman"/>
          <w:szCs w:val="22"/>
        </w:rPr>
      </w:pPr>
      <w:r>
        <w:rPr>
          <w:rFonts w:cs="Times New Roman"/>
          <w:szCs w:val="22"/>
        </w:rPr>
        <w:t>(f)</w:t>
      </w:r>
      <w:r>
        <w:rPr>
          <w:rFonts w:cs="Times New Roman"/>
          <w:szCs w:val="22"/>
        </w:rPr>
        <w:tab/>
        <w:t xml:space="preserve">In the event the </w:t>
      </w:r>
      <w:r w:rsidR="000F65D0">
        <w:rPr>
          <w:rFonts w:cs="Times New Roman"/>
          <w:szCs w:val="22"/>
        </w:rPr>
        <w:t xml:space="preserve">Senior </w:t>
      </w:r>
      <w:r>
        <w:rPr>
          <w:rFonts w:cs="Times New Roman"/>
          <w:szCs w:val="22"/>
        </w:rPr>
        <w:t xml:space="preserve">LT Pledged Revenue is insufficient or is anticipated to be insufficient to pay the principal of, premium if any, and interest on the </w:t>
      </w:r>
      <w:r w:rsidR="00787226">
        <w:rPr>
          <w:rFonts w:cs="Times New Roman"/>
          <w:szCs w:val="22"/>
        </w:rPr>
        <w:t>2026A-1 Senior LT Bond</w:t>
      </w:r>
      <w:r>
        <w:rPr>
          <w:rFonts w:cs="Times New Roman"/>
          <w:szCs w:val="22"/>
        </w:rPr>
        <w:t xml:space="preserve">s when due, the District is to use its best efforts to refinance, refund, or otherwise restructure the </w:t>
      </w:r>
      <w:r w:rsidR="00787226">
        <w:rPr>
          <w:rFonts w:cs="Times New Roman"/>
          <w:szCs w:val="22"/>
        </w:rPr>
        <w:t>2026A-1 Senior LT Bond</w:t>
      </w:r>
      <w:r>
        <w:rPr>
          <w:rFonts w:cs="Times New Roman"/>
          <w:szCs w:val="22"/>
        </w:rPr>
        <w:t>s so as to avoid such payment shortfall.</w:t>
      </w:r>
    </w:p>
    <w:p w14:paraId="1EE98021" w14:textId="2D08D7BE" w:rsidR="00E163FB" w:rsidRDefault="00335DEC" w:rsidP="009A0354">
      <w:pPr>
        <w:pStyle w:val="00BodyText5"/>
        <w:ind w:left="720"/>
        <w:rPr>
          <w:rFonts w:cs="Times New Roman"/>
          <w:szCs w:val="22"/>
        </w:rPr>
      </w:pPr>
      <w:r>
        <w:rPr>
          <w:rFonts w:cs="Times New Roman"/>
          <w:szCs w:val="22"/>
        </w:rPr>
        <w:t>(g)</w:t>
      </w:r>
      <w:r>
        <w:rPr>
          <w:rFonts w:cs="Times New Roman"/>
          <w:szCs w:val="22"/>
        </w:rPr>
        <w:tab/>
        <w:t xml:space="preserve">In the event that any amount of the </w:t>
      </w:r>
      <w:r w:rsidR="000F65D0">
        <w:rPr>
          <w:rFonts w:cs="Times New Roman"/>
          <w:szCs w:val="22"/>
        </w:rPr>
        <w:t xml:space="preserve">Senior </w:t>
      </w:r>
      <w:r>
        <w:rPr>
          <w:rFonts w:cs="Times New Roman"/>
          <w:szCs w:val="22"/>
        </w:rPr>
        <w:t xml:space="preserve">LT Pledged Revenue is released to the District as provided in clause FIFTH of “—Application of </w:t>
      </w:r>
      <w:r w:rsidR="000F65D0">
        <w:rPr>
          <w:rFonts w:cs="Times New Roman"/>
          <w:szCs w:val="22"/>
        </w:rPr>
        <w:t xml:space="preserve">Senior </w:t>
      </w:r>
      <w:r>
        <w:rPr>
          <w:rFonts w:cs="Times New Roman"/>
          <w:szCs w:val="22"/>
        </w:rPr>
        <w:t>LT Pledged Revenue” above, the District will, in making its determination as to which obligations will be paid with such amounts, take into account that State law places certain restrictions upon the use of any amounts appropriated or added to the tax levy to pay the principal of, premium, and interest on any bonds.</w:t>
      </w:r>
    </w:p>
    <w:p w14:paraId="483C479C" w14:textId="47494F5E" w:rsidR="00335DEC" w:rsidRPr="006745BF" w:rsidRDefault="00E163FB" w:rsidP="009A0354">
      <w:pPr>
        <w:pStyle w:val="00BodyText5"/>
        <w:ind w:left="720"/>
        <w:rPr>
          <w:rFonts w:cs="Times New Roman"/>
          <w:szCs w:val="22"/>
        </w:rPr>
      </w:pPr>
      <w:r>
        <w:rPr>
          <w:rFonts w:cs="Times New Roman"/>
          <w:szCs w:val="22"/>
        </w:rPr>
        <w:t>(h)</w:t>
      </w:r>
      <w:r>
        <w:rPr>
          <w:rFonts w:cs="Times New Roman"/>
          <w:szCs w:val="22"/>
        </w:rPr>
        <w:tab/>
        <w:t xml:space="preserve">Subject to the Owners of a majority in aggregate principal amount of the </w:t>
      </w:r>
      <w:r w:rsidR="00787226">
        <w:rPr>
          <w:rFonts w:cs="Times New Roman"/>
          <w:szCs w:val="22"/>
        </w:rPr>
        <w:t>2026A-1 Senior LT Bond</w:t>
      </w:r>
      <w:r>
        <w:rPr>
          <w:rFonts w:cs="Times New Roman"/>
          <w:szCs w:val="22"/>
        </w:rPr>
        <w:t xml:space="preserve">s assuming control of the enforcement of remedies upon default, the District will enforce the collection of all amounts payable to it under the Pioneering Agreement in such time and manner as the District reasonably determines will be most efficacious in collecting the same and will diligently pursue all reasonable remedies available to the District with regard to such enforcement, whether at law or in equity. The District will not take any of the following actions without the prior written consent of the Consent Parties with respect to not less than a majority in aggregate principal amount of the </w:t>
      </w:r>
      <w:r w:rsidR="00787226">
        <w:rPr>
          <w:rFonts w:cs="Times New Roman"/>
          <w:szCs w:val="22"/>
        </w:rPr>
        <w:t>2026A-1 Senior LT Bond</w:t>
      </w:r>
      <w:r>
        <w:rPr>
          <w:rFonts w:cs="Times New Roman"/>
          <w:szCs w:val="22"/>
        </w:rPr>
        <w:t xml:space="preserve">s then Outstanding: (i) reduce the amounts due to the District (or to the Trustee on behalf of the District) under the Pioneering Agreement; or (ii) consent to an amendment to the Pioneering Agreement where such amendment or supplement would materially adversely affect the amount of </w:t>
      </w:r>
      <w:r w:rsidR="000F65D0">
        <w:rPr>
          <w:rFonts w:cs="Times New Roman"/>
          <w:szCs w:val="22"/>
        </w:rPr>
        <w:t xml:space="preserve">Senior </w:t>
      </w:r>
      <w:r>
        <w:rPr>
          <w:rFonts w:cs="Times New Roman"/>
          <w:szCs w:val="22"/>
        </w:rPr>
        <w:t>LT Pledged Revenues to be paid to or on behalf of the District thereunder.</w:t>
      </w:r>
    </w:p>
    <w:p w14:paraId="16717635" w14:textId="7B889EE4" w:rsidR="00E163FB" w:rsidRPr="00DA2177" w:rsidRDefault="00E163FB" w:rsidP="009A0354">
      <w:pPr>
        <w:pStyle w:val="00BodyText5"/>
        <w:ind w:left="720"/>
        <w:rPr>
          <w:rFonts w:cs="Times New Roman"/>
          <w:szCs w:val="22"/>
        </w:rPr>
      </w:pPr>
      <w:r>
        <w:rPr>
          <w:rFonts w:cs="Times New Roman"/>
          <w:szCs w:val="22"/>
        </w:rPr>
        <w:t>(i)</w:t>
      </w:r>
      <w:r>
        <w:rPr>
          <w:rFonts w:cs="Times New Roman"/>
          <w:szCs w:val="22"/>
        </w:rPr>
        <w:tab/>
        <w:t xml:space="preserve">Except for the Contract Fees, the District shall not impose any rates, tolls, fees or other charges on vacant lots or other undeveloped property within its boundaries in excess of the rates, tolls, fees or other charges applicable to developed residential lots or engage in any other act or omission that may impair future development in a manner that could adversely affect the amount of the District’s </w:t>
      </w:r>
      <w:r w:rsidR="000F65D0">
        <w:rPr>
          <w:rFonts w:cs="Times New Roman"/>
          <w:szCs w:val="22"/>
        </w:rPr>
        <w:t xml:space="preserve">Senior </w:t>
      </w:r>
      <w:r>
        <w:rPr>
          <w:rFonts w:cs="Times New Roman"/>
          <w:szCs w:val="22"/>
        </w:rPr>
        <w:t xml:space="preserve">LT Pledged Revenue or delay the timing of the District’s receipt of </w:t>
      </w:r>
      <w:r w:rsidR="000F65D0">
        <w:rPr>
          <w:rFonts w:cs="Times New Roman"/>
          <w:szCs w:val="22"/>
        </w:rPr>
        <w:t xml:space="preserve">Senior </w:t>
      </w:r>
      <w:r>
        <w:rPr>
          <w:rFonts w:cs="Times New Roman"/>
          <w:szCs w:val="22"/>
        </w:rPr>
        <w:t xml:space="preserve">LT Pledged Revenue or remittance thereof to the Trustee in accordance with the provisions of the </w:t>
      </w:r>
      <w:r w:rsidR="000F65D0">
        <w:rPr>
          <w:rFonts w:cs="Times New Roman"/>
          <w:szCs w:val="22"/>
        </w:rPr>
        <w:t xml:space="preserve">Senior </w:t>
      </w:r>
      <w:r>
        <w:rPr>
          <w:rFonts w:cs="Times New Roman"/>
          <w:szCs w:val="22"/>
        </w:rPr>
        <w:t>LT Indenture.</w:t>
      </w:r>
    </w:p>
    <w:p w14:paraId="4E29A76E" w14:textId="2B933E3A" w:rsidR="000C2DB4" w:rsidRDefault="000C2DB4" w:rsidP="000C2DB4">
      <w:pPr>
        <w:pStyle w:val="00BodyText5"/>
        <w:ind w:left="720"/>
        <w:rPr>
          <w:rFonts w:cs="Times New Roman"/>
          <w:szCs w:val="22"/>
        </w:rPr>
      </w:pPr>
      <w:r>
        <w:rPr>
          <w:rFonts w:cs="Times New Roman"/>
          <w:szCs w:val="22"/>
        </w:rPr>
        <w:t>(j)</w:t>
      </w:r>
      <w:r>
        <w:rPr>
          <w:rFonts w:cs="Times New Roman"/>
          <w:szCs w:val="22"/>
        </w:rPr>
        <w:tab/>
        <w:t xml:space="preserve">In the event of nonpayment of any tax, fee or charge that the District imposes, </w:t>
      </w:r>
      <w:r w:rsidR="00407A16">
        <w:rPr>
          <w:rFonts w:cs="Times New Roman"/>
          <w:szCs w:val="22"/>
        </w:rPr>
        <w:t xml:space="preserve">and so long as permitted under the District Act, </w:t>
      </w:r>
      <w:r>
        <w:rPr>
          <w:rFonts w:cs="Times New Roman"/>
          <w:szCs w:val="22"/>
        </w:rPr>
        <w:t>the District shall impose or cause the County to impose a property tax penalty at an annual rate of 7% in addition to any other lawful penalty for nonpayment of property taxes.</w:t>
      </w:r>
    </w:p>
    <w:p w14:paraId="7CBA8932" w14:textId="1D6CACB5" w:rsidR="000444C8" w:rsidRPr="000444C8" w:rsidRDefault="000444C8" w:rsidP="000444C8">
      <w:pPr>
        <w:pStyle w:val="00BodyText5"/>
        <w:ind w:left="720"/>
        <w:rPr>
          <w:rFonts w:cs="Times New Roman"/>
          <w:szCs w:val="22"/>
        </w:rPr>
      </w:pPr>
      <w:r w:rsidRPr="000444C8">
        <w:rPr>
          <w:rFonts w:cs="Times New Roman"/>
          <w:szCs w:val="22"/>
        </w:rPr>
        <w:t>(</w:t>
      </w:r>
      <w:r>
        <w:rPr>
          <w:rFonts w:cs="Times New Roman"/>
          <w:szCs w:val="22"/>
        </w:rPr>
        <w:t>k</w:t>
      </w:r>
      <w:r w:rsidRPr="000444C8">
        <w:rPr>
          <w:rFonts w:cs="Times New Roman"/>
          <w:szCs w:val="22"/>
        </w:rPr>
        <w:t>)</w:t>
      </w:r>
      <w:r w:rsidRPr="000444C8">
        <w:rPr>
          <w:rFonts w:cs="Times New Roman"/>
          <w:szCs w:val="22"/>
        </w:rPr>
        <w:tab/>
        <w:t xml:space="preserve">The District shall employ or cause to be employed as required a certified public accountant to perform auditing functions and duties required by the </w:t>
      </w:r>
      <w:r w:rsidR="009929E0">
        <w:rPr>
          <w:rFonts w:cs="Times New Roman"/>
          <w:szCs w:val="22"/>
        </w:rPr>
        <w:t xml:space="preserve">Bond Act and the District </w:t>
      </w:r>
      <w:r w:rsidRPr="000444C8">
        <w:rPr>
          <w:rFonts w:cs="Times New Roman"/>
          <w:szCs w:val="22"/>
        </w:rPr>
        <w:t>Act and the Senior</w:t>
      </w:r>
      <w:r>
        <w:rPr>
          <w:rFonts w:cs="Times New Roman"/>
          <w:szCs w:val="22"/>
        </w:rPr>
        <w:t xml:space="preserve"> LT</w:t>
      </w:r>
      <w:r w:rsidRPr="000444C8">
        <w:rPr>
          <w:rFonts w:cs="Times New Roman"/>
          <w:szCs w:val="22"/>
        </w:rPr>
        <w:t xml:space="preserve"> Indenture and to assist in completion of the District’s obligations under the Continuing Disclosure Agreement.</w:t>
      </w:r>
    </w:p>
    <w:p w14:paraId="1B2E5102" w14:textId="28068C06" w:rsidR="000444C8" w:rsidRPr="000444C8" w:rsidRDefault="000444C8" w:rsidP="000444C8">
      <w:pPr>
        <w:pStyle w:val="00BodyText5"/>
        <w:ind w:left="720"/>
        <w:rPr>
          <w:rFonts w:cs="Times New Roman"/>
          <w:szCs w:val="22"/>
        </w:rPr>
      </w:pPr>
      <w:r w:rsidRPr="000444C8">
        <w:rPr>
          <w:rFonts w:cs="Times New Roman"/>
          <w:szCs w:val="22"/>
        </w:rPr>
        <w:t>(</w:t>
      </w:r>
      <w:r>
        <w:rPr>
          <w:rFonts w:cs="Times New Roman"/>
          <w:szCs w:val="22"/>
        </w:rPr>
        <w:t>l</w:t>
      </w:r>
      <w:r w:rsidRPr="000444C8">
        <w:rPr>
          <w:rFonts w:cs="Times New Roman"/>
          <w:szCs w:val="22"/>
        </w:rPr>
        <w:t>)</w:t>
      </w:r>
      <w:r w:rsidRPr="000444C8">
        <w:rPr>
          <w:rFonts w:cs="Times New Roman"/>
          <w:szCs w:val="22"/>
        </w:rPr>
        <w:tab/>
        <w:t>The District covenants and agrees that it will comply with and carry out all of the provisions of the Continuing Disclosure Agreement. Notwithstanding any other provision of the Senior</w:t>
      </w:r>
      <w:r>
        <w:rPr>
          <w:rFonts w:cs="Times New Roman"/>
          <w:szCs w:val="22"/>
        </w:rPr>
        <w:t xml:space="preserve"> LT</w:t>
      </w:r>
      <w:r w:rsidRPr="000444C8">
        <w:rPr>
          <w:rFonts w:cs="Times New Roman"/>
          <w:szCs w:val="22"/>
        </w:rPr>
        <w:t xml:space="preserve"> Indenture, failure of the District or the Developer to comply with the Continuing Disclosure Agreement will not be considered an Event of Default; however, the Trustee may (and, at the request of any participating underwriter or the Owners of at least 25% aggregate principal amount in Outstanding 2026A</w:t>
      </w:r>
      <w:r w:rsidR="00C57718">
        <w:rPr>
          <w:rFonts w:cs="Times New Roman"/>
          <w:szCs w:val="22"/>
        </w:rPr>
        <w:t>-1</w:t>
      </w:r>
      <w:r w:rsidRPr="000444C8">
        <w:rPr>
          <w:rFonts w:cs="Times New Roman"/>
          <w:szCs w:val="22"/>
        </w:rPr>
        <w:t xml:space="preserve"> Senior</w:t>
      </w:r>
      <w:r>
        <w:rPr>
          <w:rFonts w:cs="Times New Roman"/>
          <w:szCs w:val="22"/>
        </w:rPr>
        <w:t xml:space="preserve"> LT</w:t>
      </w:r>
      <w:r w:rsidRPr="000444C8">
        <w:rPr>
          <w:rFonts w:cs="Times New Roman"/>
          <w:szCs w:val="22"/>
        </w:rPr>
        <w:t xml:space="preserve"> Bonds and receipt of indemnity to its satisfaction shall), or any Owner of the 2026A</w:t>
      </w:r>
      <w:r w:rsidR="00C57718">
        <w:rPr>
          <w:rFonts w:cs="Times New Roman"/>
          <w:szCs w:val="22"/>
        </w:rPr>
        <w:t>-1</w:t>
      </w:r>
      <w:r w:rsidRPr="000444C8">
        <w:rPr>
          <w:rFonts w:cs="Times New Roman"/>
          <w:szCs w:val="22"/>
        </w:rPr>
        <w:t xml:space="preserve"> Senior </w:t>
      </w:r>
      <w:r>
        <w:rPr>
          <w:rFonts w:cs="Times New Roman"/>
          <w:szCs w:val="22"/>
        </w:rPr>
        <w:t xml:space="preserve">LT </w:t>
      </w:r>
      <w:r w:rsidRPr="000444C8">
        <w:rPr>
          <w:rFonts w:cs="Times New Roman"/>
          <w:szCs w:val="22"/>
        </w:rPr>
        <w:t xml:space="preserve">Bonds or Beneficial Owner may take such actions as may be necessary and appropriate, including seeking specific performance by court order, to cause the District to comply with its obligations under the Senior </w:t>
      </w:r>
      <w:r>
        <w:rPr>
          <w:rFonts w:cs="Times New Roman"/>
          <w:szCs w:val="22"/>
        </w:rPr>
        <w:t xml:space="preserve">LT </w:t>
      </w:r>
      <w:r w:rsidRPr="000444C8">
        <w:rPr>
          <w:rFonts w:cs="Times New Roman"/>
          <w:szCs w:val="22"/>
        </w:rPr>
        <w:t>Indenture.</w:t>
      </w:r>
    </w:p>
    <w:p w14:paraId="72150689" w14:textId="43448664" w:rsidR="00AF5898" w:rsidRPr="00DA2177" w:rsidRDefault="00572690" w:rsidP="00FA6AE5">
      <w:pPr>
        <w:pStyle w:val="00BodyText5"/>
        <w:rPr>
          <w:rFonts w:cs="Times New Roman"/>
          <w:szCs w:val="22"/>
        </w:rPr>
      </w:pPr>
      <w:r>
        <w:rPr>
          <w:rFonts w:cs="Times New Roman"/>
          <w:b/>
          <w:i/>
          <w:szCs w:val="22"/>
        </w:rPr>
        <w:t>Additional LT Obligations</w:t>
      </w:r>
      <w:r>
        <w:rPr>
          <w:rFonts w:cs="Times New Roman"/>
          <w:szCs w:val="22"/>
        </w:rPr>
        <w:t xml:space="preserve">. The District is not to incur any additional debt or other financial obligation having a lien upon the </w:t>
      </w:r>
      <w:r w:rsidR="000F65D0">
        <w:rPr>
          <w:rFonts w:cs="Times New Roman"/>
          <w:szCs w:val="22"/>
        </w:rPr>
        <w:t xml:space="preserve">Senior </w:t>
      </w:r>
      <w:r>
        <w:rPr>
          <w:rFonts w:cs="Times New Roman"/>
          <w:szCs w:val="22"/>
        </w:rPr>
        <w:t xml:space="preserve">LT Pledged Revenue superior to the lien thereof of the </w:t>
      </w:r>
      <w:r w:rsidR="00787226">
        <w:rPr>
          <w:rFonts w:cs="Times New Roman"/>
          <w:szCs w:val="22"/>
        </w:rPr>
        <w:t>2026A-1 Senior LT Bond</w:t>
      </w:r>
      <w:r>
        <w:rPr>
          <w:rFonts w:cs="Times New Roman"/>
          <w:szCs w:val="22"/>
        </w:rPr>
        <w:t>s.</w:t>
      </w:r>
    </w:p>
    <w:p w14:paraId="27CC607A" w14:textId="1223452F" w:rsidR="008A3F43" w:rsidRPr="00DA2177" w:rsidRDefault="008A3F43" w:rsidP="00FA6AE5">
      <w:pPr>
        <w:pStyle w:val="00BodyText5"/>
        <w:rPr>
          <w:rFonts w:cs="Times New Roman"/>
          <w:szCs w:val="22"/>
        </w:rPr>
      </w:pPr>
      <w:r>
        <w:rPr>
          <w:rFonts w:cs="Times New Roman"/>
          <w:szCs w:val="22"/>
        </w:rPr>
        <w:t xml:space="preserve">Any Additional LT Obligations secured by a lien on ad valorem property taxes of the District are to be issued as either </w:t>
      </w:r>
      <w:r w:rsidR="005C7E1E">
        <w:rPr>
          <w:rFonts w:cs="Times New Roman"/>
          <w:szCs w:val="22"/>
        </w:rPr>
        <w:t xml:space="preserve">Senior </w:t>
      </w:r>
      <w:r>
        <w:rPr>
          <w:rFonts w:cs="Times New Roman"/>
          <w:szCs w:val="22"/>
        </w:rPr>
        <w:t xml:space="preserve">LT Parity Bonds or Subordinate LT Obligations; </w:t>
      </w:r>
      <w:r>
        <w:t>provided, however, that such requirement shall not apply to Additional LT Obligations secured solely by an Unencumbered Debt Service Mill Levy</w:t>
      </w:r>
      <w:r>
        <w:rPr>
          <w:rFonts w:cs="Times New Roman"/>
          <w:szCs w:val="22"/>
        </w:rPr>
        <w:t xml:space="preserve">. </w:t>
      </w:r>
      <w:r w:rsidR="00407A16" w:rsidRPr="00407A16">
        <w:rPr>
          <w:rFonts w:cs="Times New Roman"/>
          <w:szCs w:val="22"/>
        </w:rPr>
        <w:t>The issuance of the 2026B Subordinate LT Bonds in accordance with the Subordinate LT Indenture is permitted</w:t>
      </w:r>
      <w:r w:rsidR="00407A16">
        <w:rPr>
          <w:rFonts w:cs="Times New Roman"/>
          <w:szCs w:val="22"/>
        </w:rPr>
        <w:t>.</w:t>
      </w:r>
      <w:r w:rsidR="00407A16" w:rsidRPr="00407A16">
        <w:rPr>
          <w:rFonts w:cs="Times New Roman"/>
          <w:szCs w:val="22"/>
        </w:rPr>
        <w:t xml:space="preserve"> </w:t>
      </w:r>
      <w:r>
        <w:rPr>
          <w:rFonts w:cs="Times New Roman"/>
          <w:szCs w:val="22"/>
        </w:rPr>
        <w:t xml:space="preserve">The District is not to issue or incur any other Additional LT Obligations except as provided below with respect to </w:t>
      </w:r>
      <w:r w:rsidR="005C7E1E">
        <w:rPr>
          <w:rFonts w:cs="Times New Roman"/>
          <w:szCs w:val="22"/>
        </w:rPr>
        <w:t xml:space="preserve">Senior </w:t>
      </w:r>
      <w:r>
        <w:rPr>
          <w:rFonts w:cs="Times New Roman"/>
          <w:szCs w:val="22"/>
        </w:rPr>
        <w:t xml:space="preserve">LT Parity Bonds and Subordinate LT Obligations, and with respect to Additional LT Obligations secured by an Unencumbered Debt Service Mill Levy, unless such issuance is consented to by the Consent Parties with respect to a majority in aggregate principal amount of the </w:t>
      </w:r>
      <w:r w:rsidR="00787226">
        <w:rPr>
          <w:rFonts w:cs="Times New Roman"/>
          <w:szCs w:val="22"/>
        </w:rPr>
        <w:t>2026A-1 Senior LT Bond</w:t>
      </w:r>
      <w:r>
        <w:rPr>
          <w:rFonts w:cs="Times New Roman"/>
          <w:szCs w:val="22"/>
        </w:rPr>
        <w:t>s then Outstanding.</w:t>
      </w:r>
    </w:p>
    <w:p w14:paraId="701B816A" w14:textId="7487EC95" w:rsidR="008A3F43" w:rsidRPr="00DA2177" w:rsidRDefault="008A3F43" w:rsidP="00FA6AE5">
      <w:pPr>
        <w:pStyle w:val="00BodyText5"/>
        <w:rPr>
          <w:rFonts w:cs="Times New Roman"/>
          <w:szCs w:val="22"/>
        </w:rPr>
      </w:pPr>
      <w:r>
        <w:rPr>
          <w:rFonts w:cs="Times New Roman"/>
          <w:szCs w:val="22"/>
        </w:rPr>
        <w:t xml:space="preserve">The District may issue Additional LT Obligations constituting </w:t>
      </w:r>
      <w:r w:rsidR="005C7E1E">
        <w:rPr>
          <w:rFonts w:cs="Times New Roman"/>
          <w:szCs w:val="22"/>
        </w:rPr>
        <w:t xml:space="preserve">Senior </w:t>
      </w:r>
      <w:r>
        <w:rPr>
          <w:rFonts w:cs="Times New Roman"/>
          <w:szCs w:val="22"/>
        </w:rPr>
        <w:t>LT Parity Bonds without the consent of the Consent Parties if each of the following conditions is met as of the date of issuance of such Additional LT Obligations:</w:t>
      </w:r>
    </w:p>
    <w:p w14:paraId="38D2D50F" w14:textId="1EB1C157" w:rsidR="00526188" w:rsidRDefault="008A3F43" w:rsidP="00B471D8">
      <w:pPr>
        <w:pStyle w:val="00BodyText5"/>
        <w:numPr>
          <w:ilvl w:val="0"/>
          <w:numId w:val="4"/>
        </w:numPr>
        <w:ind w:left="720" w:firstLine="720"/>
        <w:rPr>
          <w:rFonts w:cs="Times New Roman"/>
          <w:szCs w:val="22"/>
        </w:rPr>
      </w:pPr>
      <w:r>
        <w:rPr>
          <w:rFonts w:cs="Times New Roman"/>
          <w:szCs w:val="22"/>
        </w:rPr>
        <w:t xml:space="preserve">no Event of Default is to have occurred and be continuing and no amounts of principal or interest on the </w:t>
      </w:r>
      <w:r w:rsidR="00787226">
        <w:rPr>
          <w:rFonts w:cs="Times New Roman"/>
          <w:szCs w:val="22"/>
        </w:rPr>
        <w:t>2026A-1 Senior LT Bond</w:t>
      </w:r>
      <w:r>
        <w:rPr>
          <w:rFonts w:cs="Times New Roman"/>
          <w:szCs w:val="22"/>
        </w:rPr>
        <w:t xml:space="preserve">s or any other </w:t>
      </w:r>
      <w:r w:rsidR="005C7E1E">
        <w:rPr>
          <w:rFonts w:cs="Times New Roman"/>
          <w:szCs w:val="22"/>
        </w:rPr>
        <w:t xml:space="preserve">Senior </w:t>
      </w:r>
      <w:r>
        <w:rPr>
          <w:rFonts w:cs="Times New Roman"/>
          <w:szCs w:val="22"/>
        </w:rPr>
        <w:t xml:space="preserve">LT Parity Bonds are due but unpaid, unless: (i) such Event of Default or failure to pay principal or interest on the </w:t>
      </w:r>
      <w:r w:rsidR="00787226">
        <w:rPr>
          <w:rFonts w:cs="Times New Roman"/>
          <w:szCs w:val="22"/>
        </w:rPr>
        <w:t>2026A-1 Senior LT Bond</w:t>
      </w:r>
      <w:r>
        <w:rPr>
          <w:rFonts w:cs="Times New Roman"/>
          <w:szCs w:val="22"/>
        </w:rPr>
        <w:t xml:space="preserve">s will be cured upon issuance of the </w:t>
      </w:r>
      <w:r w:rsidR="005C7E1E">
        <w:rPr>
          <w:rFonts w:cs="Times New Roman"/>
          <w:szCs w:val="22"/>
        </w:rPr>
        <w:t xml:space="preserve">Senior </w:t>
      </w:r>
      <w:r>
        <w:rPr>
          <w:rFonts w:cs="Times New Roman"/>
          <w:szCs w:val="22"/>
        </w:rPr>
        <w:t>LT Parity Bonds, or (ii) the conditions of clause (d)(ii) below are satisfied;</w:t>
      </w:r>
    </w:p>
    <w:p w14:paraId="6B2014F4" w14:textId="69254AB0" w:rsidR="00607469" w:rsidRPr="00DA2177" w:rsidRDefault="00607469" w:rsidP="00B471D8">
      <w:pPr>
        <w:pStyle w:val="00BodyText5"/>
        <w:numPr>
          <w:ilvl w:val="0"/>
          <w:numId w:val="4"/>
        </w:numPr>
        <w:ind w:left="720" w:firstLine="720"/>
        <w:rPr>
          <w:rFonts w:cs="Times New Roman"/>
          <w:szCs w:val="22"/>
        </w:rPr>
      </w:pPr>
      <w:r>
        <w:rPr>
          <w:rFonts w:cs="Times New Roman"/>
          <w:szCs w:val="22"/>
        </w:rPr>
        <w:t xml:space="preserve">the </w:t>
      </w:r>
      <w:r w:rsidR="005C7E1E">
        <w:rPr>
          <w:rFonts w:cs="Times New Roman"/>
          <w:szCs w:val="22"/>
        </w:rPr>
        <w:t xml:space="preserve">Senior </w:t>
      </w:r>
      <w:r>
        <w:rPr>
          <w:rFonts w:cs="Times New Roman"/>
          <w:szCs w:val="22"/>
        </w:rPr>
        <w:t xml:space="preserve">LT Parity Bonds are to be secured by a surplus fund to be funded by </w:t>
      </w:r>
      <w:r w:rsidR="00B64C22" w:rsidRPr="00B64C22">
        <w:rPr>
          <w:rFonts w:cs="Times New Roman"/>
          <w:szCs w:val="22"/>
        </w:rPr>
        <w:t>a portion of the proceeds of the Senior</w:t>
      </w:r>
      <w:r w:rsidR="009929E0">
        <w:rPr>
          <w:rFonts w:cs="Times New Roman"/>
          <w:szCs w:val="22"/>
        </w:rPr>
        <w:t xml:space="preserve"> LT</w:t>
      </w:r>
      <w:r w:rsidR="00B64C22" w:rsidRPr="00B64C22">
        <w:rPr>
          <w:rFonts w:cs="Times New Roman"/>
          <w:szCs w:val="22"/>
        </w:rPr>
        <w:t xml:space="preserve"> Parity</w:t>
      </w:r>
      <w:r w:rsidR="009929E0">
        <w:rPr>
          <w:rFonts w:cs="Times New Roman"/>
          <w:szCs w:val="22"/>
        </w:rPr>
        <w:t xml:space="preserve"> </w:t>
      </w:r>
      <w:r w:rsidR="00B64C22" w:rsidRPr="00B64C22">
        <w:rPr>
          <w:rFonts w:cs="Times New Roman"/>
          <w:szCs w:val="22"/>
        </w:rPr>
        <w:t xml:space="preserve">Bonds, by </w:t>
      </w:r>
      <w:r>
        <w:rPr>
          <w:rFonts w:cs="Times New Roman"/>
          <w:szCs w:val="22"/>
        </w:rPr>
        <w:t xml:space="preserve">revenues pledged to the payment of such </w:t>
      </w:r>
      <w:r w:rsidR="005C7E1E">
        <w:rPr>
          <w:rFonts w:cs="Times New Roman"/>
          <w:szCs w:val="22"/>
        </w:rPr>
        <w:t xml:space="preserve">Senior </w:t>
      </w:r>
      <w:r>
        <w:rPr>
          <w:rFonts w:cs="Times New Roman"/>
          <w:szCs w:val="22"/>
        </w:rPr>
        <w:t>LT Parity Bonds in the manner described in “—</w:t>
      </w:r>
      <w:r>
        <w:rPr>
          <w:rFonts w:cs="Times New Roman"/>
          <w:i/>
          <w:szCs w:val="22"/>
        </w:rPr>
        <w:t xml:space="preserve">Application of </w:t>
      </w:r>
      <w:r w:rsidR="000F65D0">
        <w:rPr>
          <w:rFonts w:cs="Times New Roman"/>
          <w:i/>
          <w:szCs w:val="22"/>
        </w:rPr>
        <w:t xml:space="preserve">Senior </w:t>
      </w:r>
      <w:r>
        <w:rPr>
          <w:rFonts w:cs="Times New Roman"/>
          <w:i/>
          <w:szCs w:val="22"/>
        </w:rPr>
        <w:t>LT Pledged Revenue</w:t>
      </w:r>
      <w:r>
        <w:rPr>
          <w:rFonts w:cs="Times New Roman"/>
          <w:szCs w:val="22"/>
        </w:rPr>
        <w:t>” above</w:t>
      </w:r>
      <w:r w:rsidR="00B64C22">
        <w:rPr>
          <w:rFonts w:cs="Times New Roman"/>
          <w:szCs w:val="22"/>
        </w:rPr>
        <w:t>, or both,</w:t>
      </w:r>
      <w:r>
        <w:rPr>
          <w:rFonts w:cs="Times New Roman"/>
          <w:szCs w:val="22"/>
        </w:rPr>
        <w:t xml:space="preserve"> up to the applicable </w:t>
      </w:r>
      <w:r w:rsidR="005C7E1E">
        <w:rPr>
          <w:rFonts w:cs="Times New Roman"/>
          <w:szCs w:val="22"/>
        </w:rPr>
        <w:t xml:space="preserve">Senior </w:t>
      </w:r>
      <w:r>
        <w:rPr>
          <w:rFonts w:cs="Times New Roman"/>
          <w:szCs w:val="22"/>
        </w:rPr>
        <w:t>LT Parity Bonds Maximum Surplus Amount (and not more than such amount), and to be otherwise maintained in the same manner as the LT Surplus Fund;</w:t>
      </w:r>
    </w:p>
    <w:p w14:paraId="17CC1E00" w14:textId="22689FD1" w:rsidR="00607469" w:rsidRPr="00DA2177" w:rsidRDefault="00603E75" w:rsidP="00B471D8">
      <w:pPr>
        <w:pStyle w:val="00BodyText5"/>
        <w:numPr>
          <w:ilvl w:val="0"/>
          <w:numId w:val="4"/>
        </w:numPr>
        <w:ind w:left="720" w:firstLine="720"/>
        <w:rPr>
          <w:rFonts w:cs="Times New Roman"/>
          <w:szCs w:val="22"/>
        </w:rPr>
      </w:pPr>
      <w:r>
        <w:rPr>
          <w:rFonts w:cs="Times New Roman"/>
          <w:szCs w:val="22"/>
        </w:rPr>
        <w:t xml:space="preserve">in the event that the </w:t>
      </w:r>
      <w:r w:rsidR="005C7E1E">
        <w:rPr>
          <w:rFonts w:cs="Times New Roman"/>
          <w:szCs w:val="22"/>
        </w:rPr>
        <w:t xml:space="preserve">Senior </w:t>
      </w:r>
      <w:r>
        <w:rPr>
          <w:rFonts w:cs="Times New Roman"/>
          <w:szCs w:val="22"/>
        </w:rPr>
        <w:t xml:space="preserve">LT Parity Bonds are secured by a lien on ad valorem property taxes of the District, then (i) the maximum rate per dollar of taxable value (if any) pledged to the payment of the </w:t>
      </w:r>
      <w:r w:rsidR="005C7E1E">
        <w:rPr>
          <w:rFonts w:cs="Times New Roman"/>
          <w:szCs w:val="22"/>
        </w:rPr>
        <w:t xml:space="preserve">Senior </w:t>
      </w:r>
      <w:r>
        <w:rPr>
          <w:rFonts w:cs="Times New Roman"/>
          <w:szCs w:val="22"/>
        </w:rPr>
        <w:t xml:space="preserve">LT Parity Bonds, together with the </w:t>
      </w:r>
      <w:r w:rsidR="000F65D0">
        <w:rPr>
          <w:rFonts w:cs="Times New Roman"/>
          <w:szCs w:val="22"/>
        </w:rPr>
        <w:t xml:space="preserve">Senior </w:t>
      </w:r>
      <w:r>
        <w:rPr>
          <w:rFonts w:cs="Times New Roman"/>
          <w:szCs w:val="22"/>
        </w:rPr>
        <w:t xml:space="preserve">Required Mill Levy required to be imposed under the </w:t>
      </w:r>
      <w:r w:rsidR="000F65D0">
        <w:rPr>
          <w:rFonts w:cs="Times New Roman"/>
          <w:szCs w:val="22"/>
        </w:rPr>
        <w:t xml:space="preserve">Senior </w:t>
      </w:r>
      <w:r>
        <w:rPr>
          <w:rFonts w:cs="Times New Roman"/>
          <w:szCs w:val="22"/>
        </w:rPr>
        <w:t xml:space="preserve">LT Indenture, is not to be higher than the maximum rate per dollar of taxable value set forth in the definition of </w:t>
      </w:r>
      <w:r w:rsidR="000F65D0">
        <w:rPr>
          <w:rFonts w:cs="Times New Roman"/>
          <w:szCs w:val="22"/>
        </w:rPr>
        <w:t xml:space="preserve">Senior </w:t>
      </w:r>
      <w:r>
        <w:rPr>
          <w:rFonts w:cs="Times New Roman"/>
          <w:szCs w:val="22"/>
        </w:rPr>
        <w:t xml:space="preserve">Required Mill Levy in the </w:t>
      </w:r>
      <w:r w:rsidR="000F65D0">
        <w:rPr>
          <w:rFonts w:cs="Times New Roman"/>
          <w:szCs w:val="22"/>
        </w:rPr>
        <w:t xml:space="preserve">Senior </w:t>
      </w:r>
      <w:r>
        <w:rPr>
          <w:rFonts w:cs="Times New Roman"/>
          <w:szCs w:val="22"/>
        </w:rPr>
        <w:t xml:space="preserve">LT Indenture, and (ii) the resolution, indenture or other document pursuant to which the </w:t>
      </w:r>
      <w:r w:rsidR="005C7E1E">
        <w:rPr>
          <w:rFonts w:cs="Times New Roman"/>
          <w:szCs w:val="22"/>
        </w:rPr>
        <w:t xml:space="preserve">Senior </w:t>
      </w:r>
      <w:r>
        <w:rPr>
          <w:rFonts w:cs="Times New Roman"/>
          <w:szCs w:val="22"/>
        </w:rPr>
        <w:t xml:space="preserve">LT Parity Bonds are issued is to provide that any ad valorem property taxes imposed for the payment of such </w:t>
      </w:r>
      <w:r w:rsidR="005C7E1E">
        <w:rPr>
          <w:rFonts w:cs="Times New Roman"/>
          <w:szCs w:val="22"/>
        </w:rPr>
        <w:t xml:space="preserve">Senior </w:t>
      </w:r>
      <w:r>
        <w:rPr>
          <w:rFonts w:cs="Times New Roman"/>
          <w:szCs w:val="22"/>
        </w:rPr>
        <w:t>LT Parity Bonds is to be applied in the same manner and priority as described in “—</w:t>
      </w:r>
      <w:r>
        <w:rPr>
          <w:rFonts w:cs="Times New Roman"/>
          <w:i/>
          <w:szCs w:val="22"/>
        </w:rPr>
        <w:t xml:space="preserve">Application of </w:t>
      </w:r>
      <w:r w:rsidR="000F65D0">
        <w:rPr>
          <w:rFonts w:cs="Times New Roman"/>
          <w:i/>
          <w:szCs w:val="22"/>
        </w:rPr>
        <w:t xml:space="preserve">Senior </w:t>
      </w:r>
      <w:r>
        <w:rPr>
          <w:rFonts w:cs="Times New Roman"/>
          <w:i/>
          <w:szCs w:val="22"/>
        </w:rPr>
        <w:t>LT Pledged Revenue</w:t>
      </w:r>
      <w:r>
        <w:rPr>
          <w:rFonts w:cs="Times New Roman"/>
          <w:szCs w:val="22"/>
        </w:rPr>
        <w:t xml:space="preserve">” above with respect to the </w:t>
      </w:r>
      <w:r w:rsidR="000F65D0">
        <w:rPr>
          <w:rFonts w:cs="Times New Roman"/>
          <w:szCs w:val="22"/>
        </w:rPr>
        <w:t xml:space="preserve">Senior </w:t>
      </w:r>
      <w:r>
        <w:rPr>
          <w:rFonts w:cs="Times New Roman"/>
          <w:szCs w:val="22"/>
        </w:rPr>
        <w:t>LT Pledged Revenue; and</w:t>
      </w:r>
    </w:p>
    <w:p w14:paraId="1EA27F6C" w14:textId="633BB269" w:rsidR="00607469" w:rsidRPr="00DA2177" w:rsidRDefault="00FB62A9" w:rsidP="00FB62A9">
      <w:pPr>
        <w:pStyle w:val="00BodyText5"/>
        <w:ind w:left="720"/>
        <w:rPr>
          <w:rFonts w:cs="Times New Roman"/>
          <w:szCs w:val="22"/>
        </w:rPr>
      </w:pPr>
      <w:r>
        <w:rPr>
          <w:rFonts w:cs="Times New Roman"/>
          <w:szCs w:val="22"/>
        </w:rPr>
        <w:t>(d)</w:t>
      </w:r>
      <w:r>
        <w:rPr>
          <w:rFonts w:cs="Times New Roman"/>
          <w:szCs w:val="22"/>
        </w:rPr>
        <w:tab/>
        <w:t>one of the following two conditions is to be satisfied:</w:t>
      </w:r>
    </w:p>
    <w:p w14:paraId="4C238056" w14:textId="22C7C927" w:rsidR="00335DEC" w:rsidRPr="00DA2177" w:rsidRDefault="00335DEC" w:rsidP="00335DEC">
      <w:pPr>
        <w:pStyle w:val="00BodyText5"/>
        <w:ind w:left="1440"/>
        <w:rPr>
          <w:rFonts w:cs="Times New Roman"/>
          <w:szCs w:val="22"/>
        </w:rPr>
      </w:pPr>
      <w:r>
        <w:rPr>
          <w:rFonts w:cs="Times New Roman"/>
          <w:szCs w:val="22"/>
        </w:rPr>
        <w:t>(i)</w:t>
      </w:r>
      <w:r>
        <w:rPr>
          <w:rFonts w:cs="Times New Roman"/>
          <w:szCs w:val="22"/>
        </w:rPr>
        <w:tab/>
        <w:t xml:space="preserve">upon issuance of the </w:t>
      </w:r>
      <w:r w:rsidR="005C7E1E">
        <w:rPr>
          <w:rFonts w:cs="Times New Roman"/>
          <w:szCs w:val="22"/>
        </w:rPr>
        <w:t xml:space="preserve">Senior </w:t>
      </w:r>
      <w:r>
        <w:rPr>
          <w:rFonts w:cs="Times New Roman"/>
          <w:szCs w:val="22"/>
        </w:rPr>
        <w:t xml:space="preserve">LT Parity Bonds, the Senior Debt to Taxable Value Ratio will be </w:t>
      </w:r>
      <w:r w:rsidR="00CA5572">
        <w:rPr>
          <w:rFonts w:cs="Times New Roman"/>
          <w:szCs w:val="22"/>
        </w:rPr>
        <w:t>[5]</w:t>
      </w:r>
      <w:r>
        <w:rPr>
          <w:rFonts w:cs="Times New Roman"/>
          <w:szCs w:val="22"/>
        </w:rPr>
        <w:t>% or less; OR</w:t>
      </w:r>
    </w:p>
    <w:p w14:paraId="1D350E00" w14:textId="78827D2A" w:rsidR="00335DEC" w:rsidRPr="00DA2177" w:rsidRDefault="00335DEC" w:rsidP="00335DEC">
      <w:pPr>
        <w:pStyle w:val="00BodyText5"/>
        <w:ind w:left="1440"/>
        <w:rPr>
          <w:rFonts w:cs="Times New Roman"/>
          <w:szCs w:val="22"/>
        </w:rPr>
      </w:pPr>
      <w:r>
        <w:rPr>
          <w:rFonts w:cs="Times New Roman"/>
          <w:szCs w:val="22"/>
        </w:rPr>
        <w:t>(ii)</w:t>
      </w:r>
      <w:r>
        <w:rPr>
          <w:rFonts w:cs="Times New Roman"/>
          <w:szCs w:val="22"/>
        </w:rPr>
        <w:tab/>
        <w:t xml:space="preserve">the proposed </w:t>
      </w:r>
      <w:r w:rsidR="005C7E1E">
        <w:rPr>
          <w:rFonts w:cs="Times New Roman"/>
          <w:szCs w:val="22"/>
        </w:rPr>
        <w:t xml:space="preserve">Senior </w:t>
      </w:r>
      <w:r>
        <w:rPr>
          <w:rFonts w:cs="Times New Roman"/>
          <w:szCs w:val="22"/>
        </w:rPr>
        <w:t xml:space="preserve">LT Parity Bonds will constitute </w:t>
      </w:r>
      <w:r w:rsidR="005C7E1E">
        <w:rPr>
          <w:rFonts w:cs="Times New Roman"/>
          <w:szCs w:val="22"/>
        </w:rPr>
        <w:t xml:space="preserve">Senior </w:t>
      </w:r>
      <w:r>
        <w:rPr>
          <w:rFonts w:cs="Times New Roman"/>
          <w:szCs w:val="22"/>
        </w:rPr>
        <w:t xml:space="preserve">LT Refunding Parity Bonds and, upon issuance of such </w:t>
      </w:r>
      <w:r w:rsidR="005C7E1E">
        <w:rPr>
          <w:rFonts w:cs="Times New Roman"/>
          <w:szCs w:val="22"/>
        </w:rPr>
        <w:t xml:space="preserve">Senior </w:t>
      </w:r>
      <w:r>
        <w:rPr>
          <w:rFonts w:cs="Times New Roman"/>
          <w:szCs w:val="22"/>
        </w:rPr>
        <w:t xml:space="preserve">LT Refunding Parity Bonds, the total of the District’s scheduled debt service on such </w:t>
      </w:r>
      <w:r w:rsidR="005C7E1E">
        <w:rPr>
          <w:rFonts w:cs="Times New Roman"/>
          <w:szCs w:val="22"/>
        </w:rPr>
        <w:t xml:space="preserve">Senior </w:t>
      </w:r>
      <w:r>
        <w:rPr>
          <w:rFonts w:cs="Times New Roman"/>
          <w:szCs w:val="22"/>
        </w:rPr>
        <w:t xml:space="preserve">LT Refunding Parity Bonds, the </w:t>
      </w:r>
      <w:r w:rsidR="00787226">
        <w:rPr>
          <w:rFonts w:cs="Times New Roman"/>
          <w:szCs w:val="22"/>
        </w:rPr>
        <w:t>2026A-1 Senior LT Bond</w:t>
      </w:r>
      <w:r>
        <w:rPr>
          <w:rFonts w:cs="Times New Roman"/>
          <w:szCs w:val="22"/>
        </w:rPr>
        <w:t xml:space="preserve">s and any other </w:t>
      </w:r>
      <w:r w:rsidR="005C7E1E">
        <w:rPr>
          <w:rFonts w:cs="Times New Roman"/>
          <w:szCs w:val="22"/>
        </w:rPr>
        <w:t xml:space="preserve">Senior </w:t>
      </w:r>
      <w:r>
        <w:rPr>
          <w:rFonts w:cs="Times New Roman"/>
          <w:szCs w:val="22"/>
        </w:rPr>
        <w:t xml:space="preserve">LT Parity Bonds (to the extent to remain outstanding upon the issuance of such </w:t>
      </w:r>
      <w:r w:rsidR="005C7E1E">
        <w:rPr>
          <w:rFonts w:cs="Times New Roman"/>
          <w:szCs w:val="22"/>
        </w:rPr>
        <w:t xml:space="preserve">Senior </w:t>
      </w:r>
      <w:r>
        <w:rPr>
          <w:rFonts w:cs="Times New Roman"/>
          <w:szCs w:val="22"/>
        </w:rPr>
        <w:t xml:space="preserve">LT Refunding Parity Bonds) will not exceed in any year the total scheduled debt service on the </w:t>
      </w:r>
      <w:r w:rsidR="00787226">
        <w:rPr>
          <w:rFonts w:cs="Times New Roman"/>
          <w:szCs w:val="22"/>
        </w:rPr>
        <w:t>2026A-1 Senior LT Bond</w:t>
      </w:r>
      <w:r>
        <w:rPr>
          <w:rFonts w:cs="Times New Roman"/>
          <w:szCs w:val="22"/>
        </w:rPr>
        <w:t xml:space="preserve">s and </w:t>
      </w:r>
      <w:r w:rsidR="005C7E1E">
        <w:rPr>
          <w:rFonts w:cs="Times New Roman"/>
          <w:szCs w:val="22"/>
        </w:rPr>
        <w:t xml:space="preserve">Senior </w:t>
      </w:r>
      <w:r>
        <w:rPr>
          <w:rFonts w:cs="Times New Roman"/>
          <w:szCs w:val="22"/>
        </w:rPr>
        <w:t xml:space="preserve">LT Parity Bonds outstanding immediately prior to the issuance of such </w:t>
      </w:r>
      <w:r w:rsidR="005C7E1E">
        <w:rPr>
          <w:rFonts w:cs="Times New Roman"/>
          <w:szCs w:val="22"/>
        </w:rPr>
        <w:t xml:space="preserve">Senior </w:t>
      </w:r>
      <w:r>
        <w:rPr>
          <w:rFonts w:cs="Times New Roman"/>
          <w:szCs w:val="22"/>
        </w:rPr>
        <w:t xml:space="preserve">LT Refunding Parity Bonds (excluding from such calculation of debt service any amount on deposit in a reserve fund anticipated to be available for payment of debt service at final maturity, as reasonably determined by the Board in good faith, such determination to be binding and final). For purposes of the foregoing, the issuance of </w:t>
      </w:r>
      <w:r w:rsidR="005C7E1E">
        <w:rPr>
          <w:rFonts w:cs="Times New Roman"/>
          <w:szCs w:val="22"/>
        </w:rPr>
        <w:t xml:space="preserve">Senior </w:t>
      </w:r>
      <w:r>
        <w:rPr>
          <w:rFonts w:cs="Times New Roman"/>
          <w:szCs w:val="22"/>
        </w:rPr>
        <w:t xml:space="preserve">LT Refunding Parity Bonds that have a scheduled payment date in any year that is after the latest maturity date of the </w:t>
      </w:r>
      <w:r w:rsidR="00787226">
        <w:rPr>
          <w:rFonts w:cs="Times New Roman"/>
          <w:szCs w:val="22"/>
        </w:rPr>
        <w:t>2026A-1 Senior LT Bond</w:t>
      </w:r>
      <w:r>
        <w:rPr>
          <w:rFonts w:cs="Times New Roman"/>
          <w:szCs w:val="22"/>
        </w:rPr>
        <w:t xml:space="preserve">s or </w:t>
      </w:r>
      <w:r w:rsidR="005C7E1E">
        <w:rPr>
          <w:rFonts w:cs="Times New Roman"/>
          <w:szCs w:val="22"/>
        </w:rPr>
        <w:t xml:space="preserve">Senior </w:t>
      </w:r>
      <w:r>
        <w:rPr>
          <w:rFonts w:cs="Times New Roman"/>
          <w:szCs w:val="22"/>
        </w:rPr>
        <w:t xml:space="preserve">LT Parity Bonds outstanding immediately prior to the issuance of the </w:t>
      </w:r>
      <w:r w:rsidR="005C7E1E">
        <w:rPr>
          <w:rFonts w:cs="Times New Roman"/>
          <w:szCs w:val="22"/>
        </w:rPr>
        <w:t xml:space="preserve">Senior </w:t>
      </w:r>
      <w:r>
        <w:rPr>
          <w:rFonts w:cs="Times New Roman"/>
          <w:szCs w:val="22"/>
        </w:rPr>
        <w:t xml:space="preserve">LT Refunding Parity Bonds is to be deemed to increase the District’s </w:t>
      </w:r>
      <w:r w:rsidR="005C7E1E">
        <w:rPr>
          <w:rFonts w:cs="Times New Roman"/>
          <w:szCs w:val="22"/>
        </w:rPr>
        <w:t xml:space="preserve">Senior </w:t>
      </w:r>
      <w:r>
        <w:rPr>
          <w:rFonts w:cs="Times New Roman"/>
          <w:szCs w:val="22"/>
        </w:rPr>
        <w:t>LT Parity Bonds debt service and is not to be permitted by this clause (ii).</w:t>
      </w:r>
    </w:p>
    <w:p w14:paraId="67245C0B" w14:textId="4DFE5606" w:rsidR="002B67A6" w:rsidRPr="00DA2177" w:rsidRDefault="002B67A6" w:rsidP="00335DEC">
      <w:pPr>
        <w:pStyle w:val="00BodyText5"/>
        <w:rPr>
          <w:rFonts w:cs="Times New Roman"/>
          <w:szCs w:val="22"/>
        </w:rPr>
      </w:pPr>
      <w:r>
        <w:rPr>
          <w:rFonts w:cs="Times New Roman"/>
          <w:szCs w:val="22"/>
        </w:rPr>
        <w:t>The District may issue Additional LT Obligations constituting Subordinate LT Obligations without the consent of the Consent Parties and the terms of such Subordinate LT Obligations are to be as provided in the documents pursuant to which they are issued, provided that each of the following conditions is met as of the date of issuance of the Subordinate LT Obligations:</w:t>
      </w:r>
    </w:p>
    <w:p w14:paraId="17C460F2" w14:textId="41089FA1" w:rsidR="00335DEC" w:rsidRPr="00DA2177" w:rsidRDefault="00335DEC" w:rsidP="00335DEC">
      <w:pPr>
        <w:pStyle w:val="00BodyText5"/>
        <w:ind w:left="720"/>
        <w:rPr>
          <w:rFonts w:cs="Times New Roman"/>
          <w:szCs w:val="22"/>
        </w:rPr>
      </w:pPr>
      <w:r>
        <w:rPr>
          <w:rFonts w:cs="Times New Roman"/>
          <w:szCs w:val="22"/>
        </w:rPr>
        <w:t>(a)</w:t>
      </w:r>
      <w:r>
        <w:rPr>
          <w:rFonts w:cs="Times New Roman"/>
          <w:szCs w:val="22"/>
        </w:rPr>
        <w:tab/>
        <w:t xml:space="preserve">the aggregate rate per dollar of taxable value which the District promises to impose for payment of all Subordinate LT Obligations (including the Subordinate LT Obligations proposed to be issued), does not exceed </w:t>
      </w:r>
      <w:r w:rsidR="00DA3361">
        <w:rPr>
          <w:rFonts w:cs="Times New Roman"/>
          <w:szCs w:val="22"/>
        </w:rPr>
        <w:t>0.004</w:t>
      </w:r>
      <w:r>
        <w:rPr>
          <w:rFonts w:cs="Times New Roman"/>
          <w:szCs w:val="22"/>
        </w:rPr>
        <w:t xml:space="preserve"> per dollar of taxable value (as may be adjusted as described in the definition of </w:t>
      </w:r>
      <w:r w:rsidR="000F65D0">
        <w:rPr>
          <w:rFonts w:cs="Times New Roman"/>
          <w:szCs w:val="22"/>
        </w:rPr>
        <w:t xml:space="preserve">Senior </w:t>
      </w:r>
      <w:r>
        <w:rPr>
          <w:rFonts w:cs="Times New Roman"/>
          <w:szCs w:val="22"/>
        </w:rPr>
        <w:t xml:space="preserve">Required Mill Levy), less the </w:t>
      </w:r>
      <w:r w:rsidR="000F65D0">
        <w:rPr>
          <w:rFonts w:cs="Times New Roman"/>
          <w:szCs w:val="22"/>
        </w:rPr>
        <w:t xml:space="preserve">Senior </w:t>
      </w:r>
      <w:r>
        <w:rPr>
          <w:rFonts w:cs="Times New Roman"/>
          <w:szCs w:val="22"/>
        </w:rPr>
        <w:t xml:space="preserve">Required Mill Levy required to be imposed for the payment of any </w:t>
      </w:r>
      <w:r w:rsidR="005C7E1E">
        <w:rPr>
          <w:rFonts w:cs="Times New Roman"/>
          <w:szCs w:val="22"/>
        </w:rPr>
        <w:t xml:space="preserve">Senior </w:t>
      </w:r>
      <w:r>
        <w:rPr>
          <w:rFonts w:cs="Times New Roman"/>
          <w:szCs w:val="22"/>
        </w:rPr>
        <w:t>LT Parity Bonds;</w:t>
      </w:r>
    </w:p>
    <w:p w14:paraId="63C7EC71" w14:textId="1E758AE1" w:rsidR="00335DEC" w:rsidRPr="00DA2177" w:rsidRDefault="00335DEC" w:rsidP="00335DEC">
      <w:pPr>
        <w:pStyle w:val="00BodyText5"/>
        <w:ind w:left="720"/>
        <w:rPr>
          <w:rFonts w:cs="Times New Roman"/>
          <w:szCs w:val="22"/>
        </w:rPr>
      </w:pPr>
      <w:r>
        <w:rPr>
          <w:rFonts w:cs="Times New Roman"/>
          <w:szCs w:val="22"/>
        </w:rPr>
        <w:t>(b)</w:t>
      </w:r>
      <w:r>
        <w:rPr>
          <w:rFonts w:cs="Times New Roman"/>
          <w:szCs w:val="22"/>
        </w:rPr>
        <w:tab/>
        <w:t>the failure to make a payment when due on the Subordinate LT Obligations is not to constitute an Event of Default thereunder; and</w:t>
      </w:r>
    </w:p>
    <w:p w14:paraId="61F8C3BE" w14:textId="74CE431B" w:rsidR="00335DEC" w:rsidRPr="00DA2177" w:rsidRDefault="00335DEC" w:rsidP="00335DEC">
      <w:pPr>
        <w:pStyle w:val="00BodyText5"/>
        <w:ind w:left="720"/>
        <w:rPr>
          <w:rFonts w:cs="Times New Roman"/>
          <w:szCs w:val="22"/>
        </w:rPr>
      </w:pPr>
      <w:r>
        <w:rPr>
          <w:rFonts w:cs="Times New Roman"/>
          <w:szCs w:val="22"/>
        </w:rPr>
        <w:t>(c)</w:t>
      </w:r>
      <w:r>
        <w:rPr>
          <w:rFonts w:cs="Times New Roman"/>
          <w:szCs w:val="22"/>
        </w:rPr>
        <w:tab/>
        <w:t>the Subordinate LT Obligations are to be payable as to both principal and interest only on an annual basis, on or after March 15 of each calendar year.</w:t>
      </w:r>
    </w:p>
    <w:p w14:paraId="20D4F5E6" w14:textId="06FE436F" w:rsidR="002B67A6" w:rsidRPr="007219F1" w:rsidRDefault="00C36F36" w:rsidP="00335DEC">
      <w:pPr>
        <w:pStyle w:val="00BodyText5"/>
        <w:rPr>
          <w:rFonts w:cs="Times New Roman"/>
          <w:szCs w:val="22"/>
        </w:rPr>
      </w:pPr>
      <w:r>
        <w:rPr>
          <w:rFonts w:cs="Times New Roman"/>
          <w:szCs w:val="22"/>
        </w:rPr>
        <w:t xml:space="preserve">The District is permitted to issue or incur Additional LT Obligations secured solely by an Unencumbered Debt Service Mill Levy (including property tax revenues resulting from an Unencumbered Debt Service Mill Levy) without limitation. Any Additional LT Obligation secured by an Unencumbered Debt Service Mill Levy and other ad valorem property taxes of the District shall be issued as </w:t>
      </w:r>
      <w:r w:rsidR="005C7E1E">
        <w:rPr>
          <w:rFonts w:cs="Times New Roman"/>
          <w:szCs w:val="22"/>
        </w:rPr>
        <w:t xml:space="preserve">Senior </w:t>
      </w:r>
      <w:r>
        <w:rPr>
          <w:rFonts w:cs="Times New Roman"/>
          <w:szCs w:val="22"/>
        </w:rPr>
        <w:t xml:space="preserve">LT Parity Bonds or Subordinate LT Obligations, and shall satisfy the requirements of the paragraph above with respect to </w:t>
      </w:r>
      <w:r w:rsidR="005C7E1E">
        <w:rPr>
          <w:rFonts w:cs="Times New Roman"/>
          <w:szCs w:val="22"/>
        </w:rPr>
        <w:t xml:space="preserve">Senior </w:t>
      </w:r>
      <w:r>
        <w:rPr>
          <w:rFonts w:cs="Times New Roman"/>
          <w:szCs w:val="22"/>
        </w:rPr>
        <w:t xml:space="preserve">LT Parity Bonds, or the paragraph above with respect to Subordinate LT Obligations, as applicable, unless such issuance is consented to by the Consent Parties with respect to a majority in aggregate principal amount of the </w:t>
      </w:r>
      <w:r w:rsidR="00787226">
        <w:rPr>
          <w:rFonts w:cs="Times New Roman"/>
          <w:szCs w:val="22"/>
        </w:rPr>
        <w:t>2026A-1 Senior LT Bond</w:t>
      </w:r>
      <w:r>
        <w:rPr>
          <w:rFonts w:cs="Times New Roman"/>
          <w:szCs w:val="22"/>
        </w:rPr>
        <w:t xml:space="preserve">s then Outstanding (which consent shall be required if such Additional LT Obligations are to be issued as </w:t>
      </w:r>
      <w:r w:rsidR="005C7E1E">
        <w:rPr>
          <w:rFonts w:cs="Times New Roman"/>
          <w:szCs w:val="22"/>
        </w:rPr>
        <w:t xml:space="preserve">Senior </w:t>
      </w:r>
      <w:r>
        <w:rPr>
          <w:rFonts w:cs="Times New Roman"/>
          <w:szCs w:val="22"/>
        </w:rPr>
        <w:t>LT Parity Bonds); provided, however, that any provisions of the above paragraphs purporting to limit the number of mills pledged to the payment of such Additional LT Obligations shall not apply to an Unencumbered Debt Service Mill Levy.</w:t>
      </w:r>
    </w:p>
    <w:p w14:paraId="6CFED12B" w14:textId="1902995C" w:rsidR="001C1045" w:rsidRDefault="001C1045" w:rsidP="00335DEC">
      <w:pPr>
        <w:pStyle w:val="00BodyText5"/>
        <w:rPr>
          <w:rFonts w:cs="Times New Roman"/>
          <w:szCs w:val="22"/>
        </w:rPr>
      </w:pPr>
      <w:r>
        <w:rPr>
          <w:rFonts w:cs="Times New Roman"/>
          <w:szCs w:val="22"/>
        </w:rPr>
        <w:t xml:space="preserve">The issuance of the 2026A-2 SR Bonds in accordance with the SR Indenture is permitted. The District may refund the 2026A-2 SR Bonds with the same security (i.e. Contract Fees) without compliance with any of the other terms and conditions of the </w:t>
      </w:r>
      <w:r w:rsidR="000F65D0">
        <w:rPr>
          <w:rFonts w:cs="Times New Roman"/>
          <w:szCs w:val="22"/>
        </w:rPr>
        <w:t xml:space="preserve">Senior </w:t>
      </w:r>
      <w:r>
        <w:rPr>
          <w:rFonts w:cs="Times New Roman"/>
          <w:szCs w:val="22"/>
        </w:rPr>
        <w:t xml:space="preserve">LT Indenture. </w:t>
      </w:r>
    </w:p>
    <w:p w14:paraId="465C6000" w14:textId="74EBF82B" w:rsidR="00B64C22" w:rsidRPr="00B64C22" w:rsidRDefault="00B64C22" w:rsidP="00B64C22">
      <w:pPr>
        <w:pStyle w:val="00BodyText5"/>
        <w:rPr>
          <w:rFonts w:cs="Times New Roman"/>
          <w:szCs w:val="22"/>
        </w:rPr>
      </w:pPr>
      <w:r w:rsidRPr="00B64C22">
        <w:rPr>
          <w:rFonts w:cs="Times New Roman"/>
          <w:szCs w:val="22"/>
        </w:rPr>
        <w:t xml:space="preserve">The District expects to issue the 2026B Subordinate LT Bonds on the date of issuance of the 2026A-1 Senior LT Bonds, which will constitute Subordinate LT </w:t>
      </w:r>
      <w:r>
        <w:rPr>
          <w:rFonts w:cs="Times New Roman"/>
          <w:szCs w:val="22"/>
        </w:rPr>
        <w:t>Obligations</w:t>
      </w:r>
      <w:r w:rsidRPr="00B64C22">
        <w:rPr>
          <w:rFonts w:cs="Times New Roman"/>
          <w:szCs w:val="22"/>
        </w:rPr>
        <w:t>.</w:t>
      </w:r>
    </w:p>
    <w:p w14:paraId="500AFC21" w14:textId="6B8B8A35" w:rsidR="002B67A6" w:rsidRPr="00DA2177" w:rsidRDefault="002B67A6" w:rsidP="00335DEC">
      <w:pPr>
        <w:pStyle w:val="00BodyText5"/>
        <w:rPr>
          <w:rFonts w:cs="Times New Roman"/>
          <w:szCs w:val="22"/>
        </w:rPr>
      </w:pPr>
      <w:r>
        <w:rPr>
          <w:rFonts w:cs="Times New Roman"/>
          <w:szCs w:val="22"/>
        </w:rPr>
        <w:t xml:space="preserve">A written certificate by the Chair or Treasurer of the District that the conditions set forth in the </w:t>
      </w:r>
      <w:r w:rsidR="000F65D0">
        <w:rPr>
          <w:rFonts w:cs="Times New Roman"/>
          <w:szCs w:val="22"/>
        </w:rPr>
        <w:t xml:space="preserve">Senior </w:t>
      </w:r>
      <w:r>
        <w:rPr>
          <w:rFonts w:cs="Times New Roman"/>
          <w:szCs w:val="22"/>
        </w:rPr>
        <w:t xml:space="preserve">LT Indenture are met is to conclusively determine the right of the District to authorize, issue, sell, and deliver Additional LT Obligations in accordance with the </w:t>
      </w:r>
      <w:r w:rsidR="000F65D0">
        <w:rPr>
          <w:rFonts w:cs="Times New Roman"/>
          <w:szCs w:val="22"/>
        </w:rPr>
        <w:t xml:space="preserve">Senior </w:t>
      </w:r>
      <w:r>
        <w:rPr>
          <w:rFonts w:cs="Times New Roman"/>
          <w:szCs w:val="22"/>
        </w:rPr>
        <w:t>LT Indenture.</w:t>
      </w:r>
    </w:p>
    <w:p w14:paraId="56FF5369" w14:textId="2DD84495" w:rsidR="002B67A6" w:rsidRPr="00DA2177" w:rsidRDefault="002B67A6" w:rsidP="00335DEC">
      <w:pPr>
        <w:pStyle w:val="00BodyText5"/>
        <w:rPr>
          <w:rFonts w:cs="Times New Roman"/>
          <w:szCs w:val="22"/>
        </w:rPr>
      </w:pPr>
      <w:r>
        <w:rPr>
          <w:rFonts w:cs="Times New Roman"/>
          <w:szCs w:val="22"/>
        </w:rPr>
        <w:t xml:space="preserve">Nothing in the </w:t>
      </w:r>
      <w:r w:rsidR="000F65D0">
        <w:rPr>
          <w:rFonts w:cs="Times New Roman"/>
          <w:szCs w:val="22"/>
        </w:rPr>
        <w:t xml:space="preserve">Senior </w:t>
      </w:r>
      <w:r>
        <w:rPr>
          <w:rFonts w:cs="Times New Roman"/>
          <w:szCs w:val="22"/>
        </w:rPr>
        <w:t xml:space="preserve">LT Indenture is to affect or restrict the right of the District to issue or incur obligations that are not Additional LT Obligations under the </w:t>
      </w:r>
      <w:r w:rsidR="000F65D0">
        <w:rPr>
          <w:rFonts w:cs="Times New Roman"/>
          <w:szCs w:val="22"/>
        </w:rPr>
        <w:t xml:space="preserve">Senior </w:t>
      </w:r>
      <w:r>
        <w:rPr>
          <w:rFonts w:cs="Times New Roman"/>
          <w:szCs w:val="22"/>
        </w:rPr>
        <w:t>LT Indenture.</w:t>
      </w:r>
    </w:p>
    <w:p w14:paraId="63260FE9" w14:textId="5CCBC92A" w:rsidR="002B67A6" w:rsidRPr="00DA2177" w:rsidRDefault="001C1320" w:rsidP="001C1320">
      <w:pPr>
        <w:pStyle w:val="00BodyText5"/>
        <w:rPr>
          <w:rFonts w:cs="Times New Roman"/>
          <w:szCs w:val="22"/>
        </w:rPr>
      </w:pPr>
      <w:r>
        <w:rPr>
          <w:rFonts w:cs="Times New Roman"/>
          <w:szCs w:val="22"/>
        </w:rPr>
        <w:t xml:space="preserve">Notwithstanding any other provision contained in the </w:t>
      </w:r>
      <w:r w:rsidR="000F65D0">
        <w:rPr>
          <w:rFonts w:cs="Times New Roman"/>
          <w:szCs w:val="22"/>
        </w:rPr>
        <w:t xml:space="preserve">Senior </w:t>
      </w:r>
      <w:r>
        <w:rPr>
          <w:rFonts w:cs="Times New Roman"/>
          <w:szCs w:val="22"/>
        </w:rPr>
        <w:t>LT Indenture, under no circumstances is the District to issue Additional LT Obligations in excess of the amount authorized by the Bond Consent, any future consent or election by property owners or eligible electors of the District and the District’s Governing Document, as the same may be amended from time to time.</w:t>
      </w:r>
    </w:p>
    <w:p w14:paraId="334215E4" w14:textId="0A6EB255" w:rsidR="00F625FC" w:rsidRPr="00021DF5" w:rsidRDefault="002B67A6" w:rsidP="00F625FC">
      <w:pPr>
        <w:pStyle w:val="00BodyText5"/>
        <w:rPr>
          <w:rFonts w:cs="Times New Roman"/>
          <w:szCs w:val="22"/>
        </w:rPr>
      </w:pPr>
      <w:r>
        <w:rPr>
          <w:rFonts w:cs="Times New Roman"/>
          <w:b/>
          <w:i/>
          <w:szCs w:val="22"/>
        </w:rPr>
        <w:t>Events of Default</w:t>
      </w:r>
      <w:r>
        <w:rPr>
          <w:rFonts w:cs="Times New Roman"/>
          <w:szCs w:val="22"/>
        </w:rPr>
        <w:t xml:space="preserve">. The </w:t>
      </w:r>
      <w:r w:rsidR="000F65D0">
        <w:rPr>
          <w:rFonts w:cs="Times New Roman"/>
          <w:szCs w:val="22"/>
        </w:rPr>
        <w:t xml:space="preserve">Senior </w:t>
      </w:r>
      <w:r>
        <w:rPr>
          <w:rFonts w:cs="Times New Roman"/>
          <w:szCs w:val="22"/>
        </w:rPr>
        <w:t xml:space="preserve">LT Indenture provides that the occurrence of any one or more of the following events or the existence of any one or more of the following conditions will constitute an Event of Default under the </w:t>
      </w:r>
      <w:r w:rsidR="000F65D0">
        <w:rPr>
          <w:rFonts w:cs="Times New Roman"/>
          <w:szCs w:val="22"/>
        </w:rPr>
        <w:t xml:space="preserve">Senior </w:t>
      </w:r>
      <w:r>
        <w:rPr>
          <w:rFonts w:cs="Times New Roman"/>
          <w:szCs w:val="22"/>
        </w:rPr>
        <w:t xml:space="preserve">LT Indenture (whatever the reason for such event or condition and whether it is to be voluntary or involuntary or be effected by operation of law or pursuant to any judgment, decree, rule, regulation, or order of any court or any administrative or governmental body), and there will be no default or Event of Default under the </w:t>
      </w:r>
      <w:r w:rsidR="000F65D0">
        <w:rPr>
          <w:rFonts w:cs="Times New Roman"/>
          <w:szCs w:val="22"/>
        </w:rPr>
        <w:t xml:space="preserve">Senior </w:t>
      </w:r>
      <w:r>
        <w:rPr>
          <w:rFonts w:cs="Times New Roman"/>
          <w:szCs w:val="22"/>
        </w:rPr>
        <w:t>LT Indenture except as described below:</w:t>
      </w:r>
    </w:p>
    <w:p w14:paraId="094EA1D9" w14:textId="2D7BF7A0" w:rsidR="00F625FC" w:rsidRPr="00021DF5" w:rsidRDefault="00F625FC" w:rsidP="00B471D8">
      <w:pPr>
        <w:pStyle w:val="00BodyText5"/>
        <w:numPr>
          <w:ilvl w:val="2"/>
          <w:numId w:val="7"/>
        </w:numPr>
        <w:rPr>
          <w:rFonts w:cs="Times New Roman"/>
          <w:szCs w:val="22"/>
        </w:rPr>
      </w:pPr>
      <w:r>
        <w:rPr>
          <w:rFonts w:cs="Times New Roman"/>
          <w:szCs w:val="22"/>
        </w:rPr>
        <w:t xml:space="preserve">The District fails or refuses to impose the </w:t>
      </w:r>
      <w:r w:rsidR="000F65D0">
        <w:rPr>
          <w:rFonts w:cs="Times New Roman"/>
          <w:szCs w:val="22"/>
        </w:rPr>
        <w:t xml:space="preserve">Senior </w:t>
      </w:r>
      <w:r>
        <w:rPr>
          <w:rFonts w:cs="Times New Roman"/>
          <w:szCs w:val="22"/>
        </w:rPr>
        <w:t xml:space="preserve">Required Mill Levy or to apply the </w:t>
      </w:r>
      <w:r w:rsidR="000F65D0">
        <w:rPr>
          <w:rFonts w:cs="Times New Roman"/>
          <w:szCs w:val="22"/>
        </w:rPr>
        <w:t xml:space="preserve">Senior </w:t>
      </w:r>
      <w:r>
        <w:rPr>
          <w:rFonts w:cs="Times New Roman"/>
          <w:szCs w:val="22"/>
        </w:rPr>
        <w:t xml:space="preserve">LT Pledged Revenue as required by the </w:t>
      </w:r>
      <w:r w:rsidR="000F65D0">
        <w:rPr>
          <w:rFonts w:cs="Times New Roman"/>
          <w:szCs w:val="22"/>
        </w:rPr>
        <w:t xml:space="preserve">Senior </w:t>
      </w:r>
      <w:r>
        <w:rPr>
          <w:rFonts w:cs="Times New Roman"/>
          <w:szCs w:val="22"/>
        </w:rPr>
        <w:t>LT Indenture;</w:t>
      </w:r>
    </w:p>
    <w:p w14:paraId="28A3C964" w14:textId="45592657" w:rsidR="00F625FC" w:rsidRPr="00021DF5" w:rsidRDefault="00F625FC" w:rsidP="00B471D8">
      <w:pPr>
        <w:pStyle w:val="00BodyText5"/>
        <w:numPr>
          <w:ilvl w:val="2"/>
          <w:numId w:val="7"/>
        </w:numPr>
        <w:rPr>
          <w:rFonts w:cs="Times New Roman"/>
          <w:szCs w:val="22"/>
        </w:rPr>
      </w:pPr>
      <w:r>
        <w:rPr>
          <w:rFonts w:cs="Times New Roman"/>
          <w:szCs w:val="22"/>
        </w:rPr>
        <w:t xml:space="preserve">The District defaults in the performance or observance of any other of the covenants, agreements, or conditions on the part of the District in the </w:t>
      </w:r>
      <w:r w:rsidR="000F65D0">
        <w:rPr>
          <w:rFonts w:cs="Times New Roman"/>
          <w:szCs w:val="22"/>
        </w:rPr>
        <w:t xml:space="preserve">Senior </w:t>
      </w:r>
      <w:r>
        <w:rPr>
          <w:rFonts w:cs="Times New Roman"/>
          <w:szCs w:val="22"/>
        </w:rPr>
        <w:t xml:space="preserve">LT Indenture or the Bond Resolution and fails to remedy the same after notice thereof pursuant to the </w:t>
      </w:r>
      <w:r w:rsidR="000F65D0">
        <w:rPr>
          <w:rFonts w:cs="Times New Roman"/>
          <w:szCs w:val="22"/>
        </w:rPr>
        <w:t xml:space="preserve">Senior </w:t>
      </w:r>
      <w:r>
        <w:rPr>
          <w:rFonts w:cs="Times New Roman"/>
          <w:szCs w:val="22"/>
        </w:rPr>
        <w:t>LT Indenture; or</w:t>
      </w:r>
    </w:p>
    <w:p w14:paraId="2E71C6B7" w14:textId="1BE98EAA" w:rsidR="00F625FC" w:rsidRPr="00021DF5" w:rsidRDefault="00F625FC" w:rsidP="00B471D8">
      <w:pPr>
        <w:pStyle w:val="00BodyText5"/>
        <w:numPr>
          <w:ilvl w:val="2"/>
          <w:numId w:val="7"/>
        </w:numPr>
        <w:rPr>
          <w:rFonts w:cs="Times New Roman"/>
          <w:szCs w:val="22"/>
        </w:rPr>
      </w:pPr>
      <w:r>
        <w:rPr>
          <w:rFonts w:cs="Times New Roman"/>
          <w:szCs w:val="22"/>
        </w:rPr>
        <w:t xml:space="preserve">The District files a petition under the federal bankruptcy laws or other applicable bankruptcy laws seeking to adjust the obligation represented by the </w:t>
      </w:r>
      <w:r w:rsidR="00787226">
        <w:rPr>
          <w:rFonts w:cs="Times New Roman"/>
          <w:szCs w:val="22"/>
        </w:rPr>
        <w:t>2026A-1 Senior LT Bond</w:t>
      </w:r>
      <w:r>
        <w:rPr>
          <w:rFonts w:cs="Times New Roman"/>
          <w:szCs w:val="22"/>
        </w:rPr>
        <w:t xml:space="preserve">s. </w:t>
      </w:r>
    </w:p>
    <w:p w14:paraId="32967B4A" w14:textId="4D0009AA" w:rsidR="00662BA6" w:rsidRPr="00AE18A1" w:rsidRDefault="00B839B6" w:rsidP="00662BA6">
      <w:pPr>
        <w:spacing w:after="240"/>
        <w:ind w:firstLine="720"/>
        <w:jc w:val="both"/>
        <w:rPr>
          <w:rFonts w:cs="Times New Roman"/>
          <w:sz w:val="22"/>
          <w:szCs w:val="22"/>
        </w:rPr>
      </w:pPr>
      <w:r>
        <w:rPr>
          <w:sz w:val="22"/>
          <w:szCs w:val="22"/>
        </w:rPr>
        <w:t xml:space="preserve">WITHOUT LIMITING THE FOREGOING, AND NOTWITHSTANDING ANY OTHER PROVISION CONTAINED IN THE </w:t>
      </w:r>
      <w:r w:rsidR="00B64C22">
        <w:rPr>
          <w:sz w:val="22"/>
          <w:szCs w:val="22"/>
        </w:rPr>
        <w:t xml:space="preserve">SENIOR </w:t>
      </w:r>
      <w:r>
        <w:rPr>
          <w:sz w:val="22"/>
          <w:szCs w:val="22"/>
        </w:rPr>
        <w:t xml:space="preserve">LT INDENTURE, THE DISTRICT ACKNOWLEDGES AND AGREES IN THE </w:t>
      </w:r>
      <w:r w:rsidR="00B64C22">
        <w:rPr>
          <w:sz w:val="22"/>
          <w:szCs w:val="22"/>
        </w:rPr>
        <w:t xml:space="preserve">SENIOR </w:t>
      </w:r>
      <w:r>
        <w:rPr>
          <w:sz w:val="22"/>
          <w:szCs w:val="22"/>
        </w:rPr>
        <w:t xml:space="preserve">LT INDENTURE THAT THE APPLICATION OF ANY PORTION OF THE </w:t>
      </w:r>
      <w:r w:rsidR="00B64C22">
        <w:rPr>
          <w:sz w:val="22"/>
          <w:szCs w:val="22"/>
        </w:rPr>
        <w:t xml:space="preserve">SENIOR </w:t>
      </w:r>
      <w:r>
        <w:rPr>
          <w:sz w:val="22"/>
          <w:szCs w:val="22"/>
        </w:rPr>
        <w:t>LT PLEDGED REVENUE TO ANY PURPOSE OTHER THAN DEPOSIT WITH THE TRUSTEE IN ACCORDANCE WITH THE PROVISIONS OF THE</w:t>
      </w:r>
      <w:r w:rsidR="00B64C22">
        <w:rPr>
          <w:sz w:val="22"/>
          <w:szCs w:val="22"/>
        </w:rPr>
        <w:t xml:space="preserve"> SENIOR</w:t>
      </w:r>
      <w:r>
        <w:rPr>
          <w:sz w:val="22"/>
          <w:szCs w:val="22"/>
        </w:rPr>
        <w:t xml:space="preserve"> LT INDENTURE CONSTITUTES A VIOLATION OF THE TERMS OF THE </w:t>
      </w:r>
      <w:r w:rsidR="00B64C22">
        <w:rPr>
          <w:sz w:val="22"/>
          <w:szCs w:val="22"/>
        </w:rPr>
        <w:t xml:space="preserve">SENIOR </w:t>
      </w:r>
      <w:r>
        <w:rPr>
          <w:sz w:val="22"/>
          <w:szCs w:val="22"/>
        </w:rPr>
        <w:t xml:space="preserve">LT INDENTURE AND A BREACH OF THE COVENANTS MADE THEREUNDER FOR THE BENEFIT OF THE OWNERS OF THE 2026A-1 SENIOR LT BONDS, WHICH SHALL ENTITLE THE TRUSTEE TO PURSUE, ON BEHALF OF THE OWNERS OF THE 2026A-1 SENIOR LT BONDS, ALL AVAILABLE ACTIONS AGAINST THE DISTRICT IN LAW OR IN EQUITY, AS MORE PARTICULARLY PROVIDED IN THE </w:t>
      </w:r>
      <w:r w:rsidR="00B64C22">
        <w:rPr>
          <w:sz w:val="22"/>
          <w:szCs w:val="22"/>
        </w:rPr>
        <w:t xml:space="preserve">SENIOR </w:t>
      </w:r>
      <w:r>
        <w:rPr>
          <w:sz w:val="22"/>
          <w:szCs w:val="22"/>
        </w:rPr>
        <w:t xml:space="preserve">LT INDENTURE. THE DISTRICT FURTHER ACKNOWLEDGES AND AGREES IN THE </w:t>
      </w:r>
      <w:r w:rsidR="00B64C22">
        <w:rPr>
          <w:sz w:val="22"/>
          <w:szCs w:val="22"/>
        </w:rPr>
        <w:t xml:space="preserve">SENIOR </w:t>
      </w:r>
      <w:r>
        <w:rPr>
          <w:sz w:val="22"/>
          <w:szCs w:val="22"/>
        </w:rPr>
        <w:t xml:space="preserve">LT INDENTURE THAT THE APPLICATION OF </w:t>
      </w:r>
      <w:r w:rsidR="00B64C22">
        <w:rPr>
          <w:sz w:val="22"/>
          <w:szCs w:val="22"/>
        </w:rPr>
        <w:t xml:space="preserve">SENIOR LT </w:t>
      </w:r>
      <w:r>
        <w:rPr>
          <w:sz w:val="22"/>
          <w:szCs w:val="22"/>
        </w:rPr>
        <w:t xml:space="preserve">PLEDGED REVENUE IN VIOLATION OF THE COVENANTS THEREOF WILL RESULT IN IRREPARABLE HARM TO THE OWNERS OF THE 2026A-1 SENIOR LT BONDS. IN NO EVENT SHALL ANY PROVISION OF THE </w:t>
      </w:r>
      <w:r w:rsidR="00B64C22">
        <w:rPr>
          <w:sz w:val="22"/>
          <w:szCs w:val="22"/>
        </w:rPr>
        <w:t xml:space="preserve">SENIOR </w:t>
      </w:r>
      <w:r>
        <w:rPr>
          <w:sz w:val="22"/>
          <w:szCs w:val="22"/>
        </w:rPr>
        <w:t xml:space="preserve">LT INDENTURE BE INTERPRETED TO PERMIT THE DISTRICT TO RETAIN ANY PORTION OF THE </w:t>
      </w:r>
      <w:r w:rsidR="00B64C22">
        <w:rPr>
          <w:sz w:val="22"/>
          <w:szCs w:val="22"/>
        </w:rPr>
        <w:t xml:space="preserve">SENIOR </w:t>
      </w:r>
      <w:r>
        <w:rPr>
          <w:sz w:val="22"/>
          <w:szCs w:val="22"/>
        </w:rPr>
        <w:t>LT PLEDGED REVENUE.</w:t>
      </w:r>
    </w:p>
    <w:p w14:paraId="3DEB73DD" w14:textId="77B2B3EF" w:rsidR="00C833AA" w:rsidRPr="00AE18A1" w:rsidRDefault="00AF269C" w:rsidP="00F625FC">
      <w:pPr>
        <w:pStyle w:val="00BodyText5"/>
        <w:rPr>
          <w:rFonts w:cs="Times New Roman"/>
          <w:szCs w:val="22"/>
        </w:rPr>
      </w:pPr>
      <w:r>
        <w:rPr>
          <w:rFonts w:cs="Times New Roman"/>
          <w:szCs w:val="22"/>
        </w:rPr>
        <w:t xml:space="preserve">The </w:t>
      </w:r>
      <w:r w:rsidR="000F65D0">
        <w:rPr>
          <w:rFonts w:cs="Times New Roman"/>
          <w:szCs w:val="22"/>
        </w:rPr>
        <w:t xml:space="preserve">Senior </w:t>
      </w:r>
      <w:r>
        <w:rPr>
          <w:rFonts w:cs="Times New Roman"/>
          <w:szCs w:val="22"/>
        </w:rPr>
        <w:t xml:space="preserve">LT Indenture states that it is acknowledged that due to the limited nature of the </w:t>
      </w:r>
      <w:r w:rsidR="000F65D0">
        <w:rPr>
          <w:rFonts w:cs="Times New Roman"/>
          <w:szCs w:val="22"/>
        </w:rPr>
        <w:t xml:space="preserve">Senior </w:t>
      </w:r>
      <w:r>
        <w:rPr>
          <w:rFonts w:cs="Times New Roman"/>
          <w:szCs w:val="22"/>
        </w:rPr>
        <w:t xml:space="preserve">LT Pledged Revenue, the failure to pay the principal of or interest on the </w:t>
      </w:r>
      <w:r w:rsidR="00787226">
        <w:rPr>
          <w:rFonts w:cs="Times New Roman"/>
          <w:szCs w:val="22"/>
        </w:rPr>
        <w:t>2026A-1 Senior LT Bond</w:t>
      </w:r>
      <w:r>
        <w:rPr>
          <w:rFonts w:cs="Times New Roman"/>
          <w:szCs w:val="22"/>
        </w:rPr>
        <w:t>s when due is not, of itself, constitute an Event of Default thereunder.</w:t>
      </w:r>
    </w:p>
    <w:p w14:paraId="2D2299C8" w14:textId="006D4AF6" w:rsidR="00F16647" w:rsidRPr="00AE18A1" w:rsidRDefault="00C97A71" w:rsidP="00F16647">
      <w:pPr>
        <w:spacing w:after="240"/>
        <w:ind w:firstLine="720"/>
        <w:jc w:val="both"/>
        <w:rPr>
          <w:sz w:val="22"/>
          <w:szCs w:val="22"/>
        </w:rPr>
      </w:pPr>
      <w:r>
        <w:rPr>
          <w:sz w:val="22"/>
          <w:szCs w:val="22"/>
        </w:rPr>
        <w:t xml:space="preserve">IN ADDITION, IT IS ACKNOWLEDGED IN THE </w:t>
      </w:r>
      <w:r w:rsidR="007D50B1">
        <w:rPr>
          <w:sz w:val="22"/>
          <w:szCs w:val="22"/>
        </w:rPr>
        <w:t xml:space="preserve">SENIOR </w:t>
      </w:r>
      <w:r>
        <w:rPr>
          <w:sz w:val="22"/>
          <w:szCs w:val="22"/>
        </w:rPr>
        <w:t xml:space="preserve">LT INDENTURE THAT, IN ACCORDANCE WITH THE GOVERNING DOCUMENT, THE DISTRICT WILL NOT BE PERMITTED TO IMPOSE THE </w:t>
      </w:r>
      <w:r w:rsidR="007D50B1">
        <w:rPr>
          <w:sz w:val="22"/>
          <w:szCs w:val="22"/>
        </w:rPr>
        <w:t xml:space="preserve">SENIOR </w:t>
      </w:r>
      <w:r>
        <w:rPr>
          <w:sz w:val="22"/>
          <w:szCs w:val="22"/>
        </w:rPr>
        <w:t xml:space="preserve">REQUIRED MILL LEVY PURSUANT TO THE TERMS OF THE </w:t>
      </w:r>
      <w:r w:rsidR="007D50B1">
        <w:rPr>
          <w:sz w:val="22"/>
          <w:szCs w:val="22"/>
        </w:rPr>
        <w:t xml:space="preserve">SENIOR </w:t>
      </w:r>
      <w:r>
        <w:rPr>
          <w:sz w:val="22"/>
          <w:szCs w:val="22"/>
        </w:rPr>
        <w:t xml:space="preserve">LT INDENTURE FOR PAYMENT OF THE </w:t>
      </w:r>
      <w:r w:rsidR="0031301D">
        <w:rPr>
          <w:sz w:val="22"/>
          <w:szCs w:val="22"/>
        </w:rPr>
        <w:t xml:space="preserve">2026A-1 SENIOR LT BONDS AFTER </w:t>
      </w:r>
      <w:r>
        <w:rPr>
          <w:sz w:val="22"/>
          <w:szCs w:val="22"/>
        </w:rPr>
        <w:t>TAX YEAR 206</w:t>
      </w:r>
      <w:r w:rsidR="00381A2D">
        <w:rPr>
          <w:sz w:val="22"/>
          <w:szCs w:val="22"/>
        </w:rPr>
        <w:t>6</w:t>
      </w:r>
      <w:r>
        <w:rPr>
          <w:sz w:val="22"/>
          <w:szCs w:val="22"/>
        </w:rPr>
        <w:t xml:space="preserve"> FOR PAYMENT ON MARCH 1, 206</w:t>
      </w:r>
      <w:r w:rsidR="00381A2D">
        <w:rPr>
          <w:sz w:val="22"/>
          <w:szCs w:val="22"/>
        </w:rPr>
        <w:t>7</w:t>
      </w:r>
      <w:r>
        <w:rPr>
          <w:sz w:val="22"/>
          <w:szCs w:val="22"/>
        </w:rPr>
        <w:t xml:space="preserve">. </w:t>
      </w:r>
    </w:p>
    <w:p w14:paraId="10DB70A2" w14:textId="72DA5D30" w:rsidR="001D036D" w:rsidRPr="00DA2177" w:rsidRDefault="001D036D" w:rsidP="00335DEC">
      <w:pPr>
        <w:pStyle w:val="00BodyText5"/>
        <w:rPr>
          <w:rFonts w:cs="Times New Roman"/>
          <w:szCs w:val="22"/>
        </w:rPr>
      </w:pPr>
      <w:r>
        <w:rPr>
          <w:rFonts w:cs="Times New Roman"/>
          <w:szCs w:val="22"/>
        </w:rPr>
        <w:t xml:space="preserve">The Trustee is to give to the Owners of all </w:t>
      </w:r>
      <w:r w:rsidR="00787226">
        <w:rPr>
          <w:rFonts w:cs="Times New Roman"/>
          <w:szCs w:val="22"/>
        </w:rPr>
        <w:t>2026A-1 Senior LT Bond</w:t>
      </w:r>
      <w:r>
        <w:rPr>
          <w:rFonts w:cs="Times New Roman"/>
          <w:szCs w:val="22"/>
        </w:rPr>
        <w:t xml:space="preserve">s notice by mailing to the address shown on the registration books maintained by the Trustee or by electronic means to DTC or its successors, of all Events of Default of which the Trustee is by the </w:t>
      </w:r>
      <w:r w:rsidR="000F65D0">
        <w:rPr>
          <w:rFonts w:cs="Times New Roman"/>
          <w:szCs w:val="22"/>
        </w:rPr>
        <w:t xml:space="preserve">Senior </w:t>
      </w:r>
      <w:r>
        <w:rPr>
          <w:rFonts w:cs="Times New Roman"/>
          <w:szCs w:val="22"/>
        </w:rPr>
        <w:t xml:space="preserve">LT Indenture required to take notice, or if notice of an Event of Default is given as provided in the </w:t>
      </w:r>
      <w:r w:rsidR="000F65D0">
        <w:rPr>
          <w:rFonts w:cs="Times New Roman"/>
          <w:szCs w:val="22"/>
        </w:rPr>
        <w:t xml:space="preserve">Senior </w:t>
      </w:r>
      <w:r>
        <w:rPr>
          <w:rFonts w:cs="Times New Roman"/>
          <w:szCs w:val="22"/>
        </w:rPr>
        <w:t>LT Indenture, within 90 days after the Trustee has knowledge of the occurrence of such default or Event of Default unless such default or Event of Default is to have been cured before the giving of such notice; provided that, the Trustee is to be protected in withholding such notice if and so long as a committee of its corporate trust department in good faith determines that the withholding of such notice is not detrimental to the interests of the Owners.</w:t>
      </w:r>
    </w:p>
    <w:p w14:paraId="21336D36" w14:textId="2B2BA550" w:rsidR="001D036D" w:rsidRPr="00DA2177" w:rsidRDefault="001D036D" w:rsidP="00335DEC">
      <w:pPr>
        <w:pStyle w:val="00BodyText5"/>
        <w:rPr>
          <w:rFonts w:cs="Times New Roman"/>
          <w:szCs w:val="22"/>
        </w:rPr>
      </w:pPr>
      <w:r>
        <w:rPr>
          <w:rFonts w:cs="Times New Roman"/>
          <w:szCs w:val="22"/>
        </w:rPr>
        <w:t xml:space="preserve">No default described under paragraph (b) above is to constitute an Event of Default until actual notice of such default by registered or certified mail is given by the Trustee or by the Owners of not less than 25% in aggregate principal amount of all </w:t>
      </w:r>
      <w:r w:rsidR="00787226">
        <w:rPr>
          <w:rFonts w:cs="Times New Roman"/>
          <w:szCs w:val="22"/>
        </w:rPr>
        <w:t>2026A-1 Senior LT Bond</w:t>
      </w:r>
      <w:r>
        <w:rPr>
          <w:rFonts w:cs="Times New Roman"/>
          <w:szCs w:val="22"/>
        </w:rPr>
        <w:t>s Outstanding to the District, and the District has had 30 days after receipt of such notice to correct said default or cause said default to be corrected, and is not to have corrected said default or caused said default to be corrected within the applicable period; provided however, if said default be such that it cannot be corrected within the applicable period, it is not to constitute an Event of Default if corrective action is instituted within the applicable period and diligently pursued thereafter until the default is corrected.</w:t>
      </w:r>
    </w:p>
    <w:p w14:paraId="21CD792D" w14:textId="3F7297E9" w:rsidR="00AF269C" w:rsidRPr="00DA2177" w:rsidRDefault="00AF269C" w:rsidP="00335DEC">
      <w:pPr>
        <w:pStyle w:val="00BodyText5"/>
        <w:rPr>
          <w:rFonts w:cs="Times New Roman"/>
          <w:szCs w:val="22"/>
        </w:rPr>
      </w:pPr>
      <w:r>
        <w:rPr>
          <w:rFonts w:cs="Times New Roman"/>
          <w:b/>
          <w:i/>
          <w:szCs w:val="22"/>
        </w:rPr>
        <w:t>Remedies on Occurrence of Event of Default</w:t>
      </w:r>
      <w:r>
        <w:rPr>
          <w:rFonts w:cs="Times New Roman"/>
          <w:szCs w:val="22"/>
        </w:rPr>
        <w:t>. Upon the occurrence and continuance of an Event of Default, the Trustee is to have the following rights and remedies which may be pursued:</w:t>
      </w:r>
    </w:p>
    <w:p w14:paraId="7C2C4325" w14:textId="142AC6BF" w:rsidR="00AF269C" w:rsidRPr="00DA2177" w:rsidRDefault="00AF269C" w:rsidP="00335DEC">
      <w:pPr>
        <w:pStyle w:val="00BodyText5"/>
        <w:ind w:left="720"/>
        <w:rPr>
          <w:rFonts w:cs="Times New Roman"/>
          <w:szCs w:val="22"/>
        </w:rPr>
      </w:pPr>
      <w:r>
        <w:rPr>
          <w:rFonts w:cs="Times New Roman"/>
          <w:i/>
          <w:szCs w:val="22"/>
        </w:rPr>
        <w:t>Receivership</w:t>
      </w:r>
      <w:r>
        <w:rPr>
          <w:rFonts w:cs="Times New Roman"/>
          <w:szCs w:val="22"/>
        </w:rPr>
        <w:t xml:space="preserve">. Upon the filing of a bill in equity or other commencement of judicial proceedings to enforce the rights of the Trustee and of the Owners, the Trustee is to be entitled as a matter of right to the appointment of a receiver or receivers of the </w:t>
      </w:r>
      <w:r w:rsidR="003C76E1">
        <w:rPr>
          <w:rFonts w:cs="Times New Roman"/>
          <w:szCs w:val="22"/>
        </w:rPr>
        <w:t xml:space="preserve">Senior </w:t>
      </w:r>
      <w:r>
        <w:rPr>
          <w:rFonts w:cs="Times New Roman"/>
          <w:szCs w:val="22"/>
        </w:rPr>
        <w:t xml:space="preserve">LT Trust Estate, and of the revenues, income, product, and profits thereof pending such proceedings, subject however, to constitutional limitations inherent in the sovereignty of the District; but notwithstanding the appointment of any receiver or other custodian, the Trustee is to be entitled to the possession and control of any cash, securities, or other instruments at the time held by, or payable or deliverable under the provisions of the </w:t>
      </w:r>
      <w:r w:rsidR="000F65D0">
        <w:rPr>
          <w:rFonts w:cs="Times New Roman"/>
          <w:szCs w:val="22"/>
        </w:rPr>
        <w:t xml:space="preserve">Senior </w:t>
      </w:r>
      <w:r>
        <w:rPr>
          <w:rFonts w:cs="Times New Roman"/>
          <w:szCs w:val="22"/>
        </w:rPr>
        <w:t>LT Indenture to, the Trustee.</w:t>
      </w:r>
    </w:p>
    <w:p w14:paraId="74657C9F" w14:textId="4F37A8FE" w:rsidR="00AF269C" w:rsidRPr="00DA2177" w:rsidRDefault="00AF269C" w:rsidP="00335DEC">
      <w:pPr>
        <w:pStyle w:val="00BodyText5"/>
        <w:ind w:left="720"/>
        <w:rPr>
          <w:rFonts w:cs="Times New Roman"/>
          <w:szCs w:val="22"/>
        </w:rPr>
      </w:pPr>
      <w:r>
        <w:rPr>
          <w:rFonts w:cs="Times New Roman"/>
          <w:i/>
          <w:szCs w:val="22"/>
        </w:rPr>
        <w:t>Suit for Judgment</w:t>
      </w:r>
      <w:r>
        <w:rPr>
          <w:rFonts w:cs="Times New Roman"/>
          <w:szCs w:val="22"/>
        </w:rPr>
        <w:t>. The Trustee may proceed to protect and enforce its rights and the rights of the</w:t>
      </w:r>
      <w:r w:rsidR="00B64C22">
        <w:rPr>
          <w:rFonts w:cs="Times New Roman"/>
          <w:szCs w:val="22"/>
        </w:rPr>
        <w:t xml:space="preserve"> </w:t>
      </w:r>
      <w:r>
        <w:rPr>
          <w:rFonts w:cs="Times New Roman"/>
          <w:szCs w:val="22"/>
        </w:rPr>
        <w:t xml:space="preserve">Owners under the Bond Act and the District Act, the </w:t>
      </w:r>
      <w:r w:rsidR="00787226">
        <w:rPr>
          <w:rFonts w:cs="Times New Roman"/>
          <w:szCs w:val="22"/>
        </w:rPr>
        <w:t>2026A-1 Senior LT Bond</w:t>
      </w:r>
      <w:r>
        <w:rPr>
          <w:rFonts w:cs="Times New Roman"/>
          <w:szCs w:val="22"/>
        </w:rPr>
        <w:t xml:space="preserve">s, the Bond Resolution, the </w:t>
      </w:r>
      <w:r w:rsidR="000F65D0">
        <w:rPr>
          <w:rFonts w:cs="Times New Roman"/>
          <w:szCs w:val="22"/>
        </w:rPr>
        <w:t xml:space="preserve">Senior </w:t>
      </w:r>
      <w:r>
        <w:rPr>
          <w:rFonts w:cs="Times New Roman"/>
          <w:szCs w:val="22"/>
        </w:rPr>
        <w:t>LT Indenture, and any provision of law by such suit, action, or special proceedings as the Trustee, being advised by Counsel, is to deem appropriate.</w:t>
      </w:r>
    </w:p>
    <w:p w14:paraId="3F6BCEA9" w14:textId="132530FC" w:rsidR="00AF269C" w:rsidRPr="00DA2177" w:rsidRDefault="00AF269C" w:rsidP="00335DEC">
      <w:pPr>
        <w:pStyle w:val="00BodyText5"/>
        <w:ind w:left="720"/>
        <w:rPr>
          <w:rFonts w:cs="Times New Roman"/>
          <w:szCs w:val="22"/>
        </w:rPr>
      </w:pPr>
      <w:r>
        <w:rPr>
          <w:rFonts w:cs="Times New Roman"/>
          <w:i/>
          <w:szCs w:val="22"/>
        </w:rPr>
        <w:t>Mandamus or Other Suit</w:t>
      </w:r>
      <w:r>
        <w:rPr>
          <w:rFonts w:cs="Times New Roman"/>
          <w:szCs w:val="22"/>
        </w:rPr>
        <w:t>. The Trustee may proceed by mandamus or any other suit, action, or proceeding at law or in equity, to enforce all rights of the Owners.</w:t>
      </w:r>
    </w:p>
    <w:p w14:paraId="39249822" w14:textId="6847B9A5" w:rsidR="00AF269C" w:rsidRPr="00DA2177" w:rsidRDefault="00AF269C" w:rsidP="000942D5">
      <w:pPr>
        <w:pStyle w:val="00BodyText5"/>
        <w:rPr>
          <w:rFonts w:cs="Times New Roman"/>
          <w:szCs w:val="22"/>
        </w:rPr>
      </w:pPr>
      <w:r>
        <w:rPr>
          <w:rFonts w:cs="Times New Roman"/>
          <w:szCs w:val="22"/>
        </w:rPr>
        <w:t xml:space="preserve">No recovery of any judgment by the Trustee is to in any manner or to any extent affect the lien of the </w:t>
      </w:r>
      <w:r w:rsidR="000F65D0">
        <w:rPr>
          <w:rFonts w:cs="Times New Roman"/>
          <w:szCs w:val="22"/>
        </w:rPr>
        <w:t xml:space="preserve">Senior </w:t>
      </w:r>
      <w:r>
        <w:rPr>
          <w:rFonts w:cs="Times New Roman"/>
          <w:szCs w:val="22"/>
        </w:rPr>
        <w:t xml:space="preserve">LT Indenture or any rights, powers, or remedies of the Trustee thereunder, or any lien, rights, powers, and remedies of the Owners of the </w:t>
      </w:r>
      <w:r w:rsidR="00787226">
        <w:rPr>
          <w:rFonts w:cs="Times New Roman"/>
          <w:szCs w:val="22"/>
        </w:rPr>
        <w:t>2026A-1 Senior LT Bond</w:t>
      </w:r>
      <w:r>
        <w:rPr>
          <w:rFonts w:cs="Times New Roman"/>
          <w:szCs w:val="22"/>
        </w:rPr>
        <w:t>s, but such lien, rights, powers, and remedies of the Trustee and of the Owners are to continue unimpaired as before.</w:t>
      </w:r>
    </w:p>
    <w:p w14:paraId="419D63E0" w14:textId="57C39AF4" w:rsidR="00AF269C" w:rsidRPr="00DA2177" w:rsidRDefault="00AF269C" w:rsidP="000942D5">
      <w:pPr>
        <w:pStyle w:val="00BodyText5"/>
        <w:rPr>
          <w:rFonts w:cs="Times New Roman"/>
          <w:szCs w:val="22"/>
        </w:rPr>
      </w:pPr>
      <w:r>
        <w:rPr>
          <w:rFonts w:cs="Times New Roman"/>
          <w:szCs w:val="22"/>
        </w:rPr>
        <w:t>If any Event of Default under paragraph (a) in “—</w:t>
      </w:r>
      <w:r>
        <w:rPr>
          <w:rFonts w:cs="Times New Roman"/>
          <w:i/>
          <w:szCs w:val="22"/>
        </w:rPr>
        <w:t>Events of Default</w:t>
      </w:r>
      <w:r>
        <w:rPr>
          <w:rFonts w:cs="Times New Roman"/>
          <w:szCs w:val="22"/>
        </w:rPr>
        <w:t xml:space="preserve">” above is to have occurred and if requested by the Owners of 25% in aggregate principal amount of the </w:t>
      </w:r>
      <w:r w:rsidR="00787226">
        <w:rPr>
          <w:rFonts w:cs="Times New Roman"/>
          <w:szCs w:val="22"/>
        </w:rPr>
        <w:t>2026A-1 Senior LT Bond</w:t>
      </w:r>
      <w:r>
        <w:rPr>
          <w:rFonts w:cs="Times New Roman"/>
          <w:szCs w:val="22"/>
        </w:rPr>
        <w:t xml:space="preserve">s then Outstanding, the Trustee is obligated to exercise one or more of the rights and powers conferred by the </w:t>
      </w:r>
      <w:r w:rsidR="000F65D0">
        <w:rPr>
          <w:rFonts w:cs="Times New Roman"/>
          <w:szCs w:val="22"/>
        </w:rPr>
        <w:t xml:space="preserve">Senior </w:t>
      </w:r>
      <w:r>
        <w:rPr>
          <w:rFonts w:cs="Times New Roman"/>
          <w:szCs w:val="22"/>
        </w:rPr>
        <w:t xml:space="preserve">LT Indenture as the Trustee, being advised by Counsel, is to deem most expedient in the interests of the Owners, subject to the </w:t>
      </w:r>
      <w:r w:rsidR="000F65D0">
        <w:rPr>
          <w:rFonts w:cs="Times New Roman"/>
          <w:szCs w:val="22"/>
        </w:rPr>
        <w:t xml:space="preserve">Senior </w:t>
      </w:r>
      <w:r>
        <w:rPr>
          <w:rFonts w:cs="Times New Roman"/>
          <w:szCs w:val="22"/>
        </w:rPr>
        <w:t xml:space="preserve">LT Indenture; provided that the Trustee at its option is to be indemnified as provided in the </w:t>
      </w:r>
      <w:r w:rsidR="000F65D0">
        <w:rPr>
          <w:rFonts w:cs="Times New Roman"/>
          <w:szCs w:val="22"/>
        </w:rPr>
        <w:t xml:space="preserve">Senior </w:t>
      </w:r>
      <w:r>
        <w:rPr>
          <w:rFonts w:cs="Times New Roman"/>
          <w:szCs w:val="22"/>
        </w:rPr>
        <w:t>LT Indenture.</w:t>
      </w:r>
    </w:p>
    <w:p w14:paraId="31ECB612" w14:textId="061C6613" w:rsidR="00405FFB" w:rsidRPr="00DA2177" w:rsidRDefault="00405FFB" w:rsidP="000942D5">
      <w:pPr>
        <w:pStyle w:val="00BodyText5"/>
        <w:rPr>
          <w:rFonts w:cs="Times New Roman"/>
          <w:szCs w:val="22"/>
        </w:rPr>
      </w:pPr>
      <w:r>
        <w:rPr>
          <w:rFonts w:cs="Times New Roman"/>
          <w:szCs w:val="22"/>
        </w:rPr>
        <w:t xml:space="preserve">Notwithstanding anything in the </w:t>
      </w:r>
      <w:r w:rsidR="000F65D0">
        <w:rPr>
          <w:rFonts w:cs="Times New Roman"/>
          <w:szCs w:val="22"/>
        </w:rPr>
        <w:t xml:space="preserve">Senior </w:t>
      </w:r>
      <w:r>
        <w:rPr>
          <w:rFonts w:cs="Times New Roman"/>
          <w:szCs w:val="22"/>
        </w:rPr>
        <w:t xml:space="preserve">LT Indenture to the contrary, acceleration of the </w:t>
      </w:r>
      <w:r w:rsidR="00787226">
        <w:rPr>
          <w:rFonts w:cs="Times New Roman"/>
          <w:szCs w:val="22"/>
        </w:rPr>
        <w:t>2026A-1 Senior LT Bond</w:t>
      </w:r>
      <w:r>
        <w:rPr>
          <w:rFonts w:cs="Times New Roman"/>
          <w:szCs w:val="22"/>
        </w:rPr>
        <w:t>s is not to be an available remedy for an Event of Default.</w:t>
      </w:r>
    </w:p>
    <w:p w14:paraId="3BE815D8" w14:textId="1C59EA75" w:rsidR="002E702A" w:rsidRPr="00DA2177" w:rsidRDefault="002E702A" w:rsidP="000942D5">
      <w:pPr>
        <w:pStyle w:val="00BodyText5"/>
        <w:rPr>
          <w:rFonts w:cs="Times New Roman"/>
          <w:szCs w:val="22"/>
        </w:rPr>
      </w:pPr>
      <w:r>
        <w:rPr>
          <w:rFonts w:cs="Times New Roman"/>
          <w:szCs w:val="22"/>
        </w:rPr>
        <w:t xml:space="preserve">The Consent Parties of a majority in aggregate principal amount of the </w:t>
      </w:r>
      <w:r w:rsidR="00787226">
        <w:rPr>
          <w:rFonts w:cs="Times New Roman"/>
          <w:szCs w:val="22"/>
        </w:rPr>
        <w:t>2026A-1 Senior LT Bond</w:t>
      </w:r>
      <w:r>
        <w:rPr>
          <w:rFonts w:cs="Times New Roman"/>
          <w:szCs w:val="22"/>
        </w:rPr>
        <w:t xml:space="preserve">s then Outstanding are to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the </w:t>
      </w:r>
      <w:r w:rsidR="000F65D0">
        <w:rPr>
          <w:rFonts w:cs="Times New Roman"/>
          <w:szCs w:val="22"/>
        </w:rPr>
        <w:t xml:space="preserve">Senior </w:t>
      </w:r>
      <w:r>
        <w:rPr>
          <w:rFonts w:cs="Times New Roman"/>
          <w:szCs w:val="22"/>
        </w:rPr>
        <w:t xml:space="preserve">LT Indenture, or for the appointment of a receiver, and any other proceedings thereunder; provided that such direction is not to be otherwise than in accordance with the provisions thereof; and provided further that at its option the Trustee is to be indemnified as provided in the </w:t>
      </w:r>
      <w:r w:rsidR="000F65D0">
        <w:rPr>
          <w:rFonts w:cs="Times New Roman"/>
          <w:szCs w:val="22"/>
        </w:rPr>
        <w:t xml:space="preserve">Senior </w:t>
      </w:r>
      <w:r>
        <w:rPr>
          <w:rFonts w:cs="Times New Roman"/>
          <w:szCs w:val="22"/>
        </w:rPr>
        <w:t>LT Indenture.</w:t>
      </w:r>
    </w:p>
    <w:p w14:paraId="5037FF9E" w14:textId="74FE0A7A" w:rsidR="002E702A" w:rsidRPr="00DA2177" w:rsidRDefault="002E702A" w:rsidP="000942D5">
      <w:pPr>
        <w:pStyle w:val="00BodyText5"/>
        <w:rPr>
          <w:rFonts w:cs="Times New Roman"/>
          <w:szCs w:val="22"/>
        </w:rPr>
      </w:pPr>
      <w:r>
        <w:rPr>
          <w:rFonts w:cs="Times New Roman"/>
          <w:szCs w:val="22"/>
        </w:rPr>
        <w:t xml:space="preserve">No Owner of any </w:t>
      </w:r>
      <w:r w:rsidR="00787226">
        <w:rPr>
          <w:rFonts w:cs="Times New Roman"/>
          <w:szCs w:val="22"/>
        </w:rPr>
        <w:t>2026A-1 Senior LT Bond</w:t>
      </w:r>
      <w:r>
        <w:rPr>
          <w:rFonts w:cs="Times New Roman"/>
          <w:szCs w:val="22"/>
        </w:rPr>
        <w:t xml:space="preserve"> is to have any right to institute any suit, action, or proceeding in equity or at law for the enforcement of the </w:t>
      </w:r>
      <w:r w:rsidR="000F65D0">
        <w:rPr>
          <w:rFonts w:cs="Times New Roman"/>
          <w:szCs w:val="22"/>
        </w:rPr>
        <w:t xml:space="preserve">Senior </w:t>
      </w:r>
      <w:r>
        <w:rPr>
          <w:rFonts w:cs="Times New Roman"/>
          <w:szCs w:val="22"/>
        </w:rPr>
        <w:t xml:space="preserve">LT Indenture or for the execution of any trust thereof or for the appointment of a receiver or any other remedy thereunder, unless (a) a default has occurred of which the Trustee has been notified as provided in the </w:t>
      </w:r>
      <w:r w:rsidR="000F65D0">
        <w:rPr>
          <w:rFonts w:cs="Times New Roman"/>
          <w:szCs w:val="22"/>
        </w:rPr>
        <w:t xml:space="preserve">Senior </w:t>
      </w:r>
      <w:r>
        <w:rPr>
          <w:rFonts w:cs="Times New Roman"/>
          <w:szCs w:val="22"/>
        </w:rPr>
        <w:t xml:space="preserve">LT Indenture, or of which under the </w:t>
      </w:r>
      <w:r w:rsidR="000F65D0">
        <w:rPr>
          <w:rFonts w:cs="Times New Roman"/>
          <w:szCs w:val="22"/>
        </w:rPr>
        <w:t xml:space="preserve">Senior </w:t>
      </w:r>
      <w:r>
        <w:rPr>
          <w:rFonts w:cs="Times New Roman"/>
          <w:szCs w:val="22"/>
        </w:rPr>
        <w:t xml:space="preserve">LT Indenture it is deemed to have notice; (b) such default is to have become an Event of Default; (c) the Owners of not less than 25% in aggregate principal amount of </w:t>
      </w:r>
      <w:r w:rsidR="00787226">
        <w:rPr>
          <w:rFonts w:cs="Times New Roman"/>
          <w:szCs w:val="22"/>
        </w:rPr>
        <w:t>2026A-1 Senior LT Bond</w:t>
      </w:r>
      <w:r>
        <w:rPr>
          <w:rFonts w:cs="Times New Roman"/>
          <w:szCs w:val="22"/>
        </w:rPr>
        <w:t xml:space="preserve">s then Outstanding are to have made written request to the Trustee and are to have offered reasonable opportunity either to proceed to exercise the powers granted in the </w:t>
      </w:r>
      <w:r w:rsidR="000F65D0">
        <w:rPr>
          <w:rFonts w:cs="Times New Roman"/>
          <w:szCs w:val="22"/>
        </w:rPr>
        <w:t xml:space="preserve">Senior </w:t>
      </w:r>
      <w:r>
        <w:rPr>
          <w:rFonts w:cs="Times New Roman"/>
          <w:szCs w:val="22"/>
        </w:rPr>
        <w:t xml:space="preserve">LT Indenture or to institute such action, suit, or proceedings in their own name, and are to have also offered to the Trustee indemnity as provided in the </w:t>
      </w:r>
      <w:r w:rsidR="000F65D0">
        <w:rPr>
          <w:rFonts w:cs="Times New Roman"/>
          <w:szCs w:val="22"/>
        </w:rPr>
        <w:t xml:space="preserve">Senior </w:t>
      </w:r>
      <w:r>
        <w:rPr>
          <w:rFonts w:cs="Times New Roman"/>
          <w:szCs w:val="22"/>
        </w:rPr>
        <w:t xml:space="preserve">LT Indenture; and (d) the Trustee is to thereafter fail or refuse to exercise the powers granted in the </w:t>
      </w:r>
      <w:r w:rsidR="000F65D0">
        <w:rPr>
          <w:rFonts w:cs="Times New Roman"/>
          <w:szCs w:val="22"/>
        </w:rPr>
        <w:t xml:space="preserve">Senior </w:t>
      </w:r>
      <w:r>
        <w:rPr>
          <w:rFonts w:cs="Times New Roman"/>
          <w:szCs w:val="22"/>
        </w:rPr>
        <w:t xml:space="preserve">LT Indenture, or to institute such action, suit, or proceeding in its own name; such notification, request, and offer of indemnity are declared in every case at the option of the Trustee to be conditions precedent to any action or cause of action for the enforcement of the </w:t>
      </w:r>
      <w:r w:rsidR="000F65D0">
        <w:rPr>
          <w:rFonts w:cs="Times New Roman"/>
          <w:szCs w:val="22"/>
        </w:rPr>
        <w:t xml:space="preserve">Senior </w:t>
      </w:r>
      <w:r>
        <w:rPr>
          <w:rFonts w:cs="Times New Roman"/>
          <w:szCs w:val="22"/>
        </w:rPr>
        <w:t xml:space="preserve">LT Indenture, or for the appointment of a receiver or for any other remedy thereunder; it being understood and intended that no one or more Owners of </w:t>
      </w:r>
      <w:r w:rsidR="00787226">
        <w:rPr>
          <w:rFonts w:cs="Times New Roman"/>
          <w:szCs w:val="22"/>
        </w:rPr>
        <w:t>2026A-1 Senior LT Bond</w:t>
      </w:r>
      <w:r>
        <w:rPr>
          <w:rFonts w:cs="Times New Roman"/>
          <w:szCs w:val="22"/>
        </w:rPr>
        <w:t xml:space="preserve">s are to have any right in any manner whatsoever to affect, disturb, or prejudice the lien of the </w:t>
      </w:r>
      <w:r w:rsidR="000F65D0">
        <w:rPr>
          <w:rFonts w:cs="Times New Roman"/>
          <w:szCs w:val="22"/>
        </w:rPr>
        <w:t xml:space="preserve">Senior </w:t>
      </w:r>
      <w:r>
        <w:rPr>
          <w:rFonts w:cs="Times New Roman"/>
          <w:szCs w:val="22"/>
        </w:rPr>
        <w:t xml:space="preserve">LT Indenture by his, her, its, or their action, or to enforce any right under the </w:t>
      </w:r>
      <w:r w:rsidR="000F65D0">
        <w:rPr>
          <w:rFonts w:cs="Times New Roman"/>
          <w:szCs w:val="22"/>
        </w:rPr>
        <w:t xml:space="preserve">Senior </w:t>
      </w:r>
      <w:r>
        <w:rPr>
          <w:rFonts w:cs="Times New Roman"/>
          <w:szCs w:val="22"/>
        </w:rPr>
        <w:t xml:space="preserve">LT Indenture except in the manner therein provided and that all proceedings at law or in equity are to be instituted, had, and maintained in the manner therein provided and for the equal benefit of the Owners of all </w:t>
      </w:r>
      <w:r w:rsidR="00787226">
        <w:rPr>
          <w:rFonts w:cs="Times New Roman"/>
          <w:szCs w:val="22"/>
        </w:rPr>
        <w:t>2026A-1 Senior LT Bond</w:t>
      </w:r>
      <w:r>
        <w:rPr>
          <w:rFonts w:cs="Times New Roman"/>
          <w:szCs w:val="22"/>
        </w:rPr>
        <w:t>s then Outstanding.</w:t>
      </w:r>
    </w:p>
    <w:p w14:paraId="43ECF475" w14:textId="77EC3519" w:rsidR="002E702A" w:rsidRPr="00DA2177" w:rsidRDefault="002E702A" w:rsidP="000942D5">
      <w:pPr>
        <w:pStyle w:val="00BodyText5"/>
        <w:rPr>
          <w:rFonts w:cs="Times New Roman"/>
          <w:szCs w:val="22"/>
        </w:rPr>
      </w:pPr>
      <w:r>
        <w:rPr>
          <w:rFonts w:cs="Times New Roman"/>
          <w:szCs w:val="22"/>
        </w:rPr>
        <w:t xml:space="preserve">The Trustee may in its discretion waive any Event of Default under the </w:t>
      </w:r>
      <w:r w:rsidR="000F65D0">
        <w:rPr>
          <w:rFonts w:cs="Times New Roman"/>
          <w:szCs w:val="22"/>
        </w:rPr>
        <w:t xml:space="preserve">Senior </w:t>
      </w:r>
      <w:r>
        <w:rPr>
          <w:rFonts w:cs="Times New Roman"/>
          <w:szCs w:val="22"/>
        </w:rPr>
        <w:t xml:space="preserve">LT Indenture and its consequences, and is to do so upon the written request of the Consent Parties with respect to a majority in aggregate principal amount of all the </w:t>
      </w:r>
      <w:r w:rsidR="00787226">
        <w:rPr>
          <w:rFonts w:cs="Times New Roman"/>
          <w:szCs w:val="22"/>
        </w:rPr>
        <w:t>2026A-1 Senior LT Bond</w:t>
      </w:r>
      <w:r>
        <w:rPr>
          <w:rFonts w:cs="Times New Roman"/>
          <w:szCs w:val="22"/>
        </w:rPr>
        <w:t xml:space="preserve">s then Outstanding; provided however, that there is not to be waived without the consent of the Consent Parties with respect to 100% of the </w:t>
      </w:r>
      <w:r w:rsidR="00787226">
        <w:rPr>
          <w:rFonts w:cs="Times New Roman"/>
          <w:szCs w:val="22"/>
        </w:rPr>
        <w:t>2026A-1 Senior LT Bond</w:t>
      </w:r>
      <w:r>
        <w:rPr>
          <w:rFonts w:cs="Times New Roman"/>
          <w:szCs w:val="22"/>
        </w:rPr>
        <w:t>s then Outstanding as to which the Event of Default exists any Event of Default described in paragraph (a) in “—</w:t>
      </w:r>
      <w:r>
        <w:rPr>
          <w:rFonts w:cs="Times New Roman"/>
          <w:i/>
          <w:szCs w:val="22"/>
        </w:rPr>
        <w:t>Events of Default</w:t>
      </w:r>
      <w:r>
        <w:rPr>
          <w:rFonts w:cs="Times New Roman"/>
          <w:szCs w:val="22"/>
        </w:rPr>
        <w:t xml:space="preserve">” above. In case of any such waiver, or in case any proceedings taken by the Trustee on account of any such default is to have been discontinued or abandoned or determined adversely to the Trustee, then in every such case the District, the Trustee, and the Owners are to be restored to their former positions and rights under the </w:t>
      </w:r>
      <w:r w:rsidR="000F65D0">
        <w:rPr>
          <w:rFonts w:cs="Times New Roman"/>
          <w:szCs w:val="22"/>
        </w:rPr>
        <w:t xml:space="preserve">Senior </w:t>
      </w:r>
      <w:r>
        <w:rPr>
          <w:rFonts w:cs="Times New Roman"/>
          <w:szCs w:val="22"/>
        </w:rPr>
        <w:t>LT Indenture respectively, but no such waiver or rescission is to extend to any subsequent or other default, or impair any right consequent thereon.</w:t>
      </w:r>
    </w:p>
    <w:p w14:paraId="5CADFB53" w14:textId="1AE31E4E" w:rsidR="00B3560D" w:rsidRPr="00DA2177" w:rsidRDefault="000F65D0" w:rsidP="000942D5">
      <w:pPr>
        <w:pStyle w:val="00BodyText5"/>
        <w:rPr>
          <w:rFonts w:cs="Times New Roman"/>
          <w:szCs w:val="22"/>
        </w:rPr>
      </w:pPr>
      <w:r>
        <w:rPr>
          <w:rFonts w:cs="Times New Roman"/>
          <w:b/>
          <w:i/>
          <w:szCs w:val="22"/>
        </w:rPr>
        <w:t xml:space="preserve">Senior </w:t>
      </w:r>
      <w:r w:rsidR="00896FAF">
        <w:rPr>
          <w:rFonts w:cs="Times New Roman"/>
          <w:b/>
          <w:i/>
          <w:szCs w:val="22"/>
        </w:rPr>
        <w:t>LT Indenture Supplements</w:t>
      </w:r>
      <w:r w:rsidR="00896FAF">
        <w:rPr>
          <w:rFonts w:cs="Times New Roman"/>
          <w:szCs w:val="22"/>
        </w:rPr>
        <w:t xml:space="preserve">. Subject to the provisions of the </w:t>
      </w:r>
      <w:r>
        <w:rPr>
          <w:rFonts w:cs="Times New Roman"/>
          <w:szCs w:val="22"/>
        </w:rPr>
        <w:t xml:space="preserve">Senior </w:t>
      </w:r>
      <w:r w:rsidR="00896FAF">
        <w:rPr>
          <w:rFonts w:cs="Times New Roman"/>
          <w:szCs w:val="22"/>
        </w:rPr>
        <w:t xml:space="preserve">LT Indenture, the District and the Trustee may, without the consent of or notice to the Consent Parties, enter into such indentures supplemental thereto, which supplemental indentures are to thereafter form a part thereof, for any one or more of the following purposes: (a) to cure any ambiguity, to cure, correct, or supplement any formal defect or omission or inconsistent provision contained in the </w:t>
      </w:r>
      <w:r>
        <w:rPr>
          <w:rFonts w:cs="Times New Roman"/>
          <w:szCs w:val="22"/>
        </w:rPr>
        <w:t xml:space="preserve">Senior </w:t>
      </w:r>
      <w:r w:rsidR="00896FAF">
        <w:rPr>
          <w:rFonts w:cs="Times New Roman"/>
          <w:szCs w:val="22"/>
        </w:rPr>
        <w:t xml:space="preserve">LT Indenture, to make any provision necessary or desirable due to a change in law, to make any provisions with respect to matters arising under the </w:t>
      </w:r>
      <w:r>
        <w:rPr>
          <w:rFonts w:cs="Times New Roman"/>
          <w:szCs w:val="22"/>
        </w:rPr>
        <w:t xml:space="preserve">Senior </w:t>
      </w:r>
      <w:r w:rsidR="00896FAF">
        <w:rPr>
          <w:rFonts w:cs="Times New Roman"/>
          <w:szCs w:val="22"/>
        </w:rPr>
        <w:t xml:space="preserve">LT Indenture, or to make any provisions for any other purpose if such provisions are necessary or desirable and do not materially adversely affect the interests of the Owners of the </w:t>
      </w:r>
      <w:r w:rsidR="00787226">
        <w:rPr>
          <w:rFonts w:cs="Times New Roman"/>
          <w:szCs w:val="22"/>
        </w:rPr>
        <w:t>2026A-1 Senior LT Bond</w:t>
      </w:r>
      <w:r w:rsidR="00896FAF">
        <w:rPr>
          <w:rFonts w:cs="Times New Roman"/>
          <w:szCs w:val="22"/>
        </w:rPr>
        <w:t xml:space="preserve">s; (b) to subject to the </w:t>
      </w:r>
      <w:r>
        <w:rPr>
          <w:rFonts w:cs="Times New Roman"/>
          <w:szCs w:val="22"/>
        </w:rPr>
        <w:t xml:space="preserve">Senior </w:t>
      </w:r>
      <w:r w:rsidR="00896FAF">
        <w:rPr>
          <w:rFonts w:cs="Times New Roman"/>
          <w:szCs w:val="22"/>
        </w:rPr>
        <w:t xml:space="preserve">LT Indenture additional revenues, properties, or collateral; (c) to grant or confer upon the Trustee for the benefit of the Owners any additional rights, remedies, powers, or authority that may lawfully be granted to or conferred upon the Owners or the Trustee; and (d) to qualify the </w:t>
      </w:r>
      <w:r>
        <w:rPr>
          <w:rFonts w:cs="Times New Roman"/>
          <w:szCs w:val="22"/>
        </w:rPr>
        <w:t xml:space="preserve">Senior </w:t>
      </w:r>
      <w:r w:rsidR="00896FAF">
        <w:rPr>
          <w:rFonts w:cs="Times New Roman"/>
          <w:szCs w:val="22"/>
        </w:rPr>
        <w:t>LT Indenture under the Trust Indenture Act of 1939.</w:t>
      </w:r>
    </w:p>
    <w:p w14:paraId="710DD46A" w14:textId="33FBFF51" w:rsidR="00B3560D" w:rsidRPr="00DA2177" w:rsidRDefault="00B3560D" w:rsidP="000942D5">
      <w:pPr>
        <w:pStyle w:val="00BodyText5"/>
        <w:rPr>
          <w:rFonts w:cs="Times New Roman"/>
          <w:szCs w:val="22"/>
        </w:rPr>
      </w:pPr>
      <w:r>
        <w:rPr>
          <w:rFonts w:cs="Times New Roman"/>
          <w:szCs w:val="22"/>
        </w:rPr>
        <w:t xml:space="preserve">Except for supplemental indentures delivered as described above, and subject to the provisions of the </w:t>
      </w:r>
      <w:r w:rsidR="000F65D0">
        <w:rPr>
          <w:rFonts w:cs="Times New Roman"/>
          <w:szCs w:val="22"/>
        </w:rPr>
        <w:t xml:space="preserve">Senior </w:t>
      </w:r>
      <w:r>
        <w:rPr>
          <w:rFonts w:cs="Times New Roman"/>
          <w:szCs w:val="22"/>
        </w:rPr>
        <w:t xml:space="preserve">LT Indenture, the Consent Parties with respect to not less than a majority (or for modifications of provisions of the </w:t>
      </w:r>
      <w:r w:rsidR="000F65D0">
        <w:rPr>
          <w:rFonts w:cs="Times New Roman"/>
          <w:szCs w:val="22"/>
        </w:rPr>
        <w:t xml:space="preserve">Senior </w:t>
      </w:r>
      <w:r>
        <w:rPr>
          <w:rFonts w:cs="Times New Roman"/>
          <w:szCs w:val="22"/>
        </w:rPr>
        <w:t xml:space="preserve">LT Indenture which require the consent of a percentage of Owners or Consent Parties higher than a majority, such higher percentage) in aggregate principal amount of the </w:t>
      </w:r>
      <w:r w:rsidR="00787226">
        <w:rPr>
          <w:rFonts w:cs="Times New Roman"/>
          <w:szCs w:val="22"/>
        </w:rPr>
        <w:t>2026A-1 Senior LT Bond</w:t>
      </w:r>
      <w:r>
        <w:rPr>
          <w:rFonts w:cs="Times New Roman"/>
          <w:szCs w:val="22"/>
        </w:rPr>
        <w:t xml:space="preserve">s then Outstanding are to have the right, from time to time, to consent to and approve the execution by the District and the Trustee of such indenture or indentures supplemental thereto as are to be deemed necessary or desirable by the District for the purpose of modifying, altering, amending, adding to, or rescinding, in any particular, any of the terms or provisions contained in the </w:t>
      </w:r>
      <w:r w:rsidR="000F65D0">
        <w:rPr>
          <w:rFonts w:cs="Times New Roman"/>
          <w:szCs w:val="22"/>
        </w:rPr>
        <w:t xml:space="preserve">Senior </w:t>
      </w:r>
      <w:r>
        <w:rPr>
          <w:rFonts w:cs="Times New Roman"/>
          <w:szCs w:val="22"/>
        </w:rPr>
        <w:t xml:space="preserve">LT Indenture; provided however, that without the consent of the Consent Parties with respect to all the Outstanding </w:t>
      </w:r>
      <w:r w:rsidR="00787226">
        <w:rPr>
          <w:rFonts w:cs="Times New Roman"/>
          <w:szCs w:val="22"/>
        </w:rPr>
        <w:t>2026A-1 Senior LT Bond</w:t>
      </w:r>
      <w:r>
        <w:rPr>
          <w:rFonts w:cs="Times New Roman"/>
          <w:szCs w:val="22"/>
        </w:rPr>
        <w:t xml:space="preserve">s affected thereby, nothing contained in the </w:t>
      </w:r>
      <w:r w:rsidR="000F65D0">
        <w:rPr>
          <w:rFonts w:cs="Times New Roman"/>
          <w:szCs w:val="22"/>
        </w:rPr>
        <w:t xml:space="preserve">Senior </w:t>
      </w:r>
      <w:r>
        <w:rPr>
          <w:rFonts w:cs="Times New Roman"/>
          <w:szCs w:val="22"/>
        </w:rPr>
        <w:t xml:space="preserve">LT Indenture is to permit, or be construed as permitting: (a) a change in the terms of the maturity of any Outstanding </w:t>
      </w:r>
      <w:r w:rsidR="00787226">
        <w:rPr>
          <w:rFonts w:cs="Times New Roman"/>
          <w:szCs w:val="22"/>
        </w:rPr>
        <w:t>2026A-1 Senior LT Bond</w:t>
      </w:r>
      <w:r>
        <w:rPr>
          <w:rFonts w:cs="Times New Roman"/>
          <w:szCs w:val="22"/>
        </w:rPr>
        <w:t xml:space="preserve">, in the principal amount of any Outstanding </w:t>
      </w:r>
      <w:r w:rsidR="00787226">
        <w:rPr>
          <w:rFonts w:cs="Times New Roman"/>
          <w:szCs w:val="22"/>
        </w:rPr>
        <w:t>2026A-1 Senior LT Bond</w:t>
      </w:r>
      <w:r>
        <w:rPr>
          <w:rFonts w:cs="Times New Roman"/>
          <w:szCs w:val="22"/>
        </w:rPr>
        <w:t xml:space="preserve">, in the optional or mandatory redemption provisions applicable thereto, or the rate of interest thereon; (b) an impairment of the right of the Owners to institute suit for the enforcement of any payment of the principal of or interest on the </w:t>
      </w:r>
      <w:r w:rsidR="00787226">
        <w:rPr>
          <w:rFonts w:cs="Times New Roman"/>
          <w:szCs w:val="22"/>
        </w:rPr>
        <w:t>2026A-1 Senior LT Bond</w:t>
      </w:r>
      <w:r>
        <w:rPr>
          <w:rFonts w:cs="Times New Roman"/>
          <w:szCs w:val="22"/>
        </w:rPr>
        <w:t xml:space="preserve">s when due; (c) a privilege or priority of any </w:t>
      </w:r>
      <w:r w:rsidR="00787226">
        <w:rPr>
          <w:rFonts w:cs="Times New Roman"/>
          <w:szCs w:val="22"/>
        </w:rPr>
        <w:t>2026A-1 Senior LT Bond</w:t>
      </w:r>
      <w:r>
        <w:rPr>
          <w:rFonts w:cs="Times New Roman"/>
          <w:szCs w:val="22"/>
        </w:rPr>
        <w:t xml:space="preserve"> or any interest payment over any other </w:t>
      </w:r>
      <w:r w:rsidR="00787226">
        <w:rPr>
          <w:rFonts w:cs="Times New Roman"/>
          <w:szCs w:val="22"/>
        </w:rPr>
        <w:t>2026A-1 Senior LT Bond</w:t>
      </w:r>
      <w:r>
        <w:rPr>
          <w:rFonts w:cs="Times New Roman"/>
          <w:szCs w:val="22"/>
        </w:rPr>
        <w:t xml:space="preserve"> or interest payment; or (d) a reduction in the percentage in principal amount of the Outstanding </w:t>
      </w:r>
      <w:r w:rsidR="00787226">
        <w:rPr>
          <w:rFonts w:cs="Times New Roman"/>
          <w:szCs w:val="22"/>
        </w:rPr>
        <w:t>2026A-1 Senior LT Bond</w:t>
      </w:r>
      <w:r>
        <w:rPr>
          <w:rFonts w:cs="Times New Roman"/>
          <w:szCs w:val="22"/>
        </w:rPr>
        <w:t>s, the consent of whose Owners or Consent Parties is required for any such supplemental indenture.</w:t>
      </w:r>
    </w:p>
    <w:p w14:paraId="0A6D6D4F" w14:textId="6CAEE757" w:rsidR="000D4F51" w:rsidRPr="00DA2177" w:rsidRDefault="000D4F51" w:rsidP="000942D5">
      <w:pPr>
        <w:pStyle w:val="00BodyText5"/>
        <w:rPr>
          <w:rFonts w:cs="Times New Roman"/>
          <w:szCs w:val="22"/>
        </w:rPr>
      </w:pPr>
      <w:r>
        <w:rPr>
          <w:rFonts w:cs="Times New Roman"/>
          <w:i/>
          <w:szCs w:val="22"/>
        </w:rPr>
        <w:t xml:space="preserve">Discharge of the Lien of the </w:t>
      </w:r>
      <w:r w:rsidR="000F65D0">
        <w:rPr>
          <w:rFonts w:cs="Times New Roman"/>
          <w:i/>
          <w:szCs w:val="22"/>
        </w:rPr>
        <w:t xml:space="preserve">Senior </w:t>
      </w:r>
      <w:r>
        <w:rPr>
          <w:rFonts w:cs="Times New Roman"/>
          <w:i/>
          <w:szCs w:val="22"/>
        </w:rPr>
        <w:t>LT Indenture</w:t>
      </w:r>
      <w:r>
        <w:rPr>
          <w:rFonts w:cs="Times New Roman"/>
          <w:szCs w:val="22"/>
        </w:rPr>
        <w:t xml:space="preserve">. If the District is to pay or cause to be paid to the Trustee, for the Owners of the </w:t>
      </w:r>
      <w:r w:rsidR="00787226">
        <w:rPr>
          <w:rFonts w:cs="Times New Roman"/>
          <w:szCs w:val="22"/>
        </w:rPr>
        <w:t>2026A-1 Senior LT Bond</w:t>
      </w:r>
      <w:r>
        <w:rPr>
          <w:rFonts w:cs="Times New Roman"/>
          <w:szCs w:val="22"/>
        </w:rPr>
        <w:t xml:space="preserve">s, the principal of and interest to become due thereon at the times and in the manner stipulated in the </w:t>
      </w:r>
      <w:r w:rsidR="000F65D0">
        <w:rPr>
          <w:rFonts w:cs="Times New Roman"/>
          <w:szCs w:val="22"/>
        </w:rPr>
        <w:t xml:space="preserve">Senior </w:t>
      </w:r>
      <w:r>
        <w:rPr>
          <w:rFonts w:cs="Times New Roman"/>
          <w:szCs w:val="22"/>
        </w:rPr>
        <w:t xml:space="preserve">LT Indenture, and if the District is to keep, perform, and observe all and singular the covenants and promises in the </w:t>
      </w:r>
      <w:r w:rsidR="00787226">
        <w:rPr>
          <w:rFonts w:cs="Times New Roman"/>
          <w:szCs w:val="22"/>
        </w:rPr>
        <w:t>2026A-1 Senior LT Bond</w:t>
      </w:r>
      <w:r>
        <w:rPr>
          <w:rFonts w:cs="Times New Roman"/>
          <w:szCs w:val="22"/>
        </w:rPr>
        <w:t xml:space="preserve">s and in the </w:t>
      </w:r>
      <w:r w:rsidR="000F65D0">
        <w:rPr>
          <w:rFonts w:cs="Times New Roman"/>
          <w:szCs w:val="22"/>
        </w:rPr>
        <w:t xml:space="preserve">Senior </w:t>
      </w:r>
      <w:r>
        <w:rPr>
          <w:rFonts w:cs="Times New Roman"/>
          <w:szCs w:val="22"/>
        </w:rPr>
        <w:t xml:space="preserve">LT Indenture expressed to be kept, performed, and observed by it or on its part, and if all fees and expenses of the Trustee required by the </w:t>
      </w:r>
      <w:r w:rsidR="000F65D0">
        <w:rPr>
          <w:rFonts w:cs="Times New Roman"/>
          <w:szCs w:val="22"/>
        </w:rPr>
        <w:t xml:space="preserve">Senior </w:t>
      </w:r>
      <w:r>
        <w:rPr>
          <w:rFonts w:cs="Times New Roman"/>
          <w:szCs w:val="22"/>
        </w:rPr>
        <w:t xml:space="preserve">LT Indenture to be paid are to have been paid, then the presents and the estate and rights thereby granted are to cease, terminate, and be void, and thereupon the Trustee is to cancel and discharge the lien of the </w:t>
      </w:r>
      <w:r w:rsidR="000F65D0">
        <w:rPr>
          <w:rFonts w:cs="Times New Roman"/>
          <w:szCs w:val="22"/>
        </w:rPr>
        <w:t xml:space="preserve">Senior </w:t>
      </w:r>
      <w:r>
        <w:rPr>
          <w:rFonts w:cs="Times New Roman"/>
          <w:szCs w:val="22"/>
        </w:rPr>
        <w:t xml:space="preserve">LT Indenture, and execute and deliver to the District such instruments in writing as are to be required to satisfy the lien of the </w:t>
      </w:r>
      <w:r w:rsidR="000F65D0">
        <w:rPr>
          <w:rFonts w:cs="Times New Roman"/>
          <w:szCs w:val="22"/>
        </w:rPr>
        <w:t xml:space="preserve">Senior </w:t>
      </w:r>
      <w:r>
        <w:rPr>
          <w:rFonts w:cs="Times New Roman"/>
          <w:szCs w:val="22"/>
        </w:rPr>
        <w:t xml:space="preserve">LT Indenture, and assign and deliver to the District any property at the time subject to the lien of the </w:t>
      </w:r>
      <w:r w:rsidR="000F65D0">
        <w:rPr>
          <w:rFonts w:cs="Times New Roman"/>
          <w:szCs w:val="22"/>
        </w:rPr>
        <w:t xml:space="preserve">Senior </w:t>
      </w:r>
      <w:r>
        <w:rPr>
          <w:rFonts w:cs="Times New Roman"/>
          <w:szCs w:val="22"/>
        </w:rPr>
        <w:t xml:space="preserve">LT Indenture which may then be in its possession, and deliver any amounts required to be paid to the District under the </w:t>
      </w:r>
      <w:r w:rsidR="000F65D0">
        <w:rPr>
          <w:rFonts w:cs="Times New Roman"/>
          <w:szCs w:val="22"/>
        </w:rPr>
        <w:t xml:space="preserve">Senior </w:t>
      </w:r>
      <w:r>
        <w:rPr>
          <w:rFonts w:cs="Times New Roman"/>
          <w:szCs w:val="22"/>
        </w:rPr>
        <w:t xml:space="preserve">LT Indenture, except for moneys and Federal Securities held by the Trustee for the payment of the principal of, premium if any, and interest on the </w:t>
      </w:r>
      <w:r w:rsidR="00787226">
        <w:rPr>
          <w:rFonts w:cs="Times New Roman"/>
          <w:szCs w:val="22"/>
        </w:rPr>
        <w:t>2026A-1 Senior LT Bond</w:t>
      </w:r>
      <w:r>
        <w:rPr>
          <w:rFonts w:cs="Times New Roman"/>
          <w:szCs w:val="22"/>
        </w:rPr>
        <w:t>s.</w:t>
      </w:r>
    </w:p>
    <w:p w14:paraId="7057125B" w14:textId="0CEDEF91" w:rsidR="000D4F51" w:rsidRPr="00DA2177" w:rsidRDefault="000D4F51" w:rsidP="000942D5">
      <w:pPr>
        <w:pStyle w:val="00BodyText5"/>
        <w:rPr>
          <w:rFonts w:cs="Times New Roman"/>
          <w:szCs w:val="22"/>
        </w:rPr>
      </w:pPr>
      <w:r>
        <w:rPr>
          <w:rFonts w:cs="Times New Roman"/>
          <w:szCs w:val="22"/>
        </w:rPr>
        <w:t xml:space="preserve">Any </w:t>
      </w:r>
      <w:r w:rsidR="00787226">
        <w:rPr>
          <w:rFonts w:cs="Times New Roman"/>
          <w:szCs w:val="22"/>
        </w:rPr>
        <w:t>2026A-1 Senior LT Bond</w:t>
      </w:r>
      <w:r>
        <w:rPr>
          <w:rFonts w:cs="Times New Roman"/>
          <w:szCs w:val="22"/>
        </w:rPr>
        <w:t xml:space="preserve"> is to, prior to the maturity or prior redemption thereof, be deemed to have been paid within the meaning and with the effect expressed in the </w:t>
      </w:r>
      <w:r w:rsidR="000F65D0">
        <w:rPr>
          <w:rFonts w:cs="Times New Roman"/>
          <w:szCs w:val="22"/>
        </w:rPr>
        <w:t xml:space="preserve">Senior </w:t>
      </w:r>
      <w:r>
        <w:rPr>
          <w:rFonts w:cs="Times New Roman"/>
          <w:szCs w:val="22"/>
        </w:rPr>
        <w:t xml:space="preserve">LT Indenture if, for the purpose of paying such </w:t>
      </w:r>
      <w:r w:rsidR="00787226">
        <w:rPr>
          <w:rFonts w:cs="Times New Roman"/>
          <w:szCs w:val="22"/>
        </w:rPr>
        <w:t>2026A-1 Senior LT Bond</w:t>
      </w:r>
      <w:r>
        <w:rPr>
          <w:rFonts w:cs="Times New Roman"/>
          <w:szCs w:val="22"/>
        </w:rPr>
        <w:t xml:space="preserve"> (a) there is to have been deposited with the Trustee an amount sufficient, without investment, to pay the principal of, premium if any, and interest on such </w:t>
      </w:r>
      <w:r w:rsidR="00787226">
        <w:rPr>
          <w:rFonts w:cs="Times New Roman"/>
          <w:szCs w:val="22"/>
        </w:rPr>
        <w:t>2026A-1 Senior LT Bond</w:t>
      </w:r>
      <w:r>
        <w:rPr>
          <w:rFonts w:cs="Times New Roman"/>
          <w:szCs w:val="22"/>
        </w:rPr>
        <w:t xml:space="preserve"> as the same becomes due at maturity or upon one or more designated prior redemption dates, or (b) there is to have been placed in escrow and in trust with a commercial bank exercising trust powers, an amount sufficient (including the known minimum yield from Federal Securities in which such amount may be invested) to pay the principal of, premium if any, and interest on such </w:t>
      </w:r>
      <w:r w:rsidR="00787226">
        <w:rPr>
          <w:rFonts w:cs="Times New Roman"/>
          <w:szCs w:val="22"/>
        </w:rPr>
        <w:t>2026A-1 Senior LT Bond</w:t>
      </w:r>
      <w:r>
        <w:rPr>
          <w:rFonts w:cs="Times New Roman"/>
          <w:szCs w:val="22"/>
        </w:rPr>
        <w:t>, as the same becomes due at maturity or upon one or more designated prior redemption dates. The Federal Securities in any such escrow are not to be subject to redemption or prepayment at the option of the issuer, and are to become due at or prior to the respective times on which the proceeds thereof are to be needed, in accordance with a schedule established and agreed upon between the District and such bank at the time of the creation of the escrow, or the Federal Securities are to be subject to redemption at the option of the holders thereof to assure such availability as so needed to meet such schedule. The sufficiency of any such escrow funded with Federal Securities is to be verified by a certified public accountant.</w:t>
      </w:r>
    </w:p>
    <w:p w14:paraId="6AF732F8" w14:textId="349981ED" w:rsidR="000D4F51" w:rsidRPr="00DA2177" w:rsidRDefault="000D4F51" w:rsidP="000942D5">
      <w:pPr>
        <w:pStyle w:val="00BodyText5"/>
        <w:rPr>
          <w:rFonts w:cs="Times New Roman"/>
          <w:szCs w:val="22"/>
        </w:rPr>
      </w:pPr>
      <w:r>
        <w:rPr>
          <w:rFonts w:cs="Times New Roman"/>
          <w:szCs w:val="22"/>
        </w:rPr>
        <w:t xml:space="preserve">Neither the Federal Securities, nor moneys deposited with the Trustee or placed in escrow and in trust pursuant to the </w:t>
      </w:r>
      <w:r w:rsidR="000F65D0">
        <w:rPr>
          <w:rFonts w:cs="Times New Roman"/>
          <w:szCs w:val="22"/>
        </w:rPr>
        <w:t xml:space="preserve">Senior </w:t>
      </w:r>
      <w:r>
        <w:rPr>
          <w:rFonts w:cs="Times New Roman"/>
          <w:szCs w:val="22"/>
        </w:rPr>
        <w:t xml:space="preserve">LT Indenture, nor principal or interest payments on any such Federal Securities are to be withdrawn or used for any purpose other than, and are to be held in trust for, the payment of the principal of and interest on the </w:t>
      </w:r>
      <w:r w:rsidR="00787226">
        <w:rPr>
          <w:rFonts w:cs="Times New Roman"/>
          <w:szCs w:val="22"/>
        </w:rPr>
        <w:t>2026A-1 Senior LT Bond</w:t>
      </w:r>
      <w:r>
        <w:rPr>
          <w:rFonts w:cs="Times New Roman"/>
          <w:szCs w:val="22"/>
        </w:rPr>
        <w:t xml:space="preserve">s; provided however, that any cash received from such principal or interest payments on such Federal Securities, if not then needed for such purpose, is to, to the extent practicable, be reinvested subject to the provisions of the </w:t>
      </w:r>
      <w:r w:rsidR="000F65D0">
        <w:rPr>
          <w:rFonts w:cs="Times New Roman"/>
          <w:szCs w:val="22"/>
        </w:rPr>
        <w:t xml:space="preserve">Senior </w:t>
      </w:r>
      <w:r>
        <w:rPr>
          <w:rFonts w:cs="Times New Roman"/>
          <w:szCs w:val="22"/>
        </w:rPr>
        <w:t xml:space="preserve">LT Indenture in Federal Securities maturing at the times and in amounts sufficient to pay, when due, the principal of and interest on the </w:t>
      </w:r>
      <w:r w:rsidR="00787226">
        <w:rPr>
          <w:rFonts w:cs="Times New Roman"/>
          <w:szCs w:val="22"/>
        </w:rPr>
        <w:t>2026A-1 Senior LT Bond</w:t>
      </w:r>
      <w:r>
        <w:rPr>
          <w:rFonts w:cs="Times New Roman"/>
          <w:szCs w:val="22"/>
        </w:rPr>
        <w:t>s.</w:t>
      </w:r>
    </w:p>
    <w:p w14:paraId="29A85017" w14:textId="001A3758" w:rsidR="000D4F51" w:rsidRPr="00DA2177" w:rsidRDefault="000D4F51" w:rsidP="000942D5">
      <w:pPr>
        <w:pStyle w:val="00BodyText5"/>
        <w:rPr>
          <w:rFonts w:cs="Times New Roman"/>
          <w:szCs w:val="22"/>
        </w:rPr>
      </w:pPr>
      <w:r>
        <w:rPr>
          <w:rFonts w:cs="Times New Roman"/>
          <w:szCs w:val="22"/>
        </w:rPr>
        <w:t xml:space="preserve">Prior to the investment or reinvestment of such moneys or such Federal Securities as therein provided, the Trustee is to receive and may rely upon: (a) an opinion of Bond Counsel experienced in matters arising under Section 103 of the Code and acceptable to the Trustee, that the investment or reinvestment of such moneys or such Federal Securities complies with the </w:t>
      </w:r>
      <w:r w:rsidR="000F65D0">
        <w:rPr>
          <w:rFonts w:cs="Times New Roman"/>
          <w:szCs w:val="22"/>
        </w:rPr>
        <w:t xml:space="preserve">Senior </w:t>
      </w:r>
      <w:r>
        <w:rPr>
          <w:rFonts w:cs="Times New Roman"/>
          <w:szCs w:val="22"/>
        </w:rPr>
        <w:t xml:space="preserve">LT Indenture; and (b) a report of a certified public accountant that the moneys or Federal Securities will be sufficient to provide for the payment of the principal of and interest on the </w:t>
      </w:r>
      <w:r w:rsidR="00787226">
        <w:rPr>
          <w:rFonts w:cs="Times New Roman"/>
          <w:szCs w:val="22"/>
        </w:rPr>
        <w:t>2026A-1 Senior LT Bond</w:t>
      </w:r>
      <w:r>
        <w:rPr>
          <w:rFonts w:cs="Times New Roman"/>
          <w:szCs w:val="22"/>
        </w:rPr>
        <w:t>s when due.</w:t>
      </w:r>
    </w:p>
    <w:p w14:paraId="54B00C8D" w14:textId="08C9E112" w:rsidR="000D4F51" w:rsidRPr="00DA2177" w:rsidRDefault="000D4F51" w:rsidP="000942D5">
      <w:pPr>
        <w:pStyle w:val="00BodyText5"/>
        <w:rPr>
          <w:rFonts w:cs="Times New Roman"/>
          <w:szCs w:val="22"/>
        </w:rPr>
      </w:pPr>
      <w:r>
        <w:rPr>
          <w:rFonts w:cs="Times New Roman"/>
          <w:szCs w:val="22"/>
        </w:rPr>
        <w:t xml:space="preserve">The release of the obligations of the District under the </w:t>
      </w:r>
      <w:r w:rsidR="000F65D0">
        <w:rPr>
          <w:rFonts w:cs="Times New Roman"/>
          <w:szCs w:val="22"/>
        </w:rPr>
        <w:t xml:space="preserve">Senior </w:t>
      </w:r>
      <w:r>
        <w:rPr>
          <w:rFonts w:cs="Times New Roman"/>
          <w:szCs w:val="22"/>
        </w:rPr>
        <w:t>LT Indenture are to be without prejudice to the rights of the Trustee to be paid reasonable compensation by the District for all services rendered by it thereunder and all its reasonable expenses, charges, and other disbursements incurred in the administration of the trust thereby created, the exercise of its powers, and the performance of its duties thereunder.</w:t>
      </w:r>
    </w:p>
    <w:p w14:paraId="627349B2" w14:textId="43CC2890" w:rsidR="00E8617A" w:rsidRDefault="00E8617A" w:rsidP="000942D5">
      <w:pPr>
        <w:pStyle w:val="00BodyText5"/>
        <w:rPr>
          <w:rFonts w:cs="Times New Roman"/>
          <w:szCs w:val="22"/>
        </w:rPr>
      </w:pPr>
      <w:r>
        <w:rPr>
          <w:rFonts w:cs="Times New Roman"/>
          <w:i/>
          <w:szCs w:val="22"/>
        </w:rPr>
        <w:t>Continuing Role as Bond Registrar and Paying Agent</w:t>
      </w:r>
      <w:r>
        <w:rPr>
          <w:rFonts w:cs="Times New Roman"/>
          <w:szCs w:val="22"/>
        </w:rPr>
        <w:t xml:space="preserve">. Notwithstanding the defeasance of the </w:t>
      </w:r>
      <w:r w:rsidR="00787226">
        <w:rPr>
          <w:rFonts w:cs="Times New Roman"/>
          <w:szCs w:val="22"/>
        </w:rPr>
        <w:t>2026A-1 Senior LT Bond</w:t>
      </w:r>
      <w:r>
        <w:rPr>
          <w:rFonts w:cs="Times New Roman"/>
          <w:szCs w:val="22"/>
        </w:rPr>
        <w:t xml:space="preserve">s prior to maturity and the discharge of the </w:t>
      </w:r>
      <w:r w:rsidR="000F65D0">
        <w:rPr>
          <w:rFonts w:cs="Times New Roman"/>
          <w:szCs w:val="22"/>
        </w:rPr>
        <w:t xml:space="preserve">Senior </w:t>
      </w:r>
      <w:r>
        <w:rPr>
          <w:rFonts w:cs="Times New Roman"/>
          <w:szCs w:val="22"/>
        </w:rPr>
        <w:t xml:space="preserve">LT Indenture as provided therein, the Trustee is to continue to fulfill its obligations as bond registrar and paying agent thereunder until the </w:t>
      </w:r>
      <w:r w:rsidR="00787226">
        <w:rPr>
          <w:rFonts w:cs="Times New Roman"/>
          <w:szCs w:val="22"/>
        </w:rPr>
        <w:t>2026A-1 Senior LT Bond</w:t>
      </w:r>
      <w:r>
        <w:rPr>
          <w:rFonts w:cs="Times New Roman"/>
          <w:szCs w:val="22"/>
        </w:rPr>
        <w:t>s are fully paid, satisfied, and discharged.</w:t>
      </w:r>
    </w:p>
    <w:p w14:paraId="48A560C4" w14:textId="42C89E6B" w:rsidR="003D0138" w:rsidRPr="00DA2177" w:rsidRDefault="003D0138" w:rsidP="003D0138">
      <w:pPr>
        <w:pStyle w:val="00BodyText5"/>
        <w:rPr>
          <w:rFonts w:cs="Times New Roman"/>
          <w:szCs w:val="22"/>
        </w:rPr>
      </w:pPr>
      <w:r>
        <w:rPr>
          <w:rFonts w:cs="Times New Roman"/>
          <w:i/>
          <w:iCs/>
          <w:szCs w:val="22"/>
        </w:rPr>
        <w:t xml:space="preserve">Discharge on March 1, </w:t>
      </w:r>
      <w:r w:rsidR="00381A2D">
        <w:rPr>
          <w:rFonts w:cs="Times New Roman"/>
          <w:i/>
          <w:iCs/>
          <w:szCs w:val="22"/>
        </w:rPr>
        <w:t>2067</w:t>
      </w:r>
      <w:r>
        <w:rPr>
          <w:rFonts w:cs="Times New Roman"/>
          <w:szCs w:val="22"/>
        </w:rPr>
        <w:t xml:space="preserve">. Notwithstanding any other provision in the </w:t>
      </w:r>
      <w:r w:rsidR="000F65D0">
        <w:rPr>
          <w:rFonts w:cs="Times New Roman"/>
          <w:szCs w:val="22"/>
        </w:rPr>
        <w:t xml:space="preserve">Senior </w:t>
      </w:r>
      <w:r>
        <w:rPr>
          <w:rFonts w:cs="Times New Roman"/>
          <w:szCs w:val="22"/>
        </w:rPr>
        <w:t xml:space="preserve">LT Indenture, in accordance with the Governing Document (because the District is not permitted to impose an ad valorem property tax levy after a period exceeding forty (40) years from the first date of imposition of the property tax levy for the </w:t>
      </w:r>
      <w:r w:rsidR="00787226">
        <w:rPr>
          <w:rFonts w:cs="Times New Roman"/>
          <w:szCs w:val="22"/>
        </w:rPr>
        <w:t>2026A-1 Senior LT Bond</w:t>
      </w:r>
      <w:r>
        <w:rPr>
          <w:rFonts w:cs="Times New Roman"/>
          <w:szCs w:val="22"/>
        </w:rPr>
        <w:t xml:space="preserve">s) in the event that any amount of principal of or interest on the </w:t>
      </w:r>
      <w:r w:rsidR="00787226">
        <w:rPr>
          <w:rFonts w:cs="Times New Roman"/>
          <w:szCs w:val="22"/>
        </w:rPr>
        <w:t>2026A-1 Senior LT Bond</w:t>
      </w:r>
      <w:r>
        <w:rPr>
          <w:rFonts w:cs="Times New Roman"/>
          <w:szCs w:val="22"/>
        </w:rPr>
        <w:t xml:space="preserve">s remains unpaid after the application of all </w:t>
      </w:r>
      <w:r w:rsidR="00B64C22">
        <w:rPr>
          <w:rFonts w:cs="Times New Roman"/>
          <w:szCs w:val="22"/>
        </w:rPr>
        <w:t xml:space="preserve">Senior LT </w:t>
      </w:r>
      <w:r>
        <w:rPr>
          <w:rFonts w:cs="Times New Roman"/>
          <w:szCs w:val="22"/>
        </w:rPr>
        <w:t xml:space="preserve">Pledged Revenue available therefor on March 1, </w:t>
      </w:r>
      <w:r w:rsidR="00381A2D">
        <w:rPr>
          <w:rFonts w:cs="Times New Roman"/>
          <w:szCs w:val="22"/>
        </w:rPr>
        <w:t>2067</w:t>
      </w:r>
      <w:r>
        <w:rPr>
          <w:rFonts w:cs="Times New Roman"/>
          <w:szCs w:val="22"/>
        </w:rPr>
        <w:t xml:space="preserve">, the </w:t>
      </w:r>
      <w:r w:rsidR="00787226">
        <w:rPr>
          <w:rFonts w:cs="Times New Roman"/>
          <w:szCs w:val="22"/>
        </w:rPr>
        <w:t>2026A-1 Senior LT Bond</w:t>
      </w:r>
      <w:r>
        <w:rPr>
          <w:rFonts w:cs="Times New Roman"/>
          <w:szCs w:val="22"/>
        </w:rPr>
        <w:t xml:space="preserve">s and the lien of the </w:t>
      </w:r>
      <w:r w:rsidR="000F65D0">
        <w:rPr>
          <w:rFonts w:cs="Times New Roman"/>
          <w:szCs w:val="22"/>
        </w:rPr>
        <w:t xml:space="preserve">Senior </w:t>
      </w:r>
      <w:r>
        <w:rPr>
          <w:rFonts w:cs="Times New Roman"/>
          <w:szCs w:val="22"/>
        </w:rPr>
        <w:t xml:space="preserve">LT Indenture securing payment thereof shall be deemed discharged, the estate and rights thereby granted shall cease, terminate, and be void, and thereupon the Trustee shall cancel and discharge the lien of the </w:t>
      </w:r>
      <w:r w:rsidR="000F65D0">
        <w:rPr>
          <w:rFonts w:cs="Times New Roman"/>
          <w:szCs w:val="22"/>
        </w:rPr>
        <w:t xml:space="preserve">Senior </w:t>
      </w:r>
      <w:r>
        <w:rPr>
          <w:rFonts w:cs="Times New Roman"/>
          <w:szCs w:val="22"/>
        </w:rPr>
        <w:t xml:space="preserve">LT Indenture, and execute and deliver to the District such instruments in writing as shall be requested to evidence the same. Upon such discharge, the Owners will have no recourse to the District or any property of the District for the payment of any amount of principal of or interest on the </w:t>
      </w:r>
      <w:r w:rsidR="00787226">
        <w:rPr>
          <w:rFonts w:cs="Times New Roman"/>
          <w:szCs w:val="22"/>
        </w:rPr>
        <w:t>2026A-1 Senior LT Bond</w:t>
      </w:r>
      <w:r>
        <w:rPr>
          <w:rFonts w:cs="Times New Roman"/>
          <w:szCs w:val="22"/>
        </w:rPr>
        <w:t>s remaining unpaid.</w:t>
      </w:r>
    </w:p>
    <w:p w14:paraId="3D8A9E5A" w14:textId="48F1B732" w:rsidR="00753A6B" w:rsidRPr="008B1D35" w:rsidRDefault="00753A6B" w:rsidP="00477A70">
      <w:pPr>
        <w:pStyle w:val="Heading1"/>
        <w:rPr>
          <w:rFonts w:cs="Times New Roman"/>
          <w:sz w:val="22"/>
          <w:szCs w:val="22"/>
        </w:rPr>
      </w:pPr>
      <w:bookmarkStart w:id="116" w:name="_Toc67317766"/>
      <w:bookmarkStart w:id="117" w:name="_Toc235521068"/>
      <w:bookmarkStart w:id="118" w:name="_Hlk89609864"/>
      <w:r>
        <w:rPr>
          <w:rFonts w:cs="Times New Roman"/>
          <w:sz w:val="22"/>
          <w:szCs w:val="22"/>
        </w:rPr>
        <w:t>THE 2026A-2 SR BONDS</w:t>
      </w:r>
      <w:bookmarkEnd w:id="116"/>
      <w:bookmarkEnd w:id="117"/>
    </w:p>
    <w:bookmarkEnd w:id="118"/>
    <w:p w14:paraId="7D55646F" w14:textId="154B039C" w:rsidR="005242D4" w:rsidRPr="009225E0" w:rsidRDefault="005242D4" w:rsidP="005242D4">
      <w:pPr>
        <w:pStyle w:val="00BodyText5"/>
        <w:rPr>
          <w:rFonts w:cs="Times New Roman"/>
          <w:i/>
          <w:szCs w:val="22"/>
        </w:rPr>
      </w:pPr>
      <w:r>
        <w:rPr>
          <w:rFonts w:cs="Times New Roman"/>
          <w:i/>
          <w:szCs w:val="22"/>
        </w:rPr>
        <w:t>The following is a summary of certain general provisions of the 2026A-2 SR Bonds. Reference is hereby made to the SR Indenture in its entirety for the detailed provisions pertaining to the 2026A-2 SR Bonds.</w:t>
      </w:r>
    </w:p>
    <w:p w14:paraId="4FFADF60" w14:textId="77777777" w:rsidR="005242D4" w:rsidRPr="00E74B37" w:rsidRDefault="005242D4" w:rsidP="00B471D8">
      <w:pPr>
        <w:pStyle w:val="Heading2"/>
        <w:numPr>
          <w:ilvl w:val="1"/>
          <w:numId w:val="2"/>
        </w:numPr>
        <w:rPr>
          <w:rFonts w:eastAsia="Times New Roman"/>
          <w:sz w:val="22"/>
          <w:szCs w:val="22"/>
        </w:rPr>
      </w:pPr>
      <w:bookmarkStart w:id="119" w:name="_Toc85780558"/>
      <w:bookmarkStart w:id="120" w:name="_Toc235521069"/>
      <w:r>
        <w:rPr>
          <w:rFonts w:eastAsia="Times New Roman"/>
          <w:sz w:val="22"/>
          <w:szCs w:val="22"/>
        </w:rPr>
        <w:t>Description</w:t>
      </w:r>
      <w:bookmarkEnd w:id="119"/>
      <w:bookmarkEnd w:id="120"/>
    </w:p>
    <w:p w14:paraId="665832D3" w14:textId="536D451D" w:rsidR="005242D4" w:rsidRDefault="005242D4" w:rsidP="005242D4">
      <w:pPr>
        <w:pStyle w:val="00BodyText5"/>
        <w:rPr>
          <w:rFonts w:cs="Times New Roman"/>
          <w:szCs w:val="22"/>
        </w:rPr>
      </w:pPr>
      <w:r>
        <w:rPr>
          <w:rFonts w:cs="Times New Roman"/>
          <w:szCs w:val="22"/>
        </w:rPr>
        <w:t xml:space="preserve">The 2026A-2 SR Bonds will be issued in the principal amount, will be dated and will mature as indicated on the inside cover page of this Official Statement. For a complete statement of the details and conditions of the issuance of the 2026A-2 SR Bonds, reference is made to the SR Indenture and the Bond Resolution, copies of which are available from the Underwriter prior to delivery of the 2026A-2 SR Bonds. See “INTRODUCTION—Additional Information.” </w:t>
      </w:r>
    </w:p>
    <w:p w14:paraId="61245B68" w14:textId="77777777" w:rsidR="00607589" w:rsidRPr="002858E3" w:rsidRDefault="00607589" w:rsidP="00607589">
      <w:pPr>
        <w:pStyle w:val="00BodyText5"/>
      </w:pPr>
      <w:r w:rsidRPr="007314B1">
        <w:rPr>
          <w:rFonts w:cs="Times New Roman"/>
          <w:b/>
          <w:i/>
          <w:szCs w:val="22"/>
        </w:rPr>
        <w:t xml:space="preserve">The </w:t>
      </w:r>
      <w:r>
        <w:rPr>
          <w:rFonts w:cs="Times New Roman"/>
          <w:b/>
          <w:i/>
          <w:szCs w:val="22"/>
        </w:rPr>
        <w:t>2026A-2 SR Bonds</w:t>
      </w:r>
      <w:r w:rsidRPr="007314B1">
        <w:rPr>
          <w:rFonts w:cs="Times New Roman"/>
          <w:b/>
          <w:i/>
          <w:szCs w:val="22"/>
        </w:rPr>
        <w:t xml:space="preserve"> are authorized, issued and secured by and in accordance with the </w:t>
      </w:r>
      <w:r>
        <w:rPr>
          <w:rFonts w:cs="Times New Roman"/>
          <w:b/>
          <w:i/>
          <w:szCs w:val="22"/>
        </w:rPr>
        <w:t>SR</w:t>
      </w:r>
      <w:r w:rsidRPr="007314B1">
        <w:rPr>
          <w:rFonts w:cs="Times New Roman"/>
          <w:b/>
          <w:i/>
          <w:szCs w:val="22"/>
        </w:rPr>
        <w:t xml:space="preserve"> Indenture. No covenant, agreement or other provision of the </w:t>
      </w:r>
      <w:r>
        <w:rPr>
          <w:rFonts w:cs="Times New Roman"/>
          <w:b/>
          <w:i/>
          <w:szCs w:val="22"/>
        </w:rPr>
        <w:t xml:space="preserve">Senior LT Indenture or the </w:t>
      </w:r>
      <w:r w:rsidRPr="007314B1">
        <w:rPr>
          <w:rFonts w:cs="Times New Roman"/>
          <w:b/>
          <w:i/>
          <w:szCs w:val="22"/>
        </w:rPr>
        <w:t>S</w:t>
      </w:r>
      <w:r>
        <w:rPr>
          <w:rFonts w:cs="Times New Roman"/>
          <w:b/>
          <w:i/>
          <w:szCs w:val="22"/>
        </w:rPr>
        <w:t>ubordinate</w:t>
      </w:r>
      <w:r w:rsidRPr="007314B1">
        <w:rPr>
          <w:rFonts w:cs="Times New Roman"/>
          <w:b/>
          <w:i/>
          <w:szCs w:val="22"/>
        </w:rPr>
        <w:t xml:space="preserve"> LT Indenture secures or is otherwise made by the District or the Trustee for the benefit of Owners of the </w:t>
      </w:r>
      <w:r>
        <w:rPr>
          <w:rFonts w:cs="Times New Roman"/>
          <w:b/>
          <w:i/>
          <w:szCs w:val="22"/>
        </w:rPr>
        <w:t>2026A-2 SR Bonds.</w:t>
      </w:r>
    </w:p>
    <w:p w14:paraId="62914D24" w14:textId="701E72BB" w:rsidR="00140DB3" w:rsidRPr="00140DB3" w:rsidRDefault="00E75172" w:rsidP="00B471D8">
      <w:pPr>
        <w:pStyle w:val="Heading2"/>
        <w:numPr>
          <w:ilvl w:val="1"/>
          <w:numId w:val="2"/>
        </w:numPr>
        <w:rPr>
          <w:sz w:val="22"/>
          <w:szCs w:val="22"/>
        </w:rPr>
      </w:pPr>
      <w:bookmarkStart w:id="121" w:name="_Toc235521070"/>
      <w:r>
        <w:rPr>
          <w:sz w:val="22"/>
          <w:szCs w:val="22"/>
        </w:rPr>
        <w:t>“Cash Flow”</w:t>
      </w:r>
      <w:r w:rsidR="00140DB3">
        <w:rPr>
          <w:sz w:val="22"/>
          <w:szCs w:val="22"/>
        </w:rPr>
        <w:t xml:space="preserve"> Nature of 2026A-2 SR Bonds</w:t>
      </w:r>
      <w:bookmarkEnd w:id="121"/>
    </w:p>
    <w:p w14:paraId="7B4939DD" w14:textId="165AFCBC" w:rsidR="00140DB3" w:rsidRPr="00140DB3" w:rsidRDefault="00140DB3" w:rsidP="00140DB3">
      <w:pPr>
        <w:pStyle w:val="00BodyText5"/>
        <w:rPr>
          <w:rFonts w:cs="Times New Roman"/>
          <w:szCs w:val="22"/>
        </w:rPr>
      </w:pPr>
      <w:r>
        <w:rPr>
          <w:rFonts w:cs="Times New Roman"/>
          <w:szCs w:val="22"/>
        </w:rPr>
        <w:t xml:space="preserve">The 2026A-2 SR Bonds are structured as “cash flow” bonds, meaning that there are no scheduled payments of principal thereof prior to the final maturity date. Rather, principal on the 2026A-2 SR Bonds is payable on </w:t>
      </w:r>
      <w:r w:rsidR="00AD0041">
        <w:rPr>
          <w:rFonts w:cs="Times New Roman"/>
          <w:szCs w:val="22"/>
        </w:rPr>
        <w:t>December 1</w:t>
      </w:r>
      <w:r>
        <w:rPr>
          <w:rFonts w:cs="Times New Roman"/>
          <w:szCs w:val="22"/>
        </w:rPr>
        <w:t xml:space="preserve"> of each year commencing </w:t>
      </w:r>
      <w:r w:rsidR="00AD0041">
        <w:rPr>
          <w:rFonts w:cs="Times New Roman"/>
          <w:szCs w:val="22"/>
        </w:rPr>
        <w:t>December 1</w:t>
      </w:r>
      <w:r>
        <w:rPr>
          <w:rFonts w:cs="Times New Roman"/>
          <w:szCs w:val="22"/>
        </w:rPr>
        <w:t>, 202</w:t>
      </w:r>
      <w:r w:rsidR="00AD0041">
        <w:rPr>
          <w:rFonts w:cs="Times New Roman"/>
          <w:szCs w:val="22"/>
        </w:rPr>
        <w:t>6</w:t>
      </w:r>
      <w:r>
        <w:rPr>
          <w:rFonts w:cs="Times New Roman"/>
          <w:szCs w:val="22"/>
        </w:rPr>
        <w:t>, to the extent of moneys on deposit, if any, in the SR Bond Fund 30 days prior to the applicable SR Mandatory Redemption Date, in accordance with the terms of the SR Indenture, pursuant to a mandatory redemption more particularly described in “—Redemption—</w:t>
      </w:r>
      <w:r>
        <w:rPr>
          <w:rFonts w:cs="Times New Roman"/>
          <w:i/>
          <w:szCs w:val="22"/>
        </w:rPr>
        <w:t>Mandatory Redemption</w:t>
      </w:r>
      <w:r>
        <w:rPr>
          <w:rFonts w:cs="Times New Roman"/>
          <w:szCs w:val="22"/>
        </w:rPr>
        <w:t>” below and “—</w:t>
      </w:r>
      <w:r w:rsidR="00AF75BD">
        <w:rPr>
          <w:rFonts w:cs="Times New Roman"/>
          <w:szCs w:val="22"/>
        </w:rPr>
        <w:t xml:space="preserve">Certain </w:t>
      </w:r>
      <w:r>
        <w:rPr>
          <w:rFonts w:cs="Times New Roman"/>
          <w:szCs w:val="22"/>
        </w:rPr>
        <w:t>SR Indenture Provisions—</w:t>
      </w:r>
      <w:r>
        <w:rPr>
          <w:rFonts w:cs="Times New Roman"/>
          <w:i/>
          <w:szCs w:val="22"/>
        </w:rPr>
        <w:t>SR Bond Fund</w:t>
      </w:r>
      <w:r>
        <w:rPr>
          <w:rFonts w:cs="Times New Roman"/>
          <w:szCs w:val="22"/>
        </w:rPr>
        <w:t xml:space="preserve">.” Furthermore, accrued unpaid interest on the 2026A-2 SR Bonds will compound annually on each </w:t>
      </w:r>
      <w:r w:rsidR="00AD0041">
        <w:rPr>
          <w:rFonts w:cs="Times New Roman"/>
          <w:szCs w:val="22"/>
        </w:rPr>
        <w:t>December 1</w:t>
      </w:r>
      <w:r>
        <w:rPr>
          <w:rFonts w:cs="Times New Roman"/>
          <w:szCs w:val="22"/>
        </w:rPr>
        <w:t>. As further described in “—</w:t>
      </w:r>
      <w:r w:rsidR="00AF75BD">
        <w:rPr>
          <w:rFonts w:cs="Times New Roman"/>
          <w:szCs w:val="22"/>
        </w:rPr>
        <w:t xml:space="preserve">Certain </w:t>
      </w:r>
      <w:r>
        <w:rPr>
          <w:rFonts w:cs="Times New Roman"/>
          <w:szCs w:val="22"/>
        </w:rPr>
        <w:t>SR Indenture Provisions—</w:t>
      </w:r>
      <w:r>
        <w:rPr>
          <w:rFonts w:cs="Times New Roman"/>
          <w:i/>
          <w:szCs w:val="22"/>
        </w:rPr>
        <w:t>SR Bond Fund,</w:t>
      </w:r>
      <w:r>
        <w:rPr>
          <w:rFonts w:cs="Times New Roman"/>
          <w:szCs w:val="22"/>
        </w:rPr>
        <w:t xml:space="preserve">” interest payable on the 2026A-2 SR Bonds in each SR Bond Year is to be paid prior to any payments of principal in such SR Bond Year. </w:t>
      </w:r>
      <w:r>
        <w:rPr>
          <w:rFonts w:cs="Times New Roman"/>
          <w:i/>
          <w:szCs w:val="22"/>
        </w:rPr>
        <w:t xml:space="preserve">There is no assurance that SR Pledged Revenue will be sufficient to make payment on the 2026A-2 SR Bonds as projected in the </w:t>
      </w:r>
      <w:r w:rsidR="00CD137B">
        <w:rPr>
          <w:rFonts w:cs="Times New Roman"/>
          <w:i/>
          <w:szCs w:val="22"/>
        </w:rPr>
        <w:t xml:space="preserve">SR </w:t>
      </w:r>
      <w:r>
        <w:rPr>
          <w:rFonts w:cs="Times New Roman"/>
          <w:i/>
          <w:szCs w:val="22"/>
        </w:rPr>
        <w:t>Financial Forecast, or ever.</w:t>
      </w:r>
      <w:r>
        <w:rPr>
          <w:rFonts w:cs="Times New Roman"/>
          <w:szCs w:val="22"/>
        </w:rPr>
        <w:t xml:space="preserve"> See also the Financial Forecasts, attached as APPENDIX A hereto, and “RISK FACTORS—Risks Inherent in Market Study and Financial Forecasts.”</w:t>
      </w:r>
    </w:p>
    <w:p w14:paraId="60A2B765" w14:textId="77777777" w:rsidR="005242D4" w:rsidRPr="00E74B37" w:rsidRDefault="005242D4" w:rsidP="00B471D8">
      <w:pPr>
        <w:pStyle w:val="Heading2"/>
        <w:numPr>
          <w:ilvl w:val="1"/>
          <w:numId w:val="2"/>
        </w:numPr>
        <w:rPr>
          <w:rFonts w:eastAsia="Times New Roman"/>
          <w:sz w:val="22"/>
          <w:szCs w:val="22"/>
        </w:rPr>
      </w:pPr>
      <w:bookmarkStart w:id="122" w:name="_Toc85780559"/>
      <w:bookmarkStart w:id="123" w:name="_Toc235521071"/>
      <w:r>
        <w:rPr>
          <w:rFonts w:eastAsia="Times New Roman"/>
          <w:sz w:val="22"/>
          <w:szCs w:val="22"/>
        </w:rPr>
        <w:t xml:space="preserve">Discharge </w:t>
      </w:r>
      <w:bookmarkEnd w:id="122"/>
      <w:r>
        <w:rPr>
          <w:rFonts w:eastAsia="Times New Roman"/>
          <w:sz w:val="22"/>
          <w:szCs w:val="22"/>
        </w:rPr>
        <w:t>Upon Payment of All Contract Fees</w:t>
      </w:r>
      <w:bookmarkEnd w:id="123"/>
    </w:p>
    <w:p w14:paraId="5D62895D" w14:textId="4FB0034B" w:rsidR="005242D4" w:rsidRPr="00E74B37" w:rsidRDefault="002D2365" w:rsidP="005242D4">
      <w:pPr>
        <w:pStyle w:val="00BodyText5"/>
        <w:rPr>
          <w:rFonts w:cs="Times New Roman"/>
          <w:szCs w:val="22"/>
        </w:rPr>
      </w:pPr>
      <w:r>
        <w:rPr>
          <w:rFonts w:cs="Times New Roman"/>
          <w:b/>
          <w:szCs w:val="22"/>
        </w:rPr>
        <w:t>Notwithstanding any other provision in the SR Indenture, in the event that any amount of principal of or interest on the 2026A-2 SR Bonds remains unpaid after the application of all SR Pledged Revenue available therefor after collection of all Contract Fees due and owing in the District and exhaustion of any applicable remedies available to the Trustee under the SR Indenture and the Contract Fee</w:t>
      </w:r>
      <w:r w:rsidR="00CD137B">
        <w:rPr>
          <w:rFonts w:cs="Times New Roman"/>
          <w:b/>
          <w:szCs w:val="22"/>
        </w:rPr>
        <w:t>s</w:t>
      </w:r>
      <w:r>
        <w:rPr>
          <w:rFonts w:cs="Times New Roman"/>
          <w:b/>
          <w:szCs w:val="22"/>
        </w:rPr>
        <w:t xml:space="preserve"> Resolution and the Contract Fee Interlocal Agreement to collect any unpaid Contract Fees due and owing, the 2026A-2 SR Bonds and the lien of the SR Indenture securing payment thereof are to be deemed discharged, the estate and rights thereby granted are to cease, terminate, and be void, and thereupon the Trustee is to cancel and discharge the lien of the SR Indenture, and execute and deliver to the District such instruments in writing as are to be required to evidence the same. Upon such discharge, the Owners will have no recourse to the District or any property of the District for the payment of any amount of principal of or interest on the 2026A-2 SR Bonds remaining unpaid.</w:t>
      </w:r>
    </w:p>
    <w:p w14:paraId="283C8F4D" w14:textId="76CC1535" w:rsidR="005242D4" w:rsidRPr="00E74B37" w:rsidRDefault="005242D4" w:rsidP="00B471D8">
      <w:pPr>
        <w:pStyle w:val="Heading2"/>
        <w:numPr>
          <w:ilvl w:val="1"/>
          <w:numId w:val="2"/>
        </w:numPr>
        <w:rPr>
          <w:rFonts w:eastAsia="Times New Roman"/>
          <w:sz w:val="22"/>
          <w:szCs w:val="22"/>
        </w:rPr>
      </w:pPr>
      <w:bookmarkStart w:id="124" w:name="_Toc85780560"/>
      <w:bookmarkStart w:id="125" w:name="_Toc235521072"/>
      <w:r>
        <w:rPr>
          <w:rFonts w:eastAsia="Times New Roman"/>
          <w:sz w:val="22"/>
          <w:szCs w:val="22"/>
        </w:rPr>
        <w:t>Authorized Denominations of the 2026A-2 SR Bonds</w:t>
      </w:r>
      <w:bookmarkEnd w:id="124"/>
      <w:bookmarkEnd w:id="125"/>
    </w:p>
    <w:p w14:paraId="365240A2" w14:textId="36A960CE" w:rsidR="005242D4" w:rsidRPr="00E74B37" w:rsidRDefault="005242D4" w:rsidP="005242D4">
      <w:pPr>
        <w:pStyle w:val="00BodyText5"/>
        <w:rPr>
          <w:rFonts w:cs="Times New Roman"/>
          <w:szCs w:val="22"/>
        </w:rPr>
      </w:pPr>
      <w:r>
        <w:rPr>
          <w:rFonts w:cs="Times New Roman"/>
          <w:szCs w:val="22"/>
        </w:rPr>
        <w:t>The 2026A-2 SR Bonds are being issued in “</w:t>
      </w:r>
      <w:r>
        <w:rPr>
          <w:rFonts w:cs="Times New Roman"/>
          <w:b/>
          <w:szCs w:val="22"/>
        </w:rPr>
        <w:t>Authorized Denominations</w:t>
      </w:r>
      <w:r>
        <w:rPr>
          <w:rFonts w:cs="Times New Roman"/>
          <w:szCs w:val="22"/>
        </w:rPr>
        <w:t xml:space="preserve">,” defined in the SR Indenture to mean the amount of $500,000 or any integral multiple of $1,000 in excess thereof, provided that no individual 2026A-2 SR Bond may be in an amount which exceeds the principal amount coming due on any maturity date. Notwithstanding the foregoing, in the event a 2026A-2 SR Bond is partially redeemed and the unredeemed portion is less than $500,000, such unredeemed portion of such 2026A-2 SR Bond may be issued in the largest possible denomination of less than $500,000, in an integral multiple of $1,000. </w:t>
      </w:r>
    </w:p>
    <w:p w14:paraId="0C866185" w14:textId="77777777" w:rsidR="005242D4" w:rsidRPr="00E74B37" w:rsidRDefault="005242D4" w:rsidP="00B471D8">
      <w:pPr>
        <w:pStyle w:val="Heading2"/>
        <w:numPr>
          <w:ilvl w:val="1"/>
          <w:numId w:val="2"/>
        </w:numPr>
        <w:rPr>
          <w:rFonts w:eastAsia="Times New Roman"/>
          <w:sz w:val="22"/>
          <w:szCs w:val="22"/>
        </w:rPr>
      </w:pPr>
      <w:bookmarkStart w:id="126" w:name="_Toc85780561"/>
      <w:bookmarkStart w:id="127" w:name="_Toc235521073"/>
      <w:r>
        <w:rPr>
          <w:rFonts w:eastAsia="Times New Roman"/>
          <w:sz w:val="22"/>
          <w:szCs w:val="22"/>
        </w:rPr>
        <w:t>Payment of Principal and Interest</w:t>
      </w:r>
      <w:bookmarkEnd w:id="126"/>
      <w:bookmarkEnd w:id="127"/>
    </w:p>
    <w:p w14:paraId="1A57D68D" w14:textId="66C675F4" w:rsidR="005242D4" w:rsidRPr="00E74B37" w:rsidRDefault="005242D4" w:rsidP="005242D4">
      <w:pPr>
        <w:pStyle w:val="00BodyText5"/>
        <w:rPr>
          <w:rFonts w:cs="Times New Roman"/>
          <w:szCs w:val="22"/>
        </w:rPr>
      </w:pPr>
      <w:r>
        <w:rPr>
          <w:rFonts w:cs="Times New Roman"/>
          <w:szCs w:val="22"/>
        </w:rPr>
        <w:t xml:space="preserve">The 2026A-2 SR Bonds will bear interest at the rates set forth on the front cover hereof (computed on the basis of a 360-day year of twelve 30-day months) payable to the extent of SR Pledged Revenue available therefor annually on each </w:t>
      </w:r>
      <w:r w:rsidR="00AD0041">
        <w:rPr>
          <w:rFonts w:cs="Times New Roman"/>
          <w:szCs w:val="22"/>
        </w:rPr>
        <w:t>December 1</w:t>
      </w:r>
      <w:r>
        <w:rPr>
          <w:rFonts w:cs="Times New Roman"/>
          <w:szCs w:val="22"/>
        </w:rPr>
        <w:t xml:space="preserve"> commencing </w:t>
      </w:r>
      <w:r w:rsidR="00AD0041">
        <w:rPr>
          <w:rFonts w:cs="Times New Roman"/>
          <w:szCs w:val="22"/>
        </w:rPr>
        <w:t>December 1</w:t>
      </w:r>
      <w:r>
        <w:rPr>
          <w:rFonts w:cs="Times New Roman"/>
          <w:szCs w:val="22"/>
        </w:rPr>
        <w:t>, 202[_] (each a “</w:t>
      </w:r>
      <w:r>
        <w:rPr>
          <w:rFonts w:cs="Times New Roman"/>
          <w:b/>
          <w:szCs w:val="22"/>
        </w:rPr>
        <w:t>SR Interest Payment Date</w:t>
      </w:r>
      <w:r>
        <w:rPr>
          <w:rFonts w:cs="Times New Roman"/>
          <w:szCs w:val="22"/>
        </w:rPr>
        <w:t xml:space="preserve">”). </w:t>
      </w:r>
    </w:p>
    <w:p w14:paraId="36CEB1A5" w14:textId="0B9034C8" w:rsidR="005242D4" w:rsidRPr="00E74B37" w:rsidRDefault="002D2365" w:rsidP="005242D4">
      <w:pPr>
        <w:pStyle w:val="00BodyText5"/>
        <w:rPr>
          <w:rFonts w:cs="Times New Roman"/>
          <w:szCs w:val="22"/>
        </w:rPr>
      </w:pPr>
      <w:r>
        <w:rPr>
          <w:rFonts w:cs="Times New Roman"/>
          <w:szCs w:val="22"/>
        </w:rPr>
        <w:t xml:space="preserve">To the extent principal of any 2026A-2 SR Bond is not paid when due, such principal will remain Outstanding until paid; </w:t>
      </w:r>
      <w:r>
        <w:rPr>
          <w:rFonts w:cs="Times New Roman"/>
          <w:b/>
          <w:szCs w:val="22"/>
        </w:rPr>
        <w:t>provided that notwithstanding any other provision in the SR Indenture, in the event that any amount of principal of or interest on the 2026A-2 SR Bonds remains unpaid after the application of all SR Pledged Revenue available therefor after collection of all Contract Fees due and owing in the District and exhaustion of any applicable remedies available to the Trustee under the SR Indenture and the Contract Fee</w:t>
      </w:r>
      <w:r w:rsidR="00CD137B">
        <w:rPr>
          <w:rFonts w:cs="Times New Roman"/>
          <w:b/>
          <w:szCs w:val="22"/>
        </w:rPr>
        <w:t>s</w:t>
      </w:r>
      <w:r>
        <w:rPr>
          <w:rFonts w:cs="Times New Roman"/>
          <w:b/>
          <w:szCs w:val="22"/>
        </w:rPr>
        <w:t xml:space="preserve"> Resolution and the Contract Fee Interlocal Agreement to collect any unpaid Contract Fees due and owing, the 2026A-2 SR Bonds will be deemed discharged</w:t>
      </w:r>
      <w:r>
        <w:rPr>
          <w:rFonts w:cs="Times New Roman"/>
          <w:szCs w:val="22"/>
        </w:rPr>
        <w:t xml:space="preserve">. To the extent interest on any 2026A-2 SR Bond is not paid when due, such interest will compound annually on each SR Interest Payment Date, at the interest rate then borne by the 2026A-2 SR Bond; </w:t>
      </w:r>
      <w:r>
        <w:t>provided however, that notwithstanding anything in the SR Indenture to the contrary, the District shall not be obligated to pay more than the amount permitted by law</w:t>
      </w:r>
      <w:r>
        <w:rPr>
          <w:rFonts w:cs="Times New Roman"/>
          <w:szCs w:val="22"/>
        </w:rPr>
        <w:t xml:space="preserve">. </w:t>
      </w:r>
    </w:p>
    <w:p w14:paraId="3281D94A" w14:textId="1E7C9E58" w:rsidR="005242D4" w:rsidRPr="009225E0" w:rsidRDefault="005242D4" w:rsidP="005242D4">
      <w:pPr>
        <w:pStyle w:val="00BodyText5"/>
        <w:rPr>
          <w:rFonts w:cs="Times New Roman"/>
          <w:szCs w:val="22"/>
        </w:rPr>
      </w:pPr>
      <w:r>
        <w:rPr>
          <w:rFonts w:cs="Times New Roman"/>
          <w:szCs w:val="22"/>
        </w:rPr>
        <w:t xml:space="preserve">The principal of and premium, if any, on the 2026A-2 SR Bonds are payable in lawful money of the United States of America to the Owner of each 2026A-2 SR Bond upon maturity or prior redemption and presentation at the principal office of the Trustee. The interest on any 2026A-2 SR Bond is payable to the person in whose name such 2026A-2 SR Bond is registered, at his address as it appears on the registration books maintained by or on behalf of the District by the Trustee, at the close of business on the SR Record Date, irrespective of any transfer or exchange of such 2026A-2 SR Bond subsequent to such SR Record Date and prior to such SR Interest Payment Date; provided that any such interest not so timely paid or duly provided for will cease to be payable to the person who is the Owner thereof at the close of business on the SR Record Date and will be payable to the person who is the Owner thereof at the close of business on a Special Record Date for the payment of any such unpaid interest. </w:t>
      </w:r>
    </w:p>
    <w:p w14:paraId="3A79B743" w14:textId="20EB871A" w:rsidR="005242D4" w:rsidRPr="009225E0" w:rsidRDefault="005242D4" w:rsidP="005242D4">
      <w:pPr>
        <w:pStyle w:val="00BodyText5"/>
        <w:rPr>
          <w:rFonts w:cs="Times New Roman"/>
          <w:szCs w:val="22"/>
        </w:rPr>
      </w:pPr>
      <w:r>
        <w:rPr>
          <w:rFonts w:cs="Times New Roman"/>
          <w:szCs w:val="22"/>
        </w:rPr>
        <w:t>Payments for the principal of and interest on the 2026A-2 SR Bonds will be made as described in APPENDIX G—BOOK-ENTRY-ONLY SYSTEM.</w:t>
      </w:r>
    </w:p>
    <w:p w14:paraId="6A7854D6" w14:textId="77777777" w:rsidR="005242D4" w:rsidRPr="009225E0" w:rsidRDefault="005242D4" w:rsidP="00B471D8">
      <w:pPr>
        <w:pStyle w:val="Heading2"/>
        <w:numPr>
          <w:ilvl w:val="1"/>
          <w:numId w:val="2"/>
        </w:numPr>
        <w:rPr>
          <w:rFonts w:eastAsia="Times New Roman"/>
          <w:sz w:val="22"/>
          <w:szCs w:val="22"/>
        </w:rPr>
      </w:pPr>
      <w:bookmarkStart w:id="128" w:name="_Toc85780562"/>
      <w:bookmarkStart w:id="129" w:name="_Toc235521074"/>
      <w:r>
        <w:rPr>
          <w:rFonts w:eastAsia="Times New Roman"/>
          <w:sz w:val="22"/>
          <w:szCs w:val="22"/>
        </w:rPr>
        <w:t>Redemption</w:t>
      </w:r>
      <w:bookmarkEnd w:id="128"/>
      <w:bookmarkEnd w:id="129"/>
    </w:p>
    <w:p w14:paraId="255B8B3B" w14:textId="611B6F36" w:rsidR="005242D4" w:rsidRPr="00E74B37" w:rsidRDefault="005242D4" w:rsidP="005242D4">
      <w:pPr>
        <w:pStyle w:val="00BodyText5"/>
        <w:rPr>
          <w:rFonts w:cs="Times New Roman"/>
          <w:szCs w:val="22"/>
        </w:rPr>
      </w:pPr>
      <w:r>
        <w:rPr>
          <w:rStyle w:val="00BodyText5Char"/>
          <w:rFonts w:cs="Times New Roman"/>
          <w:b/>
          <w:bCs/>
          <w:i/>
          <w:szCs w:val="22"/>
        </w:rPr>
        <w:t>Optional Redemption</w:t>
      </w:r>
      <w:r>
        <w:rPr>
          <w:rStyle w:val="00BodyText5Char"/>
          <w:rFonts w:cs="Times New Roman"/>
          <w:szCs w:val="22"/>
        </w:rPr>
        <w:t>. Optional redemption provisions will be as set forth in the final Official Statement.</w:t>
      </w:r>
    </w:p>
    <w:p w14:paraId="43F92914" w14:textId="6CFA3BC8" w:rsidR="005242D4" w:rsidRPr="00E74B37" w:rsidRDefault="005242D4" w:rsidP="005242D4">
      <w:pPr>
        <w:pStyle w:val="00BodyText5"/>
        <w:rPr>
          <w:rFonts w:cs="Times New Roman"/>
          <w:szCs w:val="22"/>
        </w:rPr>
      </w:pPr>
      <w:r>
        <w:rPr>
          <w:rFonts w:cs="Times New Roman"/>
          <w:b/>
          <w:i/>
          <w:szCs w:val="22"/>
        </w:rPr>
        <w:t>Mandatory Redemption</w:t>
      </w:r>
      <w:r>
        <w:rPr>
          <w:rFonts w:cs="Times New Roman"/>
          <w:szCs w:val="22"/>
        </w:rPr>
        <w:t xml:space="preserve">. The 2026A-2 SR Bonds are subject to mandatory redemption in part by lot on </w:t>
      </w:r>
      <w:r w:rsidR="00B96B68">
        <w:rPr>
          <w:rFonts w:cs="Times New Roman"/>
          <w:szCs w:val="22"/>
        </w:rPr>
        <w:t>December</w:t>
      </w:r>
      <w:r>
        <w:rPr>
          <w:rFonts w:cs="Times New Roman"/>
          <w:szCs w:val="22"/>
        </w:rPr>
        <w:t xml:space="preserve"> 1 of each year (each a “</w:t>
      </w:r>
      <w:r>
        <w:rPr>
          <w:rFonts w:cs="Times New Roman"/>
          <w:b/>
          <w:bCs/>
          <w:szCs w:val="22"/>
        </w:rPr>
        <w:t xml:space="preserve">SR </w:t>
      </w:r>
      <w:r>
        <w:rPr>
          <w:rFonts w:cs="Times New Roman"/>
          <w:b/>
          <w:szCs w:val="22"/>
        </w:rPr>
        <w:t>Mandatory Redemption Date</w:t>
      </w:r>
      <w:r>
        <w:rPr>
          <w:rFonts w:cs="Times New Roman"/>
          <w:szCs w:val="22"/>
        </w:rPr>
        <w:t xml:space="preserve">”), commencing </w:t>
      </w:r>
      <w:r w:rsidR="00B96B68">
        <w:rPr>
          <w:rFonts w:cs="Times New Roman"/>
          <w:szCs w:val="22"/>
        </w:rPr>
        <w:t>December</w:t>
      </w:r>
      <w:r>
        <w:rPr>
          <w:rFonts w:cs="Times New Roman"/>
          <w:szCs w:val="22"/>
        </w:rPr>
        <w:t xml:space="preserve"> 1, 202</w:t>
      </w:r>
      <w:r w:rsidR="00B96B68">
        <w:rPr>
          <w:rFonts w:cs="Times New Roman"/>
          <w:szCs w:val="22"/>
        </w:rPr>
        <w:t>6</w:t>
      </w:r>
      <w:r>
        <w:rPr>
          <w:rFonts w:cs="Times New Roman"/>
          <w:szCs w:val="22"/>
        </w:rPr>
        <w:t>, to the extent of moneys on deposit, if any, in the SR Mandatory Redemption Account of the SR Bond Fund 30 days prior to the applicable SR Mandatory Redemption Date, and subject to any minimum requirements with respect to the principal amount of 2026A-2 SR Bonds to be redeemed as set forth in “—</w:t>
      </w:r>
      <w:r>
        <w:rPr>
          <w:rFonts w:cs="Times New Roman"/>
          <w:i/>
          <w:szCs w:val="22"/>
        </w:rPr>
        <w:t>Redemption Procedure and Notice</w:t>
      </w:r>
      <w:r>
        <w:rPr>
          <w:rFonts w:cs="Times New Roman"/>
          <w:szCs w:val="22"/>
        </w:rPr>
        <w:t>” below, at a redemption price (the “</w:t>
      </w:r>
      <w:r>
        <w:rPr>
          <w:rFonts w:cs="Times New Roman"/>
          <w:b/>
          <w:bCs/>
          <w:szCs w:val="22"/>
        </w:rPr>
        <w:t xml:space="preserve">SR </w:t>
      </w:r>
      <w:r>
        <w:rPr>
          <w:rFonts w:cs="Times New Roman"/>
          <w:b/>
          <w:szCs w:val="22"/>
        </w:rPr>
        <w:t>Mandatory Redemption Price</w:t>
      </w:r>
      <w:r>
        <w:rPr>
          <w:rFonts w:cs="Times New Roman"/>
          <w:szCs w:val="22"/>
        </w:rPr>
        <w:t>”) equal to the principal amount thereof (with no redemption premium), plus accrued interest to the redemption date. The District acknowledges and agrees that, notwithstanding anything in the SR Indenture to the contrary, borrowed moneys are not to be used for the purpose of redeeming principal of the 2026A-2 SR Bonds pursuant to this paragraph.</w:t>
      </w:r>
    </w:p>
    <w:p w14:paraId="48A9CB84" w14:textId="2E3F3C54" w:rsidR="005242D4" w:rsidRPr="00E74B37" w:rsidRDefault="005242D4" w:rsidP="005242D4">
      <w:pPr>
        <w:pStyle w:val="00BodyText5"/>
        <w:rPr>
          <w:rFonts w:cs="Times New Roman"/>
          <w:szCs w:val="22"/>
        </w:rPr>
      </w:pPr>
      <w:r>
        <w:rPr>
          <w:rFonts w:cs="Times New Roman"/>
          <w:b/>
          <w:i/>
          <w:szCs w:val="22"/>
        </w:rPr>
        <w:t xml:space="preserve">Redemption Procedure and Notice. </w:t>
      </w:r>
      <w:r>
        <w:rPr>
          <w:rFonts w:cs="Times New Roman"/>
          <w:szCs w:val="22"/>
        </w:rPr>
        <w:t>If less than all of the 2026A-2 SR Bonds within a maturity are to be redeemed on any prior redemption date, the 2026A-2 SR Bonds to be redeemed are to be selected by lot prior to the date fixed for redemption, in such manner as the Trustee is to determine. The 2026A-2 SR Bonds are to be redeemed only in integral multiples of $1,000. In the event a 2026A-2 SR Bond is of a denomination larger than $1,000, a portion of such 2026A-2 SR Bond may be redeemed, but only in the principal amount of $1,000 or any integral multiple thereof. Such 2026A-2 SR Bond is to be treated for the purpose of redemption as that number of 2026A-2 SR Bonds which results from dividing the principal amount of such 2026A-2 SR Bond by $1,000. In the event a portion of any 2026A-2 SR Bond is redeemed, the Trustee is to, without charge to the Owner of such 2026A-2 SR Bond, authenticate and deliver a replacement 2026A-2 SR Bond or 2026A-2 SR Bonds for the unredeemed portion thereof.</w:t>
      </w:r>
    </w:p>
    <w:p w14:paraId="34F16C55" w14:textId="2C7B79C1" w:rsidR="005242D4" w:rsidRPr="00E74B37" w:rsidRDefault="005242D4" w:rsidP="005242D4">
      <w:pPr>
        <w:pStyle w:val="00BodyText5"/>
        <w:rPr>
          <w:rFonts w:cs="Times New Roman"/>
          <w:szCs w:val="22"/>
        </w:rPr>
      </w:pPr>
      <w:r>
        <w:rPr>
          <w:rFonts w:cs="Times New Roman"/>
          <w:szCs w:val="22"/>
        </w:rPr>
        <w:t>In the event any of the 2026A-2 SR Bonds or portions thereof are called for redemption as aforesaid, notice thereof identifying the 2026A-2 SR Bonds or portions thereof to be redeemed is to be given by the Trustee by mailing a copy of the redemption notice by first-class mail (postage prepaid) or by electronic means to DTC or its successors, not less than 20 days prior to the redemption date to the Owner of each 2026A-2 SR Bond to be redeemed in whole or in part at the address shown on the registration books maintained by or on behalf of the District by the Trustee. Failure to give such notice by mailing to any Owner or by electronic means to DTC or its successors, or any defect therein, is not to affect the validity of any proceeding for the redemption of other 2026A-2 SR Bonds as to which no such failure or defect exists. The redemption of the 2026A-2 SR Bonds may be contingent or subject to such conditions as may be specified in the notice, and if funds for the redemption are not irrevocably deposited with the Trustee or otherwise placed in escrow and in trust prior to the giving of notice of redemption, the notice is to be specifically subject to the deposit of funds by the District. All 2026A-2 SR Bonds so called for redemption are to cease to bear interest after the specified redemption date, provided funds for their redemption are on deposit at the place of payment at that time.</w:t>
      </w:r>
    </w:p>
    <w:p w14:paraId="2CD5C981" w14:textId="06705082" w:rsidR="005242D4" w:rsidRPr="00E74B37" w:rsidRDefault="005242D4" w:rsidP="00B471D8">
      <w:pPr>
        <w:pStyle w:val="Heading2"/>
        <w:numPr>
          <w:ilvl w:val="1"/>
          <w:numId w:val="2"/>
        </w:numPr>
        <w:tabs>
          <w:tab w:val="num" w:pos="360"/>
        </w:tabs>
        <w:rPr>
          <w:sz w:val="22"/>
          <w:szCs w:val="22"/>
        </w:rPr>
      </w:pPr>
      <w:bookmarkStart w:id="130" w:name="_Toc85780563"/>
      <w:bookmarkStart w:id="131" w:name="_Toc235521075"/>
      <w:r>
        <w:rPr>
          <w:sz w:val="22"/>
          <w:szCs w:val="22"/>
        </w:rPr>
        <w:t>Security for the 2026A-2 SR Bonds</w:t>
      </w:r>
      <w:bookmarkEnd w:id="130"/>
      <w:bookmarkEnd w:id="131"/>
    </w:p>
    <w:p w14:paraId="20A01E6D" w14:textId="4A39C6C2" w:rsidR="005242D4" w:rsidRPr="00E74B37" w:rsidRDefault="005242D4" w:rsidP="005242D4">
      <w:pPr>
        <w:pStyle w:val="00BodyText5"/>
        <w:rPr>
          <w:rFonts w:cs="Times New Roman"/>
          <w:szCs w:val="22"/>
        </w:rPr>
      </w:pPr>
      <w:r>
        <w:rPr>
          <w:rFonts w:cs="Times New Roman"/>
          <w:szCs w:val="22"/>
        </w:rPr>
        <w:t>The 2026A-2 SR Bonds are “cash flow” special limited obligations of the District secured by and payable from the SR Pledged Revenue consisting of the following revenues: (a) all Contract Fee Revenues and (b) any other legally available moneys which the District determines, in its absolute discretion, to credit to the SR Bond Fund. See “INTRODUCTION—Security and Sources of Payment for the 2026A-2 SR Bonds.”</w:t>
      </w:r>
    </w:p>
    <w:p w14:paraId="39BBF6CB" w14:textId="36459621" w:rsidR="005242D4" w:rsidRDefault="005242D4" w:rsidP="005242D4">
      <w:pPr>
        <w:pStyle w:val="00BodyText5"/>
        <w:rPr>
          <w:rFonts w:cs="Times New Roman"/>
          <w:szCs w:val="22"/>
        </w:rPr>
      </w:pPr>
      <w:r>
        <w:rPr>
          <w:rFonts w:cs="Times New Roman"/>
          <w:szCs w:val="22"/>
        </w:rPr>
        <w:t>“</w:t>
      </w:r>
      <w:r>
        <w:rPr>
          <w:rFonts w:cs="Times New Roman"/>
          <w:b/>
          <w:bCs/>
          <w:szCs w:val="22"/>
        </w:rPr>
        <w:t xml:space="preserve">Contract Fee </w:t>
      </w:r>
      <w:r>
        <w:rPr>
          <w:rFonts w:cs="Times New Roman"/>
          <w:b/>
          <w:szCs w:val="22"/>
        </w:rPr>
        <w:t>Revenues</w:t>
      </w:r>
      <w:r>
        <w:rPr>
          <w:rFonts w:cs="Times New Roman"/>
          <w:szCs w:val="22"/>
        </w:rPr>
        <w:t xml:space="preserve">” is defined in the SR Indenture as all amounts received by the District from Contract Fees either directly or from the City under the Contract Fee Interlocal Agreement (defined herein). </w:t>
      </w:r>
      <w:bookmarkStart w:id="132" w:name="_Hlk158190308"/>
      <w:r>
        <w:rPr>
          <w:rFonts w:cs="Times New Roman"/>
          <w:szCs w:val="22"/>
        </w:rPr>
        <w:t>Contract Fee Revenues are net of the collection costs of the City or the District, as applicable</w:t>
      </w:r>
      <w:bookmarkEnd w:id="132"/>
      <w:r>
        <w:rPr>
          <w:rFonts w:cs="Times New Roman"/>
          <w:szCs w:val="22"/>
        </w:rPr>
        <w:t>. See “THE DISTRICTS—Agreements and Resolutions—</w:t>
      </w:r>
      <w:r>
        <w:rPr>
          <w:rFonts w:cs="Times New Roman"/>
          <w:i/>
          <w:szCs w:val="22"/>
        </w:rPr>
        <w:t>Contract Fee</w:t>
      </w:r>
      <w:r w:rsidR="00CD137B">
        <w:rPr>
          <w:rFonts w:cs="Times New Roman"/>
          <w:i/>
          <w:szCs w:val="22"/>
        </w:rPr>
        <w:t>s</w:t>
      </w:r>
      <w:r>
        <w:rPr>
          <w:rFonts w:cs="Times New Roman"/>
          <w:i/>
          <w:szCs w:val="22"/>
        </w:rPr>
        <w:t xml:space="preserve"> Resolution</w:t>
      </w:r>
      <w:r>
        <w:rPr>
          <w:rFonts w:cs="Times New Roman"/>
          <w:szCs w:val="22"/>
        </w:rPr>
        <w:t>” and “—</w:t>
      </w:r>
      <w:r>
        <w:rPr>
          <w:rFonts w:cs="Times New Roman"/>
          <w:i/>
          <w:iCs/>
          <w:szCs w:val="22"/>
        </w:rPr>
        <w:t>Contract Fee Interlocal Agreement</w:t>
      </w:r>
      <w:r>
        <w:rPr>
          <w:rFonts w:cs="Times New Roman"/>
          <w:szCs w:val="22"/>
        </w:rPr>
        <w:t>.”</w:t>
      </w:r>
    </w:p>
    <w:p w14:paraId="30444F02" w14:textId="439FF5FA" w:rsidR="00EC2DA1" w:rsidRPr="00E74B37" w:rsidRDefault="00EC2DA1" w:rsidP="00C33FF5">
      <w:pPr>
        <w:pStyle w:val="00BodyText5"/>
        <w:rPr>
          <w:rFonts w:cs="Times New Roman"/>
          <w:szCs w:val="22"/>
        </w:rPr>
      </w:pPr>
      <w:r>
        <w:rPr>
          <w:rFonts w:cs="Times New Roman"/>
          <w:b/>
          <w:bCs/>
          <w:i/>
          <w:iCs/>
          <w:szCs w:val="22"/>
        </w:rPr>
        <w:t>Contract Fee</w:t>
      </w:r>
      <w:r w:rsidR="00CD137B">
        <w:rPr>
          <w:rFonts w:cs="Times New Roman"/>
          <w:b/>
          <w:bCs/>
          <w:i/>
          <w:iCs/>
          <w:szCs w:val="22"/>
        </w:rPr>
        <w:t>s</w:t>
      </w:r>
      <w:r>
        <w:rPr>
          <w:rFonts w:cs="Times New Roman"/>
          <w:b/>
          <w:bCs/>
          <w:i/>
          <w:iCs/>
          <w:szCs w:val="22"/>
        </w:rPr>
        <w:t xml:space="preserve"> Resolution</w:t>
      </w:r>
      <w:r>
        <w:rPr>
          <w:rFonts w:cs="Times New Roman"/>
          <w:szCs w:val="22"/>
        </w:rPr>
        <w:t xml:space="preserve">. The Board adopted a resolution dated </w:t>
      </w:r>
      <w:r w:rsidR="00252DC2">
        <w:rPr>
          <w:rFonts w:cs="Times New Roman"/>
          <w:szCs w:val="22"/>
        </w:rPr>
        <w:t>July 9, 2026</w:t>
      </w:r>
      <w:r>
        <w:rPr>
          <w:rFonts w:cs="Times New Roman"/>
          <w:szCs w:val="22"/>
        </w:rPr>
        <w:t xml:space="preserve"> (the “</w:t>
      </w:r>
      <w:r>
        <w:rPr>
          <w:rFonts w:cs="Times New Roman"/>
          <w:b/>
          <w:bCs/>
          <w:szCs w:val="22"/>
        </w:rPr>
        <w:t>Contract Fee</w:t>
      </w:r>
      <w:r w:rsidR="00CD137B">
        <w:rPr>
          <w:rFonts w:cs="Times New Roman"/>
          <w:b/>
          <w:bCs/>
          <w:szCs w:val="22"/>
        </w:rPr>
        <w:t>s</w:t>
      </w:r>
      <w:r>
        <w:rPr>
          <w:rFonts w:cs="Times New Roman"/>
          <w:b/>
          <w:bCs/>
          <w:szCs w:val="22"/>
        </w:rPr>
        <w:t xml:space="preserve"> Resolution</w:t>
      </w:r>
      <w:r>
        <w:rPr>
          <w:rFonts w:cs="Times New Roman"/>
          <w:szCs w:val="22"/>
        </w:rPr>
        <w:t>”) pursuant to which the District has imposed Contract Fees of $15,</w:t>
      </w:r>
      <w:r w:rsidR="00252DC2">
        <w:rPr>
          <w:rFonts w:cs="Times New Roman"/>
          <w:szCs w:val="22"/>
        </w:rPr>
        <w:t>450</w:t>
      </w:r>
      <w:r>
        <w:rPr>
          <w:rFonts w:cs="Times New Roman"/>
          <w:szCs w:val="22"/>
        </w:rPr>
        <w:t xml:space="preserve"> for calendar year 202</w:t>
      </w:r>
      <w:r w:rsidR="00252DC2">
        <w:rPr>
          <w:rFonts w:cs="Times New Roman"/>
          <w:szCs w:val="22"/>
        </w:rPr>
        <w:t>6</w:t>
      </w:r>
      <w:r>
        <w:rPr>
          <w:rFonts w:cs="Times New Roman"/>
          <w:szCs w:val="22"/>
        </w:rPr>
        <w:t>, with such Contract Fees to increase by 3% each calendar year thereafter without further action by the Board. The Contract Fee</w:t>
      </w:r>
      <w:r w:rsidR="00CD137B">
        <w:rPr>
          <w:rFonts w:cs="Times New Roman"/>
          <w:szCs w:val="22"/>
        </w:rPr>
        <w:t>s</w:t>
      </w:r>
      <w:r>
        <w:rPr>
          <w:rFonts w:cs="Times New Roman"/>
          <w:szCs w:val="22"/>
        </w:rPr>
        <w:t xml:space="preserve"> Resolution further states that Contract Fees for a property must be paid before issuing a building permit for residential units. Unpaid fees will result in a perpetual lien on the structure or unit, enforceable through foreclosure. Failure to make payment of the Contract Fees due under the Contract Fee</w:t>
      </w:r>
      <w:r w:rsidR="00CD137B">
        <w:rPr>
          <w:rFonts w:cs="Times New Roman"/>
          <w:szCs w:val="22"/>
        </w:rPr>
        <w:t>s</w:t>
      </w:r>
      <w:r>
        <w:rPr>
          <w:rFonts w:cs="Times New Roman"/>
          <w:szCs w:val="22"/>
        </w:rPr>
        <w:t xml:space="preserve"> Resolution constitutes a default in the payment of such Contract Fees. Upon a default thereunder, interest accrues on the total amount of the Contract Fees due at the rate of ten percent (10%) per annum and the District shall be entitled to institute such remedies and collection proceedings as may be authorized by State law, including but not limited to foreclosure of its perpetual lien. The defaulting property owner shall pay all costs, including attorneys’ fees, the District incurs in connection with the foregoing. In foreclosing the lien, the District will enforce the lien only the extent necessary to collect unpaid fees, interests, and costs.</w:t>
      </w:r>
    </w:p>
    <w:p w14:paraId="682A3ADF" w14:textId="62844947" w:rsidR="00583DE3" w:rsidRDefault="00EC2DA1" w:rsidP="00C33FF5">
      <w:pPr>
        <w:pStyle w:val="00BodyText5"/>
        <w:rPr>
          <w:rFonts w:cs="Times New Roman"/>
          <w:szCs w:val="22"/>
        </w:rPr>
      </w:pPr>
      <w:r>
        <w:rPr>
          <w:rFonts w:cs="Times New Roman"/>
          <w:b/>
          <w:bCs/>
          <w:i/>
          <w:iCs/>
          <w:szCs w:val="22"/>
        </w:rPr>
        <w:t>Contract Fee Interlocal Agreement</w:t>
      </w:r>
      <w:r>
        <w:rPr>
          <w:rFonts w:cs="Times New Roman"/>
          <w:szCs w:val="22"/>
        </w:rPr>
        <w:t>. The District and the City have entered into a</w:t>
      </w:r>
      <w:r w:rsidR="00CE10BA">
        <w:rPr>
          <w:rFonts w:cs="Times New Roman"/>
          <w:szCs w:val="22"/>
        </w:rPr>
        <w:t xml:space="preserve"> First Amended and Restated </w:t>
      </w:r>
      <w:r>
        <w:rPr>
          <w:rFonts w:cs="Times New Roman"/>
          <w:szCs w:val="22"/>
        </w:rPr>
        <w:t>Interlocal</w:t>
      </w:r>
      <w:r w:rsidR="00CE10BA">
        <w:rPr>
          <w:rFonts w:cs="Times New Roman"/>
          <w:szCs w:val="22"/>
        </w:rPr>
        <w:t xml:space="preserve"> Cooperation</w:t>
      </w:r>
      <w:r>
        <w:rPr>
          <w:rFonts w:cs="Times New Roman"/>
          <w:szCs w:val="22"/>
        </w:rPr>
        <w:t xml:space="preserve"> Agreement dated </w:t>
      </w:r>
      <w:r w:rsidR="00CE10BA">
        <w:rPr>
          <w:rFonts w:cs="Times New Roman"/>
          <w:szCs w:val="22"/>
        </w:rPr>
        <w:t>[July 9], 2026</w:t>
      </w:r>
      <w:r>
        <w:rPr>
          <w:rFonts w:cs="Times New Roman"/>
          <w:szCs w:val="22"/>
        </w:rPr>
        <w:t xml:space="preserve"> (the “</w:t>
      </w:r>
      <w:r>
        <w:rPr>
          <w:rFonts w:cs="Times New Roman"/>
          <w:b/>
          <w:bCs/>
          <w:szCs w:val="22"/>
        </w:rPr>
        <w:t>Contract Fee Interlocal Agreement</w:t>
      </w:r>
      <w:r>
        <w:rPr>
          <w:rFonts w:cs="Times New Roman"/>
          <w:szCs w:val="22"/>
        </w:rPr>
        <w:t>”). Pursuant to the Contract Fee Interlocal Agreement, the City has agreed to (a) collect the Contract Fees imposed by the District and prior to the issuance of a building permit by the City, and then to (b) remit such Contract Fees and the Proof of Payment on at least a monthly basis to the District, no later than the 30th day of the calendar month immediately following collection of the Contract Fees. The City has agreed to deposit Contract Fees collected in a separate account created for the foregoing purpose. In addition, pursuant to the Contract Fee Interlocal Agreement, the City is permitted to assess an administrative fee at the time the Contract Fees are paid per the City’s fee schedule. In the event the City is precluded from charging and administrative fee, the District is required to pay the City the fee per the City’s fee schedule. In the event that the District must pay to the City the administrative fee under the terms of this Agreement, the District may increase the Contract Fees to cover the administrative fee. The Contract Fee Interlocal Agreement is valid until repayment of all debt secured by the Contract Fees (including the 2026A-2 SR Bonds). The Trustee is a third-party beneficiary of the Contract Fee Interlocal Agreement.</w:t>
      </w:r>
    </w:p>
    <w:p w14:paraId="7AF79040" w14:textId="3557F3EC" w:rsidR="005242D4" w:rsidRPr="00E74B37" w:rsidRDefault="00DA1382" w:rsidP="00B471D8">
      <w:pPr>
        <w:pStyle w:val="Heading2"/>
        <w:numPr>
          <w:ilvl w:val="1"/>
          <w:numId w:val="2"/>
        </w:numPr>
        <w:rPr>
          <w:sz w:val="22"/>
          <w:szCs w:val="22"/>
        </w:rPr>
      </w:pPr>
      <w:bookmarkStart w:id="133" w:name="_Toc85780564"/>
      <w:bookmarkStart w:id="134" w:name="_Toc235521076"/>
      <w:r w:rsidRPr="00AF75BD">
        <w:rPr>
          <w:sz w:val="22"/>
          <w:szCs w:val="22"/>
        </w:rPr>
        <w:t>Certain</w:t>
      </w:r>
      <w:r>
        <w:rPr>
          <w:sz w:val="22"/>
          <w:szCs w:val="22"/>
        </w:rPr>
        <w:t xml:space="preserve"> </w:t>
      </w:r>
      <w:r w:rsidR="005242D4">
        <w:rPr>
          <w:sz w:val="22"/>
          <w:szCs w:val="22"/>
        </w:rPr>
        <w:t>SR Indenture Provisions</w:t>
      </w:r>
      <w:bookmarkEnd w:id="133"/>
      <w:bookmarkEnd w:id="134"/>
    </w:p>
    <w:p w14:paraId="0665E489" w14:textId="600B1682" w:rsidR="005242D4" w:rsidRDefault="005242D4" w:rsidP="005242D4">
      <w:pPr>
        <w:pStyle w:val="00BodyText5"/>
        <w:rPr>
          <w:rFonts w:cs="Times New Roman"/>
          <w:i/>
          <w:szCs w:val="22"/>
        </w:rPr>
      </w:pPr>
      <w:r>
        <w:rPr>
          <w:rFonts w:cs="Times New Roman"/>
          <w:szCs w:val="22"/>
        </w:rPr>
        <w:t xml:space="preserve">The following is a description of certain provisions of the SR Indenture and is subject in all respects to the more specific provisions of the SR Indenture. </w:t>
      </w:r>
      <w:r>
        <w:rPr>
          <w:rFonts w:cs="Times New Roman"/>
          <w:i/>
          <w:szCs w:val="22"/>
        </w:rPr>
        <w:t>See APPENDIX C—SELECTED DEFINITIONS for definitions of certain capitalized terms and other terms used in this Official Statement.</w:t>
      </w:r>
    </w:p>
    <w:p w14:paraId="4571F8B6" w14:textId="413620A4" w:rsidR="007F778D" w:rsidRPr="007F778D" w:rsidRDefault="007F778D" w:rsidP="007F778D">
      <w:pPr>
        <w:pStyle w:val="00BodyText5"/>
        <w:rPr>
          <w:rFonts w:cs="Times New Roman"/>
          <w:b/>
          <w:szCs w:val="22"/>
        </w:rPr>
      </w:pPr>
      <w:r w:rsidRPr="007F778D">
        <w:rPr>
          <w:rFonts w:cs="Times New Roman"/>
          <w:b/>
          <w:szCs w:val="22"/>
        </w:rPr>
        <w:t>The SR Indenture secures, and the covenants made by the District in the SR Indenture are for the benefit of Owners of, solely the 2026A-2 SR Bonds. The Owners of the 2026A-1 Senior LT Bonds and the 2026B Subordinate LT Bonds are not secured by, nor have any rights to enforce any provision of, the SR Indenture. No funds or accounts held under the SR Indenture secure payment of the 2026A-1 Senior LT Bonds or the 2026B Subordinate LT Bonds.</w:t>
      </w:r>
    </w:p>
    <w:p w14:paraId="0DFD03DC" w14:textId="77777777" w:rsidR="005242D4" w:rsidRPr="00E74B37" w:rsidRDefault="005242D4" w:rsidP="005242D4">
      <w:pPr>
        <w:pStyle w:val="00BodyText5"/>
        <w:rPr>
          <w:rFonts w:cs="Times New Roman"/>
          <w:szCs w:val="22"/>
        </w:rPr>
      </w:pPr>
      <w:r>
        <w:rPr>
          <w:rFonts w:cs="Times New Roman"/>
          <w:b/>
          <w:i/>
          <w:szCs w:val="22"/>
        </w:rPr>
        <w:t>Creation of Funds and Accounts</w:t>
      </w:r>
      <w:r>
        <w:rPr>
          <w:rFonts w:cs="Times New Roman"/>
          <w:szCs w:val="22"/>
        </w:rPr>
        <w:t>. Under the SR Indenture, there are created and established the following funds and accounts, which are to be established with the Trustee and maintained by the Trustee in accordance with the provisions of the SR Indenture:</w:t>
      </w:r>
    </w:p>
    <w:p w14:paraId="3E89C937" w14:textId="77777777" w:rsidR="005242D4" w:rsidRPr="00E74B37" w:rsidRDefault="005242D4" w:rsidP="00B471D8">
      <w:pPr>
        <w:pStyle w:val="00BodyText5"/>
        <w:numPr>
          <w:ilvl w:val="0"/>
          <w:numId w:val="10"/>
        </w:numPr>
        <w:ind w:left="720" w:firstLine="720"/>
        <w:rPr>
          <w:rFonts w:cs="Times New Roman"/>
          <w:szCs w:val="22"/>
        </w:rPr>
      </w:pPr>
      <w:r>
        <w:rPr>
          <w:rFonts w:cs="Times New Roman"/>
          <w:szCs w:val="22"/>
        </w:rPr>
        <w:t>the SR Project Fund;</w:t>
      </w:r>
    </w:p>
    <w:p w14:paraId="46F928F5" w14:textId="77777777" w:rsidR="005242D4" w:rsidRPr="00E74B37" w:rsidRDefault="005242D4" w:rsidP="00B471D8">
      <w:pPr>
        <w:pStyle w:val="00BodyText5"/>
        <w:numPr>
          <w:ilvl w:val="0"/>
          <w:numId w:val="10"/>
        </w:numPr>
        <w:ind w:left="720" w:firstLine="720"/>
        <w:rPr>
          <w:rFonts w:cs="Times New Roman"/>
          <w:szCs w:val="22"/>
        </w:rPr>
      </w:pPr>
      <w:r>
        <w:rPr>
          <w:rFonts w:cs="Times New Roman"/>
          <w:szCs w:val="22"/>
        </w:rPr>
        <w:t>the SR Bond Fund and, therein the SR Interest Account and the SR Mandatory Redemption Account; and</w:t>
      </w:r>
    </w:p>
    <w:p w14:paraId="5FA52102" w14:textId="34B8B160" w:rsidR="005242D4" w:rsidRPr="00460549" w:rsidRDefault="00460549" w:rsidP="00B471D8">
      <w:pPr>
        <w:pStyle w:val="00BodyText5"/>
        <w:numPr>
          <w:ilvl w:val="0"/>
          <w:numId w:val="10"/>
        </w:numPr>
        <w:ind w:left="720" w:firstLine="720"/>
        <w:rPr>
          <w:rFonts w:cs="Times New Roman"/>
          <w:szCs w:val="22"/>
        </w:rPr>
      </w:pPr>
      <w:r>
        <w:rPr>
          <w:rFonts w:cs="Times New Roman"/>
          <w:szCs w:val="22"/>
        </w:rPr>
        <w:t>[</w:t>
      </w:r>
      <w:r w:rsidR="005242D4" w:rsidRPr="00460549">
        <w:rPr>
          <w:rFonts w:cs="Times New Roman"/>
          <w:szCs w:val="22"/>
        </w:rPr>
        <w:t>the SR Costs of Issuance Fund</w:t>
      </w:r>
      <w:r>
        <w:rPr>
          <w:rFonts w:cs="Times New Roman"/>
          <w:szCs w:val="22"/>
        </w:rPr>
        <w:t>]</w:t>
      </w:r>
      <w:r w:rsidR="005242D4" w:rsidRPr="00460549">
        <w:rPr>
          <w:rFonts w:cs="Times New Roman"/>
          <w:szCs w:val="22"/>
        </w:rPr>
        <w:t>.</w:t>
      </w:r>
    </w:p>
    <w:p w14:paraId="5CF03A0B" w14:textId="77777777" w:rsidR="005242D4" w:rsidRPr="00E74B37" w:rsidRDefault="005242D4" w:rsidP="005242D4">
      <w:pPr>
        <w:pStyle w:val="00BodyText5"/>
        <w:rPr>
          <w:rFonts w:cs="Times New Roman"/>
          <w:szCs w:val="22"/>
        </w:rPr>
      </w:pPr>
      <w:r>
        <w:rPr>
          <w:rFonts w:cs="Times New Roman"/>
          <w:b/>
          <w:i/>
          <w:szCs w:val="22"/>
        </w:rPr>
        <w:t>SR Project Fund</w:t>
      </w:r>
      <w:r>
        <w:rPr>
          <w:rFonts w:cs="Times New Roman"/>
          <w:szCs w:val="22"/>
        </w:rPr>
        <w:t>. The SR Project Fund is to be maintained by the Trustee in accordance with the terms of the SR Indenture.</w:t>
      </w:r>
    </w:p>
    <w:p w14:paraId="06EF9C8E" w14:textId="641A1F32" w:rsidR="005242D4" w:rsidRPr="00E74B37" w:rsidRDefault="005242D4" w:rsidP="005242D4">
      <w:pPr>
        <w:pStyle w:val="00BodyText5"/>
        <w:rPr>
          <w:rFonts w:cs="Times New Roman"/>
          <w:szCs w:val="22"/>
        </w:rPr>
      </w:pPr>
      <w:r>
        <w:rPr>
          <w:rFonts w:cs="Times New Roman"/>
          <w:i/>
          <w:szCs w:val="22"/>
        </w:rPr>
        <w:t xml:space="preserve">Draws from the SR Project Fund. </w:t>
      </w:r>
      <w:r>
        <w:rPr>
          <w:rFonts w:cs="Times New Roman"/>
          <w:szCs w:val="22"/>
        </w:rPr>
        <w:t xml:space="preserve">So long as no Event of Default shall have occurred and be continuing, amounts in the SR Project Fund shall be released by the Trustee to the District </w:t>
      </w:r>
      <w:r>
        <w:rPr>
          <w:rFonts w:cs="Times New Roman"/>
          <w:bCs/>
          <w:szCs w:val="22"/>
        </w:rPr>
        <w:t xml:space="preserve">in accordance with requisitions submitted to the Trustee in substantially the form set forth </w:t>
      </w:r>
      <w:r w:rsidR="00DA1382">
        <w:rPr>
          <w:rFonts w:cs="Times New Roman"/>
          <w:bCs/>
          <w:szCs w:val="22"/>
        </w:rPr>
        <w:t xml:space="preserve">in </w:t>
      </w:r>
      <w:r>
        <w:rPr>
          <w:rFonts w:cs="Times New Roman"/>
          <w:bCs/>
          <w:szCs w:val="22"/>
        </w:rPr>
        <w:t>the SR Indenture, signed by the District Representative and certifying that all amounts drawn will be applied to the payment of the Project Costs</w:t>
      </w:r>
      <w:r w:rsidR="00B1536A">
        <w:rPr>
          <w:rFonts w:cs="Times New Roman"/>
          <w:bCs/>
          <w:szCs w:val="22"/>
        </w:rPr>
        <w:t xml:space="preserve"> </w:t>
      </w:r>
      <w:r w:rsidR="00B1536A" w:rsidRPr="00B1536A">
        <w:rPr>
          <w:rFonts w:cs="Times New Roman"/>
          <w:bCs/>
          <w:szCs w:val="22"/>
        </w:rPr>
        <w:t>(including any amounts the District determines are necessary to meet any Performance Bond requirements relating thereto, including disbursing the moneys to a third party escrow agent that is designated by the District which the District determines is necessary to meet any Performance Bond requirements)</w:t>
      </w:r>
      <w:r>
        <w:rPr>
          <w:rFonts w:cs="Times New Roman"/>
          <w:szCs w:val="22"/>
        </w:rPr>
        <w:t>. The Trustee may rely conclusively on any such requisitions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r w:rsidR="00B1536A">
        <w:rPr>
          <w:rFonts w:cs="Times New Roman"/>
          <w:szCs w:val="22"/>
        </w:rPr>
        <w:t xml:space="preserve"> </w:t>
      </w:r>
      <w:r w:rsidR="00B1536A" w:rsidRPr="00B1536A">
        <w:rPr>
          <w:rFonts w:cs="Times New Roman"/>
          <w:szCs w:val="22"/>
        </w:rPr>
        <w:t xml:space="preserve">In the event any moneys are requisitioned from the </w:t>
      </w:r>
      <w:r w:rsidR="00B1536A">
        <w:rPr>
          <w:rFonts w:cs="Times New Roman"/>
          <w:szCs w:val="22"/>
        </w:rPr>
        <w:t>SR</w:t>
      </w:r>
      <w:r w:rsidR="00B1536A" w:rsidRPr="00B1536A">
        <w:rPr>
          <w:rFonts w:cs="Times New Roman"/>
          <w:szCs w:val="22"/>
        </w:rPr>
        <w:t xml:space="preserve"> Project Fund for a Performance Bond or as necessary to meet any Performance Bond requirements, the District covenants and agrees that any agreements relating to such Performance Bond shall require that (i) such moneys shall be (A) invested in Permitted Investments and (B) used to pay cost of the Improvements in accordance with the </w:t>
      </w:r>
      <w:r w:rsidR="00B1536A">
        <w:rPr>
          <w:rFonts w:cs="Times New Roman"/>
          <w:szCs w:val="22"/>
        </w:rPr>
        <w:t>SR</w:t>
      </w:r>
      <w:r w:rsidR="00B1536A" w:rsidRPr="00B1536A">
        <w:rPr>
          <w:rFonts w:cs="Times New Roman"/>
          <w:szCs w:val="22"/>
        </w:rPr>
        <w:t xml:space="preserve"> Indenture and the Tax Certificate and (ii) that any unspent moneys released from such Performance Bond shall be remitted to the Trustee for deposit in the </w:t>
      </w:r>
      <w:r w:rsidR="00B1536A">
        <w:rPr>
          <w:rFonts w:cs="Times New Roman"/>
          <w:szCs w:val="22"/>
        </w:rPr>
        <w:t>SR</w:t>
      </w:r>
      <w:r w:rsidR="00B1536A" w:rsidRPr="00B1536A">
        <w:rPr>
          <w:rFonts w:cs="Times New Roman"/>
          <w:szCs w:val="22"/>
        </w:rPr>
        <w:t xml:space="preserve"> Project Fund</w:t>
      </w:r>
      <w:r w:rsidR="00B1536A">
        <w:rPr>
          <w:rFonts w:cs="Times New Roman"/>
          <w:szCs w:val="22"/>
        </w:rPr>
        <w:t>.</w:t>
      </w:r>
    </w:p>
    <w:p w14:paraId="31559DEC" w14:textId="77777777" w:rsidR="005242D4" w:rsidRPr="00E74B37" w:rsidRDefault="005242D4" w:rsidP="005242D4">
      <w:pPr>
        <w:pStyle w:val="00BodyText5"/>
        <w:rPr>
          <w:rFonts w:cs="Times New Roman"/>
          <w:szCs w:val="22"/>
        </w:rPr>
      </w:pPr>
      <w:r>
        <w:rPr>
          <w:rFonts w:cs="Times New Roman"/>
          <w:i/>
          <w:iCs/>
          <w:szCs w:val="22"/>
        </w:rPr>
        <w:t>Termination of SR Project Fund</w:t>
      </w:r>
      <w:r>
        <w:rPr>
          <w:rFonts w:cs="Times New Roman"/>
          <w:szCs w:val="22"/>
        </w:rPr>
        <w:t>. Upon the receipt by the Trustee of a resolution of the District determining that all Project Costs have been paid, any balance remaining in the SR Project Fund shall be credited to the SR Bond Fund. The SR Project Fund will terminate at such time as no further moneys remain therein.</w:t>
      </w:r>
    </w:p>
    <w:p w14:paraId="3C983243" w14:textId="046AA0EF" w:rsidR="005242D4" w:rsidRPr="00E74B37" w:rsidRDefault="005242D4" w:rsidP="005242D4">
      <w:pPr>
        <w:pStyle w:val="00BodyText5"/>
        <w:rPr>
          <w:rFonts w:cs="Times New Roman"/>
          <w:szCs w:val="22"/>
        </w:rPr>
      </w:pPr>
      <w:r>
        <w:rPr>
          <w:rFonts w:cs="Times New Roman"/>
          <w:b/>
          <w:i/>
          <w:szCs w:val="22"/>
        </w:rPr>
        <w:t>Application of SR Pledged Revenue</w:t>
      </w:r>
      <w:r>
        <w:rPr>
          <w:rFonts w:cs="Times New Roman"/>
          <w:szCs w:val="22"/>
        </w:rPr>
        <w:t xml:space="preserve">. The District is to transfer all amounts comprising SR Pledged Revenue to the Trustee as soon as may be practicable after the receipt thereof, and in no event later than the 15th day of the calendar month immediately succeeding the calendar month in which such revenue is received by the District, subject to the last paragraph described below; provided, however, that in the event that the total amount of SR Pledged Revenue received by the District in a calendar month is less than $50,000, the SR Pledged Revenue received in such calendar month may instead be remitted to the Trustee no later than the 15th day of the calendar month immediately succeeding the calendar quarter in which such revenue is received by the District (i.e., no later than April 15th for SR Pledged Revenue received in January, February, or March; no later than July 15th for SR Pledged Revenue received in April, May, or June; no later than October 15th for SR Pledged Revenue received in July, August, or September; and no later than January 15th for SR Pledged Revenue received in October, November, or December). </w:t>
      </w:r>
      <w:r w:rsidR="00DA1382">
        <w:rPr>
          <w:rFonts w:cs="Times New Roman"/>
          <w:szCs w:val="22"/>
        </w:rPr>
        <w:t xml:space="preserve">IN NO EVENT IS THE DISTRICT PERMITTED TO APPLY ANY PORTION OF THE SR PLEDGED REVENUE TO ANY OTHER PURPOSE, OR TO WITHHOLD ANY PORTION OF THE SR PLEDGED REVENUE. </w:t>
      </w:r>
      <w:r>
        <w:rPr>
          <w:rFonts w:cs="Times New Roman"/>
          <w:szCs w:val="22"/>
        </w:rPr>
        <w:t xml:space="preserve">The Trustee will credit all SR Pledged Revenue as received in the following order of priority (excluding the SR Pledged Revenue described in clause (b) of the definition thereof, which the District will direct to be deposited directly to the SR Bond Fund). For purposes of the following, when credits to more than one fund, account, or purpose are required at any single priority level, such credits are to rank </w:t>
      </w:r>
      <w:r>
        <w:rPr>
          <w:rFonts w:cs="Times New Roman"/>
          <w:i/>
          <w:szCs w:val="22"/>
        </w:rPr>
        <w:t>pari passu</w:t>
      </w:r>
      <w:r>
        <w:rPr>
          <w:rFonts w:cs="Times New Roman"/>
          <w:szCs w:val="22"/>
        </w:rPr>
        <w:t xml:space="preserve"> with each other and when credits are required to go to funds or accounts which are not held by the Trustee under the SR Indenture, the Trustee may rely upon the written instructions of the District with respect to the appropriate funds or accounts to which such credits are to be made. </w:t>
      </w:r>
    </w:p>
    <w:p w14:paraId="35CD11C7" w14:textId="77777777" w:rsidR="005242D4" w:rsidRPr="00E74B37" w:rsidRDefault="005242D4" w:rsidP="005242D4">
      <w:pPr>
        <w:pStyle w:val="00BodyText5"/>
        <w:ind w:left="720"/>
        <w:rPr>
          <w:rFonts w:cs="Times New Roman"/>
          <w:szCs w:val="22"/>
        </w:rPr>
      </w:pPr>
      <w:r>
        <w:rPr>
          <w:rFonts w:cs="Times New Roman"/>
          <w:szCs w:val="22"/>
        </w:rPr>
        <w:t>FIRST:  To the Trustee, in an amount sufficient to pay the Trustee Fees then due and payable;</w:t>
      </w:r>
    </w:p>
    <w:p w14:paraId="172FC62E" w14:textId="1C4F5724" w:rsidR="005242D4" w:rsidRPr="00E74B37" w:rsidRDefault="005242D4" w:rsidP="005242D4">
      <w:pPr>
        <w:pStyle w:val="00BodyText5"/>
        <w:ind w:left="720"/>
        <w:rPr>
          <w:rFonts w:cs="Times New Roman"/>
          <w:szCs w:val="22"/>
        </w:rPr>
      </w:pPr>
      <w:r>
        <w:rPr>
          <w:rFonts w:cs="Times New Roman"/>
          <w:szCs w:val="22"/>
        </w:rPr>
        <w:t>SECOND:  To the District, in the amount budgeted by the District to pay Administrative Expenses for the coming Fiscal Year, but only in the event there are no revenues available to pay Administrative Expenses under the LT Indenture</w:t>
      </w:r>
      <w:r w:rsidR="005B41BE">
        <w:rPr>
          <w:rFonts w:cs="Times New Roman"/>
          <w:szCs w:val="22"/>
        </w:rPr>
        <w:t>s</w:t>
      </w:r>
      <w:r>
        <w:rPr>
          <w:rFonts w:cs="Times New Roman"/>
          <w:szCs w:val="22"/>
        </w:rPr>
        <w:t xml:space="preserve"> (or any indenture relating to </w:t>
      </w:r>
      <w:r w:rsidR="005C7E1E">
        <w:rPr>
          <w:rFonts w:cs="Times New Roman"/>
          <w:szCs w:val="22"/>
        </w:rPr>
        <w:t xml:space="preserve">Senior </w:t>
      </w:r>
      <w:r>
        <w:rPr>
          <w:rFonts w:cs="Times New Roman"/>
          <w:szCs w:val="22"/>
        </w:rPr>
        <w:t>LT Parity Bonds or Subordinate LT Bonds);</w:t>
      </w:r>
    </w:p>
    <w:p w14:paraId="1ED27FBF" w14:textId="7371E1F9" w:rsidR="005242D4" w:rsidRPr="00E74B37" w:rsidRDefault="005242D4" w:rsidP="005242D4">
      <w:pPr>
        <w:pStyle w:val="00BodyText5"/>
        <w:ind w:left="720"/>
        <w:rPr>
          <w:rFonts w:cs="Times New Roman"/>
          <w:szCs w:val="22"/>
        </w:rPr>
      </w:pPr>
      <w:r>
        <w:rPr>
          <w:rFonts w:cs="Times New Roman"/>
          <w:szCs w:val="22"/>
        </w:rPr>
        <w:t>THIRD:  To the credit of the SR Bond Fund and any other fund or account created for the payment of the principal of, premium if any, and interest on SR Parity Bonds, including any sinking fund, reserve fund, surplus fund or similar fund or account established therefor, pro rata in accordance with the then outstanding principal amounts of the 2026A-2 SR Bonds and any SR Parity Bonds, all SR Pledged Revenue received until the funding of all amounts to become due and payable on the 2026A-2 SR Bonds and the SR Parity Bonds through maturity; and</w:t>
      </w:r>
    </w:p>
    <w:p w14:paraId="0C7B7C3C" w14:textId="6FD06C34" w:rsidR="005242D4" w:rsidRPr="00E74B37" w:rsidRDefault="005242D4" w:rsidP="005242D4">
      <w:pPr>
        <w:pStyle w:val="00BodyText5"/>
        <w:ind w:left="720"/>
        <w:rPr>
          <w:rFonts w:cs="Times New Roman"/>
          <w:szCs w:val="22"/>
        </w:rPr>
      </w:pPr>
      <w:r>
        <w:rPr>
          <w:rFonts w:cs="Times New Roman"/>
          <w:szCs w:val="22"/>
        </w:rPr>
        <w:t>FOURTH:  To the District, for credit to any other fund or account as may be designated by the District in writing to the Trustee, to be used for any lawful purpose, any SR Pledged Revenue received for the remainder of the SR Bond Year after the payments and accumulations set forth above (which revenues, upon disbursement to or at the direction of the District in accordance with this clause FOURTH, shall be released from the lien of the SR Indenture and shall thereafter no longer constitute “SR Pledged Revenue” under the SR Indenture).</w:t>
      </w:r>
    </w:p>
    <w:p w14:paraId="7859C5F6" w14:textId="08475B6D" w:rsidR="005242D4" w:rsidRPr="00E74B37" w:rsidRDefault="005242D4" w:rsidP="005242D4">
      <w:pPr>
        <w:pStyle w:val="00BodyText5"/>
        <w:rPr>
          <w:rFonts w:cs="Times New Roman"/>
          <w:szCs w:val="22"/>
        </w:rPr>
      </w:pPr>
      <w:r>
        <w:rPr>
          <w:rFonts w:cs="Times New Roman"/>
          <w:b/>
          <w:i/>
          <w:szCs w:val="22"/>
        </w:rPr>
        <w:t>SR Bond Fund</w:t>
      </w:r>
      <w:r>
        <w:rPr>
          <w:rFonts w:cs="Times New Roman"/>
          <w:szCs w:val="22"/>
        </w:rPr>
        <w:t>. Moneys in the SR Bond Fund are to be used by the Trustee solely to pay the principal of, premium if any, and interest on the 2026A-2 SR Bonds.</w:t>
      </w:r>
    </w:p>
    <w:p w14:paraId="270C691A" w14:textId="77777777" w:rsidR="005242D4" w:rsidRPr="00E74B37" w:rsidRDefault="005242D4" w:rsidP="005242D4">
      <w:pPr>
        <w:pStyle w:val="00BodyText5"/>
        <w:rPr>
          <w:rFonts w:cs="Times New Roman"/>
          <w:szCs w:val="22"/>
        </w:rPr>
      </w:pPr>
      <w:r>
        <w:rPr>
          <w:rFonts w:cs="Times New Roman"/>
          <w:szCs w:val="22"/>
        </w:rPr>
        <w:t>SR Pledged Revenue required to be credited to the SR Bond Fund in accordance with the SR Indenture, as described in “—</w:t>
      </w:r>
      <w:r>
        <w:rPr>
          <w:rFonts w:cs="Times New Roman"/>
          <w:i/>
          <w:szCs w:val="22"/>
        </w:rPr>
        <w:t>Application of SR Pledged Revenue</w:t>
      </w:r>
      <w:r>
        <w:rPr>
          <w:rFonts w:cs="Times New Roman"/>
          <w:szCs w:val="22"/>
        </w:rPr>
        <w:t>” above, is to be credited each SR Bond Year as received as follows:</w:t>
      </w:r>
    </w:p>
    <w:p w14:paraId="2228D24E" w14:textId="594F49BE" w:rsidR="005242D4" w:rsidRPr="00E74B37" w:rsidRDefault="005242D4" w:rsidP="005242D4">
      <w:pPr>
        <w:pStyle w:val="00BodyText5"/>
        <w:ind w:left="720"/>
        <w:rPr>
          <w:rFonts w:cs="Times New Roman"/>
          <w:szCs w:val="22"/>
        </w:rPr>
      </w:pPr>
      <w:r>
        <w:rPr>
          <w:rFonts w:cs="Times New Roman"/>
          <w:szCs w:val="22"/>
        </w:rPr>
        <w:t>FIRST: to the credit of the SR Interest Account, the amount required for amounts on deposit therein to equal the interest due and payable on the 2026A-2 SR Bonds in such SR Bond Year; and</w:t>
      </w:r>
    </w:p>
    <w:p w14:paraId="1318B53C" w14:textId="77777777" w:rsidR="005242D4" w:rsidRPr="00E74B37" w:rsidRDefault="005242D4" w:rsidP="005242D4">
      <w:pPr>
        <w:pStyle w:val="00BodyText5"/>
        <w:ind w:left="720"/>
        <w:rPr>
          <w:rFonts w:cs="Times New Roman"/>
          <w:szCs w:val="22"/>
        </w:rPr>
      </w:pPr>
      <w:r>
        <w:rPr>
          <w:rFonts w:cs="Times New Roman"/>
          <w:szCs w:val="22"/>
        </w:rPr>
        <w:t>SECOND: to the credit of the SR Mandatory Redemption Account, all remaining SR Pledged Revenue credited to the SR Bond Fund for such SR Bond Year.</w:t>
      </w:r>
    </w:p>
    <w:p w14:paraId="35ED696F" w14:textId="3C98B2E7" w:rsidR="005242D4" w:rsidRPr="00E74B37" w:rsidRDefault="005242D4" w:rsidP="005242D4">
      <w:pPr>
        <w:pStyle w:val="00BodyText5"/>
        <w:rPr>
          <w:rFonts w:cs="Times New Roman"/>
          <w:szCs w:val="22"/>
        </w:rPr>
      </w:pPr>
      <w:r>
        <w:rPr>
          <w:rFonts w:cs="Times New Roman"/>
          <w:szCs w:val="22"/>
        </w:rPr>
        <w:t>On each SR Interest Payment Date, the Trustee is to apply amounts on deposit in the SR Interest Account to the payment of interest on the 2026A-2 SR Bonds (including current interest, accrued but unpaid interest and unpaid compound interest, and including the accrued interest portion of any SR Mandatory Redemption Price) then due.</w:t>
      </w:r>
    </w:p>
    <w:p w14:paraId="6FF2885C" w14:textId="246B60A2" w:rsidR="005242D4" w:rsidRPr="00E74B37" w:rsidRDefault="005242D4" w:rsidP="005242D4">
      <w:pPr>
        <w:pStyle w:val="00BodyText5"/>
        <w:rPr>
          <w:rFonts w:cs="Times New Roman"/>
          <w:szCs w:val="22"/>
        </w:rPr>
      </w:pPr>
      <w:r>
        <w:rPr>
          <w:rFonts w:cs="Times New Roman"/>
          <w:szCs w:val="22"/>
        </w:rPr>
        <w:t>On the 30th day prior to each SR Mandatory Redemption Date, the Trustee is to determine the amounts on deposit in the SR Mandatory Redemption Account available for application to redemption of the 2026A-2 SR Bonds in accordance with “—Redemption—</w:t>
      </w:r>
      <w:r>
        <w:rPr>
          <w:rFonts w:cs="Times New Roman"/>
          <w:i/>
          <w:szCs w:val="22"/>
        </w:rPr>
        <w:t>Mandatory Redemption</w:t>
      </w:r>
      <w:r>
        <w:rPr>
          <w:rFonts w:cs="Times New Roman"/>
          <w:szCs w:val="22"/>
        </w:rPr>
        <w:t>” above, taking into account any requirements of “—Redemption—</w:t>
      </w:r>
      <w:r>
        <w:rPr>
          <w:rFonts w:cs="Times New Roman"/>
          <w:i/>
          <w:szCs w:val="22"/>
        </w:rPr>
        <w:t>Redemption Procedure and Notice</w:t>
      </w:r>
      <w:r>
        <w:rPr>
          <w:rFonts w:cs="Times New Roman"/>
          <w:szCs w:val="22"/>
        </w:rPr>
        <w:t>” above with respect to the amount to be redeemed. The Trustee is to provide notice of the mandatory redemption to occur on each SR Mandatory Redemption Date as a result of amounts credited to the SR Mandatory Redemption Account, as provided in “—Redemption—</w:t>
      </w:r>
      <w:r>
        <w:rPr>
          <w:rFonts w:cs="Times New Roman"/>
          <w:i/>
          <w:szCs w:val="22"/>
        </w:rPr>
        <w:t>Redemption Procedure and Notice</w:t>
      </w:r>
      <w:r>
        <w:rPr>
          <w:rFonts w:cs="Times New Roman"/>
          <w:szCs w:val="22"/>
        </w:rPr>
        <w:t>” above.</w:t>
      </w:r>
    </w:p>
    <w:p w14:paraId="466624BD" w14:textId="269BED47" w:rsidR="005242D4" w:rsidRPr="00E74B37" w:rsidRDefault="005242D4" w:rsidP="005242D4">
      <w:pPr>
        <w:pStyle w:val="00BodyText5"/>
        <w:rPr>
          <w:rFonts w:cs="Times New Roman"/>
          <w:szCs w:val="22"/>
        </w:rPr>
      </w:pPr>
      <w:r>
        <w:rPr>
          <w:rFonts w:cs="Times New Roman"/>
          <w:szCs w:val="22"/>
        </w:rPr>
        <w:t>On each SR Mandatory Redemption Date, the Trustee is to apply amounts on deposit in the SR Mandatory Redemption Account to the payment of the principal portion of any SR Mandatory Redemption Price.</w:t>
      </w:r>
    </w:p>
    <w:p w14:paraId="579C2F1D" w14:textId="77777777" w:rsidR="005242D4" w:rsidRPr="00E74B37" w:rsidRDefault="005242D4" w:rsidP="005242D4">
      <w:pPr>
        <w:pStyle w:val="00BodyText5"/>
        <w:rPr>
          <w:rFonts w:cs="Times New Roman"/>
          <w:szCs w:val="22"/>
        </w:rPr>
      </w:pPr>
      <w:r>
        <w:rPr>
          <w:rFonts w:cs="Times New Roman"/>
          <w:szCs w:val="22"/>
        </w:rPr>
        <w:t>Moneys credited to the SR Bond Fund may be invested or deposited as provided in the SR Indenture.</w:t>
      </w:r>
    </w:p>
    <w:p w14:paraId="1DC85E2E" w14:textId="09ACB1B7" w:rsidR="005242D4" w:rsidRPr="00E74B37" w:rsidRDefault="005242D4" w:rsidP="005242D4">
      <w:pPr>
        <w:pStyle w:val="00BodyText5"/>
        <w:rPr>
          <w:rFonts w:cs="Times New Roman"/>
          <w:szCs w:val="22"/>
        </w:rPr>
      </w:pPr>
      <w:r>
        <w:rPr>
          <w:rFonts w:cs="Times New Roman"/>
          <w:szCs w:val="22"/>
        </w:rPr>
        <w:t>The District acknowledges and agrees in the SR Indenture that, notwithstanding anything in the SR Indenture to the contrary, borrowed moneys are not to be used for the purpose of redeeming principal of the 2026A-2 SR Bonds pursuant to the mandatory redemption provisions described above in “Redemption—</w:t>
      </w:r>
      <w:r>
        <w:rPr>
          <w:rFonts w:cs="Times New Roman"/>
          <w:i/>
          <w:szCs w:val="22"/>
        </w:rPr>
        <w:t>Mandatory Redemption</w:t>
      </w:r>
      <w:r>
        <w:rPr>
          <w:rFonts w:cs="Times New Roman"/>
          <w:szCs w:val="22"/>
        </w:rPr>
        <w:t>” and this section.</w:t>
      </w:r>
    </w:p>
    <w:p w14:paraId="2AD1BABE" w14:textId="4D8B2FD1" w:rsidR="005242D4" w:rsidRPr="00E74B37" w:rsidRDefault="00460549" w:rsidP="005242D4">
      <w:pPr>
        <w:pStyle w:val="00BodyText5"/>
        <w:rPr>
          <w:rFonts w:cs="Times New Roman"/>
          <w:szCs w:val="22"/>
        </w:rPr>
      </w:pPr>
      <w:r>
        <w:rPr>
          <w:rFonts w:cs="Times New Roman"/>
          <w:b/>
          <w:i/>
          <w:szCs w:val="22"/>
        </w:rPr>
        <w:t>[</w:t>
      </w:r>
      <w:r w:rsidR="005242D4" w:rsidRPr="00460549">
        <w:rPr>
          <w:rFonts w:cs="Times New Roman"/>
          <w:b/>
          <w:i/>
          <w:szCs w:val="22"/>
        </w:rPr>
        <w:t>SR Costs of Issuance Fund</w:t>
      </w:r>
      <w:r w:rsidR="005242D4" w:rsidRPr="00460549">
        <w:rPr>
          <w:rFonts w:cs="Times New Roman"/>
          <w:szCs w:val="22"/>
        </w:rPr>
        <w:t>. The SR Costs of Issuance Fund is to be maintained by the Trustee. All moneys on deposit in the SR Costs of Issuance Fund are to be applied by the Trustee at the written direction of the District in accordance with the closing memorandum prepared by the Underwriter, which summarizes the approved costs in connection with the issuance of the 2026A-2 SR Bonds, including, without limitation, printing costs, CUSIP fees, regulatory fees, the fees and expenses of bond counsel, general counsel, underwriter’s counsel and other counsel, the fees and expenses of the District’s accountant, manager, special consultants, and other professionals, and the costs of the Trustee, and other costs and expenses of the District relating to the issuance of the 2026A-2 SR Bonds. The Trustee may rely conclusively on any such written direction and is not to be required to make any independent investigation in connection therewith. Any amounts remaining in the SR Costs of Issuance Fund on the date that is 180 days after the date of issuance of the 2026A-2 SR Bonds are to be transferred by the Trustee into the SR Project Fund.</w:t>
      </w:r>
      <w:r>
        <w:rPr>
          <w:rFonts w:cs="Times New Roman"/>
          <w:szCs w:val="22"/>
        </w:rPr>
        <w:t>]</w:t>
      </w:r>
    </w:p>
    <w:p w14:paraId="4AF5CF0F" w14:textId="7F3ADFAE" w:rsidR="005242D4" w:rsidRPr="00E74B37" w:rsidRDefault="005242D4" w:rsidP="005242D4">
      <w:pPr>
        <w:pStyle w:val="00BodyText5"/>
        <w:rPr>
          <w:rFonts w:cs="Times New Roman"/>
          <w:szCs w:val="22"/>
        </w:rPr>
      </w:pPr>
      <w:r>
        <w:rPr>
          <w:rFonts w:cs="Times New Roman"/>
          <w:b/>
          <w:i/>
          <w:szCs w:val="22"/>
        </w:rPr>
        <w:t>Additional Covenants and Agreements of the District in the SR Indenture</w:t>
      </w:r>
      <w:r>
        <w:rPr>
          <w:rFonts w:cs="Times New Roman"/>
          <w:szCs w:val="22"/>
        </w:rPr>
        <w:t>. The District irrevocably covenants and agrees in the SR Indenture with each and every Owner that so long as any of the 2026A-2 SR Bonds remain Outstanding:</w:t>
      </w:r>
    </w:p>
    <w:p w14:paraId="53154997" w14:textId="0280EC4F" w:rsidR="005242D4" w:rsidRPr="00E74B37" w:rsidRDefault="005242D4" w:rsidP="005242D4">
      <w:pPr>
        <w:pStyle w:val="00BodyText5"/>
        <w:ind w:left="720"/>
        <w:rPr>
          <w:rFonts w:cs="Times New Roman"/>
          <w:szCs w:val="22"/>
        </w:rPr>
      </w:pPr>
      <w:r>
        <w:rPr>
          <w:rFonts w:cs="Times New Roman"/>
          <w:szCs w:val="22"/>
        </w:rPr>
        <w:t>(a)</w:t>
      </w:r>
      <w:r>
        <w:rPr>
          <w:rFonts w:cs="Times New Roman"/>
          <w:szCs w:val="22"/>
        </w:rPr>
        <w:tab/>
        <w:t>The District will maintain its existence and is not to merge or otherwise alter its corporate structure in any manner or to any extent as might reduce the security provided for the payment of the 2026A-2 SR Bonds, and will continue to operate and manage the District and its facilities in an efficient and economical manner in accordance with all applicable laws, rules, and regulations.</w:t>
      </w:r>
    </w:p>
    <w:p w14:paraId="72B50935" w14:textId="09671A7A" w:rsidR="005242D4" w:rsidRPr="00E74B37" w:rsidRDefault="005242D4" w:rsidP="005242D4">
      <w:pPr>
        <w:pStyle w:val="00BodyText5"/>
        <w:ind w:left="720"/>
        <w:rPr>
          <w:rFonts w:cs="Times New Roman"/>
          <w:szCs w:val="22"/>
        </w:rPr>
      </w:pPr>
      <w:r>
        <w:rPr>
          <w:rFonts w:cs="Times New Roman"/>
          <w:szCs w:val="22"/>
        </w:rPr>
        <w:t>(b)</w:t>
      </w:r>
      <w:r>
        <w:rPr>
          <w:rFonts w:cs="Times New Roman"/>
          <w:szCs w:val="22"/>
        </w:rPr>
        <w:tab/>
        <w:t>At least once a year the District will cause an audit to be performed of the records relating to its revenues and expenditures, and the District is to use commercially reasonable efforts to have such audit report completed no later than 200 days following the end of its fiscal year. The foregoing covenant is to apply notwithstanding any State law audit exemptions that may exist. In addition, at least once a year in the time and manner provided by law, the District will cause a budget to be prepared and adopted. Copies of the budget and the audit will be filed and recorded in the places, time, and manner provided by law.</w:t>
      </w:r>
    </w:p>
    <w:p w14:paraId="262F30EA" w14:textId="77777777" w:rsidR="005242D4" w:rsidRPr="00E74B37" w:rsidRDefault="005242D4" w:rsidP="005242D4">
      <w:pPr>
        <w:pStyle w:val="00BodyText5"/>
        <w:ind w:left="720"/>
        <w:rPr>
          <w:rFonts w:cs="Times New Roman"/>
          <w:szCs w:val="22"/>
        </w:rPr>
      </w:pPr>
      <w:r>
        <w:rPr>
          <w:rFonts w:cs="Times New Roman"/>
          <w:szCs w:val="22"/>
        </w:rPr>
        <w:t>(c)</w:t>
      </w:r>
      <w:r>
        <w:rPr>
          <w:rFonts w:cs="Times New Roman"/>
          <w:szCs w:val="22"/>
        </w:rPr>
        <w:tab/>
        <w:t>The District will carry general liability, public officials’ liability, and such other forms of insurance coverage on insurable District property upon the terms and conditions, and in such amount, as in the judgment of the District will protect the District and its operations.</w:t>
      </w:r>
    </w:p>
    <w:p w14:paraId="7B7441D1" w14:textId="77777777" w:rsidR="005242D4" w:rsidRPr="00E74B37" w:rsidRDefault="005242D4" w:rsidP="005242D4">
      <w:pPr>
        <w:pStyle w:val="00BodyText5"/>
        <w:ind w:left="720"/>
        <w:rPr>
          <w:rFonts w:cs="Times New Roman"/>
          <w:szCs w:val="22"/>
        </w:rPr>
      </w:pPr>
      <w:r>
        <w:rPr>
          <w:rFonts w:cs="Times New Roman"/>
          <w:szCs w:val="22"/>
        </w:rPr>
        <w:t>(d)</w:t>
      </w:r>
      <w:r>
        <w:rPr>
          <w:rFonts w:cs="Times New Roman"/>
          <w:szCs w:val="22"/>
        </w:rPr>
        <w:tab/>
        <w:t>Each District official or other person having custody of any District funds or responsible for the handling of such funds, is to be bonded or insured against theft or defalcation at all times.</w:t>
      </w:r>
    </w:p>
    <w:p w14:paraId="360DF3B3" w14:textId="3D05880B" w:rsidR="005242D4" w:rsidRPr="00E74B37" w:rsidRDefault="005242D4" w:rsidP="005242D4">
      <w:pPr>
        <w:pStyle w:val="00BodyText5"/>
        <w:ind w:left="720"/>
        <w:rPr>
          <w:rFonts w:cs="Times New Roman"/>
          <w:szCs w:val="22"/>
        </w:rPr>
      </w:pPr>
      <w:r>
        <w:rPr>
          <w:rFonts w:cs="Times New Roman"/>
          <w:szCs w:val="22"/>
        </w:rPr>
        <w:t>(e)</w:t>
      </w:r>
      <w:r>
        <w:rPr>
          <w:rFonts w:cs="Times New Roman"/>
          <w:szCs w:val="22"/>
        </w:rPr>
        <w:tab/>
        <w:t>Subject to the Owners of a majority in aggregate principal amount of the 2026A-2 SR Bonds assuming control of the enforcement of remedies upon default, the District will enforce the collection of all amounts payable to it under the Contract Fee</w:t>
      </w:r>
      <w:r w:rsidR="00CD137B">
        <w:rPr>
          <w:rFonts w:cs="Times New Roman"/>
          <w:szCs w:val="22"/>
        </w:rPr>
        <w:t>s</w:t>
      </w:r>
      <w:r>
        <w:rPr>
          <w:rFonts w:cs="Times New Roman"/>
          <w:szCs w:val="22"/>
        </w:rPr>
        <w:t xml:space="preserve"> Resolution and the Contract Fee Interlocal Agreement in such time and manner as the District reasonably determines will be most efficacious in collecting the same and will diligently pursue all reasonable remedies available to the District with regard to such enforcement, whether at law or in equity. The District will not take any of the following actions without the prior written consent of the Consent Parties with respect to not less than a majority in aggregate principal amount of the 2026A-2 SR Bonds then Outstanding: (i) reduce the amounts due to the District (or to the Trustee on behalf of the District) under the Contract Fee</w:t>
      </w:r>
      <w:r w:rsidR="00CD137B">
        <w:rPr>
          <w:rFonts w:cs="Times New Roman"/>
          <w:szCs w:val="22"/>
        </w:rPr>
        <w:t>s</w:t>
      </w:r>
      <w:r>
        <w:rPr>
          <w:rFonts w:cs="Times New Roman"/>
          <w:szCs w:val="22"/>
        </w:rPr>
        <w:t xml:space="preserve"> Resolution or the Contract Fee Interlocal Agreement; or (ii) consent to an amendment to the Contract Fee</w:t>
      </w:r>
      <w:r w:rsidR="00CD137B">
        <w:rPr>
          <w:rFonts w:cs="Times New Roman"/>
          <w:szCs w:val="22"/>
        </w:rPr>
        <w:t>s</w:t>
      </w:r>
      <w:r>
        <w:rPr>
          <w:rFonts w:cs="Times New Roman"/>
          <w:szCs w:val="22"/>
        </w:rPr>
        <w:t xml:space="preserve"> Resolution or the Contract Fee Interlocal Agreement where such amendment or supplement would materially adversely affect the amount of SR Pledged Revenues to be paid to or on behalf of the District thereunder. Nothing in the SR Indenture is to prevent the District from increasing the amount of the Contract Fees. </w:t>
      </w:r>
    </w:p>
    <w:p w14:paraId="504AEEC5" w14:textId="77777777" w:rsidR="005242D4" w:rsidRPr="00CF588C" w:rsidRDefault="005242D4" w:rsidP="005242D4">
      <w:pPr>
        <w:pStyle w:val="00BodyText5"/>
        <w:ind w:left="720"/>
        <w:rPr>
          <w:rFonts w:cs="Times New Roman"/>
          <w:szCs w:val="22"/>
        </w:rPr>
      </w:pPr>
      <w:r>
        <w:rPr>
          <w:rFonts w:cs="Times New Roman"/>
          <w:szCs w:val="22"/>
        </w:rPr>
        <w:t>(f)</w:t>
      </w:r>
      <w:r>
        <w:rPr>
          <w:rFonts w:cs="Times New Roman"/>
          <w:szCs w:val="22"/>
        </w:rPr>
        <w:tab/>
        <w:t xml:space="preserve">The District will use its commercially reasonable best efforts to enforce the Contract Fee Revenues Agreement and the remittance by the City to the District of the Contract </w:t>
      </w:r>
      <w:r w:rsidRPr="00CF588C">
        <w:rPr>
          <w:rFonts w:cs="Times New Roman"/>
          <w:szCs w:val="22"/>
        </w:rPr>
        <w:t xml:space="preserve">Fees. </w:t>
      </w:r>
    </w:p>
    <w:p w14:paraId="65B6E61D" w14:textId="5F8EBBDE" w:rsidR="005242D4" w:rsidRPr="00CF588C" w:rsidRDefault="005242D4" w:rsidP="005242D4">
      <w:pPr>
        <w:pStyle w:val="00BodyText5"/>
        <w:ind w:left="720"/>
        <w:rPr>
          <w:rFonts w:cs="Times New Roman"/>
          <w:szCs w:val="22"/>
        </w:rPr>
      </w:pPr>
      <w:r w:rsidRPr="00CF588C">
        <w:rPr>
          <w:rFonts w:cs="Times New Roman"/>
          <w:szCs w:val="22"/>
        </w:rPr>
        <w:t>(g)</w:t>
      </w:r>
      <w:r w:rsidRPr="00CF588C">
        <w:rPr>
          <w:rFonts w:cs="Times New Roman"/>
          <w:szCs w:val="22"/>
        </w:rPr>
        <w:tab/>
        <w:t>Except for the Contract Fees, the District shall not impose any rates, tolls, fees or other charges on vacant lots or other undeveloped property within its boundaries in excess of the rates, tolls, fees or other charges applicable to developed residential lots or engage in any other act or omission that may impair future development in a manner that could adversely affect the amount of the District’s SR Pledged Revenue or delay the timing of the District’s receipt of SR Pledged Revenue or remittance thereof to the Trustee in accordance with the provisions of the SR Indenture.</w:t>
      </w:r>
    </w:p>
    <w:p w14:paraId="795C2704" w14:textId="1B5AAEF1" w:rsidR="00CF588C" w:rsidRPr="00CF588C" w:rsidRDefault="00CF588C" w:rsidP="00CF588C">
      <w:pPr>
        <w:tabs>
          <w:tab w:val="num" w:pos="2160"/>
        </w:tabs>
        <w:spacing w:after="240"/>
        <w:ind w:left="720" w:firstLine="720"/>
        <w:jc w:val="both"/>
        <w:outlineLvl w:val="2"/>
        <w:rPr>
          <w:rFonts w:eastAsia="SimHei" w:cs="Times New Roman"/>
          <w:bCs/>
          <w:color w:val="000000"/>
          <w:sz w:val="22"/>
          <w:szCs w:val="22"/>
        </w:rPr>
      </w:pPr>
      <w:r w:rsidRPr="00CF588C">
        <w:rPr>
          <w:rFonts w:eastAsia="SimHei" w:cs="Times New Roman"/>
          <w:bCs/>
          <w:color w:val="000000"/>
          <w:sz w:val="22"/>
          <w:szCs w:val="22"/>
        </w:rPr>
        <w:t>(h)</w:t>
      </w:r>
      <w:r w:rsidRPr="00CF588C">
        <w:rPr>
          <w:rFonts w:eastAsia="SimHei" w:cs="Times New Roman"/>
          <w:bCs/>
          <w:color w:val="000000"/>
          <w:sz w:val="22"/>
          <w:szCs w:val="22"/>
        </w:rPr>
        <w:tab/>
        <w:t xml:space="preserve">The District </w:t>
      </w:r>
      <w:r>
        <w:rPr>
          <w:rFonts w:eastAsia="SimHei" w:cs="Times New Roman"/>
          <w:bCs/>
          <w:color w:val="000000"/>
          <w:sz w:val="22"/>
          <w:szCs w:val="22"/>
        </w:rPr>
        <w:t>will</w:t>
      </w:r>
      <w:r w:rsidRPr="00CF588C">
        <w:rPr>
          <w:rFonts w:eastAsia="SimHei" w:cs="Times New Roman"/>
          <w:bCs/>
          <w:color w:val="000000"/>
          <w:sz w:val="22"/>
          <w:szCs w:val="22"/>
        </w:rPr>
        <w:t xml:space="preserve"> employ or cause to be employed</w:t>
      </w:r>
      <w:r>
        <w:rPr>
          <w:rFonts w:eastAsia="SimHei" w:cs="Times New Roman"/>
          <w:bCs/>
          <w:color w:val="000000"/>
          <w:sz w:val="22"/>
          <w:szCs w:val="22"/>
        </w:rPr>
        <w:t>,</w:t>
      </w:r>
      <w:r w:rsidRPr="00CF588C">
        <w:rPr>
          <w:rFonts w:eastAsia="SimHei" w:cs="Times New Roman"/>
          <w:bCs/>
          <w:color w:val="000000"/>
          <w:sz w:val="22"/>
          <w:szCs w:val="22"/>
        </w:rPr>
        <w:t xml:space="preserve"> as required</w:t>
      </w:r>
      <w:r>
        <w:rPr>
          <w:rFonts w:eastAsia="SimHei" w:cs="Times New Roman"/>
          <w:bCs/>
          <w:color w:val="000000"/>
          <w:sz w:val="22"/>
          <w:szCs w:val="22"/>
        </w:rPr>
        <w:t>,</w:t>
      </w:r>
      <w:r w:rsidRPr="00CF588C">
        <w:rPr>
          <w:rFonts w:eastAsia="SimHei" w:cs="Times New Roman"/>
          <w:bCs/>
          <w:color w:val="000000"/>
          <w:sz w:val="22"/>
          <w:szCs w:val="22"/>
        </w:rPr>
        <w:t xml:space="preserve"> a certified public accountant to perform auditing functions and duties required by the Act and th</w:t>
      </w:r>
      <w:r>
        <w:rPr>
          <w:rFonts w:eastAsia="SimHei" w:cs="Times New Roman"/>
          <w:bCs/>
          <w:color w:val="000000"/>
          <w:sz w:val="22"/>
          <w:szCs w:val="22"/>
        </w:rPr>
        <w:t>e</w:t>
      </w:r>
      <w:r w:rsidRPr="00CF588C">
        <w:rPr>
          <w:rFonts w:eastAsia="SimHei" w:cs="Times New Roman"/>
          <w:bCs/>
          <w:color w:val="000000"/>
          <w:sz w:val="22"/>
          <w:szCs w:val="22"/>
        </w:rPr>
        <w:t xml:space="preserve"> </w:t>
      </w:r>
      <w:r>
        <w:rPr>
          <w:rFonts w:eastAsia="SimHei" w:cs="Times New Roman"/>
          <w:bCs/>
          <w:color w:val="000000"/>
          <w:sz w:val="22"/>
          <w:szCs w:val="22"/>
        </w:rPr>
        <w:t xml:space="preserve">SR </w:t>
      </w:r>
      <w:r w:rsidRPr="00CF588C">
        <w:rPr>
          <w:rFonts w:eastAsia="SimHei" w:cs="Times New Roman"/>
          <w:bCs/>
          <w:color w:val="000000"/>
          <w:sz w:val="22"/>
          <w:szCs w:val="22"/>
        </w:rPr>
        <w:t>Indenture and to assist in completion of the District’s obligations under the Continuing Disclosure Agreement.</w:t>
      </w:r>
    </w:p>
    <w:p w14:paraId="5F51B585" w14:textId="08E026F7" w:rsidR="00CF588C" w:rsidRPr="00CF588C" w:rsidRDefault="00CF588C" w:rsidP="00CF588C">
      <w:pPr>
        <w:pStyle w:val="Heading3"/>
        <w:tabs>
          <w:tab w:val="clear" w:pos="3600"/>
        </w:tabs>
        <w:ind w:left="720" w:firstLine="720"/>
        <w:jc w:val="both"/>
        <w:rPr>
          <w:sz w:val="22"/>
          <w:szCs w:val="22"/>
        </w:rPr>
      </w:pPr>
      <w:r w:rsidRPr="00CF588C">
        <w:rPr>
          <w:rFonts w:eastAsia="SimHei"/>
          <w:sz w:val="22"/>
          <w:szCs w:val="22"/>
        </w:rPr>
        <w:t>The District covenants and agrees that it will comply with and carry out all of the provisions of the Continuing Disclosure Agreement. Notwithstanding any other provision of th</w:t>
      </w:r>
      <w:r w:rsidR="001B1CBE">
        <w:rPr>
          <w:rFonts w:eastAsia="SimHei"/>
          <w:sz w:val="22"/>
          <w:szCs w:val="22"/>
        </w:rPr>
        <w:t>e</w:t>
      </w:r>
      <w:r w:rsidRPr="00CF588C">
        <w:rPr>
          <w:rFonts w:eastAsia="SimHei"/>
          <w:sz w:val="22"/>
          <w:szCs w:val="22"/>
        </w:rPr>
        <w:t xml:space="preserve"> </w:t>
      </w:r>
      <w:r w:rsidR="001B1CBE">
        <w:rPr>
          <w:rFonts w:eastAsia="SimHei"/>
          <w:sz w:val="22"/>
          <w:szCs w:val="22"/>
        </w:rPr>
        <w:t xml:space="preserve">SR </w:t>
      </w:r>
      <w:r w:rsidRPr="00CF588C">
        <w:rPr>
          <w:rFonts w:eastAsia="SimHei"/>
          <w:sz w:val="22"/>
          <w:szCs w:val="22"/>
        </w:rPr>
        <w:t xml:space="preserve">Indenture, failure of the District or the Developer to comply with the Continuing Disclosure Agreement </w:t>
      </w:r>
      <w:r w:rsidR="001B1CBE">
        <w:rPr>
          <w:rFonts w:eastAsia="SimHei"/>
          <w:sz w:val="22"/>
          <w:szCs w:val="22"/>
        </w:rPr>
        <w:t>will</w:t>
      </w:r>
      <w:r w:rsidRPr="00CF588C">
        <w:rPr>
          <w:rFonts w:eastAsia="SimHei"/>
          <w:sz w:val="22"/>
          <w:szCs w:val="22"/>
        </w:rPr>
        <w:t xml:space="preserve"> not be considered an Event of Default; however, the Trustee may (and, at the request of any participating underwriter or the Owners of at least 25% aggregate principal amount in Outstanding </w:t>
      </w:r>
      <w:r w:rsidR="001B1CBE">
        <w:rPr>
          <w:rFonts w:eastAsia="SimHei"/>
          <w:sz w:val="22"/>
          <w:szCs w:val="22"/>
        </w:rPr>
        <w:t xml:space="preserve">2026A-2 SR </w:t>
      </w:r>
      <w:r w:rsidRPr="00CF588C">
        <w:rPr>
          <w:rFonts w:eastAsia="SimHei"/>
          <w:sz w:val="22"/>
          <w:szCs w:val="22"/>
        </w:rPr>
        <w:t xml:space="preserve">Bonds and receipt of indemnity to its satisfaction shall), or any Owner of the </w:t>
      </w:r>
      <w:r w:rsidR="001B1CBE">
        <w:rPr>
          <w:rFonts w:eastAsia="SimHei"/>
          <w:sz w:val="22"/>
          <w:szCs w:val="22"/>
        </w:rPr>
        <w:t xml:space="preserve">2026A-2 SR </w:t>
      </w:r>
      <w:r w:rsidRPr="00CF588C">
        <w:rPr>
          <w:rFonts w:eastAsia="SimHei"/>
          <w:sz w:val="22"/>
          <w:szCs w:val="22"/>
        </w:rPr>
        <w:t xml:space="preserve">Bonds or Beneficial Owner may take such actions as may be necessary and appropriate, including seeking specific performance by court order, to cause the District to comply with its obligations under this </w:t>
      </w:r>
      <w:r w:rsidR="001B1CBE">
        <w:rPr>
          <w:rFonts w:eastAsia="SimHei"/>
          <w:sz w:val="22"/>
          <w:szCs w:val="22"/>
        </w:rPr>
        <w:t>s</w:t>
      </w:r>
      <w:r w:rsidRPr="00CF588C">
        <w:rPr>
          <w:rFonts w:eastAsia="SimHei"/>
          <w:sz w:val="22"/>
          <w:szCs w:val="22"/>
        </w:rPr>
        <w:t xml:space="preserve">ection </w:t>
      </w:r>
      <w:r w:rsidR="001B1CBE">
        <w:rPr>
          <w:rFonts w:eastAsia="SimHei"/>
          <w:sz w:val="22"/>
          <w:szCs w:val="22"/>
        </w:rPr>
        <w:t>of the SR Indenture</w:t>
      </w:r>
      <w:r w:rsidRPr="00CF588C">
        <w:rPr>
          <w:rFonts w:eastAsia="SimHei"/>
          <w:sz w:val="22"/>
          <w:szCs w:val="22"/>
        </w:rPr>
        <w:t>.</w:t>
      </w:r>
    </w:p>
    <w:p w14:paraId="34A6CB9D" w14:textId="75BABB0A" w:rsidR="005242D4" w:rsidRPr="00E74B37" w:rsidRDefault="005242D4" w:rsidP="005242D4">
      <w:pPr>
        <w:pStyle w:val="00BodyText5"/>
        <w:rPr>
          <w:rFonts w:cs="Times New Roman"/>
          <w:szCs w:val="22"/>
        </w:rPr>
      </w:pPr>
      <w:r>
        <w:rPr>
          <w:rFonts w:cs="Times New Roman"/>
          <w:b/>
          <w:i/>
          <w:szCs w:val="22"/>
        </w:rPr>
        <w:t>Additional SR Obligations</w:t>
      </w:r>
      <w:r>
        <w:rPr>
          <w:rFonts w:cs="Times New Roman"/>
          <w:szCs w:val="22"/>
        </w:rPr>
        <w:t>. The District shall not incur any additional debt or other financial obligation having a lien upon the SR Pledged Revenue superior to the lien thereof of the 2026A-2 SR Bonds.</w:t>
      </w:r>
    </w:p>
    <w:p w14:paraId="7DDE2125" w14:textId="77777777" w:rsidR="005242D4" w:rsidRPr="00E74B37" w:rsidRDefault="005242D4" w:rsidP="005242D4">
      <w:pPr>
        <w:pStyle w:val="00BodyText5"/>
        <w:rPr>
          <w:rFonts w:cs="Times New Roman"/>
          <w:szCs w:val="22"/>
        </w:rPr>
      </w:pPr>
      <w:r>
        <w:rPr>
          <w:rFonts w:cs="Times New Roman"/>
          <w:szCs w:val="22"/>
        </w:rPr>
        <w:t xml:space="preserve">Any Additional SR Obligations secured by a lien on Contract Fees of the District will be issued as either SR Parity Bonds or Subordinate SR Obligations. The District will not issue or incur any other Additional SR Obligations except as provided in the SR Indenture. </w:t>
      </w:r>
    </w:p>
    <w:p w14:paraId="4DAA83D9" w14:textId="665E806B" w:rsidR="005242D4" w:rsidRPr="00E74B37" w:rsidRDefault="005242D4" w:rsidP="005242D4">
      <w:pPr>
        <w:pStyle w:val="00BodyText5"/>
        <w:rPr>
          <w:rFonts w:cs="Times New Roman"/>
          <w:szCs w:val="22"/>
        </w:rPr>
      </w:pPr>
      <w:r>
        <w:rPr>
          <w:rFonts w:cs="Times New Roman"/>
          <w:b/>
          <w:i/>
          <w:szCs w:val="22"/>
        </w:rPr>
        <w:t>Issuance by Consent; SR Parity Bonds</w:t>
      </w:r>
      <w:r>
        <w:rPr>
          <w:rFonts w:cs="Times New Roman"/>
          <w:i/>
          <w:szCs w:val="22"/>
        </w:rPr>
        <w:t xml:space="preserve">. </w:t>
      </w:r>
      <w:r>
        <w:rPr>
          <w:rFonts w:cs="Times New Roman"/>
          <w:szCs w:val="22"/>
        </w:rPr>
        <w:t>The District may issue Additional SR Obligations constituting SR Parity Bonds or Subordinate SR Obligations if such issuance is consented to by the Consent Parties with respect to a majority in aggregate principal amount of the 2026A-2 SR Bonds then Outstanding (which consent shall be required if such Additional SR Obligations are to be issued as SR Parity Bonds).</w:t>
      </w:r>
    </w:p>
    <w:p w14:paraId="2190FBF8" w14:textId="77777777" w:rsidR="005242D4" w:rsidRPr="00E74B37" w:rsidRDefault="005242D4" w:rsidP="005242D4">
      <w:pPr>
        <w:pStyle w:val="00BodyText5"/>
        <w:rPr>
          <w:rFonts w:cs="Times New Roman"/>
          <w:szCs w:val="22"/>
        </w:rPr>
      </w:pPr>
      <w:r>
        <w:rPr>
          <w:rFonts w:cs="Times New Roman"/>
          <w:b/>
          <w:i/>
          <w:szCs w:val="22"/>
        </w:rPr>
        <w:t>Refunding SR Parity Bonds</w:t>
      </w:r>
      <w:r>
        <w:rPr>
          <w:rFonts w:cs="Times New Roman"/>
          <w:i/>
          <w:szCs w:val="22"/>
        </w:rPr>
        <w:t xml:space="preserve">. </w:t>
      </w:r>
      <w:r>
        <w:rPr>
          <w:rFonts w:cs="Times New Roman"/>
          <w:szCs w:val="22"/>
        </w:rPr>
        <w:t>The District may issue Additional SR Obligations constituting Refunding SR Parity Bonds without the consent of the Consent Parties if, as of the date of issuance of such Additional SR Obligations, the Effective Interest Rate of such Refunding SR Parity Bonds will be at least 25 basis points less than the Effective Interest Rate of the obligations refunded (calculated as of the date of such issuance of Refunding SR Parity Bonds and, in the case of the refunded obligations, calculated without giving effect to the refunding).</w:t>
      </w:r>
    </w:p>
    <w:p w14:paraId="521F0E4B" w14:textId="77777777" w:rsidR="005242D4" w:rsidRPr="00E74B37" w:rsidRDefault="005242D4" w:rsidP="005242D4">
      <w:pPr>
        <w:pStyle w:val="00BodyText5"/>
        <w:rPr>
          <w:rFonts w:cs="Times New Roman"/>
          <w:szCs w:val="22"/>
        </w:rPr>
      </w:pPr>
      <w:r>
        <w:rPr>
          <w:rFonts w:cs="Times New Roman"/>
          <w:b/>
          <w:i/>
          <w:szCs w:val="22"/>
        </w:rPr>
        <w:t>Subordinate SR Obligations</w:t>
      </w:r>
      <w:r>
        <w:rPr>
          <w:rFonts w:cs="Times New Roman"/>
          <w:szCs w:val="22"/>
        </w:rPr>
        <w:t>. The District may issue Additional SR Obligations constituting Subordinate SR Obligations without the consent of the Consent Parties and the terms of such Subordinate SR Obligations will be as provided in the documents pursuant to which they are issued, provided that each of the following conditions is met as of the date of issuance of the Subordinate SR Obligations:</w:t>
      </w:r>
    </w:p>
    <w:p w14:paraId="0C742BBD" w14:textId="77777777" w:rsidR="005242D4" w:rsidRPr="00E74B37" w:rsidRDefault="005242D4" w:rsidP="005242D4">
      <w:pPr>
        <w:pStyle w:val="00BodyText5"/>
        <w:ind w:left="720"/>
        <w:rPr>
          <w:rFonts w:cs="Times New Roman"/>
          <w:szCs w:val="22"/>
        </w:rPr>
      </w:pPr>
      <w:r>
        <w:rPr>
          <w:rFonts w:cs="Times New Roman"/>
          <w:szCs w:val="22"/>
        </w:rPr>
        <w:t>(a)</w:t>
      </w:r>
      <w:r>
        <w:rPr>
          <w:rFonts w:cs="Times New Roman"/>
          <w:szCs w:val="22"/>
        </w:rPr>
        <w:tab/>
        <w:t>the failure to make a payment when due on the Subordinate SR Obligations will not constitute an event of default thereunder; and</w:t>
      </w:r>
    </w:p>
    <w:p w14:paraId="5FBEB8FE" w14:textId="6326CED0" w:rsidR="005242D4" w:rsidRPr="00373C05" w:rsidRDefault="005242D4" w:rsidP="005242D4">
      <w:pPr>
        <w:pStyle w:val="00BodyText5"/>
        <w:ind w:left="720"/>
        <w:rPr>
          <w:rFonts w:cs="Times New Roman"/>
          <w:szCs w:val="22"/>
        </w:rPr>
      </w:pPr>
      <w:r>
        <w:rPr>
          <w:rFonts w:cs="Times New Roman"/>
          <w:szCs w:val="22"/>
        </w:rPr>
        <w:t>(b)</w:t>
      </w:r>
      <w:r>
        <w:rPr>
          <w:rFonts w:cs="Times New Roman"/>
          <w:szCs w:val="22"/>
        </w:rPr>
        <w:tab/>
        <w:t>the Subordinate SR Obligations will be payable as to both principal and interest only after the payment or defeasance of the full amount of the 2026A-2 SR Bonds.</w:t>
      </w:r>
    </w:p>
    <w:p w14:paraId="32CBBF1E" w14:textId="2E88304A" w:rsidR="005242D4" w:rsidRPr="00E74B37" w:rsidRDefault="005242D4" w:rsidP="005242D4">
      <w:pPr>
        <w:pStyle w:val="00BodyText5"/>
        <w:rPr>
          <w:rFonts w:cs="Times New Roman"/>
          <w:szCs w:val="22"/>
        </w:rPr>
      </w:pPr>
      <w:r>
        <w:rPr>
          <w:rFonts w:cs="Times New Roman"/>
          <w:szCs w:val="22"/>
        </w:rPr>
        <w:t xml:space="preserve">The issuance of the </w:t>
      </w:r>
      <w:r w:rsidR="00787226">
        <w:rPr>
          <w:rFonts w:cs="Times New Roman"/>
          <w:szCs w:val="22"/>
        </w:rPr>
        <w:t>LT Bond</w:t>
      </w:r>
      <w:r>
        <w:rPr>
          <w:rFonts w:cs="Times New Roman"/>
          <w:szCs w:val="22"/>
        </w:rPr>
        <w:t>s in accordance with the LT Indenture</w:t>
      </w:r>
      <w:r w:rsidR="00CD7478">
        <w:rPr>
          <w:rFonts w:cs="Times New Roman"/>
          <w:szCs w:val="22"/>
        </w:rPr>
        <w:t>s</w:t>
      </w:r>
      <w:r>
        <w:rPr>
          <w:rFonts w:cs="Times New Roman"/>
          <w:szCs w:val="22"/>
        </w:rPr>
        <w:t xml:space="preserve"> is permitted. The District may refund the </w:t>
      </w:r>
      <w:r w:rsidR="00787226">
        <w:rPr>
          <w:rFonts w:cs="Times New Roman"/>
          <w:szCs w:val="22"/>
        </w:rPr>
        <w:t>LT Bond</w:t>
      </w:r>
      <w:r>
        <w:rPr>
          <w:rFonts w:cs="Times New Roman"/>
          <w:szCs w:val="22"/>
        </w:rPr>
        <w:t xml:space="preserve">s with the same security (i.e. ad valorem property tax revenues) without compliance with any of the other terms and conditions of the SR Indenture. </w:t>
      </w:r>
    </w:p>
    <w:p w14:paraId="4D6FA961" w14:textId="16B6A268" w:rsidR="005242D4" w:rsidRPr="00E74B37" w:rsidRDefault="005242D4" w:rsidP="005242D4">
      <w:pPr>
        <w:pStyle w:val="00BodyText5"/>
        <w:rPr>
          <w:rFonts w:cs="Times New Roman"/>
          <w:szCs w:val="22"/>
        </w:rPr>
      </w:pPr>
      <w:r>
        <w:rPr>
          <w:rFonts w:cs="Times New Roman"/>
          <w:szCs w:val="22"/>
        </w:rPr>
        <w:t>A written certificate by the Chair or Treasurer of the District that the conditions set forth in the SR Indenture (and described above) are met will conclusively determine the right of the District to authorize, issue, sell, and deliver Additional SR Obligations in accordance therewith.</w:t>
      </w:r>
    </w:p>
    <w:p w14:paraId="4FC1D304" w14:textId="77777777" w:rsidR="005242D4" w:rsidRPr="00E74B37" w:rsidRDefault="005242D4" w:rsidP="005242D4">
      <w:pPr>
        <w:pStyle w:val="00BodyText5"/>
        <w:rPr>
          <w:rFonts w:cs="Times New Roman"/>
          <w:szCs w:val="22"/>
        </w:rPr>
      </w:pPr>
      <w:r>
        <w:rPr>
          <w:rFonts w:cs="Times New Roman"/>
          <w:szCs w:val="22"/>
        </w:rPr>
        <w:t>Nothing will affect or restrict the right of the District to issue or incur obligations that are not Additional SR Obligations under the SR Indenture.</w:t>
      </w:r>
    </w:p>
    <w:p w14:paraId="59C9260E" w14:textId="77777777" w:rsidR="005242D4" w:rsidRPr="00E74B37" w:rsidRDefault="005242D4" w:rsidP="005242D4">
      <w:pPr>
        <w:pStyle w:val="00BodyText5"/>
        <w:rPr>
          <w:rFonts w:cs="Times New Roman"/>
          <w:szCs w:val="22"/>
        </w:rPr>
      </w:pPr>
      <w:r>
        <w:rPr>
          <w:rFonts w:cs="Times New Roman"/>
          <w:szCs w:val="22"/>
        </w:rPr>
        <w:t xml:space="preserve">Notwithstanding any other provision contained in the SR Indenture, under no circumstances will the District issue Additional SR Obligations in excess of the amount authorized by the District’s Governing Document, as the same may be amended from time to time. </w:t>
      </w:r>
    </w:p>
    <w:p w14:paraId="14C5CC9E" w14:textId="77777777" w:rsidR="005242D4" w:rsidRPr="00E74B37" w:rsidRDefault="005242D4" w:rsidP="005242D4">
      <w:pPr>
        <w:pStyle w:val="00BodyText5"/>
        <w:rPr>
          <w:rFonts w:cs="Times New Roman"/>
          <w:szCs w:val="22"/>
        </w:rPr>
      </w:pPr>
      <w:r>
        <w:rPr>
          <w:rFonts w:cs="Times New Roman"/>
          <w:b/>
          <w:i/>
          <w:szCs w:val="22"/>
        </w:rPr>
        <w:t>Events of Default</w:t>
      </w:r>
      <w:r>
        <w:rPr>
          <w:rFonts w:cs="Times New Roman"/>
          <w:szCs w:val="22"/>
        </w:rPr>
        <w:t>. The SR Indenture provides that the occurrence of any one or more of the following events or the existence of any one or more of the following conditions will constitute an Event of Default under the SR Indenture (whatever the reason for such event or condition and whether it will be voluntary or involuntary or be effected by operation of law or pursuant to any judgment, decree, rule, regulation, or order of any court or any administrative or governmental body), and there will be no default or Event of Default under the SR Indenture except as described below:</w:t>
      </w:r>
    </w:p>
    <w:p w14:paraId="03478199" w14:textId="77777777" w:rsidR="005242D4" w:rsidRPr="00E74B37" w:rsidRDefault="005242D4" w:rsidP="005242D4">
      <w:pPr>
        <w:pStyle w:val="00BodyText5"/>
        <w:ind w:left="720"/>
        <w:rPr>
          <w:rFonts w:cs="Times New Roman"/>
          <w:szCs w:val="22"/>
        </w:rPr>
      </w:pPr>
      <w:r>
        <w:rPr>
          <w:rFonts w:cs="Times New Roman"/>
          <w:szCs w:val="22"/>
        </w:rPr>
        <w:t>(a)</w:t>
      </w:r>
      <w:r>
        <w:rPr>
          <w:rFonts w:cs="Times New Roman"/>
          <w:szCs w:val="22"/>
        </w:rPr>
        <w:tab/>
        <w:t>The District fails or refuses to impose the Contract Fees or to apply the SR Pledged Revenue as required by the SR Indenture;</w:t>
      </w:r>
    </w:p>
    <w:p w14:paraId="694386E6" w14:textId="44E845A9" w:rsidR="005242D4" w:rsidRPr="00E74B37" w:rsidRDefault="005242D4" w:rsidP="005242D4">
      <w:pPr>
        <w:pStyle w:val="00BodyText5"/>
        <w:ind w:left="720"/>
        <w:rPr>
          <w:rFonts w:cs="Times New Roman"/>
          <w:szCs w:val="22"/>
        </w:rPr>
      </w:pPr>
      <w:r>
        <w:rPr>
          <w:rFonts w:cs="Times New Roman"/>
          <w:szCs w:val="22"/>
        </w:rPr>
        <w:t>(b)</w:t>
      </w:r>
      <w:r>
        <w:rPr>
          <w:rFonts w:cs="Times New Roman"/>
          <w:szCs w:val="22"/>
        </w:rPr>
        <w:tab/>
        <w:t>The District defaults in the performance or observance of any other of the covenants, agreements, or conditions on the part of the District in the SR Indenture or the Bond Resolution, and fails to remedy the same after notice thereof pursuant to the SR Indenture; or</w:t>
      </w:r>
    </w:p>
    <w:p w14:paraId="5E9B07DD" w14:textId="375F8DD2" w:rsidR="005242D4" w:rsidRPr="00E74B37" w:rsidRDefault="005242D4" w:rsidP="005242D4">
      <w:pPr>
        <w:pStyle w:val="00BodyText5"/>
        <w:ind w:left="720"/>
        <w:rPr>
          <w:rFonts w:cs="Times New Roman"/>
          <w:szCs w:val="22"/>
        </w:rPr>
      </w:pPr>
      <w:r>
        <w:rPr>
          <w:rFonts w:cs="Times New Roman"/>
          <w:szCs w:val="22"/>
        </w:rPr>
        <w:t>(c)</w:t>
      </w:r>
      <w:r>
        <w:rPr>
          <w:rFonts w:cs="Times New Roman"/>
          <w:szCs w:val="22"/>
        </w:rPr>
        <w:tab/>
        <w:t>The District files a petition under the federal bankruptcy laws or other applicable bankruptcy laws seeking to adjust the obligation represented by the 2026A-2 SR Bonds.</w:t>
      </w:r>
    </w:p>
    <w:p w14:paraId="7C897FC0" w14:textId="4728F67A" w:rsidR="005242D4" w:rsidRPr="00E74B37" w:rsidRDefault="005242D4" w:rsidP="005242D4">
      <w:pPr>
        <w:pStyle w:val="00BodyText5"/>
        <w:rPr>
          <w:rFonts w:cs="Times New Roman"/>
          <w:szCs w:val="22"/>
        </w:rPr>
      </w:pPr>
      <w:r>
        <w:rPr>
          <w:rFonts w:cs="Times New Roman"/>
          <w:szCs w:val="22"/>
        </w:rPr>
        <w:t>WITHOUT LIMITING THE FOREGOING, AND NOTWITHSTANDING ANY OTHER PROVISION CONTAINED IN THE SR INDENTURE, THE DISTRICT ACKNOWLEDGES AND AGREES THAT THE APPLICATION OF ANY PORTION OF THE SR PLEDGED REVENUE TO ANY PURPOSE OTHER THAN DEPOSIT WITH THE TRUSTEE IN ACCORDANCE WITH THE PROVISIONS OF THE SR INDENTURE CONSTITUTES A VIOLATION OF THE TERMS OF THE SR INDENTURE AND A BREACH OF THE COVENANTS MADE THEREUNDER FOR THE BENEFIT OF THE OWNERS OF THE 2026A-2 SR BONDS, WHICH SHALL ENTITLE THE TRUSTEE TO PURSUE, ON BEHALF OF THE OWNERS OF THE 2026A-2 SR BONDS, ALL AVAILABLE ACTIONS AGAINST THE DISTRICT IN LAW OR IN EQUITY, AS MORE PARTICULARLY PROVIDED IN THE SR INDENTURE. THE DISTRICT FURTHER ACKNOWLEDGES AND AGREES THAT THE APPLICATION OF SR PLEDGED REVENUE IN VIOLATION OF THE COVENANTS OF THE SR INDENTURE WILL RESULT IN IRREPARABLE HARM TO THE OWNERS OF THE 2026A-2 SR BONDS. IN NO EVENT SHALL ANY PROVISION OF THE SR INDENTURE BE INTERPRETED TO PERMIT THE DISTRICT TO RETAIN ANY PORTION OF THE SR PLEDGED REVENUE.</w:t>
      </w:r>
    </w:p>
    <w:p w14:paraId="41F6DA1E" w14:textId="3C7D27D3" w:rsidR="005242D4" w:rsidRPr="00E74B37" w:rsidRDefault="005242D4" w:rsidP="005242D4">
      <w:pPr>
        <w:pStyle w:val="00BodyText5"/>
        <w:rPr>
          <w:rFonts w:cs="Times New Roman"/>
          <w:szCs w:val="22"/>
        </w:rPr>
      </w:pPr>
      <w:r>
        <w:rPr>
          <w:rFonts w:cs="Times New Roman"/>
          <w:szCs w:val="22"/>
        </w:rPr>
        <w:t>It is acknowledged in the SR Indenture that due to the limited nature of the SR Pledged Revenue, the failure to pay the principal of or interest on the 2026A-2 SR Bonds when due will not, of itself, constitute an Event of Default thereunder.</w:t>
      </w:r>
    </w:p>
    <w:p w14:paraId="361A83FF" w14:textId="0FAA7B85" w:rsidR="005242D4" w:rsidRPr="00E74B37" w:rsidRDefault="005242D4" w:rsidP="005242D4">
      <w:pPr>
        <w:pStyle w:val="00BodyText5"/>
        <w:rPr>
          <w:rFonts w:cs="Times New Roman"/>
          <w:szCs w:val="22"/>
        </w:rPr>
      </w:pPr>
      <w:r>
        <w:rPr>
          <w:rFonts w:cs="Times New Roman"/>
          <w:szCs w:val="22"/>
        </w:rPr>
        <w:t>The Trustee will give to the Owners of all 2026A-2 SR Bonds notice by mailing to the address shown on the registration books maintained by the Trustee or by electronic means to DTC or its successors, of all Events of Default of which the Trustee is by the SR Indenture required to take notice, or if notice of an Event of Default is given as provided in the SR Indenture, within 90 days after the Trustee has knowledge of the occurrence of such default or Event of Default unless such default or Event of Default will have been cured before the giving of such notice; provided that, the Trustee will be protected in withholding such notice if and so long as a committee of its corporate trust department in good faith determines that the withholding of such notice is not detrimental to the interests of the Owners.</w:t>
      </w:r>
    </w:p>
    <w:p w14:paraId="324691F9" w14:textId="3D8C824C" w:rsidR="005242D4" w:rsidRPr="00E74B37" w:rsidRDefault="005242D4" w:rsidP="005242D4">
      <w:pPr>
        <w:pStyle w:val="00BodyText5"/>
        <w:rPr>
          <w:rFonts w:cs="Times New Roman"/>
          <w:szCs w:val="22"/>
        </w:rPr>
      </w:pPr>
      <w:r>
        <w:rPr>
          <w:rFonts w:cs="Times New Roman"/>
          <w:szCs w:val="22"/>
        </w:rPr>
        <w:t>No default under paragraph (b) above will constitute an Event of Default until actual notice of such default by registered or certified mail will be given by the Trustee or by the Owners of not less than 25% in aggregate principal amount of all 2026A-2 SR Bonds Outstanding to the District, and the District will have had 30 days after receipt of such notice to correct said default or cause said default to be corrected, and will not have corrected said default or caused said default to be corrected within the applicable period; provided however, if said default be such that it cannot be corrected within the applicable period, it will not constitute an Event of Default if corrective action is instituted within the applicable period and diligently pursued thereafter until the default is corrected.</w:t>
      </w:r>
    </w:p>
    <w:p w14:paraId="585ACA1C" w14:textId="77777777" w:rsidR="005242D4" w:rsidRPr="00E74B37" w:rsidRDefault="005242D4" w:rsidP="005242D4">
      <w:pPr>
        <w:pStyle w:val="00BodyText5"/>
        <w:rPr>
          <w:rFonts w:cs="Times New Roman"/>
          <w:szCs w:val="22"/>
        </w:rPr>
      </w:pPr>
      <w:r>
        <w:rPr>
          <w:rFonts w:cs="Times New Roman"/>
          <w:b/>
          <w:i/>
          <w:szCs w:val="22"/>
        </w:rPr>
        <w:t>Remedies on Occurrence of Event of Default</w:t>
      </w:r>
      <w:r>
        <w:rPr>
          <w:rFonts w:cs="Times New Roman"/>
          <w:szCs w:val="22"/>
        </w:rPr>
        <w:t>. Upon the occurrence and continuance of an Event of Default, the SR Indenture provides that the Trustee is to have the following rights and remedies which may be pursued:</w:t>
      </w:r>
    </w:p>
    <w:p w14:paraId="2E08670B" w14:textId="6B1422BD" w:rsidR="005242D4" w:rsidRPr="00E74B37" w:rsidRDefault="005242D4" w:rsidP="005242D4">
      <w:pPr>
        <w:pStyle w:val="00BodyText5"/>
        <w:ind w:left="720"/>
        <w:rPr>
          <w:rFonts w:cs="Times New Roman"/>
          <w:szCs w:val="22"/>
        </w:rPr>
      </w:pPr>
      <w:r>
        <w:rPr>
          <w:rFonts w:cs="Times New Roman"/>
          <w:i/>
          <w:szCs w:val="22"/>
        </w:rPr>
        <w:t>Receivership</w:t>
      </w:r>
      <w:r>
        <w:rPr>
          <w:rFonts w:cs="Times New Roman"/>
          <w:szCs w:val="22"/>
        </w:rPr>
        <w:t>. Upon the filing of a bill in equity or other commencement of judicial proceedings to enforce the rights of the Trustee and of the Owners, the Trustee is to be entitled as a matter of right to the appointment of a receiver or receivers of the SR Trust Estate, and of the revenues, income, product, and profits thereof pending such proceedings, subject however, to constitutional limitations inherent in the sovereignty of the District; but notwithstanding the appointment of any receiver or other custodian, the Trustee is to be entitled to the possession and control of any cash, securities, or other instruments at the time held by, or payable or deliverable under the provisions of the SR Indenture to, the Trustee.</w:t>
      </w:r>
    </w:p>
    <w:p w14:paraId="1365E6CB" w14:textId="17D65901" w:rsidR="005242D4" w:rsidRPr="00E74B37" w:rsidRDefault="005242D4" w:rsidP="005242D4">
      <w:pPr>
        <w:pStyle w:val="00BodyText5"/>
        <w:ind w:left="720"/>
        <w:rPr>
          <w:rFonts w:cs="Times New Roman"/>
          <w:szCs w:val="22"/>
        </w:rPr>
      </w:pPr>
      <w:r>
        <w:rPr>
          <w:rFonts w:cs="Times New Roman"/>
          <w:i/>
          <w:szCs w:val="22"/>
        </w:rPr>
        <w:t>Suit for Judgment</w:t>
      </w:r>
      <w:r>
        <w:rPr>
          <w:rFonts w:cs="Times New Roman"/>
          <w:szCs w:val="22"/>
        </w:rPr>
        <w:t>. The Trustee may proceed to protect and enforce its rights and the rights of the Owners under the Bond Act and the District Act, the 2026A-2 SR Bonds, the Bond Resolution, the SR Indenture, and any provision of law by such suit, action, or special proceedings as the Trustee, being advised by Counsel, is to deem appropriate.</w:t>
      </w:r>
    </w:p>
    <w:p w14:paraId="4753AC66" w14:textId="77777777" w:rsidR="005242D4" w:rsidRPr="00E74B37" w:rsidRDefault="005242D4" w:rsidP="005242D4">
      <w:pPr>
        <w:pStyle w:val="00BodyText5"/>
        <w:ind w:left="720"/>
        <w:rPr>
          <w:rFonts w:cs="Times New Roman"/>
          <w:szCs w:val="22"/>
        </w:rPr>
      </w:pPr>
      <w:r>
        <w:rPr>
          <w:rFonts w:cs="Times New Roman"/>
          <w:i/>
          <w:szCs w:val="22"/>
        </w:rPr>
        <w:t>Mandamus or Other Suit</w:t>
      </w:r>
      <w:r>
        <w:rPr>
          <w:rFonts w:cs="Times New Roman"/>
          <w:szCs w:val="22"/>
        </w:rPr>
        <w:t>. The Trustee may proceed by mandamus or any other suit, action, or proceeding at law or in equity, to enforce all rights of the Owners.</w:t>
      </w:r>
    </w:p>
    <w:p w14:paraId="700996CD" w14:textId="394D4EE5" w:rsidR="005242D4" w:rsidRPr="00E74B37" w:rsidRDefault="005242D4" w:rsidP="005242D4">
      <w:pPr>
        <w:pStyle w:val="00BodyText5"/>
        <w:rPr>
          <w:rFonts w:cs="Times New Roman"/>
          <w:szCs w:val="22"/>
        </w:rPr>
      </w:pPr>
      <w:r>
        <w:rPr>
          <w:rFonts w:cs="Times New Roman"/>
          <w:szCs w:val="22"/>
        </w:rPr>
        <w:t>No recovery of any judgment by the Trustee is to in any manner or to any extent affect the lien of the SR Indenture or any rights, powers, or remedies of the Trustee under the SR Indenture, or any lien, rights, powers, and remedies of the Owners of the 2026A-2 SR Bonds, but such lien, rights, powers, and remedies of the Trustee and of the Owners is to continue unimpaired as before.</w:t>
      </w:r>
    </w:p>
    <w:p w14:paraId="3AEB16D5" w14:textId="3A4E8A72" w:rsidR="005242D4" w:rsidRPr="00E74B37" w:rsidRDefault="005242D4" w:rsidP="005242D4">
      <w:pPr>
        <w:pStyle w:val="00BodyText5"/>
        <w:rPr>
          <w:rFonts w:cs="Times New Roman"/>
          <w:szCs w:val="22"/>
        </w:rPr>
      </w:pPr>
      <w:r>
        <w:rPr>
          <w:rFonts w:cs="Times New Roman"/>
          <w:szCs w:val="22"/>
        </w:rPr>
        <w:t>If any Event of Default under the SR Indenture described in paragraph (a) in “—</w:t>
      </w:r>
      <w:r>
        <w:rPr>
          <w:rFonts w:cs="Times New Roman"/>
          <w:i/>
          <w:szCs w:val="22"/>
        </w:rPr>
        <w:t>Events of Default</w:t>
      </w:r>
      <w:r>
        <w:rPr>
          <w:rFonts w:cs="Times New Roman"/>
          <w:szCs w:val="22"/>
        </w:rPr>
        <w:t>” above is to have occurred and if requested by the Owners of 25% in aggregate principal amount of the 2026A-2 SR Bonds then Outstanding, the Trustee is to be obligated to exercise such one or more of the rights and powers conferred by the SR Indenture as the Trustee, being advised by Counsel, is to deem most expedient in the interests of the Owners, subject to the SR Indenture; provided that the Trustee at its option is to be indemnified as provided in the SR Indenture.</w:t>
      </w:r>
    </w:p>
    <w:p w14:paraId="67D7B3A1" w14:textId="1F9B00AF" w:rsidR="005242D4" w:rsidRPr="00E74B37" w:rsidRDefault="005242D4" w:rsidP="005242D4">
      <w:pPr>
        <w:pStyle w:val="00BodyText5"/>
        <w:rPr>
          <w:rFonts w:cs="Times New Roman"/>
          <w:szCs w:val="22"/>
        </w:rPr>
      </w:pPr>
      <w:r>
        <w:rPr>
          <w:rFonts w:cs="Times New Roman"/>
          <w:szCs w:val="22"/>
        </w:rPr>
        <w:t>Notwithstanding anything in the SR Indenture to the contrary, acceleration of the 2026A-2 SR Bonds is not to be an available remedy for an Event of Default.</w:t>
      </w:r>
    </w:p>
    <w:p w14:paraId="591327EA" w14:textId="02C2B2FB" w:rsidR="005242D4" w:rsidRPr="00E74B37" w:rsidRDefault="005242D4" w:rsidP="005242D4">
      <w:pPr>
        <w:pStyle w:val="00BodyText5"/>
        <w:rPr>
          <w:rFonts w:cs="Times New Roman"/>
          <w:szCs w:val="22"/>
        </w:rPr>
      </w:pPr>
      <w:r>
        <w:rPr>
          <w:rFonts w:cs="Times New Roman"/>
          <w:szCs w:val="22"/>
        </w:rPr>
        <w:t>The Consent Parties of a majority in aggregate principal amount of the 2026A-2 SR Bonds then Outstanding are to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the SR Indenture, or for the appointment of a receiver, and any other proceedings thereunder; provided that such direction is not to be otherwise than in accordance with the provisions thereof; and provided further that at its option the Trustee is to be indemnified as provided in the SR Indenture.</w:t>
      </w:r>
    </w:p>
    <w:p w14:paraId="4EEF2296" w14:textId="613D77AC" w:rsidR="005242D4" w:rsidRPr="00E74B37" w:rsidRDefault="005242D4" w:rsidP="005242D4">
      <w:pPr>
        <w:pStyle w:val="00BodyText5"/>
        <w:rPr>
          <w:rFonts w:cs="Times New Roman"/>
          <w:szCs w:val="22"/>
        </w:rPr>
      </w:pPr>
      <w:r>
        <w:rPr>
          <w:rFonts w:cs="Times New Roman"/>
          <w:szCs w:val="22"/>
        </w:rPr>
        <w:t>No Owner of any 2026A-2 SR Bond is to have any right to institute any suit, action, or proceeding in equity or at law for the enforcement of the SR Indenture or for the execution of any trust thereof or for the appointment of a receiver or any other remedy thereunder, unless (a) a default has occurred of which the Trustee has been notified as provided in the SR Indenture, or of which under the SR Indenture it is deemed to have notice; (b) such default is to have become an Event of Default; (c) the Owners of not less than 25% in aggregate principal amount of 2026A-2 SR Bonds then Outstanding are to have made written request to the Trustee and are to have offered reasonable opportunity either to proceed to exercise the powers granted in the SR Indenture or to institute such action, suit, or proceedings in their own name, and are to have also offered to the Trustee indemnity as provided in the SR Indenture; and (d) the Trustee is to thereafter fail or refuse to exercise the powers granted in the SR Indenture, or to institute such action, suit, or proceeding in its own name; such notification, request, and offer of indemnity are declared in every case at the option of the Trustee to be conditions precedent to any action or cause of action for the enforcement of the SR Indenture, or for the appointment of a receiver or for any other remedy thereunder; it being understood and intended that no one or more Owners of 2026A-2 SR Bonds is to have any right in any manner whatsoever to affect, disturb, or prejudice the lien of the SR Indenture by his, her, its, or their action, or to enforce any right under the SR Indenture except in the manner therein provided and that all proceedings at law or in equity are to be instituted, had, and maintained in the manner therein provided and for the equal benefit of the Owners of all 2026A-2 SR Bonds then Outstanding.</w:t>
      </w:r>
    </w:p>
    <w:p w14:paraId="470EA185" w14:textId="5D8290E2" w:rsidR="005242D4" w:rsidRPr="00E74B37" w:rsidRDefault="005242D4" w:rsidP="005242D4">
      <w:pPr>
        <w:pStyle w:val="00BodyText5"/>
        <w:rPr>
          <w:rFonts w:cs="Times New Roman"/>
          <w:szCs w:val="22"/>
        </w:rPr>
      </w:pPr>
      <w:r>
        <w:rPr>
          <w:rFonts w:cs="Times New Roman"/>
          <w:szCs w:val="22"/>
        </w:rPr>
        <w:t>The Trustee may in its discretion waive any Event of Default under the SR Indenture and its consequences, and is to do so upon the written request of the Consent Parties with respect to a majority in aggregate principal amount of all the 2026A-2 SR Bonds then Outstanding; provided however, that there is not to be waived without the consent of the Consent Parties with respect to 100% of the 2026A-2 SR Bonds then Outstanding as to which the Event of Default exists any Event of Default under the SR Indenture described under paragraph (a) in “—</w:t>
      </w:r>
      <w:r>
        <w:rPr>
          <w:rFonts w:cs="Times New Roman"/>
          <w:i/>
          <w:szCs w:val="22"/>
        </w:rPr>
        <w:t>Events of Default</w:t>
      </w:r>
      <w:r>
        <w:rPr>
          <w:rFonts w:cs="Times New Roman"/>
          <w:szCs w:val="22"/>
        </w:rPr>
        <w:t>” above. In case of any such waiver, or in case any proceedings taken by the Trustee on account of any such default are to have been discontinued or abandoned or determined adversely to the Trustee, then in every such case the District, the Trustee, and the Owners are to be restored to their former positions and rights thereunder respectively, but no such waiver or rescission is to extend to any subsequent or other default, or impair any right consequent thereon.</w:t>
      </w:r>
    </w:p>
    <w:p w14:paraId="17573AAB" w14:textId="2D25F7B2" w:rsidR="005242D4" w:rsidRPr="00E74B37" w:rsidRDefault="005242D4" w:rsidP="005242D4">
      <w:pPr>
        <w:pStyle w:val="00BodyText5"/>
        <w:rPr>
          <w:rFonts w:cs="Times New Roman"/>
          <w:szCs w:val="22"/>
        </w:rPr>
      </w:pPr>
      <w:r>
        <w:rPr>
          <w:rFonts w:cs="Times New Roman"/>
          <w:b/>
          <w:i/>
          <w:szCs w:val="22"/>
        </w:rPr>
        <w:t>SR Indenture Supplements</w:t>
      </w:r>
      <w:r>
        <w:rPr>
          <w:rFonts w:cs="Times New Roman"/>
          <w:szCs w:val="22"/>
        </w:rPr>
        <w:t>. Subject to the provisions of the SR Indenture, the District and the Trustee may, without the consent of or notice to the Consent Parties, enter into such SR Indentures supplemental thereto, which supplemental SR Indentures are to thereafter form a part thereof, for any one or more of the following purposes: (a) to cure any ambiguity, to cure, correct, or supplement any formal defect or omission or inconsistent provision contained in the SR Indenture, to make any provision necessary or desirable due to a change in law, to make any provisions with respect to matters arising under the SR Indenture, or to make any provisions for any other purpose if such provisions are necessary or desirable and do not materially adversely affect the interests of the Owners of the 2026A-2 SR Bonds; (b) to subject to the SR Indenture additional revenues, properties, or collateral; (c) to grant or confer upon the Trustee for the benefit of the Owners any additional rights, remedies, powers, or authority that may lawfully be granted to or conferred upon the Owners or the Trustee; and (d) to qualify the SR Indenture under the Trust Indenture Act of 1939.</w:t>
      </w:r>
    </w:p>
    <w:p w14:paraId="08727350" w14:textId="759B32C4" w:rsidR="005242D4" w:rsidRPr="00E74B37" w:rsidRDefault="005242D4" w:rsidP="005242D4">
      <w:pPr>
        <w:pStyle w:val="00BodyText5"/>
        <w:rPr>
          <w:rFonts w:cs="Times New Roman"/>
          <w:szCs w:val="22"/>
        </w:rPr>
      </w:pPr>
      <w:r>
        <w:rPr>
          <w:rFonts w:cs="Times New Roman"/>
          <w:szCs w:val="22"/>
        </w:rPr>
        <w:t>Except for supplemental SR Indentures delivered as described above, and subject to the provisions of the SR Indenture, the Consent Parties with respect to not less than a majority (or for modifications of provisions thereof which require the consent of a percentage of Owners or Consent Parties higher than a majority, such higher percentage) in aggregate principal amount of the 2026A-2 SR Bonds then Outstanding are to have the right, from time to time, to consent to and approve the execution by the District and the Trustee of such indenture or indentures supplemental thereto as are to be deemed necessary or desirable by the District for the purpose of modifying, altering, amending, adding to, or rescinding, in any particular, any of the terms or provisions contained in the SR Indenture; provided however, that without the consent of the Consent Parties with respect to all the Outstanding 2026A-2 SR Bonds affected thereby, nothing therein contained is to permit, or be construed as permitting: (a) a change in the terms of the maturity of any Outstanding 2026A-2 SR Bond, in the principal amount of any Outstanding 2026A-2 SR Bond, in the optional or mandatory redemption provisions applicable thereto, or the rate of interest thereon; (b) an impairment of the right of the Owners to institute suit for the enforcement of any payment of the principal of or interest on the 2026A-2 SR Bonds when due; (c) a privilege or priority of any 2026A-2 SR Bond or any interest payment over any other 2026A-2 SR Bond or interest payment; or (d) a reduction in the percentage in principal amount of the Outstanding 2026A-2 SR Bonds, the consent of whose Owners or Consent Parties is required for any such supplemental indenture.</w:t>
      </w:r>
    </w:p>
    <w:p w14:paraId="29BE7897" w14:textId="4E1464DF" w:rsidR="005242D4" w:rsidRPr="00E74B37" w:rsidRDefault="005242D4" w:rsidP="005242D4">
      <w:pPr>
        <w:pStyle w:val="00BodyText5"/>
        <w:rPr>
          <w:rFonts w:cs="Times New Roman"/>
          <w:szCs w:val="22"/>
        </w:rPr>
      </w:pPr>
      <w:r>
        <w:rPr>
          <w:rFonts w:cs="Times New Roman"/>
          <w:b/>
          <w:i/>
          <w:szCs w:val="22"/>
        </w:rPr>
        <w:t>Discharge of the Lien of the SR Indenture</w:t>
      </w:r>
      <w:r>
        <w:rPr>
          <w:rFonts w:cs="Times New Roman"/>
          <w:szCs w:val="22"/>
        </w:rPr>
        <w:t>. If the District is to pay or cause to be paid to the Trustee, for the Owners of the 2026A-2 SR Bonds, the principal of and interest to become due thereon at the times and in the manner stipulated in the SR Indenture, and if the District is to keep, perform, and observe all and singular the covenants and promises in the 2026A-2 SR Bonds and in the SR Indenture expressed to be kept, performed, and observed by it or on its part, and if all fees and expenses of the Trustee required by the SR Indenture to be paid are to have been paid, then the presents and the estate and rights thereby granted are to cease, terminate, and be void, and thereupon the Trustee is to cancel and discharge the lien of the SR Indenture, and execute and deliver to the District such instruments in writing as are required to satisfy the lien thereof, and assign and deliver to the District any property at the time subject to the lien of the SR Indenture which may then be in its possession, and deliver any amounts required to be paid to the District under the SR Indenture, except for moneys and Federal Securities held by the Trustee for the payment of the principal of, premium if any, and interest on the 2026A-2 SR Bonds.</w:t>
      </w:r>
    </w:p>
    <w:p w14:paraId="0B24F8FF" w14:textId="67005C47" w:rsidR="005242D4" w:rsidRPr="00E74B37" w:rsidRDefault="005242D4" w:rsidP="005242D4">
      <w:pPr>
        <w:pStyle w:val="00BodyText5"/>
        <w:rPr>
          <w:rFonts w:cs="Times New Roman"/>
          <w:szCs w:val="22"/>
        </w:rPr>
      </w:pPr>
      <w:r>
        <w:rPr>
          <w:rFonts w:cs="Times New Roman"/>
          <w:szCs w:val="22"/>
        </w:rPr>
        <w:t xml:space="preserve">Any 2026A-2 SR Bond is to, prior to the maturity or prior redemption thereof, be deemed to have been paid within the meaning and with the effect expressed in the SR Indenture if, for the purpose of paying such 2026A-2 SR Bond (a) there is to have been deposited with the Trustee an amount sufficient, without investment, to pay the principal of, premium if any, and interest on such 2026A-2 SR Bond as the same becomes due at maturity or upon one or more designated prior redemption dates, or (b) there is to have been placed in escrow and in trust with a commercial bank exercising trust powers, an amount sufficient (including the known minimum yield from Federal Securities in which such amount may be invested) to pay the principal of, premium if any, and interest on such 2026A-2 SR Bond, as the same becomes due at maturity or upon one or more designated prior redemption dates. The Federal Securities in any such escrow are not to be subject to redemption or prepayment at the option of the issuer, and are to become due at or prior to the respective times on which the proceeds thereof are needed, in accordance with a schedule established and agreed upon between the District and such bank at the time of the creation of the escrow, or the Federal Securities are to be subject to redemption at the option of the holders thereof to assure such availability as so needed to meet such schedule. The sufficiency of any such escrow funded with Federal Securities is to be verified by a certified public accountant. With respect to any accrued and unpaid interest on the 2026A-2 SR Bonds, including any compound interest remaining unpaid, it is acknowledged that such amounts are due and payable immediately at the time of funding any escrow intended to accomplish a defeasance of the 2026A-2 SR Bonds. Upon the funding of an escrow defeasing </w:t>
      </w:r>
      <w:r w:rsidR="004824B5">
        <w:rPr>
          <w:rFonts w:cs="Times New Roman"/>
          <w:szCs w:val="22"/>
        </w:rPr>
        <w:t xml:space="preserve">the </w:t>
      </w:r>
      <w:r>
        <w:rPr>
          <w:rFonts w:cs="Times New Roman"/>
          <w:szCs w:val="22"/>
        </w:rPr>
        <w:t>2026A-2 SR Bonds in accordance with the provisions of the SR Indenture, the 2026A-2 SR Bonds are to cease to be subject to mandatory redemption in accordance with the SR Indenture, and the principal of the 2026A-2 SR Bonds is to be due and payable only on the designated redemption date(s).</w:t>
      </w:r>
    </w:p>
    <w:p w14:paraId="247114B2" w14:textId="187D5CD0" w:rsidR="005242D4" w:rsidRPr="00E74B37" w:rsidRDefault="005242D4" w:rsidP="005242D4">
      <w:pPr>
        <w:pStyle w:val="00BodyText5"/>
        <w:rPr>
          <w:rFonts w:cs="Times New Roman"/>
          <w:szCs w:val="22"/>
        </w:rPr>
      </w:pPr>
      <w:r>
        <w:rPr>
          <w:rFonts w:cs="Times New Roman"/>
          <w:szCs w:val="22"/>
        </w:rPr>
        <w:t>Neither the Federal Securities, nor moneys deposited with the Trustee or placed in escrow and in trust pursuant to the SR Indenture, nor principal or interest payments on any such Federal Securities are to be withdrawn or used for any purpose other than, and are to be held in trust for, the payment of the principal of and interest on the 2026A-2 SR Bonds; provided however, that any cash received from such principal or interest payments on such Federal Securities, if not then needed for such purpose, are to, to the extent practicable, be reinvested subject to the provisions of the SR Indenture in Federal Securities maturing at the times and in amounts sufficient to pay, when due, the principal of and interest on the 2026A-2 SR Bonds.</w:t>
      </w:r>
    </w:p>
    <w:p w14:paraId="2133C423" w14:textId="688E4F02" w:rsidR="005242D4" w:rsidRPr="00E74B37" w:rsidRDefault="005242D4" w:rsidP="005242D4">
      <w:pPr>
        <w:pStyle w:val="00BodyText5"/>
        <w:rPr>
          <w:rFonts w:cs="Times New Roman"/>
          <w:szCs w:val="22"/>
        </w:rPr>
      </w:pPr>
      <w:r>
        <w:rPr>
          <w:rFonts w:cs="Times New Roman"/>
          <w:szCs w:val="22"/>
        </w:rPr>
        <w:t>Prior to the investment or reinvestment of such moneys or such Federal Securities as therein provided, the Trustee is to receive and may rely upon: (a) an opinion of Bond Counsel experienced in matters arising under Section 103 of the Code and acceptable to the Trustee, that the investment or reinvestment of such moneys or such Federal Securities complies with the SR Indenture; and (b) a report of a certified public accountant that the moneys or Federal Securities will be sufficient to provide for the payment of the principal of and interest on the 2026A-2 SR Bonds when due.</w:t>
      </w:r>
    </w:p>
    <w:p w14:paraId="59F83387" w14:textId="77777777" w:rsidR="005242D4" w:rsidRPr="00E74B37" w:rsidRDefault="005242D4" w:rsidP="005242D4">
      <w:pPr>
        <w:pStyle w:val="00BodyText5"/>
        <w:rPr>
          <w:rFonts w:cs="Times New Roman"/>
          <w:szCs w:val="22"/>
        </w:rPr>
      </w:pPr>
      <w:r>
        <w:rPr>
          <w:rFonts w:cs="Times New Roman"/>
          <w:szCs w:val="22"/>
        </w:rPr>
        <w:t>The release of the obligations of the District under the SR Indenture is to be without prejudice to the rights of the Trustee to be paid reasonable compensation by the District for all services rendered by it thereunder and all its reasonable expenses, charges, and other disbursements incurred in the administration of the trust thereby created, the exercise of its powers, and the performance of its duties thereunder.</w:t>
      </w:r>
    </w:p>
    <w:p w14:paraId="21DDA074" w14:textId="3E8D6254" w:rsidR="005242D4" w:rsidRPr="00E74B37" w:rsidRDefault="005242D4" w:rsidP="005242D4">
      <w:pPr>
        <w:pStyle w:val="00BodyText5"/>
        <w:rPr>
          <w:rFonts w:cs="Times New Roman"/>
          <w:szCs w:val="22"/>
        </w:rPr>
      </w:pPr>
      <w:r>
        <w:rPr>
          <w:rFonts w:cs="Times New Roman"/>
          <w:i/>
          <w:szCs w:val="22"/>
        </w:rPr>
        <w:t>Continuing Role as Bond Registrar and Paying Agent</w:t>
      </w:r>
      <w:r>
        <w:rPr>
          <w:rFonts w:cs="Times New Roman"/>
          <w:szCs w:val="22"/>
        </w:rPr>
        <w:t>. Notwithstanding the defeasance of the 2026A-2 SR Bonds prior to maturity and the discharge of the SR Indenture as provided therein, the Trustee is to continue to fulfill its obligations as bond registrar and paying agent thereunder until the 2026A-2 SR Bonds are fully paid, satisfied, and discharged.</w:t>
      </w:r>
    </w:p>
    <w:p w14:paraId="0D0BE64A" w14:textId="1840E9A3" w:rsidR="00425668" w:rsidRDefault="005242D4" w:rsidP="005242D4">
      <w:pPr>
        <w:pStyle w:val="00BodyText5"/>
        <w:rPr>
          <w:rFonts w:cs="Times New Roman"/>
          <w:szCs w:val="22"/>
        </w:rPr>
      </w:pPr>
      <w:r>
        <w:rPr>
          <w:rFonts w:cs="Times New Roman"/>
          <w:i/>
          <w:szCs w:val="22"/>
        </w:rPr>
        <w:t>Discharge Upon Payment of All Contract Fees</w:t>
      </w:r>
      <w:r>
        <w:rPr>
          <w:rFonts w:cs="Times New Roman"/>
          <w:szCs w:val="22"/>
        </w:rPr>
        <w:t>. Notwithstanding any other provision in the SR Indenture, in the event that any amount of principal of or interest on the 2026A-2 SR Bonds remains unpaid after the application of all SR Pledged Revenue available therefor after collection of all Contract Fees due and owing in the District and exhaustion of any applicable remedies available to the Trustee under the SR Indenture and the Contract Fee</w:t>
      </w:r>
      <w:r w:rsidR="00CD137B">
        <w:rPr>
          <w:rFonts w:cs="Times New Roman"/>
          <w:szCs w:val="22"/>
        </w:rPr>
        <w:t>s</w:t>
      </w:r>
      <w:r>
        <w:rPr>
          <w:rFonts w:cs="Times New Roman"/>
          <w:szCs w:val="22"/>
        </w:rPr>
        <w:t xml:space="preserve"> Resolution and the Contract Fee Interlocal Agreement to collect any unpaid Contract Fees due and owing, the 2026A-2 SR Bonds and the lien of the SR Indenture securing payment thereof are to be deemed discharged, the estate and rights thereby granted are to cease, terminate, and be void, and thereupon the Trustee is to cancel and discharge the lien of the SR Indenture, and execute and deliver to the District such instruments in writing as are to be required to evidence the same. Upon such discharge, the Owners will have no recourse to the District or any property of the District for the payment of any amount of principal of or interest on the 2026A-2 SR Bonds remaining unpaid.</w:t>
      </w:r>
    </w:p>
    <w:p w14:paraId="12A4FCF5" w14:textId="6E42ED3B" w:rsidR="00425668" w:rsidRPr="008C4E4D" w:rsidRDefault="0031301D" w:rsidP="001B1CBE">
      <w:pPr>
        <w:pStyle w:val="Heading1"/>
        <w:rPr>
          <w:rFonts w:cs="Times New Roman"/>
          <w:bCs w:val="0"/>
          <w:sz w:val="22"/>
          <w:szCs w:val="22"/>
        </w:rPr>
      </w:pPr>
      <w:bookmarkStart w:id="135" w:name="_Toc235521077"/>
      <w:r w:rsidRPr="008C4E4D">
        <w:rPr>
          <w:rFonts w:cs="Times New Roman"/>
          <w:bCs w:val="0"/>
          <w:sz w:val="22"/>
          <w:szCs w:val="22"/>
        </w:rPr>
        <w:t>THE 2026B SUBORDINATE LT BONDS</w:t>
      </w:r>
      <w:bookmarkEnd w:id="135"/>
    </w:p>
    <w:p w14:paraId="663D2E0F" w14:textId="77777777" w:rsidR="00425668" w:rsidRPr="008C4E4D" w:rsidRDefault="00425668" w:rsidP="008C4E4D">
      <w:pPr>
        <w:pStyle w:val="00BodyText5"/>
        <w:rPr>
          <w:rFonts w:cs="Times New Roman"/>
          <w:i/>
          <w:szCs w:val="22"/>
        </w:rPr>
      </w:pPr>
      <w:r w:rsidRPr="008C4E4D">
        <w:rPr>
          <w:rFonts w:cs="Times New Roman"/>
          <w:i/>
          <w:szCs w:val="22"/>
        </w:rPr>
        <w:t>The following is a summary of certain general provisions of the 2026B Subordinate LT Bonds. Reference is hereby made to the Subordinate LT Indenture in its entirety for the detailed provisions pertaining to the 2026B Subordinate LT Bonds.</w:t>
      </w:r>
    </w:p>
    <w:p w14:paraId="17B74CFE" w14:textId="77777777" w:rsidR="00425668" w:rsidRPr="008C4E4D" w:rsidRDefault="00425668" w:rsidP="008C4E4D">
      <w:pPr>
        <w:pStyle w:val="Heading2"/>
        <w:rPr>
          <w:bCs w:val="0"/>
          <w:sz w:val="22"/>
          <w:szCs w:val="22"/>
        </w:rPr>
      </w:pPr>
      <w:bookmarkStart w:id="136" w:name="_Toc235521078"/>
      <w:r w:rsidRPr="008C4E4D">
        <w:rPr>
          <w:bCs w:val="0"/>
          <w:sz w:val="22"/>
          <w:szCs w:val="22"/>
        </w:rPr>
        <w:t>Description</w:t>
      </w:r>
      <w:bookmarkEnd w:id="136"/>
    </w:p>
    <w:p w14:paraId="51BDE81A" w14:textId="77777777" w:rsidR="00425668" w:rsidRPr="008C4E4D" w:rsidRDefault="00425668" w:rsidP="008C4E4D">
      <w:pPr>
        <w:pStyle w:val="00BodyText5"/>
        <w:rPr>
          <w:rFonts w:cs="Times New Roman"/>
          <w:szCs w:val="22"/>
        </w:rPr>
      </w:pPr>
      <w:r w:rsidRPr="008C4E4D">
        <w:rPr>
          <w:rFonts w:cs="Times New Roman"/>
          <w:szCs w:val="22"/>
        </w:rPr>
        <w:t xml:space="preserve">The 2026B Subordinate LT Bonds will be issued in the principal amount, will be dated and will mature as indicated on the inside cover page of this Official Statement. For a complete statement of the details and conditions of the issuance of the 2026B Subordinate LT Bonds, reference is made to the Subordinate LT Indenture and the Bond Resolution, copies of which are available from the Underwriter prior to delivery of the 2026B Subordinate LT Bonds. See “INTRODUCTION—Additional Information.” </w:t>
      </w:r>
    </w:p>
    <w:p w14:paraId="627EA638" w14:textId="77777777" w:rsidR="00425668" w:rsidRPr="008C4E4D" w:rsidRDefault="00425668" w:rsidP="008C4E4D">
      <w:pPr>
        <w:pStyle w:val="00BodyText5"/>
        <w:rPr>
          <w:rFonts w:cs="Times New Roman"/>
          <w:b/>
          <w:i/>
          <w:szCs w:val="22"/>
        </w:rPr>
      </w:pPr>
      <w:r w:rsidRPr="008C4E4D">
        <w:rPr>
          <w:rFonts w:cs="Times New Roman"/>
          <w:b/>
          <w:i/>
          <w:szCs w:val="22"/>
        </w:rPr>
        <w:t>The 2026B Subordinate LT Bonds are authorized, issued and secured by and in accordance with the Subordinate LT Indenture. No covenant, agreement or other provision of the Senior LT Indenture or the SR Indenture secures or is otherwise made by the District or the Trustee for the benefit of Owners of the 2026B Subordinate LT Bonds.</w:t>
      </w:r>
    </w:p>
    <w:p w14:paraId="1D585A17" w14:textId="77777777" w:rsidR="00425668" w:rsidRPr="008C4E4D" w:rsidRDefault="00425668" w:rsidP="008C4E4D">
      <w:pPr>
        <w:pStyle w:val="Heading2"/>
        <w:rPr>
          <w:bCs w:val="0"/>
          <w:sz w:val="22"/>
          <w:szCs w:val="22"/>
        </w:rPr>
      </w:pPr>
      <w:bookmarkStart w:id="137" w:name="_Toc235521079"/>
      <w:r w:rsidRPr="008C4E4D">
        <w:rPr>
          <w:bCs w:val="0"/>
          <w:sz w:val="22"/>
          <w:szCs w:val="22"/>
        </w:rPr>
        <w:t>Sources of Payment</w:t>
      </w:r>
      <w:bookmarkEnd w:id="137"/>
    </w:p>
    <w:p w14:paraId="7A41D068" w14:textId="4BF9619D" w:rsidR="00425668" w:rsidRPr="008C4E4D" w:rsidRDefault="00425668" w:rsidP="008C4E4D">
      <w:pPr>
        <w:pStyle w:val="00BodyText1"/>
        <w:jc w:val="both"/>
        <w:rPr>
          <w:rFonts w:cs="Times New Roman"/>
          <w:sz w:val="22"/>
          <w:szCs w:val="22"/>
        </w:rPr>
      </w:pPr>
      <w:r w:rsidRPr="008C4E4D">
        <w:rPr>
          <w:rFonts w:cs="Times New Roman"/>
          <w:sz w:val="22"/>
          <w:szCs w:val="22"/>
        </w:rPr>
        <w:t>The 2026B Subordinate LT Bonds are limited tax general obligations of the District secured by and payable solely from and to the extent of the “</w:t>
      </w:r>
      <w:r w:rsidRPr="008C4E4D">
        <w:rPr>
          <w:rFonts w:cs="Times New Roman"/>
          <w:b/>
          <w:sz w:val="22"/>
          <w:szCs w:val="22"/>
        </w:rPr>
        <w:t>Subordinate LT Pledged Revenue</w:t>
      </w:r>
      <w:r w:rsidRPr="008C4E4D">
        <w:rPr>
          <w:rFonts w:cs="Times New Roman"/>
          <w:sz w:val="22"/>
          <w:szCs w:val="22"/>
        </w:rPr>
        <w:t>,” consisting of moneys derived by the District from the following sources: (a) all Subordinate Property Tax Revenues (generally defined as all moneys derived from imposition by the District of the Subordinate Required Mill Levy)</w:t>
      </w:r>
      <w:r w:rsidR="00314273">
        <w:rPr>
          <w:rFonts w:cs="Times New Roman"/>
          <w:sz w:val="22"/>
          <w:szCs w:val="22"/>
        </w:rPr>
        <w:t>;</w:t>
      </w:r>
      <w:r w:rsidRPr="008C4E4D">
        <w:rPr>
          <w:rFonts w:cs="Times New Roman"/>
          <w:sz w:val="22"/>
          <w:szCs w:val="22"/>
        </w:rPr>
        <w:t xml:space="preserve"> (b) all Subordinate Pioneering </w:t>
      </w:r>
      <w:r w:rsidR="004C7B35">
        <w:rPr>
          <w:rFonts w:cs="Times New Roman"/>
          <w:sz w:val="22"/>
          <w:szCs w:val="22"/>
        </w:rPr>
        <w:t>Agreement Revenues, if any</w:t>
      </w:r>
      <w:r w:rsidR="00314273">
        <w:rPr>
          <w:rFonts w:cs="Times New Roman"/>
          <w:sz w:val="22"/>
          <w:szCs w:val="22"/>
        </w:rPr>
        <w:t>; and</w:t>
      </w:r>
      <w:r w:rsidRPr="008C4E4D">
        <w:rPr>
          <w:rFonts w:cs="Times New Roman"/>
          <w:sz w:val="22"/>
          <w:szCs w:val="22"/>
        </w:rPr>
        <w:t xml:space="preserve"> (c) any other legally available moneys which the District determines, in its absolute discretion, to credit to the Subordinate LT Bond Fund. </w:t>
      </w:r>
    </w:p>
    <w:p w14:paraId="708B9313" w14:textId="1F1FC9C7" w:rsidR="00425668" w:rsidRPr="008C4E4D" w:rsidRDefault="00E75172" w:rsidP="008C4E4D">
      <w:pPr>
        <w:pStyle w:val="Heading2"/>
        <w:rPr>
          <w:bCs w:val="0"/>
          <w:sz w:val="22"/>
          <w:szCs w:val="22"/>
        </w:rPr>
      </w:pPr>
      <w:bookmarkStart w:id="138" w:name="_Toc235521080"/>
      <w:r>
        <w:rPr>
          <w:bCs w:val="0"/>
          <w:sz w:val="22"/>
          <w:szCs w:val="22"/>
        </w:rPr>
        <w:t>“Cash Flow”</w:t>
      </w:r>
      <w:r w:rsidR="00425668" w:rsidRPr="008C4E4D">
        <w:rPr>
          <w:bCs w:val="0"/>
          <w:sz w:val="22"/>
          <w:szCs w:val="22"/>
        </w:rPr>
        <w:t xml:space="preserve"> Nature of 2026B Subordinate LT Bonds; Discharge on March 1</w:t>
      </w:r>
      <w:r w:rsidR="0031301D" w:rsidRPr="008C4E4D">
        <w:rPr>
          <w:bCs w:val="0"/>
          <w:sz w:val="22"/>
          <w:szCs w:val="22"/>
        </w:rPr>
        <w:t>5</w:t>
      </w:r>
      <w:r w:rsidR="00425668" w:rsidRPr="008C4E4D">
        <w:rPr>
          <w:bCs w:val="0"/>
          <w:sz w:val="22"/>
          <w:szCs w:val="22"/>
        </w:rPr>
        <w:t>, 2067</w:t>
      </w:r>
      <w:bookmarkEnd w:id="138"/>
    </w:p>
    <w:p w14:paraId="4093EE53" w14:textId="0852FA4C" w:rsidR="00425668" w:rsidRPr="008C4E4D" w:rsidRDefault="00425668" w:rsidP="008C4E4D">
      <w:pPr>
        <w:pStyle w:val="00BodyText5"/>
        <w:rPr>
          <w:rFonts w:cs="Times New Roman"/>
          <w:szCs w:val="22"/>
        </w:rPr>
      </w:pPr>
      <w:r w:rsidRPr="008C4E4D">
        <w:rPr>
          <w:rFonts w:cs="Times New Roman"/>
          <w:szCs w:val="22"/>
        </w:rPr>
        <w:t xml:space="preserve">The 2026B Subordinate LT Bonds are structured as “cash flow” bonds, meaning that </w:t>
      </w:r>
      <w:r w:rsidR="00B64C22">
        <w:rPr>
          <w:rFonts w:cs="Times New Roman"/>
          <w:szCs w:val="22"/>
        </w:rPr>
        <w:t xml:space="preserve">the Subordinate LT Indenture does not provide for any </w:t>
      </w:r>
      <w:r w:rsidRPr="008C4E4D">
        <w:rPr>
          <w:rFonts w:cs="Times New Roman"/>
          <w:szCs w:val="22"/>
        </w:rPr>
        <w:t xml:space="preserve">scheduled payments of principal thereof prior to the final </w:t>
      </w:r>
      <w:r w:rsidR="002F24F2">
        <w:rPr>
          <w:rFonts w:cs="Times New Roman"/>
          <w:szCs w:val="22"/>
        </w:rPr>
        <w:t xml:space="preserve">stated </w:t>
      </w:r>
      <w:r w:rsidRPr="008C4E4D">
        <w:rPr>
          <w:rFonts w:cs="Times New Roman"/>
          <w:szCs w:val="22"/>
        </w:rPr>
        <w:t>maturity date. Rather, principal on the 2026B Subordinate LT Bonds is payable on each March 1</w:t>
      </w:r>
      <w:r w:rsidR="007D50B1">
        <w:rPr>
          <w:rFonts w:cs="Times New Roman"/>
          <w:szCs w:val="22"/>
        </w:rPr>
        <w:t>5</w:t>
      </w:r>
      <w:r w:rsidRPr="008C4E4D">
        <w:rPr>
          <w:rFonts w:cs="Times New Roman"/>
          <w:szCs w:val="22"/>
        </w:rPr>
        <w:t xml:space="preserve"> from, and to the extent of, Subordinate LT Pledged Revenue on deposit, if any, in the Subordinate Mandatory Redemption Account of the Subordinate LT Bond Fund </w:t>
      </w:r>
      <w:r w:rsidR="00683F5C">
        <w:rPr>
          <w:rFonts w:cs="Times New Roman"/>
          <w:szCs w:val="22"/>
        </w:rPr>
        <w:t>30</w:t>
      </w:r>
      <w:r w:rsidRPr="008C4E4D">
        <w:rPr>
          <w:rFonts w:cs="Times New Roman"/>
          <w:szCs w:val="22"/>
        </w:rPr>
        <w:t xml:space="preserve"> days prior to such March 1</w:t>
      </w:r>
      <w:r w:rsidR="007D50B1">
        <w:rPr>
          <w:rFonts w:cs="Times New Roman"/>
          <w:szCs w:val="22"/>
        </w:rPr>
        <w:t>5</w:t>
      </w:r>
      <w:r w:rsidRPr="008C4E4D">
        <w:rPr>
          <w:rFonts w:cs="Times New Roman"/>
          <w:szCs w:val="22"/>
        </w:rPr>
        <w:t>, in accordance with the terms of the Subordinate LT Indenture, pursuant to a special mandatory redemption more particularly described in “—Redemption—</w:t>
      </w:r>
      <w:r w:rsidRPr="008C4E4D">
        <w:rPr>
          <w:rFonts w:cs="Times New Roman"/>
          <w:i/>
          <w:szCs w:val="22"/>
        </w:rPr>
        <w:t>Mandatory Redemption</w:t>
      </w:r>
      <w:r w:rsidRPr="008C4E4D">
        <w:rPr>
          <w:rFonts w:cs="Times New Roman"/>
          <w:szCs w:val="22"/>
        </w:rPr>
        <w:t>” and “—</w:t>
      </w:r>
      <w:r w:rsidR="00DD4A7D">
        <w:rPr>
          <w:rFonts w:cs="Times New Roman"/>
          <w:szCs w:val="22"/>
        </w:rPr>
        <w:t>Certain Subordinate LT Indenture Provisions</w:t>
      </w:r>
      <w:r w:rsidRPr="008C4E4D">
        <w:rPr>
          <w:rFonts w:cs="Times New Roman"/>
          <w:szCs w:val="22"/>
        </w:rPr>
        <w:t>—</w:t>
      </w:r>
      <w:r w:rsidRPr="008C4E4D">
        <w:rPr>
          <w:rFonts w:cs="Times New Roman"/>
          <w:i/>
          <w:szCs w:val="22"/>
        </w:rPr>
        <w:t>Subordinate LT Bond Fund</w:t>
      </w:r>
      <w:r w:rsidRPr="008C4E4D">
        <w:rPr>
          <w:rFonts w:cs="Times New Roman"/>
          <w:szCs w:val="22"/>
        </w:rPr>
        <w:t>” below. Furthermore, accrued unpaid interest on the 2026B Subordinate LT Bonds will compound annually on each March 1</w:t>
      </w:r>
      <w:r w:rsidR="007D50B1">
        <w:rPr>
          <w:rFonts w:cs="Times New Roman"/>
          <w:szCs w:val="22"/>
        </w:rPr>
        <w:t>5</w:t>
      </w:r>
      <w:r w:rsidRPr="008C4E4D">
        <w:rPr>
          <w:rFonts w:cs="Times New Roman"/>
          <w:szCs w:val="22"/>
        </w:rPr>
        <w:t>. As further described in “—</w:t>
      </w:r>
      <w:r w:rsidR="00DD4A7D">
        <w:rPr>
          <w:rFonts w:cs="Times New Roman"/>
          <w:szCs w:val="22"/>
        </w:rPr>
        <w:t>Certain Subordinate LT Indenture Provisions</w:t>
      </w:r>
      <w:r w:rsidRPr="008C4E4D">
        <w:rPr>
          <w:rFonts w:cs="Times New Roman"/>
          <w:szCs w:val="22"/>
        </w:rPr>
        <w:t>—</w:t>
      </w:r>
      <w:r w:rsidRPr="008C4E4D">
        <w:rPr>
          <w:rFonts w:cs="Times New Roman"/>
          <w:i/>
          <w:szCs w:val="22"/>
        </w:rPr>
        <w:t>Subordinate LT Bond Fund,</w:t>
      </w:r>
      <w:r w:rsidRPr="008C4E4D">
        <w:rPr>
          <w:rFonts w:cs="Times New Roman"/>
          <w:szCs w:val="22"/>
        </w:rPr>
        <w:t xml:space="preserve">” interest payable on the 2026B Subordinate LT Bonds in each </w:t>
      </w:r>
      <w:r w:rsidR="00AD0041" w:rsidRPr="008C4E4D">
        <w:rPr>
          <w:rFonts w:cs="Times New Roman"/>
          <w:szCs w:val="22"/>
        </w:rPr>
        <w:t>Subordinate LT Bond Year</w:t>
      </w:r>
      <w:r w:rsidRPr="008C4E4D">
        <w:rPr>
          <w:rFonts w:cs="Times New Roman"/>
          <w:szCs w:val="22"/>
        </w:rPr>
        <w:t xml:space="preserve"> is to be paid prior to any payments of principal in such </w:t>
      </w:r>
      <w:r w:rsidR="00AD0041" w:rsidRPr="008C4E4D">
        <w:rPr>
          <w:rFonts w:cs="Times New Roman"/>
          <w:szCs w:val="22"/>
        </w:rPr>
        <w:t>Subordinate LT Bond Year</w:t>
      </w:r>
      <w:r w:rsidRPr="008C4E4D">
        <w:rPr>
          <w:rFonts w:cs="Times New Roman"/>
          <w:szCs w:val="22"/>
        </w:rPr>
        <w:t xml:space="preserve">. </w:t>
      </w:r>
      <w:r w:rsidRPr="008C4E4D">
        <w:rPr>
          <w:rFonts w:cs="Times New Roman"/>
          <w:i/>
          <w:szCs w:val="22"/>
        </w:rPr>
        <w:t xml:space="preserve">As </w:t>
      </w:r>
      <w:r w:rsidR="0051528A">
        <w:rPr>
          <w:rFonts w:cs="Times New Roman"/>
          <w:i/>
          <w:szCs w:val="22"/>
        </w:rPr>
        <w:t>projected</w:t>
      </w:r>
      <w:r w:rsidRPr="008C4E4D">
        <w:rPr>
          <w:rFonts w:cs="Times New Roman"/>
          <w:i/>
          <w:szCs w:val="22"/>
        </w:rPr>
        <w:t xml:space="preserve"> in the </w:t>
      </w:r>
      <w:r w:rsidR="00BB0838" w:rsidRPr="008C4E4D">
        <w:rPr>
          <w:rFonts w:cs="Times New Roman"/>
          <w:i/>
          <w:szCs w:val="22"/>
        </w:rPr>
        <w:t xml:space="preserve">LT </w:t>
      </w:r>
      <w:r w:rsidRPr="008C4E4D">
        <w:rPr>
          <w:rFonts w:cs="Times New Roman"/>
          <w:i/>
          <w:szCs w:val="22"/>
        </w:rPr>
        <w:t xml:space="preserve">Financial Forecast, it is not anticipated that there will be any Subordinate LT Pledged Revenue available to pay accrued interest </w:t>
      </w:r>
      <w:r w:rsidR="002F24F2">
        <w:rPr>
          <w:rFonts w:cs="Times New Roman"/>
          <w:i/>
          <w:szCs w:val="22"/>
        </w:rPr>
        <w:t>on the 2026B Subordinate LT Bonds until 20[__],</w:t>
      </w:r>
      <w:r w:rsidR="00691E9F">
        <w:rPr>
          <w:rStyle w:val="FootnoteReference"/>
          <w:rFonts w:cs="Times New Roman"/>
          <w:szCs w:val="22"/>
        </w:rPr>
        <w:footnoteReference w:customMarkFollows="1" w:id="20"/>
        <w:t>*</w:t>
      </w:r>
      <w:r w:rsidR="002F24F2">
        <w:rPr>
          <w:rFonts w:cs="Times New Roman"/>
          <w:i/>
          <w:szCs w:val="22"/>
        </w:rPr>
        <w:t xml:space="preserve"> and it is not anticipated that there will be any Subordinate LT Pledged Revenue available to pay </w:t>
      </w:r>
      <w:r w:rsidRPr="008C4E4D">
        <w:rPr>
          <w:rFonts w:cs="Times New Roman"/>
          <w:i/>
          <w:szCs w:val="22"/>
        </w:rPr>
        <w:t>or principal on the 2026B Subordinate LT Bonds until 20</w:t>
      </w:r>
      <w:r w:rsidR="002F24F2">
        <w:rPr>
          <w:rFonts w:cs="Times New Roman"/>
          <w:i/>
          <w:szCs w:val="22"/>
        </w:rPr>
        <w:t>[</w:t>
      </w:r>
      <w:r w:rsidRPr="008C4E4D">
        <w:rPr>
          <w:rFonts w:cs="Times New Roman"/>
          <w:i/>
          <w:szCs w:val="22"/>
        </w:rPr>
        <w:t>__].</w:t>
      </w:r>
      <w:r w:rsidR="002F24F2" w:rsidRPr="002F24F2">
        <w:rPr>
          <w:rFonts w:cs="Times New Roman"/>
          <w:i/>
          <w:szCs w:val="22"/>
          <w:vertAlign w:val="superscript"/>
        </w:rPr>
        <w:t>*</w:t>
      </w:r>
      <w:r w:rsidRPr="008C4E4D">
        <w:rPr>
          <w:rFonts w:cs="Times New Roman"/>
          <w:i/>
          <w:szCs w:val="22"/>
        </w:rPr>
        <w:t xml:space="preserve"> The </w:t>
      </w:r>
      <w:r w:rsidR="001B1CBE">
        <w:rPr>
          <w:rFonts w:cs="Times New Roman"/>
          <w:i/>
          <w:szCs w:val="22"/>
        </w:rPr>
        <w:t xml:space="preserve">LT </w:t>
      </w:r>
      <w:r w:rsidRPr="008C4E4D">
        <w:rPr>
          <w:rFonts w:cs="Times New Roman"/>
          <w:i/>
          <w:szCs w:val="22"/>
        </w:rPr>
        <w:t xml:space="preserve">Financial Forecast is based on certain assumptions more particularly set forth therein. There is no assurance that Subordinate LT Pledged Revenue will be sufficient to make payment on the 2026B Subordinate LT Bonds as projected in the </w:t>
      </w:r>
      <w:r w:rsidR="001B1CBE">
        <w:rPr>
          <w:rFonts w:cs="Times New Roman"/>
          <w:i/>
          <w:szCs w:val="22"/>
        </w:rPr>
        <w:t xml:space="preserve">LT </w:t>
      </w:r>
      <w:r w:rsidRPr="008C4E4D">
        <w:rPr>
          <w:rFonts w:cs="Times New Roman"/>
          <w:i/>
          <w:szCs w:val="22"/>
        </w:rPr>
        <w:t>Financial Forecast, or ever.</w:t>
      </w:r>
      <w:r w:rsidRPr="008C4E4D">
        <w:rPr>
          <w:rFonts w:cs="Times New Roman"/>
          <w:szCs w:val="22"/>
        </w:rPr>
        <w:t xml:space="preserve"> See also the Financial Forecast</w:t>
      </w:r>
      <w:r w:rsidR="001B1CBE">
        <w:rPr>
          <w:rFonts w:cs="Times New Roman"/>
          <w:szCs w:val="22"/>
        </w:rPr>
        <w:t>s</w:t>
      </w:r>
      <w:r w:rsidRPr="008C4E4D">
        <w:rPr>
          <w:rFonts w:cs="Times New Roman"/>
          <w:szCs w:val="22"/>
        </w:rPr>
        <w:t>, attached as APPENDIX A hereto, and “RISK FACTORS—Risks Inherent in Market Study and Financial Forecast</w:t>
      </w:r>
      <w:r w:rsidR="004B0447">
        <w:rPr>
          <w:rFonts w:cs="Times New Roman"/>
          <w:szCs w:val="22"/>
        </w:rPr>
        <w:t>s</w:t>
      </w:r>
      <w:r w:rsidRPr="008C4E4D">
        <w:rPr>
          <w:rFonts w:cs="Times New Roman"/>
          <w:szCs w:val="22"/>
        </w:rPr>
        <w:t>.”</w:t>
      </w:r>
    </w:p>
    <w:p w14:paraId="546F788A" w14:textId="319D9D92" w:rsidR="00425668" w:rsidRPr="008C4E4D" w:rsidRDefault="00425668" w:rsidP="008C4E4D">
      <w:pPr>
        <w:pStyle w:val="00BodyText5"/>
        <w:rPr>
          <w:rFonts w:cs="Times New Roman"/>
          <w:b/>
          <w:szCs w:val="22"/>
        </w:rPr>
      </w:pPr>
      <w:r w:rsidRPr="008C4E4D">
        <w:rPr>
          <w:rFonts w:cs="Times New Roman"/>
          <w:b/>
          <w:szCs w:val="22"/>
        </w:rPr>
        <w:t>Notwithstanding any other provision in the Subordinate LT Indenture, in the event that any amount of principal of or interest on the 2026B Subordinate LT Bonds remains unpaid after the application of all Subordinate LT Pledged Revenue available therefor on March 1</w:t>
      </w:r>
      <w:r w:rsidR="0031301D" w:rsidRPr="008C4E4D">
        <w:rPr>
          <w:rFonts w:cs="Times New Roman"/>
          <w:b/>
          <w:szCs w:val="22"/>
        </w:rPr>
        <w:t>5</w:t>
      </w:r>
      <w:r w:rsidRPr="008C4E4D">
        <w:rPr>
          <w:rFonts w:cs="Times New Roman"/>
          <w:b/>
          <w:szCs w:val="22"/>
        </w:rPr>
        <w:t>, 2067, the 2026B Subordinate LT Bonds and the lien of the Subordinate LT Indenture securing payment thereof is to be deemed discharged.</w:t>
      </w:r>
    </w:p>
    <w:p w14:paraId="7196AA3B" w14:textId="77777777" w:rsidR="00425668" w:rsidRPr="002F24F2" w:rsidRDefault="00425668" w:rsidP="008C4E4D">
      <w:pPr>
        <w:pStyle w:val="Heading2"/>
        <w:rPr>
          <w:bCs w:val="0"/>
          <w:sz w:val="22"/>
          <w:szCs w:val="22"/>
        </w:rPr>
      </w:pPr>
      <w:bookmarkStart w:id="139" w:name="_Toc235521081"/>
      <w:r w:rsidRPr="002F24F2">
        <w:rPr>
          <w:bCs w:val="0"/>
          <w:sz w:val="22"/>
          <w:szCs w:val="22"/>
        </w:rPr>
        <w:t>Authorized Denominations of the 2026B Subordinate LT Bonds</w:t>
      </w:r>
      <w:bookmarkEnd w:id="139"/>
    </w:p>
    <w:p w14:paraId="723C35A0" w14:textId="77777777" w:rsidR="00425668" w:rsidRPr="008C4E4D" w:rsidRDefault="00425668" w:rsidP="008C4E4D">
      <w:pPr>
        <w:pStyle w:val="00BodyText5"/>
        <w:rPr>
          <w:rFonts w:cs="Times New Roman"/>
          <w:szCs w:val="22"/>
        </w:rPr>
      </w:pPr>
      <w:r w:rsidRPr="008C4E4D">
        <w:rPr>
          <w:rFonts w:cs="Times New Roman"/>
          <w:szCs w:val="22"/>
        </w:rPr>
        <w:t>The 2026B Subordinate LT Bonds are being issued in “</w:t>
      </w:r>
      <w:r w:rsidRPr="008C4E4D">
        <w:rPr>
          <w:rFonts w:cs="Times New Roman"/>
          <w:b/>
          <w:szCs w:val="22"/>
        </w:rPr>
        <w:t>Authorized Denominations</w:t>
      </w:r>
      <w:r w:rsidRPr="008C4E4D">
        <w:rPr>
          <w:rFonts w:cs="Times New Roman"/>
          <w:szCs w:val="22"/>
        </w:rPr>
        <w:t xml:space="preserve">,” defined in the Subordinate LT Indenture to mean, the amount of $500,000 or any integral multiple of $1,000 in excess thereof, provided that no individual 2026B Subordinate LT Bond may be in an amount which exceeds the principal amount coming due on any maturity date. Notwithstanding the foregoing, in the event a 2026B Subordinate LT Bond is partially redeemed and the unredeemed portion is less than $500,000, such unredeemed portion of such 2026B Subordinate LT Bond may be issued in the largest possible denomination of less than $500,000, in an integral multiple of $1,000. </w:t>
      </w:r>
    </w:p>
    <w:p w14:paraId="78B18FC5" w14:textId="77777777" w:rsidR="00425668" w:rsidRPr="002F24F2" w:rsidRDefault="00425668" w:rsidP="008C4E4D">
      <w:pPr>
        <w:pStyle w:val="Heading2"/>
        <w:rPr>
          <w:bCs w:val="0"/>
          <w:sz w:val="22"/>
          <w:szCs w:val="22"/>
        </w:rPr>
      </w:pPr>
      <w:bookmarkStart w:id="140" w:name="_Toc235521082"/>
      <w:r w:rsidRPr="002F24F2">
        <w:rPr>
          <w:bCs w:val="0"/>
          <w:sz w:val="22"/>
          <w:szCs w:val="22"/>
        </w:rPr>
        <w:t>Payment of Principal and Interest</w:t>
      </w:r>
      <w:bookmarkEnd w:id="140"/>
    </w:p>
    <w:p w14:paraId="72491B83" w14:textId="3C24B2DA" w:rsidR="00425668" w:rsidRPr="008C4E4D" w:rsidRDefault="00425668" w:rsidP="008C4E4D">
      <w:pPr>
        <w:pStyle w:val="00BodyText5"/>
        <w:rPr>
          <w:rFonts w:cs="Times New Roman"/>
          <w:szCs w:val="22"/>
        </w:rPr>
      </w:pPr>
      <w:r w:rsidRPr="008C4E4D">
        <w:rPr>
          <w:rFonts w:cs="Times New Roman"/>
          <w:szCs w:val="22"/>
        </w:rPr>
        <w:t>The 2026B Subordinate LT Bonds will bear interest at the rate set forth on the inside cover hereof (computed on the basis of a 360-day year of twelve 30-day months) payable to the extent of Subordinate LT Pledged Revenue available therefor annually on each March 1</w:t>
      </w:r>
      <w:r w:rsidR="007D50B1">
        <w:rPr>
          <w:rFonts w:cs="Times New Roman"/>
          <w:szCs w:val="22"/>
        </w:rPr>
        <w:t>5</w:t>
      </w:r>
      <w:r w:rsidRPr="008C4E4D">
        <w:rPr>
          <w:rFonts w:cs="Times New Roman"/>
          <w:szCs w:val="22"/>
        </w:rPr>
        <w:t>, commencing on March 1</w:t>
      </w:r>
      <w:r w:rsidR="007D50B1">
        <w:rPr>
          <w:rFonts w:cs="Times New Roman"/>
          <w:szCs w:val="22"/>
        </w:rPr>
        <w:t>5</w:t>
      </w:r>
      <w:r w:rsidRPr="008C4E4D">
        <w:rPr>
          <w:rFonts w:cs="Times New Roman"/>
          <w:szCs w:val="22"/>
        </w:rPr>
        <w:t>, 2027 (each a “</w:t>
      </w:r>
      <w:r w:rsidR="00F72D0B">
        <w:rPr>
          <w:rFonts w:cs="Times New Roman"/>
          <w:b/>
          <w:bCs/>
          <w:szCs w:val="22"/>
        </w:rPr>
        <w:t>Subordinate LT Interest Payment Date</w:t>
      </w:r>
      <w:r w:rsidRPr="008C4E4D">
        <w:rPr>
          <w:rFonts w:cs="Times New Roman"/>
          <w:szCs w:val="22"/>
        </w:rPr>
        <w:t>”).</w:t>
      </w:r>
    </w:p>
    <w:p w14:paraId="129F5C5A" w14:textId="306530EB" w:rsidR="002F24F2" w:rsidRDefault="002F24F2" w:rsidP="002F24F2">
      <w:pPr>
        <w:spacing w:after="240"/>
        <w:ind w:firstLine="720"/>
        <w:jc w:val="both"/>
        <w:rPr>
          <w:rFonts w:eastAsia="Calibri" w:cs="Times New Roman"/>
          <w:sz w:val="22"/>
          <w:szCs w:val="22"/>
        </w:rPr>
      </w:pPr>
      <w:r>
        <w:rPr>
          <w:rFonts w:eastAsia="Calibri" w:cs="Times New Roman"/>
          <w:sz w:val="22"/>
          <w:szCs w:val="22"/>
        </w:rPr>
        <w:t>The Subordinate LT Indenture provides that t</w:t>
      </w:r>
      <w:r w:rsidRPr="006121A0">
        <w:rPr>
          <w:rFonts w:eastAsia="Calibri" w:cs="Times New Roman"/>
          <w:sz w:val="22"/>
          <w:szCs w:val="22"/>
        </w:rPr>
        <w:t xml:space="preserve">he principal of and premium, if any, on the </w:t>
      </w:r>
      <w:r>
        <w:rPr>
          <w:rFonts w:eastAsia="Calibri" w:cs="Times New Roman"/>
          <w:sz w:val="22"/>
          <w:szCs w:val="22"/>
        </w:rPr>
        <w:t>2026B Subordinate LT Bonds</w:t>
      </w:r>
      <w:r w:rsidRPr="006121A0">
        <w:rPr>
          <w:rFonts w:eastAsia="Calibri" w:cs="Times New Roman"/>
          <w:sz w:val="22"/>
          <w:szCs w:val="22"/>
        </w:rPr>
        <w:t xml:space="preserve"> are payable in lawful money of the United States of America to the Owner of each </w:t>
      </w:r>
      <w:r>
        <w:rPr>
          <w:rFonts w:eastAsia="Calibri" w:cs="Times New Roman"/>
          <w:sz w:val="22"/>
          <w:szCs w:val="22"/>
        </w:rPr>
        <w:t>2026B Subordinate LT Bond</w:t>
      </w:r>
      <w:r w:rsidRPr="006121A0">
        <w:rPr>
          <w:rFonts w:eastAsia="Calibri" w:cs="Times New Roman"/>
          <w:sz w:val="22"/>
          <w:szCs w:val="22"/>
        </w:rPr>
        <w:t xml:space="preserve"> upon maturity or prior redemption and presentation at the principal office of the Trustee. The interest on any </w:t>
      </w:r>
      <w:r>
        <w:rPr>
          <w:rFonts w:eastAsia="Calibri" w:cs="Times New Roman"/>
          <w:sz w:val="22"/>
          <w:szCs w:val="22"/>
        </w:rPr>
        <w:t>2026B Subordinate LT Bond</w:t>
      </w:r>
      <w:r w:rsidRPr="006121A0">
        <w:rPr>
          <w:rFonts w:eastAsia="Calibri" w:cs="Times New Roman"/>
          <w:sz w:val="22"/>
          <w:szCs w:val="22"/>
        </w:rPr>
        <w:t xml:space="preserve"> is payable to the person in whose name such </w:t>
      </w:r>
      <w:r>
        <w:rPr>
          <w:rFonts w:eastAsia="Calibri" w:cs="Times New Roman"/>
          <w:sz w:val="22"/>
          <w:szCs w:val="22"/>
        </w:rPr>
        <w:t>2026B Subordinate LT Bond</w:t>
      </w:r>
      <w:r w:rsidRPr="006121A0">
        <w:rPr>
          <w:rFonts w:eastAsia="Calibri" w:cs="Times New Roman"/>
          <w:sz w:val="22"/>
          <w:szCs w:val="22"/>
        </w:rPr>
        <w:t xml:space="preserve"> is registered, at his address as it appears on the registration books maintained by or on behalf of the District by the Trustee, at the close of business on the </w:t>
      </w:r>
      <w:r w:rsidR="00AC1E9B">
        <w:rPr>
          <w:rFonts w:eastAsia="Calibri" w:cs="Times New Roman"/>
          <w:sz w:val="22"/>
          <w:szCs w:val="22"/>
        </w:rPr>
        <w:t>Subordinate LT Record Date</w:t>
      </w:r>
      <w:r w:rsidRPr="006121A0">
        <w:rPr>
          <w:rFonts w:eastAsia="Calibri" w:cs="Times New Roman"/>
          <w:sz w:val="22"/>
          <w:szCs w:val="22"/>
        </w:rPr>
        <w:t xml:space="preserve">, irrespective of any transfer or exchange of such </w:t>
      </w:r>
      <w:r>
        <w:rPr>
          <w:rFonts w:eastAsia="Calibri" w:cs="Times New Roman"/>
          <w:sz w:val="22"/>
          <w:szCs w:val="22"/>
        </w:rPr>
        <w:t>2026B Subordinate LT Bond</w:t>
      </w:r>
      <w:r w:rsidRPr="006121A0">
        <w:rPr>
          <w:rFonts w:eastAsia="Calibri" w:cs="Times New Roman"/>
          <w:sz w:val="22"/>
          <w:szCs w:val="22"/>
        </w:rPr>
        <w:t xml:space="preserve"> subsequent to such </w:t>
      </w:r>
      <w:r w:rsidR="00AC1E9B">
        <w:rPr>
          <w:rFonts w:eastAsia="Calibri" w:cs="Times New Roman"/>
          <w:sz w:val="22"/>
          <w:szCs w:val="22"/>
        </w:rPr>
        <w:t>Subordinate LT Record Date</w:t>
      </w:r>
      <w:r w:rsidRPr="006121A0">
        <w:rPr>
          <w:rFonts w:eastAsia="Calibri" w:cs="Times New Roman"/>
          <w:sz w:val="22"/>
          <w:szCs w:val="22"/>
        </w:rPr>
        <w:t xml:space="preserve"> and prior to such </w:t>
      </w:r>
      <w:r w:rsidR="001B1CBE">
        <w:rPr>
          <w:rFonts w:eastAsia="Calibri" w:cs="Times New Roman"/>
          <w:sz w:val="22"/>
          <w:szCs w:val="22"/>
        </w:rPr>
        <w:t xml:space="preserve">Subordinate LT </w:t>
      </w:r>
      <w:r w:rsidRPr="006121A0">
        <w:rPr>
          <w:rFonts w:eastAsia="Calibri" w:cs="Times New Roman"/>
          <w:sz w:val="22"/>
          <w:szCs w:val="22"/>
        </w:rPr>
        <w:t xml:space="preserve">Interest Payment Date; provided that any such interest not so timely paid or duly provided for is to cease to be payable to the person who is the Owner thereof at the close of business on the </w:t>
      </w:r>
      <w:r w:rsidR="00AC1E9B">
        <w:rPr>
          <w:rFonts w:eastAsia="Calibri" w:cs="Times New Roman"/>
          <w:sz w:val="22"/>
          <w:szCs w:val="22"/>
        </w:rPr>
        <w:t>Subordinate LT Record Date</w:t>
      </w:r>
      <w:r w:rsidRPr="006121A0">
        <w:rPr>
          <w:rFonts w:eastAsia="Calibri" w:cs="Times New Roman"/>
          <w:sz w:val="22"/>
          <w:szCs w:val="22"/>
        </w:rPr>
        <w:t xml:space="preserve"> and is to be payable to the person who is the Owner thereof at the close of business on a Special Record Date for the payment of any such unpaid interest.</w:t>
      </w:r>
    </w:p>
    <w:p w14:paraId="06A6AD42" w14:textId="43CBAE51" w:rsidR="002F24F2" w:rsidRPr="002F7BEE" w:rsidRDefault="002F24F2" w:rsidP="002F24F2">
      <w:pPr>
        <w:spacing w:after="240"/>
        <w:ind w:firstLine="720"/>
        <w:jc w:val="both"/>
        <w:rPr>
          <w:sz w:val="22"/>
        </w:rPr>
      </w:pPr>
      <w:r w:rsidRPr="002F7BEE">
        <w:rPr>
          <w:sz w:val="22"/>
        </w:rPr>
        <w:t xml:space="preserve">To the extent principal of any 2026B Subordinate LT Bond is not paid when due, such principal is to remain Outstanding until paid, subject to the bold paragraph below. To the extent interest on any 2026B Subordinate LT Bond is not paid when due, such interest is to compound annually on each </w:t>
      </w:r>
      <w:r w:rsidR="001B1CBE">
        <w:rPr>
          <w:sz w:val="22"/>
        </w:rPr>
        <w:t xml:space="preserve">Subordinate LT </w:t>
      </w:r>
      <w:r w:rsidRPr="002F7BEE">
        <w:rPr>
          <w:sz w:val="22"/>
        </w:rPr>
        <w:t>Interest Payment Date, at the rate then borne by the 2026B Subordinate LT Bond; provided however, that notwithstanding anything in the Subordinate LT Indenture to the contrary, the District is not to be obligated to pay more than the amount permitted by law.</w:t>
      </w:r>
    </w:p>
    <w:p w14:paraId="4351782C" w14:textId="77777777" w:rsidR="002F24F2" w:rsidRPr="002F7BEE" w:rsidRDefault="002F24F2" w:rsidP="002F24F2">
      <w:pPr>
        <w:spacing w:after="240"/>
        <w:ind w:firstLine="720"/>
        <w:jc w:val="both"/>
        <w:rPr>
          <w:b/>
          <w:sz w:val="22"/>
        </w:rPr>
      </w:pPr>
      <w:r w:rsidRPr="002F7BEE">
        <w:rPr>
          <w:b/>
          <w:sz w:val="22"/>
        </w:rPr>
        <w:t xml:space="preserve">Notwithstanding any other provision in the Subordinate LT Indenture, in </w:t>
      </w:r>
      <w:r>
        <w:rPr>
          <w:rFonts w:eastAsia="Calibri" w:cs="Times New Roman"/>
          <w:b/>
          <w:sz w:val="22"/>
          <w:szCs w:val="22"/>
        </w:rPr>
        <w:t xml:space="preserve">accordance with the Governing Document (because the District is not permitted to impose an ad valorem property tax levy after a period exceeding forty (40) years from the first date of imposition of the property tax levy for the 2026B Subordinate LT Bonds), </w:t>
      </w:r>
      <w:r w:rsidRPr="006121A0">
        <w:rPr>
          <w:rFonts w:eastAsia="Calibri" w:cs="Times New Roman"/>
          <w:b/>
          <w:sz w:val="22"/>
          <w:szCs w:val="22"/>
        </w:rPr>
        <w:t xml:space="preserve">in </w:t>
      </w:r>
      <w:r w:rsidRPr="002F7BEE">
        <w:rPr>
          <w:b/>
          <w:sz w:val="22"/>
        </w:rPr>
        <w:t>the event that any amount of principal of or interest on the 2026B Subordinate LT Bonds remains unpaid after the application of all Subordinate LT Pledged Revenue available therefor on March 15, 2067, the 2026B Subordinate LT Bonds and the lien of the Subordinate LT Indenture securing payment thereof are to be deemed discharged, the estate and rights thereby granted are to cease, terminate, and be void, and thereupon the Trustee is to cancel and discharge the lien of the Subordinate LT Indenture, and execute and deliver to the District such instruments in writing as are to be required to evidence the same. Upon such discharge, the Owners will have no recourse to the District or any property of the District for the payment of any amount of principal of or interest on the 2026B Subordinate LT Bonds remaining unpaid.</w:t>
      </w:r>
    </w:p>
    <w:p w14:paraId="277BF67E" w14:textId="2C74AE01" w:rsidR="002F24F2" w:rsidRPr="002F7BEE" w:rsidRDefault="002F24F2" w:rsidP="002F24F2">
      <w:pPr>
        <w:spacing w:after="240"/>
        <w:ind w:firstLine="720"/>
        <w:jc w:val="both"/>
        <w:rPr>
          <w:sz w:val="22"/>
        </w:rPr>
      </w:pPr>
      <w:r w:rsidRPr="002F7BEE">
        <w:rPr>
          <w:sz w:val="22"/>
        </w:rPr>
        <w:t xml:space="preserve">Payments for the principal of and interest on the 2026B Subordinate LT Bonds will be made as described in </w:t>
      </w:r>
      <w:r>
        <w:rPr>
          <w:sz w:val="22"/>
        </w:rPr>
        <w:t>“</w:t>
      </w:r>
      <w:r w:rsidRPr="002F7BEE">
        <w:rPr>
          <w:sz w:val="22"/>
        </w:rPr>
        <w:t>APPENDIX G—BOOK-ENTRY-ONLY SYSTEM.</w:t>
      </w:r>
      <w:r>
        <w:rPr>
          <w:sz w:val="22"/>
        </w:rPr>
        <w:t>”</w:t>
      </w:r>
    </w:p>
    <w:p w14:paraId="7241BC8F" w14:textId="77777777" w:rsidR="00425668" w:rsidRPr="002F24F2" w:rsidRDefault="00425668" w:rsidP="008C4E4D">
      <w:pPr>
        <w:pStyle w:val="Heading2"/>
        <w:rPr>
          <w:bCs w:val="0"/>
          <w:sz w:val="22"/>
          <w:szCs w:val="22"/>
        </w:rPr>
      </w:pPr>
      <w:bookmarkStart w:id="141" w:name="_Toc235521083"/>
      <w:r w:rsidRPr="002F24F2">
        <w:rPr>
          <w:bCs w:val="0"/>
          <w:sz w:val="22"/>
          <w:szCs w:val="22"/>
        </w:rPr>
        <w:t>Redemption</w:t>
      </w:r>
      <w:bookmarkEnd w:id="141"/>
    </w:p>
    <w:p w14:paraId="661D5349" w14:textId="77777777" w:rsidR="002F24F2" w:rsidRDefault="00425668" w:rsidP="008C4E4D">
      <w:pPr>
        <w:pStyle w:val="00BodyText5"/>
        <w:rPr>
          <w:rFonts w:cs="Times New Roman"/>
          <w:szCs w:val="22"/>
        </w:rPr>
      </w:pPr>
      <w:r w:rsidRPr="008C4E4D">
        <w:rPr>
          <w:rFonts w:cs="Times New Roman"/>
          <w:b/>
          <w:i/>
          <w:szCs w:val="22"/>
        </w:rPr>
        <w:t>Optional Redemption</w:t>
      </w:r>
      <w:r w:rsidRPr="008C4E4D">
        <w:rPr>
          <w:rFonts w:cs="Times New Roman"/>
          <w:szCs w:val="22"/>
        </w:rPr>
        <w:t xml:space="preserve">. </w:t>
      </w:r>
      <w:r w:rsidR="002F24F2" w:rsidRPr="002F24F2">
        <w:rPr>
          <w:rFonts w:cs="Times New Roman"/>
          <w:szCs w:val="22"/>
        </w:rPr>
        <w:t>The optional redemption provisions for the 2026B Subordinate LT Bonds will be set forth in the final Official Statement.</w:t>
      </w:r>
    </w:p>
    <w:p w14:paraId="5A53FBC9" w14:textId="1AD7DBF0" w:rsidR="00425668" w:rsidRPr="008C4E4D" w:rsidRDefault="00425668" w:rsidP="008C4E4D">
      <w:pPr>
        <w:pStyle w:val="00BodyText5"/>
        <w:rPr>
          <w:rFonts w:cs="Times New Roman"/>
          <w:szCs w:val="22"/>
        </w:rPr>
      </w:pPr>
      <w:r w:rsidRPr="008C4E4D">
        <w:rPr>
          <w:rFonts w:cs="Times New Roman"/>
          <w:b/>
          <w:i/>
          <w:szCs w:val="22"/>
        </w:rPr>
        <w:t>Mandatory Redemption</w:t>
      </w:r>
      <w:r w:rsidRPr="008C4E4D">
        <w:rPr>
          <w:rFonts w:cs="Times New Roman"/>
          <w:szCs w:val="22"/>
        </w:rPr>
        <w:t>. The 2026B Subordinate LT Bonds are subject to mandatory redemption in part by lot on March 1</w:t>
      </w:r>
      <w:r w:rsidR="007D50B1">
        <w:rPr>
          <w:rFonts w:cs="Times New Roman"/>
          <w:szCs w:val="22"/>
        </w:rPr>
        <w:t>5</w:t>
      </w:r>
      <w:r w:rsidRPr="008C4E4D">
        <w:rPr>
          <w:rFonts w:cs="Times New Roman"/>
          <w:szCs w:val="22"/>
        </w:rPr>
        <w:t xml:space="preserve"> of each year (each a “</w:t>
      </w:r>
      <w:r w:rsidRPr="008C4E4D">
        <w:rPr>
          <w:rFonts w:cs="Times New Roman"/>
          <w:b/>
          <w:szCs w:val="22"/>
        </w:rPr>
        <w:t>Subordinate Mandatory Redemption Date</w:t>
      </w:r>
      <w:r w:rsidRPr="008C4E4D">
        <w:rPr>
          <w:rFonts w:cs="Times New Roman"/>
          <w:szCs w:val="22"/>
        </w:rPr>
        <w:t>”), commencing March 1</w:t>
      </w:r>
      <w:r w:rsidR="007D50B1">
        <w:rPr>
          <w:rFonts w:cs="Times New Roman"/>
          <w:szCs w:val="22"/>
        </w:rPr>
        <w:t>5</w:t>
      </w:r>
      <w:r w:rsidRPr="008C4E4D">
        <w:rPr>
          <w:rFonts w:cs="Times New Roman"/>
          <w:szCs w:val="22"/>
        </w:rPr>
        <w:t xml:space="preserve">, 2027, to the extent of moneys on deposit, if any, in the Subordinate Mandatory Redemption Account of the Subordinate LT Bond Fund </w:t>
      </w:r>
      <w:r w:rsidR="00683F5C">
        <w:rPr>
          <w:rFonts w:cs="Times New Roman"/>
          <w:szCs w:val="22"/>
        </w:rPr>
        <w:t>30</w:t>
      </w:r>
      <w:r w:rsidRPr="008C4E4D">
        <w:rPr>
          <w:rFonts w:cs="Times New Roman"/>
          <w:szCs w:val="22"/>
        </w:rPr>
        <w:t xml:space="preserve"> days prior to the applicable Subordinate Mandatory Redemption Date, and subject to any minimum requirements with respect to the principal amount of 2026B Subordinate LT Bonds to be redeemed as set forth in the Subordinate LT Indenture, at a redemption price (the “</w:t>
      </w:r>
      <w:r w:rsidRPr="008C4E4D">
        <w:rPr>
          <w:rFonts w:cs="Times New Roman"/>
          <w:b/>
          <w:szCs w:val="22"/>
        </w:rPr>
        <w:t>Subordinate Mandatory Redemption Price</w:t>
      </w:r>
      <w:r w:rsidRPr="008C4E4D">
        <w:rPr>
          <w:rFonts w:cs="Times New Roman"/>
          <w:szCs w:val="22"/>
        </w:rPr>
        <w:t>”) equal to the principal amount thereof (with no redemption premium), plus accrued interest to the Subordinate Mandatory Redemption Date. The District acknowledges and agrees in the Subordinate LT Indenture that, notwithstanding anything therein to the contrary, borrowed moneys are not to be used for the purpose of redeeming principal of the 2026B Subordinate LT Bonds pursuant to the mandatory redemption described in the Subordinate LT Indenture.</w:t>
      </w:r>
    </w:p>
    <w:p w14:paraId="2FAC3674" w14:textId="77777777" w:rsidR="00425668" w:rsidRPr="008C4E4D" w:rsidRDefault="00425668" w:rsidP="008C4E4D">
      <w:pPr>
        <w:pStyle w:val="00BodyText5"/>
        <w:rPr>
          <w:rFonts w:cs="Times New Roman"/>
          <w:szCs w:val="22"/>
        </w:rPr>
      </w:pPr>
      <w:r w:rsidRPr="008C4E4D">
        <w:rPr>
          <w:rFonts w:cs="Times New Roman"/>
          <w:b/>
          <w:i/>
          <w:szCs w:val="22"/>
        </w:rPr>
        <w:t>General Redemption Provisions</w:t>
      </w:r>
      <w:r w:rsidRPr="008C4E4D">
        <w:rPr>
          <w:rFonts w:cs="Times New Roman"/>
          <w:szCs w:val="22"/>
        </w:rPr>
        <w:t>. If less than all of the 2026B Subordinate LT Bonds within a maturity are to be redeemed on any prior redemption date, the 2026B Subordinate LT Bonds to be redeemed are to be selected by lot prior to the date fixed for redemption, in such manner as the Trustee is to determine. The 2026B Subordinate LT Bonds are to be redeemed only in integral multiples of $1,000. In the event a 2026B Subordinate LT Bond is of a denomination larger than $1,000, a portion of such 2026B Subordinate LT Bond may be redeemed, but only in the principal amount of $1,000 or any integral multiple thereof. Such 2026B Subordinate LT Bond is to be treated for the purpose of redemption as that number of 2026B Subordinate LT Bonds which results from dividing the principal amount of such 2026B Subordinate LT Bond by $1,000. In the event a portion of any 2026B Subordinate LT Bond is redeemed, the Trustee is to, without charge to the Owner of such 2026B Subordinate LT Bond, authenticate and deliver a replacement 2026B Subordinate LT Bond or 2026B Subordinate LT Bonds for the unredeemed portion thereof.</w:t>
      </w:r>
    </w:p>
    <w:p w14:paraId="26943630" w14:textId="77777777" w:rsidR="00425668" w:rsidRPr="008C4E4D" w:rsidRDefault="00425668" w:rsidP="008C4E4D">
      <w:pPr>
        <w:pStyle w:val="00BodyText5"/>
        <w:rPr>
          <w:rFonts w:cs="Times New Roman"/>
          <w:szCs w:val="22"/>
        </w:rPr>
      </w:pPr>
      <w:r w:rsidRPr="008C4E4D">
        <w:rPr>
          <w:rFonts w:cs="Times New Roman"/>
          <w:b/>
          <w:i/>
          <w:szCs w:val="22"/>
        </w:rPr>
        <w:t>Notice and Effect of Redemption</w:t>
      </w:r>
      <w:r w:rsidRPr="008C4E4D">
        <w:rPr>
          <w:rFonts w:cs="Times New Roman"/>
          <w:szCs w:val="22"/>
        </w:rPr>
        <w:t>. In the event any of the 2026B Subordinate LT Bonds or portions thereof are called for redemption as aforesaid, notice thereof identifying the 2026B Subordinate LT Bonds or portions thereof to be redeemed will be given by the Trustee by mailing a copy of the redemption notice by first-class mail (postage prepaid) or by electronic means to DTC or its successors, not less than 20 days prior to the redemption date to the Owner of each 2026B Subordinate LT Bond to be redeemed in whole or in part at the address shown on the registration books maintained by or on behalf of the District by the Trustee. Failure to give such notice by mailing to any Owner or by electronic means to DTC or its successors, or any defect therein, is not to affect the validity of any proceeding for the redemption of other 2026B Subordinate LT Bonds as to which no such failure or defect exists. The redemption of the 2026B Subordinate LT Bonds may be contingent or subject to such conditions as may be specified in the notice, and if funds for the redemption are not irrevocably deposited with the Trustee or otherwise placed in escrow and in trust prior to the giving of notice of redemption, the notice is to be specifically subject to the deposit of funds by the District. All 2026B Subordinate LT Bonds so called for redemption will cease to bear interest after the specified redemption date, provided funds for their redemption are on deposit at the place of payment at that time.</w:t>
      </w:r>
    </w:p>
    <w:p w14:paraId="684964B0" w14:textId="77777777" w:rsidR="00425668" w:rsidRPr="00681C64" w:rsidRDefault="00425668" w:rsidP="008C4E4D">
      <w:pPr>
        <w:pStyle w:val="Heading2"/>
        <w:rPr>
          <w:bCs w:val="0"/>
          <w:sz w:val="22"/>
          <w:szCs w:val="22"/>
        </w:rPr>
      </w:pPr>
      <w:bookmarkStart w:id="142" w:name="_Toc235521084"/>
      <w:r w:rsidRPr="00681C64">
        <w:rPr>
          <w:bCs w:val="0"/>
          <w:sz w:val="22"/>
          <w:szCs w:val="22"/>
        </w:rPr>
        <w:t>Security for the 2026B Subordinate LT Bonds; Subordinate Lien</w:t>
      </w:r>
      <w:bookmarkEnd w:id="142"/>
      <w:r w:rsidRPr="00681C64">
        <w:rPr>
          <w:bCs w:val="0"/>
          <w:sz w:val="22"/>
          <w:szCs w:val="22"/>
        </w:rPr>
        <w:t xml:space="preserve"> </w:t>
      </w:r>
    </w:p>
    <w:p w14:paraId="1CAE82A2" w14:textId="349D584A" w:rsidR="00425668" w:rsidRPr="008C4E4D" w:rsidRDefault="00425668" w:rsidP="00681C64">
      <w:pPr>
        <w:pStyle w:val="00BodyText1"/>
        <w:ind w:firstLine="720"/>
        <w:jc w:val="both"/>
        <w:rPr>
          <w:rFonts w:cs="Times New Roman"/>
          <w:sz w:val="22"/>
          <w:szCs w:val="22"/>
        </w:rPr>
      </w:pPr>
      <w:r w:rsidRPr="008C4E4D">
        <w:rPr>
          <w:rFonts w:cs="Times New Roman"/>
          <w:sz w:val="22"/>
          <w:szCs w:val="22"/>
        </w:rPr>
        <w:t>The 2026B Subordinate LT Bonds are</w:t>
      </w:r>
      <w:r w:rsidR="002F24F2">
        <w:rPr>
          <w:rFonts w:cs="Times New Roman"/>
          <w:sz w:val="22"/>
          <w:szCs w:val="22"/>
        </w:rPr>
        <w:t xml:space="preserve"> “cash flow” subordinate</w:t>
      </w:r>
      <w:r w:rsidRPr="008C4E4D">
        <w:rPr>
          <w:rFonts w:cs="Times New Roman"/>
          <w:sz w:val="22"/>
          <w:szCs w:val="22"/>
        </w:rPr>
        <w:t xml:space="preserve"> limited tax general obligations of the District secured by and payable solely from and to the extent of the Subordinate LT Pledged Revenue, consisting of moneys derived by the District from the following sources: (a) all Subordinate Property Tax Revenues; (b) all Subordinate Pioneering </w:t>
      </w:r>
      <w:r w:rsidR="004C7B35">
        <w:rPr>
          <w:rFonts w:cs="Times New Roman"/>
          <w:sz w:val="22"/>
          <w:szCs w:val="22"/>
        </w:rPr>
        <w:t>Agreement Revenues, if any</w:t>
      </w:r>
      <w:r w:rsidRPr="008C4E4D">
        <w:rPr>
          <w:rFonts w:cs="Times New Roman"/>
          <w:sz w:val="22"/>
          <w:szCs w:val="22"/>
        </w:rPr>
        <w:t xml:space="preserve">; and (c) any other legally available moneys which the District determines, in its absolute discretion, to credit to the Subordinate LT Bond Fund. </w:t>
      </w:r>
    </w:p>
    <w:p w14:paraId="59B3296D" w14:textId="77777777" w:rsidR="00425668" w:rsidRPr="008C4E4D" w:rsidRDefault="00425668" w:rsidP="008C4E4D">
      <w:pPr>
        <w:pStyle w:val="00BodyText5"/>
        <w:rPr>
          <w:rFonts w:cs="Times New Roman"/>
          <w:szCs w:val="22"/>
        </w:rPr>
      </w:pPr>
      <w:r w:rsidRPr="008C4E4D">
        <w:rPr>
          <w:rFonts w:cs="Times New Roman"/>
          <w:b/>
          <w:i/>
          <w:szCs w:val="22"/>
        </w:rPr>
        <w:t>Subordinate Property Tax Revenues.</w:t>
      </w:r>
      <w:r w:rsidRPr="008C4E4D">
        <w:rPr>
          <w:rFonts w:cs="Times New Roman"/>
          <w:szCs w:val="22"/>
        </w:rPr>
        <w:t xml:space="preserve"> The Subordinate LT Indenture defines “</w:t>
      </w:r>
      <w:r w:rsidRPr="008C4E4D">
        <w:rPr>
          <w:rFonts w:cs="Times New Roman"/>
          <w:b/>
          <w:szCs w:val="22"/>
        </w:rPr>
        <w:t>Subordinate Property Tax Revenues</w:t>
      </w:r>
      <w:r w:rsidRPr="008C4E4D">
        <w:rPr>
          <w:rFonts w:cs="Times New Roman"/>
          <w:szCs w:val="22"/>
        </w:rPr>
        <w:t>” as all moneys derived from imposition by the District of the Subordinate Required Mill Levy (including the allocation to the District of any uniform fees related to personal property). Subordinate Property Tax Revenues are net of the collection costs of the County and any tax refunds or abatements authorized by or on behalf of the County.</w:t>
      </w:r>
    </w:p>
    <w:p w14:paraId="0EF4FABC" w14:textId="77777777" w:rsidR="00425668" w:rsidRPr="008C4E4D" w:rsidRDefault="00425668" w:rsidP="008C4E4D">
      <w:pPr>
        <w:pStyle w:val="00BodyText5"/>
        <w:rPr>
          <w:rFonts w:cs="Times New Roman"/>
          <w:szCs w:val="22"/>
        </w:rPr>
      </w:pPr>
      <w:r w:rsidRPr="008C4E4D">
        <w:rPr>
          <w:rFonts w:cs="Times New Roman"/>
          <w:szCs w:val="22"/>
        </w:rPr>
        <w:t>The 2026B Subordinate LT Bonds are not secured by property lying within the District, but rather by, among other things, the District’s obligation to annually adopt and report a rate of levy, not to exceed the Subordinate Required Mill Levy, for ad valorem property taxes to the County Auditor in an amount sufficient to pay, along with other legally available revenues, the principal of and interest on the 2026B Subordinate LT Bonds. The Subordinate LT Indenture provides that in the event any ad valorem taxes are not paid when due, the District is to diligently cooperate with the appropriate county treasurer to enforce the lien of such unpaid taxes against the property for which the taxes are owed. See “—</w:t>
      </w:r>
      <w:r w:rsidRPr="008C4E4D">
        <w:rPr>
          <w:rFonts w:cs="Times New Roman"/>
          <w:i/>
          <w:szCs w:val="22"/>
        </w:rPr>
        <w:t>Covenant to Impose the Subordinate Required Mill Levy</w:t>
      </w:r>
      <w:r w:rsidRPr="008C4E4D">
        <w:rPr>
          <w:rFonts w:cs="Times New Roman"/>
          <w:szCs w:val="22"/>
        </w:rPr>
        <w:t>” below and “RISK FACTORS—Risks Related to Property Tax Revenue—</w:t>
      </w:r>
      <w:r w:rsidRPr="008C4E4D">
        <w:rPr>
          <w:rFonts w:cs="Times New Roman"/>
          <w:i/>
          <w:szCs w:val="22"/>
        </w:rPr>
        <w:t>Tax Collection</w:t>
      </w:r>
      <w:r w:rsidRPr="008C4E4D">
        <w:rPr>
          <w:rFonts w:cs="Times New Roman"/>
          <w:szCs w:val="22"/>
        </w:rPr>
        <w:t>s.”</w:t>
      </w:r>
    </w:p>
    <w:p w14:paraId="42A48689" w14:textId="5A9F2380" w:rsidR="00425668" w:rsidRPr="008C4E4D" w:rsidRDefault="00425668" w:rsidP="008C4E4D">
      <w:pPr>
        <w:pStyle w:val="00BodyText5"/>
        <w:rPr>
          <w:rFonts w:cs="Times New Roman"/>
          <w:szCs w:val="22"/>
        </w:rPr>
      </w:pPr>
      <w:r w:rsidRPr="008C4E4D">
        <w:rPr>
          <w:rFonts w:cs="Times New Roman"/>
          <w:i/>
          <w:szCs w:val="22"/>
        </w:rPr>
        <w:t>Definition of Subordinate Required Mill Levy; Limitations Resulting from Senior Obligation Mill Levy</w:t>
      </w:r>
      <w:r w:rsidRPr="008C4E4D">
        <w:rPr>
          <w:rFonts w:cs="Times New Roman"/>
          <w:szCs w:val="22"/>
        </w:rPr>
        <w:t>. The Subordinate LT Indenture defines “</w:t>
      </w:r>
      <w:r w:rsidRPr="008C4E4D">
        <w:rPr>
          <w:rFonts w:cs="Times New Roman"/>
          <w:b/>
          <w:szCs w:val="22"/>
        </w:rPr>
        <w:t>Subordinate Required Mill Levy</w:t>
      </w:r>
      <w:r w:rsidRPr="008C4E4D">
        <w:rPr>
          <w:rFonts w:cs="Times New Roman"/>
          <w:szCs w:val="22"/>
        </w:rPr>
        <w:t xml:space="preserve">” to mean an ad valorem property tax on the taxable property in the District each year in an amount equal to (i) 0.004 per dollar of taxable value less the Senior Obligation Mill Levy, or (ii) such lesser amount which, if imposed by the District for collection in the current calendar year, would, after the deduction of the Administrative Expenses and Trustee Fees, generate Subordinate Property Tax Revenues which, when combined with moneys then on deposit in the Subordinate LT Bond Fund, will pay the 2026B Subordinate LT Bonds in full in the </w:t>
      </w:r>
      <w:r w:rsidR="00AD0041" w:rsidRPr="008C4E4D">
        <w:rPr>
          <w:rFonts w:cs="Times New Roman"/>
          <w:szCs w:val="22"/>
        </w:rPr>
        <w:t>Subordinate LT Bond Year</w:t>
      </w:r>
      <w:r w:rsidRPr="008C4E4D">
        <w:rPr>
          <w:rFonts w:cs="Times New Roman"/>
          <w:szCs w:val="22"/>
        </w:rPr>
        <w:t xml:space="preserve"> such levy is collected; provided however, that pursuant to 17D-4-301(</w:t>
      </w:r>
      <w:r w:rsidR="00753E9E">
        <w:rPr>
          <w:rFonts w:cs="Times New Roman"/>
          <w:szCs w:val="22"/>
        </w:rPr>
        <w:t>13</w:t>
      </w:r>
      <w:r w:rsidRPr="008C4E4D">
        <w:rPr>
          <w:rFonts w:cs="Times New Roman"/>
          <w:szCs w:val="22"/>
        </w:rPr>
        <w:t xml:space="preserve">) of the Utah Code, in the event of any statutory change in the methodology of assessment or collection of property taxes in a manner that reduces the Subordinate Property Tax Revenues, the District may charge a rate sufficient to receive the amount of property taxes the District would have received before the statutory change in order to pay the debt service on Outstanding 2026B Subordinate LT Bonds. </w:t>
      </w:r>
    </w:p>
    <w:p w14:paraId="2EAA525A" w14:textId="02CF2314" w:rsidR="00425668" w:rsidRPr="008C4E4D" w:rsidRDefault="00425668" w:rsidP="008C4E4D">
      <w:pPr>
        <w:pStyle w:val="00BodyText5"/>
        <w:rPr>
          <w:rFonts w:cs="Times New Roman"/>
          <w:szCs w:val="22"/>
        </w:rPr>
      </w:pPr>
      <w:r w:rsidRPr="008C4E4D">
        <w:rPr>
          <w:rFonts w:cs="Times New Roman"/>
          <w:szCs w:val="22"/>
        </w:rPr>
        <w:t>“</w:t>
      </w:r>
      <w:r w:rsidRPr="008C4E4D">
        <w:rPr>
          <w:rFonts w:cs="Times New Roman"/>
          <w:b/>
          <w:i/>
          <w:szCs w:val="22"/>
        </w:rPr>
        <w:t>Senior Obligation Mill Levy</w:t>
      </w:r>
      <w:r w:rsidRPr="008C4E4D">
        <w:rPr>
          <w:rFonts w:cs="Times New Roman"/>
          <w:szCs w:val="22"/>
        </w:rPr>
        <w:t>” is defined in the Subordinate LT Indenture to mean the sum of the Senior Required Mill Levy required to be imposed by the District and any other ad valorem property tax levy required to be imposed by the District for the payment of Senior LT Obligations</w:t>
      </w:r>
      <w:r w:rsidR="002F24F2">
        <w:rPr>
          <w:rFonts w:cs="Times New Roman"/>
          <w:szCs w:val="22"/>
        </w:rPr>
        <w:t xml:space="preserve">, </w:t>
      </w:r>
      <w:r w:rsidR="002F24F2" w:rsidRPr="002F24F2">
        <w:rPr>
          <w:rFonts w:cs="Times New Roman"/>
          <w:szCs w:val="22"/>
        </w:rPr>
        <w:t xml:space="preserve">and unless specifically designated as Senior </w:t>
      </w:r>
      <w:r w:rsidR="001B1CBE">
        <w:rPr>
          <w:rFonts w:cs="Times New Roman"/>
          <w:szCs w:val="22"/>
        </w:rPr>
        <w:t xml:space="preserve">LT </w:t>
      </w:r>
      <w:r w:rsidR="002F24F2" w:rsidRPr="002F24F2">
        <w:rPr>
          <w:rFonts w:cs="Times New Roman"/>
          <w:szCs w:val="22"/>
        </w:rPr>
        <w:t>Obligations, excludes an Unencumbered Debt Service Mill Levy</w:t>
      </w:r>
      <w:r w:rsidRPr="008C4E4D">
        <w:rPr>
          <w:rFonts w:cs="Times New Roman"/>
          <w:szCs w:val="22"/>
        </w:rPr>
        <w:t xml:space="preserve">. </w:t>
      </w:r>
    </w:p>
    <w:p w14:paraId="555F5342" w14:textId="6B937523" w:rsidR="00425668" w:rsidRPr="008C4E4D" w:rsidRDefault="00425668" w:rsidP="008C4E4D">
      <w:pPr>
        <w:pStyle w:val="00BodyText5"/>
        <w:rPr>
          <w:rFonts w:cs="Times New Roman"/>
          <w:szCs w:val="22"/>
        </w:rPr>
      </w:pPr>
      <w:r w:rsidRPr="008C4E4D">
        <w:rPr>
          <w:rFonts w:cs="Times New Roman"/>
          <w:szCs w:val="22"/>
        </w:rPr>
        <w:t xml:space="preserve">In accordance with the Senior LT Indenture, the District has covenanted to impose the Senior Required Mill Levy in an amount necessary to provide for payment of the 2026A-1 Senior LT Bonds; provided, however, that such Senior Required Mill Levy is not to exceed 0.004 per dollar of taxable value. Furthermore, so long as the LT Surplus Fund (held under the Senior LT Indenture) is less than the Maximum Surplus Amount, the District has covenanted to impose the Senior Required Mill Levy in an amount of not less than 0.004 per dollar of taxable value. </w:t>
      </w:r>
      <w:r w:rsidRPr="008C4E4D">
        <w:rPr>
          <w:rFonts w:cs="Times New Roman"/>
          <w:b/>
          <w:szCs w:val="22"/>
        </w:rPr>
        <w:t>As a result, the Subordinate Required Mill Levy will equal zero</w:t>
      </w:r>
      <w:r w:rsidRPr="008C4E4D">
        <w:rPr>
          <w:rFonts w:cs="Times New Roman"/>
          <w:szCs w:val="22"/>
        </w:rPr>
        <w:t xml:space="preserve"> at any time that: (a) the payment of the 2026A-1 Senior LT Bonds (and any other Senior LT Obligations) requires the imposition of 0.004 per dollar of taxable value; and (b) at any time that there is on deposit in the LT Surplus Fund an amount less than the Maximum Surplus Amount. See also </w:t>
      </w:r>
      <w:r w:rsidR="00272237" w:rsidRPr="008C4E4D">
        <w:rPr>
          <w:rFonts w:cs="Times New Roman"/>
          <w:szCs w:val="22"/>
        </w:rPr>
        <w:t>“THE 2026A-1 SENIOR LT BONDS</w:t>
      </w:r>
      <w:r w:rsidRPr="008C4E4D">
        <w:rPr>
          <w:rFonts w:cs="Times New Roman"/>
          <w:szCs w:val="22"/>
        </w:rPr>
        <w:t>—Certain Senior LT Indenture Provisions—</w:t>
      </w:r>
      <w:r w:rsidRPr="008C4E4D">
        <w:rPr>
          <w:rFonts w:cs="Times New Roman"/>
          <w:i/>
          <w:szCs w:val="22"/>
        </w:rPr>
        <w:t>Application of Senior LT Pledged Revenue,</w:t>
      </w:r>
      <w:r w:rsidRPr="008C4E4D">
        <w:rPr>
          <w:rFonts w:cs="Times New Roman"/>
          <w:szCs w:val="22"/>
        </w:rPr>
        <w:t>” and “—</w:t>
      </w:r>
      <w:r w:rsidRPr="008C4E4D">
        <w:rPr>
          <w:rFonts w:cs="Times New Roman"/>
          <w:i/>
          <w:szCs w:val="22"/>
        </w:rPr>
        <w:t>LT Surplus Fund</w:t>
      </w:r>
      <w:r w:rsidRPr="008C4E4D">
        <w:rPr>
          <w:rFonts w:cs="Times New Roman"/>
          <w:szCs w:val="22"/>
        </w:rPr>
        <w:t>” and “APPENDIX A—FINANCIAL FORECAST” hereto.</w:t>
      </w:r>
    </w:p>
    <w:p w14:paraId="716C6987" w14:textId="1136509B" w:rsidR="00425668" w:rsidRPr="008C4E4D" w:rsidRDefault="00425668" w:rsidP="008C4E4D">
      <w:pPr>
        <w:pStyle w:val="00BodyText5"/>
        <w:rPr>
          <w:rFonts w:cs="Times New Roman"/>
          <w:szCs w:val="22"/>
        </w:rPr>
      </w:pPr>
      <w:r w:rsidRPr="008C4E4D">
        <w:rPr>
          <w:rFonts w:cs="Times New Roman"/>
          <w:i/>
          <w:szCs w:val="22"/>
        </w:rPr>
        <w:t>Covenant to Impose the Subordinate Required Mill Levy</w:t>
      </w:r>
      <w:r w:rsidRPr="008C4E4D">
        <w:rPr>
          <w:rFonts w:cs="Times New Roman"/>
          <w:szCs w:val="22"/>
        </w:rPr>
        <w:t>. The Subordinate LT Indenture provides that for the purpose of paying the principal of, premium if any, and interest on the 2026B Subordinate LT Bonds, the Board will annually adopt and report to the County Auditor, in each of the years 202</w:t>
      </w:r>
      <w:r w:rsidR="002F24F2">
        <w:rPr>
          <w:rFonts w:cs="Times New Roman"/>
          <w:szCs w:val="22"/>
        </w:rPr>
        <w:t>7</w:t>
      </w:r>
      <w:r w:rsidRPr="008C4E4D">
        <w:rPr>
          <w:rFonts w:cs="Times New Roman"/>
          <w:szCs w:val="22"/>
        </w:rPr>
        <w:t xml:space="preserve"> through 205</w:t>
      </w:r>
      <w:r w:rsidR="00572159">
        <w:rPr>
          <w:rFonts w:cs="Times New Roman"/>
          <w:szCs w:val="22"/>
        </w:rPr>
        <w:t>6</w:t>
      </w:r>
      <w:r w:rsidRPr="008C4E4D">
        <w:rPr>
          <w:rFonts w:cs="Times New Roman"/>
          <w:szCs w:val="22"/>
        </w:rPr>
        <w:t xml:space="preserve">, inclusive, and in any year thereafter in which the 2026B Subordinate LT Bonds remain Outstanding, in addition to all other taxes, the Subordinate Required Mill Levy, subject to the paragraph in the Subordinate LT Indenture set forth in bold described below. Nothing in the Subordinate LT Indenture is to be construed to require the District to levy an ad valorem property tax for payment of the </w:t>
      </w:r>
      <w:r w:rsidR="002F24F2">
        <w:rPr>
          <w:rFonts w:cs="Times New Roman"/>
          <w:szCs w:val="22"/>
        </w:rPr>
        <w:t xml:space="preserve">2026B Subordinate </w:t>
      </w:r>
      <w:r w:rsidRPr="008C4E4D">
        <w:rPr>
          <w:rFonts w:cs="Times New Roman"/>
          <w:szCs w:val="22"/>
        </w:rPr>
        <w:t xml:space="preserve">LT Bonds in excess of the Subordinate Required Mill Levy. When collected, the taxes levied for the foregoing purposes are to be deposited with the Trustee in accordance with the Subordinate LT Indenture. </w:t>
      </w:r>
    </w:p>
    <w:p w14:paraId="7885B5A9" w14:textId="3C06519E" w:rsidR="00425668" w:rsidRPr="008C4E4D" w:rsidRDefault="00425668" w:rsidP="008C4E4D">
      <w:pPr>
        <w:pStyle w:val="00BodyText5"/>
        <w:rPr>
          <w:rFonts w:cs="Times New Roman"/>
          <w:szCs w:val="22"/>
        </w:rPr>
      </w:pPr>
      <w:r w:rsidRPr="008C4E4D">
        <w:rPr>
          <w:rFonts w:cs="Times New Roman"/>
          <w:b/>
          <w:szCs w:val="22"/>
        </w:rPr>
        <w:t>Notwithstanding any other provision in the Subordinate LT Indenture, in accordance with the Governing Document, the District will not be permitted to impose the Subordinate Required Mill Levy for payment of the 2026B Subordinate LT Bonds after tax year 206</w:t>
      </w:r>
      <w:r w:rsidR="0031301D" w:rsidRPr="008C4E4D">
        <w:rPr>
          <w:rFonts w:cs="Times New Roman"/>
          <w:b/>
          <w:szCs w:val="22"/>
        </w:rPr>
        <w:t>6</w:t>
      </w:r>
      <w:r w:rsidRPr="008C4E4D">
        <w:rPr>
          <w:rFonts w:cs="Times New Roman"/>
          <w:b/>
          <w:szCs w:val="22"/>
        </w:rPr>
        <w:t xml:space="preserve"> for payment on March 1</w:t>
      </w:r>
      <w:r w:rsidR="0031301D" w:rsidRPr="008C4E4D">
        <w:rPr>
          <w:rFonts w:cs="Times New Roman"/>
          <w:b/>
          <w:szCs w:val="22"/>
        </w:rPr>
        <w:t>5</w:t>
      </w:r>
      <w:r w:rsidRPr="008C4E4D">
        <w:rPr>
          <w:rFonts w:cs="Times New Roman"/>
          <w:b/>
          <w:szCs w:val="22"/>
        </w:rPr>
        <w:t>, 2067</w:t>
      </w:r>
      <w:r w:rsidRPr="008C4E4D">
        <w:rPr>
          <w:rFonts w:cs="Times New Roman"/>
          <w:szCs w:val="22"/>
        </w:rPr>
        <w:t>.</w:t>
      </w:r>
    </w:p>
    <w:p w14:paraId="18AB4D1C" w14:textId="77777777" w:rsidR="00425668" w:rsidRPr="001361BB" w:rsidRDefault="00425668" w:rsidP="008C4E4D">
      <w:pPr>
        <w:pStyle w:val="00BodyText5"/>
        <w:rPr>
          <w:rFonts w:cs="Times New Roman"/>
          <w:szCs w:val="22"/>
        </w:rPr>
      </w:pPr>
      <w:r w:rsidRPr="008C4E4D">
        <w:rPr>
          <w:rFonts w:cs="Times New Roman"/>
          <w:szCs w:val="22"/>
        </w:rPr>
        <w:t xml:space="preserve">The Subordinate LT Indenture further provides that it is the duty of the Board, annually, at the time and in the manner provided by law for levying other District taxes, to ratify and carry out the provisions of the Subordinate LT Indenture with reference to the levying and collection of taxes; and the Board is to levy, report, and collect said taxes in the manner provided by law for the purpose of paying the principal of, </w:t>
      </w:r>
      <w:r w:rsidRPr="001361BB">
        <w:rPr>
          <w:rFonts w:cs="Times New Roman"/>
          <w:szCs w:val="22"/>
        </w:rPr>
        <w:t xml:space="preserve">premium, if any, and interest on the 2026B Subordinate LT Bonds. </w:t>
      </w:r>
    </w:p>
    <w:p w14:paraId="67F720C1" w14:textId="009B52B7" w:rsidR="002F24F2" w:rsidRPr="001361BB" w:rsidRDefault="00425668" w:rsidP="002F24F2">
      <w:pPr>
        <w:spacing w:after="240"/>
        <w:ind w:firstLine="720"/>
        <w:jc w:val="both"/>
        <w:rPr>
          <w:sz w:val="22"/>
          <w:szCs w:val="22"/>
        </w:rPr>
      </w:pPr>
      <w:r w:rsidRPr="001361BB">
        <w:rPr>
          <w:rFonts w:cs="Times New Roman"/>
          <w:b/>
          <w:i/>
          <w:sz w:val="22"/>
          <w:szCs w:val="22"/>
        </w:rPr>
        <w:t xml:space="preserve">Subordinate Pioneering </w:t>
      </w:r>
      <w:r w:rsidR="004C7B35" w:rsidRPr="001361BB">
        <w:rPr>
          <w:rFonts w:cs="Times New Roman"/>
          <w:b/>
          <w:i/>
          <w:sz w:val="22"/>
          <w:szCs w:val="22"/>
        </w:rPr>
        <w:t>Agreement Revenues</w:t>
      </w:r>
      <w:r w:rsidRPr="001361BB">
        <w:rPr>
          <w:rFonts w:cs="Times New Roman"/>
          <w:b/>
          <w:i/>
          <w:sz w:val="22"/>
          <w:szCs w:val="22"/>
        </w:rPr>
        <w:t xml:space="preserve">. </w:t>
      </w:r>
      <w:r w:rsidR="002F24F2" w:rsidRPr="001361BB">
        <w:rPr>
          <w:rFonts w:eastAsia="Calibri" w:cs="Times New Roman"/>
          <w:sz w:val="22"/>
          <w:szCs w:val="22"/>
        </w:rPr>
        <w:t>The Subordinate LT Indenture defines “</w:t>
      </w:r>
      <w:r w:rsidR="002F24F2" w:rsidRPr="001361BB">
        <w:rPr>
          <w:rFonts w:eastAsia="Calibri" w:cs="Times New Roman"/>
          <w:b/>
          <w:bCs/>
          <w:sz w:val="22"/>
          <w:szCs w:val="22"/>
        </w:rPr>
        <w:t>Subordinate Pioneering Agreement Revenue</w:t>
      </w:r>
      <w:r w:rsidR="002F24F2" w:rsidRPr="001361BB">
        <w:rPr>
          <w:rFonts w:eastAsia="Calibri" w:cs="Times New Roman"/>
          <w:sz w:val="22"/>
          <w:szCs w:val="22"/>
        </w:rPr>
        <w:t xml:space="preserve">” to mean all revenues received by the District pursuant to a Pioneering Agreement after deduction of any amount thereof used, paid, pledged or otherwise applied to the payment of any Senior </w:t>
      </w:r>
      <w:r w:rsidR="001B1CBE">
        <w:rPr>
          <w:rFonts w:eastAsia="Calibri" w:cs="Times New Roman"/>
          <w:sz w:val="22"/>
          <w:szCs w:val="22"/>
        </w:rPr>
        <w:t xml:space="preserve">LT </w:t>
      </w:r>
      <w:r w:rsidR="002F24F2" w:rsidRPr="001361BB">
        <w:rPr>
          <w:rFonts w:eastAsia="Calibri" w:cs="Times New Roman"/>
          <w:sz w:val="22"/>
          <w:szCs w:val="22"/>
        </w:rPr>
        <w:t xml:space="preserve">Obligations. The District has not engaged in any discussions with the City concerning a Pioneering Agreement, and there is no assurance that the City and the District will enter into any Pioneering Agreement. Repayment of the 2026B Subordinate LT Bonds is not dependent on receipt of any Subordinate Pioneering Agreement Revenues and the </w:t>
      </w:r>
      <w:r w:rsidR="001B1CBE">
        <w:rPr>
          <w:rFonts w:eastAsia="Calibri" w:cs="Times New Roman"/>
          <w:sz w:val="22"/>
          <w:szCs w:val="22"/>
        </w:rPr>
        <w:t xml:space="preserve">LT </w:t>
      </w:r>
      <w:r w:rsidR="002F24F2" w:rsidRPr="001361BB">
        <w:rPr>
          <w:rFonts w:eastAsia="Calibri" w:cs="Times New Roman"/>
          <w:sz w:val="22"/>
          <w:szCs w:val="22"/>
        </w:rPr>
        <w:t>Financial Forecast does not account for any Subordinate Pioneering Agreement Revenues.</w:t>
      </w:r>
    </w:p>
    <w:p w14:paraId="02AB67CE" w14:textId="25915FB2" w:rsidR="00425668" w:rsidRPr="002F24F2" w:rsidRDefault="002F24F2" w:rsidP="002F24F2">
      <w:pPr>
        <w:spacing w:after="240"/>
        <w:ind w:firstLine="720"/>
        <w:jc w:val="both"/>
        <w:rPr>
          <w:rFonts w:eastAsia="Calibri" w:cs="Times New Roman"/>
          <w:sz w:val="22"/>
          <w:szCs w:val="22"/>
        </w:rPr>
      </w:pPr>
      <w:r w:rsidRPr="002F24F2">
        <w:rPr>
          <w:rFonts w:eastAsia="Calibri" w:cs="Times New Roman"/>
          <w:sz w:val="22"/>
          <w:szCs w:val="22"/>
        </w:rPr>
        <w:t>See “THE 2026A-1 SENIOR LT BONDS—Security for the 2026A-1 Senior LT Bonds—</w:t>
      </w:r>
      <w:r w:rsidRPr="002F24F2">
        <w:rPr>
          <w:rFonts w:eastAsia="Calibri" w:cs="Times New Roman"/>
          <w:i/>
          <w:sz w:val="22"/>
          <w:szCs w:val="22"/>
        </w:rPr>
        <w:t>Senior Pioneering Agreement Revenues</w:t>
      </w:r>
      <w:r w:rsidRPr="002F24F2">
        <w:rPr>
          <w:rFonts w:eastAsia="Calibri" w:cs="Times New Roman"/>
          <w:sz w:val="22"/>
          <w:szCs w:val="22"/>
        </w:rPr>
        <w:t>.”</w:t>
      </w:r>
    </w:p>
    <w:p w14:paraId="2A449C09" w14:textId="2A34830F" w:rsidR="00425668" w:rsidRPr="008C4E4D" w:rsidRDefault="00DD4A7D" w:rsidP="008C4E4D">
      <w:pPr>
        <w:pStyle w:val="Heading2"/>
        <w:rPr>
          <w:bCs w:val="0"/>
          <w:sz w:val="22"/>
          <w:szCs w:val="22"/>
        </w:rPr>
      </w:pPr>
      <w:bookmarkStart w:id="143" w:name="_Toc235521085"/>
      <w:r>
        <w:rPr>
          <w:bCs w:val="0"/>
          <w:sz w:val="22"/>
          <w:szCs w:val="22"/>
        </w:rPr>
        <w:t>Certain Subordinate LT Indenture Provisions</w:t>
      </w:r>
      <w:bookmarkEnd w:id="143"/>
    </w:p>
    <w:p w14:paraId="5F61AD65" w14:textId="77777777" w:rsidR="00425668" w:rsidRPr="008C4E4D" w:rsidRDefault="00425668" w:rsidP="008C4E4D">
      <w:pPr>
        <w:pStyle w:val="00BodyText5"/>
        <w:rPr>
          <w:rFonts w:cs="Times New Roman"/>
          <w:i/>
          <w:szCs w:val="22"/>
        </w:rPr>
      </w:pPr>
      <w:r w:rsidRPr="008C4E4D">
        <w:rPr>
          <w:rFonts w:cs="Times New Roman"/>
          <w:szCs w:val="22"/>
        </w:rPr>
        <w:t xml:space="preserve">The following is a description of certain provisions of the Subordinate LT Indenture and is subject in all respects to the more specific provisions of the Senior LT Indenture. </w:t>
      </w:r>
      <w:r w:rsidRPr="008C4E4D">
        <w:rPr>
          <w:rFonts w:cs="Times New Roman"/>
          <w:i/>
          <w:szCs w:val="22"/>
        </w:rPr>
        <w:t>See APPENDIX C—SELECTED DEFINITIONS for definitions of certain capitalized terms and other terms used in this Official Statement.</w:t>
      </w:r>
    </w:p>
    <w:p w14:paraId="75DF5577" w14:textId="77777777" w:rsidR="00425668" w:rsidRPr="008C4E4D" w:rsidRDefault="00425668" w:rsidP="008C4E4D">
      <w:pPr>
        <w:pStyle w:val="00BodyText5"/>
        <w:rPr>
          <w:rFonts w:cs="Times New Roman"/>
          <w:b/>
          <w:szCs w:val="22"/>
        </w:rPr>
      </w:pPr>
      <w:r w:rsidRPr="008C4E4D">
        <w:rPr>
          <w:rFonts w:cs="Times New Roman"/>
          <w:b/>
          <w:szCs w:val="22"/>
        </w:rPr>
        <w:t xml:space="preserve">The Subordinate LT Indenture secures, and the covenants made by the District in the Subordinate LT Indenture are for the benefit of Owners of, solely the 2026B Subordinate LT Bonds. The Owners of the 2026A-1 Senior LT Bonds and the 2026A-2 SR Bonds are not secured by, nor have any rights to enforce any provision of, the Subordinate LT Indenture. </w:t>
      </w:r>
    </w:p>
    <w:p w14:paraId="3BDF398B" w14:textId="77777777" w:rsidR="00425668" w:rsidRPr="008C4E4D" w:rsidRDefault="00425668" w:rsidP="008C4E4D">
      <w:pPr>
        <w:pStyle w:val="00BodyText5"/>
        <w:rPr>
          <w:rFonts w:cs="Times New Roman"/>
          <w:b/>
          <w:szCs w:val="22"/>
        </w:rPr>
      </w:pPr>
      <w:r w:rsidRPr="008C4E4D">
        <w:rPr>
          <w:rFonts w:cs="Times New Roman"/>
          <w:b/>
          <w:szCs w:val="22"/>
        </w:rPr>
        <w:t>No funds or accounts held under the Subordinate LT Indenture secure payment of the 2026A-1 Senior LT Bonds or the 2026A-2 SR Bonds.</w:t>
      </w:r>
    </w:p>
    <w:p w14:paraId="3D9AC589" w14:textId="77777777" w:rsidR="00425668" w:rsidRPr="008C4E4D" w:rsidRDefault="00425668" w:rsidP="008C4E4D">
      <w:pPr>
        <w:pStyle w:val="00BodyText5"/>
        <w:rPr>
          <w:rFonts w:cs="Times New Roman"/>
          <w:szCs w:val="22"/>
        </w:rPr>
      </w:pPr>
      <w:r w:rsidRPr="008C4E4D">
        <w:rPr>
          <w:rFonts w:cs="Times New Roman"/>
          <w:b/>
          <w:i/>
          <w:szCs w:val="22"/>
        </w:rPr>
        <w:t>Creation of Subordinate Funds and Accounts</w:t>
      </w:r>
      <w:r w:rsidRPr="008C4E4D">
        <w:rPr>
          <w:rFonts w:cs="Times New Roman"/>
          <w:szCs w:val="22"/>
        </w:rPr>
        <w:t>. Under the Subordinate LT Indenture, there are created and established the following funds and accounts, which are to be established with the Trustee and maintained by the Trustee in accordance with the provisions of the Subordinate LT Indenture:</w:t>
      </w:r>
    </w:p>
    <w:p w14:paraId="76EAC4AF" w14:textId="77777777" w:rsidR="00425668" w:rsidRPr="008C4E4D" w:rsidRDefault="00425668" w:rsidP="008C4E4D">
      <w:pPr>
        <w:pStyle w:val="00BodyText5"/>
        <w:rPr>
          <w:rFonts w:cs="Times New Roman"/>
          <w:szCs w:val="22"/>
        </w:rPr>
      </w:pPr>
      <w:r w:rsidRPr="008C4E4D">
        <w:rPr>
          <w:rFonts w:cs="Times New Roman"/>
          <w:szCs w:val="22"/>
        </w:rPr>
        <w:t>(a)</w:t>
      </w:r>
      <w:r w:rsidRPr="008C4E4D">
        <w:rPr>
          <w:rFonts w:cs="Times New Roman"/>
          <w:szCs w:val="22"/>
        </w:rPr>
        <w:tab/>
        <w:t>the Subordinate LT Project Fund; and</w:t>
      </w:r>
    </w:p>
    <w:p w14:paraId="096D4AF1" w14:textId="77777777" w:rsidR="00425668" w:rsidRPr="008C4E4D" w:rsidRDefault="00425668" w:rsidP="008C4E4D">
      <w:pPr>
        <w:pStyle w:val="00BodyText5"/>
        <w:rPr>
          <w:rFonts w:cs="Times New Roman"/>
          <w:szCs w:val="22"/>
        </w:rPr>
      </w:pPr>
      <w:r w:rsidRPr="008C4E4D">
        <w:rPr>
          <w:rFonts w:cs="Times New Roman"/>
          <w:szCs w:val="22"/>
        </w:rPr>
        <w:t>(b)</w:t>
      </w:r>
      <w:r w:rsidRPr="008C4E4D">
        <w:rPr>
          <w:rFonts w:cs="Times New Roman"/>
          <w:szCs w:val="22"/>
        </w:rPr>
        <w:tab/>
        <w:t>the Subordinate LT Bond Fund and, therein, the Subordinate Interest Account and the Subordinate Mandatory Redemption Account.</w:t>
      </w:r>
    </w:p>
    <w:p w14:paraId="152403BC" w14:textId="77777777" w:rsidR="00425668" w:rsidRPr="008C4E4D" w:rsidRDefault="00425668" w:rsidP="008C4E4D">
      <w:pPr>
        <w:pStyle w:val="00BodyText5"/>
        <w:rPr>
          <w:rFonts w:cs="Times New Roman"/>
          <w:szCs w:val="22"/>
        </w:rPr>
      </w:pPr>
      <w:r w:rsidRPr="008C4E4D">
        <w:rPr>
          <w:rFonts w:cs="Times New Roman"/>
          <w:b/>
          <w:i/>
          <w:szCs w:val="22"/>
        </w:rPr>
        <w:t>Subordinate LT Project Fund</w:t>
      </w:r>
      <w:r w:rsidRPr="008C4E4D">
        <w:rPr>
          <w:rFonts w:cs="Times New Roman"/>
          <w:szCs w:val="22"/>
        </w:rPr>
        <w:t>. The Subordinate LT Project Fund is to be maintained by the Trustee in accordance with the terms of the Subordinate LT Indenture.</w:t>
      </w:r>
    </w:p>
    <w:p w14:paraId="6D3B9B8F" w14:textId="3FCEEC18" w:rsidR="00425668" w:rsidRPr="008C4E4D" w:rsidRDefault="00425668" w:rsidP="008C4E4D">
      <w:pPr>
        <w:pStyle w:val="00BodyText5"/>
        <w:rPr>
          <w:rFonts w:cs="Times New Roman"/>
          <w:szCs w:val="22"/>
        </w:rPr>
      </w:pPr>
      <w:r w:rsidRPr="001B1CBE">
        <w:rPr>
          <w:rFonts w:cs="Times New Roman"/>
          <w:szCs w:val="22"/>
          <w:u w:val="single"/>
        </w:rPr>
        <w:t>Draws from the Subordinate LT Project Fund</w:t>
      </w:r>
      <w:r w:rsidRPr="008C4E4D">
        <w:rPr>
          <w:rFonts w:cs="Times New Roman"/>
          <w:szCs w:val="22"/>
        </w:rPr>
        <w:t>. So long as no Event of Default shall have occurred and be continuing, amounts in the Subordinate LT Project Fund shall be released by the Trustee to the District in accordance with requisitions submitted to the Trustee in substantially the form attached to the Subordinate LT Indenture, signed by the District Representative and certifying that all amounts drawn will be applied to the payment of the Project Costs</w:t>
      </w:r>
      <w:r w:rsidR="00B1536A">
        <w:rPr>
          <w:rFonts w:cs="Times New Roman"/>
          <w:szCs w:val="22"/>
        </w:rPr>
        <w:t xml:space="preserve"> </w:t>
      </w:r>
      <w:r w:rsidR="00B1536A" w:rsidRPr="00B1536A">
        <w:rPr>
          <w:rFonts w:cs="Times New Roman"/>
          <w:szCs w:val="22"/>
        </w:rPr>
        <w:t>(including any amounts the District determines are necessary to meet any Performance Bond requirements relating thereto, including disbursing the moneys to a third party escrow agent that is designated by the District which the District determines is necessary to meet any Performance Bond requirements)</w:t>
      </w:r>
      <w:r w:rsidRPr="008C4E4D">
        <w:rPr>
          <w:rFonts w:cs="Times New Roman"/>
          <w:szCs w:val="22"/>
        </w:rPr>
        <w:t>. The Trustee may rely conclusively on any such requisitions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r w:rsidR="00B1536A">
        <w:rPr>
          <w:rFonts w:cs="Times New Roman"/>
          <w:szCs w:val="22"/>
        </w:rPr>
        <w:t xml:space="preserve"> </w:t>
      </w:r>
      <w:r w:rsidR="00B1536A" w:rsidRPr="00B1536A">
        <w:rPr>
          <w:rFonts w:cs="Times New Roman"/>
          <w:szCs w:val="22"/>
        </w:rPr>
        <w:t xml:space="preserve">In the event any moneys are requisitioned from the Subordinate </w:t>
      </w:r>
      <w:r w:rsidR="00B471D8">
        <w:rPr>
          <w:rFonts w:cs="Times New Roman"/>
          <w:szCs w:val="22"/>
        </w:rPr>
        <w:t xml:space="preserve">LT </w:t>
      </w:r>
      <w:r w:rsidR="00B1536A" w:rsidRPr="00B1536A">
        <w:rPr>
          <w:rFonts w:cs="Times New Roman"/>
          <w:szCs w:val="22"/>
        </w:rPr>
        <w:t xml:space="preserve">Project Fund for a Performance Bond or as necessary to meet any Performance Bond requirements, the District covenants and agrees that any agreements relating to such Performance Bond shall require that (i) such moneys shall be (A) invested in Permitted Investments and (B) used to pay cost of the Improvements in accordance with the Subordinate LT Indenture and the Tax Certificate and (ii) that any unspent moneys released from such Performance Bond shall be remitted to the Trustee for deposit in the Subordinate </w:t>
      </w:r>
      <w:r w:rsidR="00B1536A">
        <w:rPr>
          <w:rFonts w:cs="Times New Roman"/>
          <w:szCs w:val="22"/>
        </w:rPr>
        <w:t xml:space="preserve">LT </w:t>
      </w:r>
      <w:r w:rsidR="00B1536A" w:rsidRPr="00B1536A">
        <w:rPr>
          <w:rFonts w:cs="Times New Roman"/>
          <w:szCs w:val="22"/>
        </w:rPr>
        <w:t>Project Fund</w:t>
      </w:r>
      <w:r w:rsidR="00B471D8">
        <w:rPr>
          <w:rFonts w:cs="Times New Roman"/>
          <w:szCs w:val="22"/>
        </w:rPr>
        <w:t>.</w:t>
      </w:r>
    </w:p>
    <w:p w14:paraId="6D23B077" w14:textId="77777777" w:rsidR="00425668" w:rsidRPr="008C4E4D" w:rsidRDefault="00425668" w:rsidP="008C4E4D">
      <w:pPr>
        <w:pStyle w:val="00BodyText5"/>
        <w:rPr>
          <w:rFonts w:cs="Times New Roman"/>
          <w:szCs w:val="22"/>
        </w:rPr>
      </w:pPr>
      <w:r w:rsidRPr="00B471D8">
        <w:rPr>
          <w:rFonts w:cs="Times New Roman"/>
          <w:szCs w:val="22"/>
          <w:u w:val="single"/>
        </w:rPr>
        <w:t>Termination of Subordinate LT Project Fund</w:t>
      </w:r>
      <w:r w:rsidRPr="008C4E4D">
        <w:rPr>
          <w:rFonts w:cs="Times New Roman"/>
          <w:szCs w:val="22"/>
        </w:rPr>
        <w:t>. Upon the receipt by the Trustee of a resolution of the District determining that all Project Costs have been paid, any balance remaining in the Subordinate LT Project Fund shall be credited to the Subordinate LT Bond Fund. The Subordinate LT Project Fund shall terminate at such time as no further moneys remain therein.</w:t>
      </w:r>
    </w:p>
    <w:p w14:paraId="60161666" w14:textId="254E1571" w:rsidR="00425668" w:rsidRPr="008C4E4D" w:rsidRDefault="00425668" w:rsidP="008C4E4D">
      <w:pPr>
        <w:pStyle w:val="00BodyText5"/>
        <w:rPr>
          <w:rFonts w:cs="Times New Roman"/>
          <w:szCs w:val="22"/>
        </w:rPr>
      </w:pPr>
      <w:r w:rsidRPr="008C4E4D">
        <w:rPr>
          <w:rFonts w:cs="Times New Roman"/>
          <w:b/>
          <w:i/>
          <w:szCs w:val="22"/>
        </w:rPr>
        <w:t>Application of Subordinate LT Pledged Revenue</w:t>
      </w:r>
      <w:r w:rsidRPr="008C4E4D">
        <w:rPr>
          <w:rFonts w:cs="Times New Roman"/>
          <w:szCs w:val="22"/>
        </w:rPr>
        <w:t>. The District is to transfer all amounts comprising Subordinate LT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w:t>
      </w:r>
      <w:r w:rsidR="00B1536A">
        <w:rPr>
          <w:rFonts w:cs="Times New Roman"/>
          <w:szCs w:val="22"/>
        </w:rPr>
        <w:t xml:space="preserve"> in the Subordinate LT Indenture, as described below</w:t>
      </w:r>
      <w:r w:rsidRPr="008C4E4D">
        <w:rPr>
          <w:rFonts w:cs="Times New Roman"/>
          <w:szCs w:val="22"/>
        </w:rPr>
        <w:t>; provided, however, that in the event that the total amount of Subordinate LT Pledged Revenue received by the District in a calendar month is less than $50,000, the Subordinate LT Pledged Revenue received in such calendar month may instead be remitted to the Trustee no later than the 15th day of the calendar month immediately succeeding the calendar quarter in which such revenue is received by the District (i.e., no later than April 15th for Subordinate LT Pledged Revenue received in January, February or March; no later than July 15th for Subordinate LT Pledged Revenue received in April, May or June; no later than October 15th for Subordinate LT Pledged Revenue received in July, August, or September; and no later than January 15</w:t>
      </w:r>
      <w:r w:rsidR="00B471D8">
        <w:rPr>
          <w:rFonts w:cs="Times New Roman"/>
          <w:szCs w:val="22"/>
        </w:rPr>
        <w:t>th</w:t>
      </w:r>
      <w:r w:rsidRPr="008C4E4D">
        <w:rPr>
          <w:rFonts w:cs="Times New Roman"/>
          <w:szCs w:val="22"/>
        </w:rPr>
        <w:t xml:space="preserve"> for Subordinate LT Pledged Revenue received in October, November, or December). IN NO EVENT IS THE DISTRICT PERMITTED TO APPLY ANY PORTION OF THE SUBORDINATE LT PLEDGED REVENUE TO ANY OTHER PURPOSE, OR TO WITHHOLD ANY PORTION OF THE SUBORDINATE LT PLEDGED REVENUE. In order to assure the proper application of moneys constituting the Subordinate Property Tax Revenue, the District shall first apply such moneys to pay annual debt service on the Senior LT Obligations in the </w:t>
      </w:r>
      <w:r w:rsidR="00AD0041" w:rsidRPr="008C4E4D">
        <w:rPr>
          <w:rFonts w:cs="Times New Roman"/>
          <w:szCs w:val="22"/>
        </w:rPr>
        <w:t>Senior LT Bond Year</w:t>
      </w:r>
      <w:r w:rsidRPr="008C4E4D">
        <w:rPr>
          <w:rFonts w:cs="Times New Roman"/>
          <w:szCs w:val="22"/>
        </w:rPr>
        <w:t xml:space="preserve"> and to fund such funds and accounts as are required to be funded in such </w:t>
      </w:r>
      <w:r w:rsidR="00AD0041" w:rsidRPr="008C4E4D">
        <w:rPr>
          <w:rFonts w:cs="Times New Roman"/>
          <w:szCs w:val="22"/>
        </w:rPr>
        <w:t>Senior LT Bond Year</w:t>
      </w:r>
      <w:r w:rsidRPr="008C4E4D">
        <w:rPr>
          <w:rFonts w:cs="Times New Roman"/>
          <w:szCs w:val="22"/>
        </w:rPr>
        <w:t xml:space="preserve"> in accordance with the terms of the Senior LT Indenture and the resolution, indenture or other enactment authorizing the issuance of the other Senior LT Obligations and after such application, any remaining moneys constituting the Subordinate Property Tax Revenue received by the District for the remainder of such </w:t>
      </w:r>
      <w:r w:rsidR="00AD0041" w:rsidRPr="008C4E4D">
        <w:rPr>
          <w:rFonts w:cs="Times New Roman"/>
          <w:szCs w:val="22"/>
        </w:rPr>
        <w:t>Senior LT Bond Year</w:t>
      </w:r>
      <w:r w:rsidRPr="008C4E4D">
        <w:rPr>
          <w:rFonts w:cs="Times New Roman"/>
          <w:szCs w:val="22"/>
        </w:rPr>
        <w:t xml:space="preserve"> shall be designated as Subordinate </w:t>
      </w:r>
      <w:r w:rsidR="00B471D8">
        <w:rPr>
          <w:rFonts w:cs="Times New Roman"/>
          <w:szCs w:val="22"/>
        </w:rPr>
        <w:t xml:space="preserve">LT </w:t>
      </w:r>
      <w:r w:rsidRPr="008C4E4D">
        <w:rPr>
          <w:rFonts w:cs="Times New Roman"/>
          <w:szCs w:val="22"/>
        </w:rPr>
        <w:t xml:space="preserve">Pledged Revenue and applied in accordance with the Subordinate LT Indenture. The District shall cause all Subordinate </w:t>
      </w:r>
      <w:r w:rsidR="00B471D8">
        <w:rPr>
          <w:rFonts w:cs="Times New Roman"/>
          <w:szCs w:val="22"/>
        </w:rPr>
        <w:t xml:space="preserve">LT </w:t>
      </w:r>
      <w:r w:rsidRPr="008C4E4D">
        <w:rPr>
          <w:rFonts w:cs="Times New Roman"/>
          <w:szCs w:val="22"/>
        </w:rPr>
        <w:t xml:space="preserve">Pledged Revenue to be deposited with the Trustee promptly upon receipt, subject to the Subordinate LT Indenture. The Trustee shall credit all Subordinate </w:t>
      </w:r>
      <w:r w:rsidR="00B471D8">
        <w:rPr>
          <w:rFonts w:cs="Times New Roman"/>
          <w:szCs w:val="22"/>
        </w:rPr>
        <w:t xml:space="preserve">LT </w:t>
      </w:r>
      <w:r w:rsidRPr="008C4E4D">
        <w:rPr>
          <w:rFonts w:cs="Times New Roman"/>
          <w:szCs w:val="22"/>
        </w:rPr>
        <w:t xml:space="preserve">Pledged Revenue as received in the following order of priority (excluding the Subordinate </w:t>
      </w:r>
      <w:r w:rsidR="00B471D8">
        <w:rPr>
          <w:rFonts w:cs="Times New Roman"/>
          <w:szCs w:val="22"/>
        </w:rPr>
        <w:t xml:space="preserve">LT </w:t>
      </w:r>
      <w:r w:rsidRPr="008C4E4D">
        <w:rPr>
          <w:rFonts w:cs="Times New Roman"/>
          <w:szCs w:val="22"/>
        </w:rPr>
        <w:t xml:space="preserve">Pledged Revenue described in clause (d) of the definition thereof, which is to be deposited directly to the Subordinate </w:t>
      </w:r>
      <w:r w:rsidR="00B471D8">
        <w:rPr>
          <w:rFonts w:cs="Times New Roman"/>
          <w:szCs w:val="22"/>
        </w:rPr>
        <w:t xml:space="preserve">LT </w:t>
      </w:r>
      <w:r w:rsidRPr="008C4E4D">
        <w:rPr>
          <w:rFonts w:cs="Times New Roman"/>
          <w:szCs w:val="22"/>
        </w:rPr>
        <w:t xml:space="preserve">Bond Fund). See “—Security for the 2026B Subordinate LT Bonds; Subordinate Lien” above. For purposes of the following, when credits to more than one fund, account, or purpose are required at any single priority level, such credits are to rank </w:t>
      </w:r>
      <w:r w:rsidRPr="008C4E4D">
        <w:rPr>
          <w:rFonts w:cs="Times New Roman"/>
          <w:i/>
          <w:szCs w:val="22"/>
        </w:rPr>
        <w:t>pari passu</w:t>
      </w:r>
      <w:r w:rsidRPr="008C4E4D">
        <w:rPr>
          <w:rFonts w:cs="Times New Roman"/>
          <w:szCs w:val="22"/>
        </w:rPr>
        <w:t xml:space="preserve"> with each other and when credits are required to go to funds or accounts which are not held by the Trustee under the Subordinate LT Indenture, the Trustee may rely upon the written instructions of the District with respect to the appropriate funds or accounts to which such credits are to be made. </w:t>
      </w:r>
    </w:p>
    <w:p w14:paraId="222F8A1A" w14:textId="77777777" w:rsidR="00425668" w:rsidRPr="008C4E4D" w:rsidRDefault="00425668" w:rsidP="008C4E4D">
      <w:pPr>
        <w:pStyle w:val="00BodyText5"/>
        <w:rPr>
          <w:rFonts w:cs="Times New Roman"/>
          <w:szCs w:val="22"/>
        </w:rPr>
      </w:pPr>
      <w:r w:rsidRPr="008C4E4D">
        <w:rPr>
          <w:rFonts w:cs="Times New Roman"/>
          <w:szCs w:val="22"/>
        </w:rPr>
        <w:t>FIRST: To the Trustee, in an amount sufficient to pay the Trustee Fees then due and payable;</w:t>
      </w:r>
    </w:p>
    <w:p w14:paraId="02A1967D" w14:textId="19BD1A90" w:rsidR="00425668" w:rsidRPr="008C4E4D" w:rsidRDefault="00425668" w:rsidP="008C4E4D">
      <w:pPr>
        <w:pStyle w:val="00BodyText5"/>
        <w:rPr>
          <w:rFonts w:cs="Times New Roman"/>
          <w:szCs w:val="22"/>
        </w:rPr>
      </w:pPr>
      <w:r w:rsidRPr="008C4E4D">
        <w:rPr>
          <w:rFonts w:cs="Times New Roman"/>
          <w:szCs w:val="22"/>
        </w:rPr>
        <w:t xml:space="preserve">SECOND: To the District, in the amount budgeted by the District </w:t>
      </w:r>
      <w:r w:rsidR="00B1536A">
        <w:rPr>
          <w:rFonts w:cs="Times New Roman"/>
          <w:szCs w:val="22"/>
        </w:rPr>
        <w:t xml:space="preserve">and designated in writing to the Trustee </w:t>
      </w:r>
      <w:r w:rsidRPr="008C4E4D">
        <w:rPr>
          <w:rFonts w:cs="Times New Roman"/>
          <w:szCs w:val="22"/>
        </w:rPr>
        <w:t>to pay Administrative Expenses for the coming Fiscal Year, to the extent that such Administrative Expenses have not been fully paid through application of revenues available under the Senior LT Indenture or under any resolutions, indentures, or other documents pursuant to which other Senior LT Obligations have been issued;</w:t>
      </w:r>
    </w:p>
    <w:p w14:paraId="40A551E0" w14:textId="77777777" w:rsidR="00425668" w:rsidRPr="008C4E4D" w:rsidRDefault="00425668" w:rsidP="008C4E4D">
      <w:pPr>
        <w:pStyle w:val="00BodyText5"/>
        <w:rPr>
          <w:rFonts w:cs="Times New Roman"/>
          <w:szCs w:val="22"/>
        </w:rPr>
      </w:pPr>
      <w:r w:rsidRPr="008C4E4D">
        <w:rPr>
          <w:rFonts w:cs="Times New Roman"/>
          <w:szCs w:val="22"/>
        </w:rPr>
        <w:t>THIRD: To the credit of the Subordinate LT Bond Fund and any other fund or account created for the payment of the principal of, premium if any, and interest on Subordinate LT Parity Bonds, including any sinking fund, reserve fund, surplus fund or similar fund or account established therefor, pro rata in accordance with the then outstanding principal amounts of the 2026B Subordinate LT Bonds and any Subordinate LT Parity Bonds, all Subordinate LT Pledged Revenue received until the funding of all amounts to become due and payable on the 2026B Subordinate LT Bonds and the Subordinate LT Parity Bonds through maturity; and</w:t>
      </w:r>
    </w:p>
    <w:p w14:paraId="306BB788" w14:textId="54465651" w:rsidR="00425668" w:rsidRPr="008C4E4D" w:rsidRDefault="00425668" w:rsidP="008C4E4D">
      <w:pPr>
        <w:pStyle w:val="00BodyText5"/>
        <w:rPr>
          <w:rFonts w:cs="Times New Roman"/>
          <w:szCs w:val="22"/>
        </w:rPr>
      </w:pPr>
      <w:r w:rsidRPr="008C4E4D">
        <w:rPr>
          <w:rFonts w:cs="Times New Roman"/>
          <w:szCs w:val="22"/>
        </w:rPr>
        <w:t xml:space="preserve">FOURTH: To the District, for credit to any other fund or account as may be designated by the District in writing to the Trustee, to be used for any lawful purpose, any Subordinate LT Pledged Revenue received for the remainder of the </w:t>
      </w:r>
      <w:r w:rsidR="00AD0041" w:rsidRPr="008C4E4D">
        <w:rPr>
          <w:rFonts w:cs="Times New Roman"/>
          <w:szCs w:val="22"/>
        </w:rPr>
        <w:t>Subordinate LT Bond Year</w:t>
      </w:r>
      <w:r w:rsidRPr="008C4E4D">
        <w:rPr>
          <w:rFonts w:cs="Times New Roman"/>
          <w:szCs w:val="22"/>
        </w:rPr>
        <w:t xml:space="preserve"> after the payments and accumulations set forth above (which revenues, upon disbursement to or at the direction of the District in accordance with this clause FOURTH, shall be released from the lien of the Subordinate LT Indenture and shall thereafter no longer constitute “Subordinate LT Pledged Revenue” under the Subordinate LT Indenture).</w:t>
      </w:r>
    </w:p>
    <w:p w14:paraId="38BF393B" w14:textId="77777777" w:rsidR="00425668" w:rsidRPr="008C4E4D" w:rsidRDefault="00425668" w:rsidP="008C4E4D">
      <w:pPr>
        <w:pStyle w:val="00BodyText5"/>
        <w:rPr>
          <w:rFonts w:cs="Times New Roman"/>
          <w:szCs w:val="22"/>
        </w:rPr>
      </w:pPr>
      <w:r w:rsidRPr="008C4E4D">
        <w:rPr>
          <w:rFonts w:cs="Times New Roman"/>
          <w:szCs w:val="22"/>
        </w:rPr>
        <w:t xml:space="preserve">In the event that any Subordinate LT Pledged Revenue is available to be disbursed in accordance with clause FOURTH above, the District will, in making its determination as to the application of such amounts, take into account that State law places certain restrictions upon the use of any moneys representing ad valorem property tax revenue from a property tax levy, and any then-existing pledge or encumbrance on such revenues. </w:t>
      </w:r>
    </w:p>
    <w:p w14:paraId="17095806" w14:textId="5BC97123" w:rsidR="00425668" w:rsidRPr="008C4E4D" w:rsidRDefault="00425668" w:rsidP="008C4E4D">
      <w:pPr>
        <w:pStyle w:val="00BodyText5"/>
        <w:rPr>
          <w:rFonts w:cs="Times New Roman"/>
          <w:szCs w:val="22"/>
        </w:rPr>
      </w:pPr>
      <w:r w:rsidRPr="008C4E4D">
        <w:rPr>
          <w:rFonts w:cs="Times New Roman"/>
          <w:szCs w:val="22"/>
        </w:rPr>
        <w:t xml:space="preserve">The District covenants that all property tax revenue collected by the District from a property tax levy, or so much thereof as is needed, will first, be designated as property taxes resulting from imposition of the Senior Obligation Mill Levy in any </w:t>
      </w:r>
      <w:r w:rsidR="00AD0041" w:rsidRPr="008C4E4D">
        <w:rPr>
          <w:rFonts w:cs="Times New Roman"/>
          <w:szCs w:val="22"/>
        </w:rPr>
        <w:t>Subordinate LT Bond Year</w:t>
      </w:r>
      <w:r w:rsidRPr="008C4E4D">
        <w:rPr>
          <w:rFonts w:cs="Times New Roman"/>
          <w:szCs w:val="22"/>
        </w:rPr>
        <w:t xml:space="preserve"> to pay annual debt service on Senior LT Obligations and to fund such funds and accounts as are required in accordance with the terms of the Senior LT Indenture and any other resolution, indenture or other enactment authorizing such Senior LT Obligations, and after the funding of such payments and accumulations required in such </w:t>
      </w:r>
      <w:r w:rsidR="00AD0041" w:rsidRPr="008C4E4D">
        <w:rPr>
          <w:rFonts w:cs="Times New Roman"/>
          <w:szCs w:val="22"/>
        </w:rPr>
        <w:t>Subordinate LT Bond Year</w:t>
      </w:r>
      <w:r w:rsidRPr="008C4E4D">
        <w:rPr>
          <w:rFonts w:cs="Times New Roman"/>
          <w:szCs w:val="22"/>
        </w:rPr>
        <w:t xml:space="preserve">, all property tax revenue collected by the District from a property tax levy for the remainder of such </w:t>
      </w:r>
      <w:r w:rsidR="00AD0041" w:rsidRPr="008C4E4D">
        <w:rPr>
          <w:rFonts w:cs="Times New Roman"/>
          <w:szCs w:val="22"/>
        </w:rPr>
        <w:t>Subordinate LT Bond Year</w:t>
      </w:r>
      <w:r w:rsidRPr="008C4E4D">
        <w:rPr>
          <w:rFonts w:cs="Times New Roman"/>
          <w:szCs w:val="22"/>
        </w:rPr>
        <w:t xml:space="preserve"> will, second, be designated as property taxes resulting from imposition of the Subordinate Required Mill Levy unless and until the District has funded the full amount outstanding with respect to the 2026B Subordinate LT Bonds. The debt service property tax levy imposed for the payment of any Junior Lien LT Obligations will be deemed reduced to the rate per dollar of taxable value available for payment of such Junior Lien LT Obligations in any </w:t>
      </w:r>
      <w:r w:rsidR="00AD0041" w:rsidRPr="008C4E4D">
        <w:rPr>
          <w:rFonts w:cs="Times New Roman"/>
          <w:szCs w:val="22"/>
        </w:rPr>
        <w:t>Subordinate LT Bond Year</w:t>
      </w:r>
      <w:r w:rsidRPr="008C4E4D">
        <w:rPr>
          <w:rFonts w:cs="Times New Roman"/>
          <w:szCs w:val="22"/>
        </w:rPr>
        <w:t xml:space="preserve"> after first providing for the funding of payments and accumulations required with respect to all Senior LT Obligations in such </w:t>
      </w:r>
      <w:r w:rsidR="00AD0041" w:rsidRPr="008C4E4D">
        <w:rPr>
          <w:rFonts w:cs="Times New Roman"/>
          <w:szCs w:val="22"/>
        </w:rPr>
        <w:t>Subordinate LT Bond Year</w:t>
      </w:r>
      <w:r w:rsidRPr="008C4E4D">
        <w:rPr>
          <w:rFonts w:cs="Times New Roman"/>
          <w:szCs w:val="22"/>
        </w:rPr>
        <w:t xml:space="preserve"> (including the amounts required to accomplish the full repayment or defeasance of any such Senior LT Obligations, to the extent required by the applicable resolutions, indentures, or other enactments authorizing Senior LT Obligations), and the full amount outstanding with respect to the 2026B Subordinate LT Bonds and any Subordinate LT Parity Bonds (to the extent required by the applicable resolutions, indentures, or other enactments authorizing such Subordinate LT Parity Bonds). </w:t>
      </w:r>
    </w:p>
    <w:p w14:paraId="05CD496C" w14:textId="77F19B48" w:rsidR="00425668" w:rsidRPr="008C4E4D" w:rsidRDefault="00425668" w:rsidP="008C4E4D">
      <w:pPr>
        <w:pStyle w:val="00BodyText5"/>
        <w:rPr>
          <w:rFonts w:cs="Times New Roman"/>
          <w:szCs w:val="22"/>
        </w:rPr>
      </w:pPr>
      <w:r w:rsidRPr="008C4E4D">
        <w:rPr>
          <w:rFonts w:cs="Times New Roman"/>
          <w:szCs w:val="22"/>
        </w:rPr>
        <w:t xml:space="preserve">Notwithstanding any other provision contained in the Subordinate LT Indenture, property tax revenue resulting from or relating to any Unencumbered Debt Service Mill Levy imposed by the District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Senior </w:t>
      </w:r>
      <w:r w:rsidR="00A03016">
        <w:rPr>
          <w:rFonts w:cs="Times New Roman"/>
          <w:szCs w:val="22"/>
        </w:rPr>
        <w:t>Obligation</w:t>
      </w:r>
      <w:r w:rsidRPr="008C4E4D">
        <w:rPr>
          <w:rFonts w:cs="Times New Roman"/>
          <w:szCs w:val="22"/>
        </w:rPr>
        <w:t xml:space="preserve"> Mill Levy, the Subordinate Required Mill Levy, and any ad valorem property tax imposed for Junior </w:t>
      </w:r>
      <w:r w:rsidR="00C9432A">
        <w:rPr>
          <w:rFonts w:cs="Times New Roman"/>
          <w:szCs w:val="22"/>
        </w:rPr>
        <w:t xml:space="preserve">LT </w:t>
      </w:r>
      <w:r w:rsidRPr="008C4E4D">
        <w:rPr>
          <w:rFonts w:cs="Times New Roman"/>
          <w:szCs w:val="22"/>
        </w:rPr>
        <w:t>Lien Obligations, exclusive of the Unencumbered Debt Service Mill Levy) pro rata in accordance with the amounts of mill levies imposed. In no event shall the immediately preceding paragraph operate to reduce or limit in any way the amount of any Unencumbered Debt Service Mill Levy, or the ability of the District to apply the property tax revenue resulting therefrom, so long as determined in accordance with this paragraph, to the payment of any obligation secured thereby. In no event shall the Subordinate LT Indenture be interpreted to constitute a lien upon any Unencumbered Debt Service Mill Levy or any property tax revenue derived or relating thereto.</w:t>
      </w:r>
    </w:p>
    <w:p w14:paraId="2C07480E" w14:textId="77777777" w:rsidR="00425668" w:rsidRPr="008C4E4D" w:rsidRDefault="00425668" w:rsidP="008C4E4D">
      <w:pPr>
        <w:pStyle w:val="00BodyText1"/>
        <w:jc w:val="both"/>
        <w:rPr>
          <w:rFonts w:cs="Times New Roman"/>
          <w:sz w:val="22"/>
          <w:szCs w:val="22"/>
        </w:rPr>
      </w:pPr>
      <w:r w:rsidRPr="008C4E4D">
        <w:rPr>
          <w:rFonts w:cs="Times New Roman"/>
          <w:b/>
          <w:i/>
          <w:sz w:val="22"/>
          <w:szCs w:val="22"/>
        </w:rPr>
        <w:t>Subordinate LT Bond Fund</w:t>
      </w:r>
      <w:r w:rsidRPr="008C4E4D">
        <w:rPr>
          <w:rFonts w:cs="Times New Roman"/>
          <w:sz w:val="22"/>
          <w:szCs w:val="22"/>
        </w:rPr>
        <w:t>. Moneys in the Subordinate LT Bond Fund are to be used by the Trustee solely to pay the principal of, premium if any, and interest on the 2026B Subordinate LT Bonds.</w:t>
      </w:r>
    </w:p>
    <w:p w14:paraId="188A800E" w14:textId="39FAFD53" w:rsidR="00425668" w:rsidRPr="008C4E4D" w:rsidRDefault="00425668" w:rsidP="008C4E4D">
      <w:pPr>
        <w:pStyle w:val="00BodyText5"/>
        <w:rPr>
          <w:rFonts w:cs="Times New Roman"/>
          <w:szCs w:val="22"/>
        </w:rPr>
      </w:pPr>
      <w:r w:rsidRPr="008C4E4D">
        <w:rPr>
          <w:rFonts w:cs="Times New Roman"/>
          <w:szCs w:val="22"/>
        </w:rPr>
        <w:t>Subordinate LT Pledged Revenue required to be credited to the Subordinate LT Bond Fund in accordance with the Subordinate LT Indenture, as described in “—</w:t>
      </w:r>
      <w:r w:rsidRPr="008C4E4D">
        <w:rPr>
          <w:rFonts w:cs="Times New Roman"/>
          <w:i/>
          <w:szCs w:val="22"/>
        </w:rPr>
        <w:t>Application of Subordinate LT Pledged Revenue</w:t>
      </w:r>
      <w:r w:rsidRPr="008C4E4D">
        <w:rPr>
          <w:rFonts w:cs="Times New Roman"/>
          <w:szCs w:val="22"/>
        </w:rPr>
        <w:t xml:space="preserve">” above, is to be credited each </w:t>
      </w:r>
      <w:r w:rsidR="00AD0041" w:rsidRPr="008C4E4D">
        <w:rPr>
          <w:rFonts w:cs="Times New Roman"/>
          <w:szCs w:val="22"/>
        </w:rPr>
        <w:t>Subordinate LT Bond Year</w:t>
      </w:r>
      <w:r w:rsidRPr="008C4E4D">
        <w:rPr>
          <w:rFonts w:cs="Times New Roman"/>
          <w:szCs w:val="22"/>
        </w:rPr>
        <w:t xml:space="preserve"> as received as follows:</w:t>
      </w:r>
    </w:p>
    <w:p w14:paraId="3F2440EC" w14:textId="4B7C3BA6" w:rsidR="00425668" w:rsidRPr="008C4E4D" w:rsidRDefault="00425668" w:rsidP="008C4E4D">
      <w:pPr>
        <w:pStyle w:val="00BodyText5"/>
        <w:rPr>
          <w:rFonts w:cs="Times New Roman"/>
          <w:szCs w:val="22"/>
        </w:rPr>
      </w:pPr>
      <w:r w:rsidRPr="008C4E4D">
        <w:rPr>
          <w:rFonts w:cs="Times New Roman"/>
          <w:szCs w:val="22"/>
        </w:rPr>
        <w:t xml:space="preserve">FIRST: to the credit of the Subordinate Interest Account, the amount required for amounts on deposit therein to equal the interest due and payable on the 2026B Subordinate LT Bonds in such </w:t>
      </w:r>
      <w:r w:rsidR="00AD0041" w:rsidRPr="008C4E4D">
        <w:rPr>
          <w:rFonts w:cs="Times New Roman"/>
          <w:szCs w:val="22"/>
        </w:rPr>
        <w:t>Subordinate LT Bond Year</w:t>
      </w:r>
      <w:r w:rsidRPr="008C4E4D">
        <w:rPr>
          <w:rFonts w:cs="Times New Roman"/>
          <w:szCs w:val="22"/>
        </w:rPr>
        <w:t>; and</w:t>
      </w:r>
    </w:p>
    <w:p w14:paraId="44173C4F" w14:textId="1517241D" w:rsidR="00425668" w:rsidRPr="008C4E4D" w:rsidRDefault="00425668" w:rsidP="008C4E4D">
      <w:pPr>
        <w:pStyle w:val="00BodyText5"/>
        <w:rPr>
          <w:rFonts w:cs="Times New Roman"/>
          <w:szCs w:val="22"/>
        </w:rPr>
      </w:pPr>
      <w:r w:rsidRPr="008C4E4D">
        <w:rPr>
          <w:rFonts w:cs="Times New Roman"/>
          <w:szCs w:val="22"/>
        </w:rPr>
        <w:t xml:space="preserve">SECOND: to the credit of the Subordinate Mandatory Redemption Account, all remaining Subordinate LT Pledged Revenue credited to the Subordinate LT Bond Fund for such </w:t>
      </w:r>
      <w:r w:rsidR="00AD0041" w:rsidRPr="008C4E4D">
        <w:rPr>
          <w:rFonts w:cs="Times New Roman"/>
          <w:szCs w:val="22"/>
        </w:rPr>
        <w:t>Subordinate LT Bond Year</w:t>
      </w:r>
      <w:r w:rsidRPr="008C4E4D">
        <w:rPr>
          <w:rFonts w:cs="Times New Roman"/>
          <w:szCs w:val="22"/>
        </w:rPr>
        <w:t>.</w:t>
      </w:r>
    </w:p>
    <w:p w14:paraId="46D3B573" w14:textId="2FBC2F9B" w:rsidR="00425668" w:rsidRPr="008C4E4D" w:rsidRDefault="00425668" w:rsidP="008C4E4D">
      <w:pPr>
        <w:pStyle w:val="00BodyText5"/>
        <w:rPr>
          <w:rFonts w:cs="Times New Roman"/>
          <w:szCs w:val="22"/>
        </w:rPr>
      </w:pPr>
      <w:r w:rsidRPr="008C4E4D">
        <w:rPr>
          <w:rFonts w:cs="Times New Roman"/>
          <w:szCs w:val="22"/>
        </w:rPr>
        <w:t xml:space="preserve">On each </w:t>
      </w:r>
      <w:r w:rsidR="00F72D0B">
        <w:rPr>
          <w:rFonts w:cs="Times New Roman"/>
          <w:szCs w:val="22"/>
        </w:rPr>
        <w:t>Subordinate LT Interest Payment Date</w:t>
      </w:r>
      <w:r w:rsidRPr="008C4E4D">
        <w:rPr>
          <w:rFonts w:cs="Times New Roman"/>
          <w:szCs w:val="22"/>
        </w:rPr>
        <w:t>, the Trustee is to apply amounts on deposit in the Subordinate Interest Account to the payment of interest on the 2026B Subordinate LT Bonds (including current interest, accrued but unpaid interest and unpaid compound interest, and including the accrued interest portion of any Subordinate Mandatory Redemption Price) then due.</w:t>
      </w:r>
    </w:p>
    <w:p w14:paraId="3E6DE618" w14:textId="54651697" w:rsidR="00425668" w:rsidRPr="008C4E4D" w:rsidRDefault="00425668" w:rsidP="008C4E4D">
      <w:pPr>
        <w:pStyle w:val="00BodyText5"/>
        <w:rPr>
          <w:rFonts w:cs="Times New Roman"/>
          <w:szCs w:val="22"/>
        </w:rPr>
      </w:pPr>
      <w:r w:rsidRPr="008C4E4D">
        <w:rPr>
          <w:rFonts w:cs="Times New Roman"/>
          <w:szCs w:val="22"/>
        </w:rPr>
        <w:t xml:space="preserve">On the </w:t>
      </w:r>
      <w:r w:rsidR="00B1536A">
        <w:rPr>
          <w:rFonts w:cs="Times New Roman"/>
          <w:szCs w:val="22"/>
        </w:rPr>
        <w:t>30</w:t>
      </w:r>
      <w:r w:rsidRPr="008C4E4D">
        <w:rPr>
          <w:rFonts w:cs="Times New Roman"/>
          <w:szCs w:val="22"/>
        </w:rPr>
        <w:t>th day prior to each Subordinate Mandatory Redemption Date, the Trustee is to determine the amounts on deposit in the Subordinate Mandatory Redemption Account available for application to redemption of the 2026B Subordinate LT Bonds in accordance with the Subordinate LT Indenture, taking into account any requirements of the Subordinate LT Indenture with respect to the amount to be redeemed. The Trustee is to provide notice of the mandatory redemption to occur on each Subordinate Mandatory Redemption Date as a result of amounts credited to the Subordinate Mandatory Redemption Account, as provided in the Subordinate LT Indenture.</w:t>
      </w:r>
    </w:p>
    <w:p w14:paraId="7A727D86" w14:textId="77777777" w:rsidR="00425668" w:rsidRPr="008C4E4D" w:rsidRDefault="00425668" w:rsidP="008C4E4D">
      <w:pPr>
        <w:pStyle w:val="00BodyText5"/>
        <w:rPr>
          <w:rFonts w:cs="Times New Roman"/>
          <w:szCs w:val="22"/>
        </w:rPr>
      </w:pPr>
      <w:r w:rsidRPr="008C4E4D">
        <w:rPr>
          <w:rFonts w:cs="Times New Roman"/>
          <w:szCs w:val="22"/>
        </w:rPr>
        <w:t>On each Subordinate Mandatory Redemption Date, the Trustee is to apply amounts on deposit in the Subordinate Mandatory Redemption Account to the payment of the principal portion of any Subordinate Mandatory Redemption Price.</w:t>
      </w:r>
    </w:p>
    <w:p w14:paraId="571AC325" w14:textId="77777777" w:rsidR="00425668" w:rsidRPr="008C4E4D" w:rsidRDefault="00425668" w:rsidP="008C4E4D">
      <w:pPr>
        <w:pStyle w:val="00BodyText5"/>
        <w:rPr>
          <w:rFonts w:cs="Times New Roman"/>
          <w:szCs w:val="22"/>
        </w:rPr>
      </w:pPr>
      <w:r w:rsidRPr="008C4E4D">
        <w:rPr>
          <w:rFonts w:cs="Times New Roman"/>
          <w:szCs w:val="22"/>
        </w:rPr>
        <w:t>Moneys credited to the Subordinate LT Bond Fund may be invested or deposited as provided in the Subordinate LT Indenture.</w:t>
      </w:r>
    </w:p>
    <w:p w14:paraId="167534A3" w14:textId="77777777" w:rsidR="00425668" w:rsidRPr="008C4E4D" w:rsidRDefault="00425668" w:rsidP="008C4E4D">
      <w:pPr>
        <w:pStyle w:val="00BodyText5"/>
        <w:rPr>
          <w:rFonts w:cs="Times New Roman"/>
          <w:szCs w:val="22"/>
        </w:rPr>
      </w:pPr>
      <w:r w:rsidRPr="008C4E4D">
        <w:rPr>
          <w:rFonts w:cs="Times New Roman"/>
          <w:szCs w:val="22"/>
        </w:rPr>
        <w:t>The District acknowledges and agrees that, notwithstanding anything in the Subordinate LT Indenture to the contrary, borrowed moneys are not to be used for the purpose of redeeming principal of the 2026B Subordinate LT Bonds pursuant to the mandatory redemption provisions referenced above and as described in “Redemption—</w:t>
      </w:r>
      <w:r w:rsidRPr="008C4E4D">
        <w:rPr>
          <w:rFonts w:cs="Times New Roman"/>
          <w:i/>
          <w:szCs w:val="22"/>
        </w:rPr>
        <w:t>Mandatory Redemption</w:t>
      </w:r>
      <w:r w:rsidRPr="008C4E4D">
        <w:rPr>
          <w:rFonts w:cs="Times New Roman"/>
          <w:szCs w:val="22"/>
        </w:rPr>
        <w:t>.”</w:t>
      </w:r>
    </w:p>
    <w:p w14:paraId="11AAE26F" w14:textId="77777777" w:rsidR="00425668" w:rsidRPr="008C4E4D" w:rsidRDefault="00425668" w:rsidP="008C4E4D">
      <w:pPr>
        <w:pStyle w:val="00BodyText5"/>
        <w:rPr>
          <w:rFonts w:cs="Times New Roman"/>
          <w:szCs w:val="22"/>
        </w:rPr>
      </w:pPr>
      <w:r w:rsidRPr="008C4E4D">
        <w:rPr>
          <w:rFonts w:cs="Times New Roman"/>
          <w:b/>
          <w:i/>
          <w:szCs w:val="22"/>
        </w:rPr>
        <w:t>Additional Covenants and Agreements of the District in the Subordinate LT Indenture</w:t>
      </w:r>
      <w:r w:rsidRPr="008C4E4D">
        <w:rPr>
          <w:rFonts w:cs="Times New Roman"/>
          <w:szCs w:val="22"/>
        </w:rPr>
        <w:t>. The District further irrevocably covenants and agrees with each and every Owner that so long as any of the 2026B Subordinate LT Bonds remain Outstanding:</w:t>
      </w:r>
    </w:p>
    <w:p w14:paraId="66FD57AD" w14:textId="77777777" w:rsidR="00425668" w:rsidRPr="008C4E4D" w:rsidRDefault="00425668" w:rsidP="008C4E4D">
      <w:pPr>
        <w:pStyle w:val="00BodyText5"/>
        <w:rPr>
          <w:rFonts w:cs="Times New Roman"/>
          <w:szCs w:val="22"/>
        </w:rPr>
      </w:pPr>
      <w:r w:rsidRPr="008C4E4D">
        <w:rPr>
          <w:rFonts w:cs="Times New Roman"/>
          <w:szCs w:val="22"/>
        </w:rPr>
        <w:t>(a)</w:t>
      </w:r>
      <w:r w:rsidRPr="008C4E4D">
        <w:rPr>
          <w:rFonts w:cs="Times New Roman"/>
          <w:szCs w:val="22"/>
        </w:rPr>
        <w:tab/>
        <w:t>The District will maintain its existence and is not to merge or otherwise alter its corporate structure in any manner or to any extent as might reduce the security provided for the payment of the 2026B Subordinate LT Bonds, and will continue to operate and manage the District and its facilities in an efficient and economical manner in accordance with all applicable laws, rules, and regulations.</w:t>
      </w:r>
    </w:p>
    <w:p w14:paraId="174ADB66" w14:textId="77777777" w:rsidR="00425668" w:rsidRPr="008C4E4D" w:rsidRDefault="00425668" w:rsidP="008C4E4D">
      <w:pPr>
        <w:pStyle w:val="00BodyText5"/>
        <w:rPr>
          <w:rFonts w:cs="Times New Roman"/>
          <w:szCs w:val="22"/>
        </w:rPr>
      </w:pPr>
      <w:r w:rsidRPr="008C4E4D">
        <w:rPr>
          <w:rFonts w:cs="Times New Roman"/>
          <w:szCs w:val="22"/>
        </w:rPr>
        <w:t>(b)</w:t>
      </w:r>
      <w:r w:rsidRPr="008C4E4D">
        <w:rPr>
          <w:rFonts w:cs="Times New Roman"/>
          <w:szCs w:val="22"/>
        </w:rPr>
        <w:tab/>
        <w:t>At least once a year the District will cause an audit to be performed of the records relating to its revenues and expenditures, and the District is to use its best commercially reasonable efforts to have such audit report completed no later than 200 days following the end of its Fiscal Year. The foregoing covenant is to apply notwithstanding any State law audit exemptions that may exist. In addition, at least once a year in the time and manner provided by law, the District will cause a budget to be prepared and adopted. Copies of the budget and the audit will be filed and recorded in the places, time, and manner provided by law.</w:t>
      </w:r>
    </w:p>
    <w:p w14:paraId="1D82C246" w14:textId="77777777" w:rsidR="00425668" w:rsidRPr="008C4E4D" w:rsidRDefault="00425668" w:rsidP="008C4E4D">
      <w:pPr>
        <w:pStyle w:val="00BodyText5"/>
        <w:rPr>
          <w:rFonts w:cs="Times New Roman"/>
          <w:szCs w:val="22"/>
        </w:rPr>
      </w:pPr>
      <w:r w:rsidRPr="008C4E4D">
        <w:rPr>
          <w:rFonts w:cs="Times New Roman"/>
          <w:szCs w:val="22"/>
        </w:rPr>
        <w:t>(c)</w:t>
      </w:r>
      <w:r w:rsidRPr="008C4E4D">
        <w:rPr>
          <w:rFonts w:cs="Times New Roman"/>
          <w:szCs w:val="22"/>
        </w:rPr>
        <w:tab/>
        <w:t>The District will carry general liability, public officials’ liability, and such other forms of insurance coverage on insurable District property upon the terms and conditions, and in such amount, as in the judgment of the District will protect the District and its operations.</w:t>
      </w:r>
    </w:p>
    <w:p w14:paraId="3CA99E99" w14:textId="77777777" w:rsidR="00425668" w:rsidRPr="008C4E4D" w:rsidRDefault="00425668" w:rsidP="008C4E4D">
      <w:pPr>
        <w:pStyle w:val="00BodyText5"/>
        <w:rPr>
          <w:rFonts w:cs="Times New Roman"/>
          <w:szCs w:val="22"/>
        </w:rPr>
      </w:pPr>
      <w:r w:rsidRPr="008C4E4D">
        <w:rPr>
          <w:rFonts w:cs="Times New Roman"/>
          <w:szCs w:val="22"/>
        </w:rPr>
        <w:t>(d)</w:t>
      </w:r>
      <w:r w:rsidRPr="008C4E4D">
        <w:rPr>
          <w:rFonts w:cs="Times New Roman"/>
          <w:szCs w:val="22"/>
        </w:rPr>
        <w:tab/>
        <w:t>Each District official or other person having custody of any District funds or responsible for the handling of such funds, is to be bonded or insured against theft or defalcation at all times.</w:t>
      </w:r>
    </w:p>
    <w:p w14:paraId="5D8E0D6F" w14:textId="77777777" w:rsidR="00425668" w:rsidRPr="008C4E4D" w:rsidRDefault="00425668" w:rsidP="008C4E4D">
      <w:pPr>
        <w:pStyle w:val="00BodyText5"/>
        <w:rPr>
          <w:rFonts w:cs="Times New Roman"/>
          <w:szCs w:val="22"/>
        </w:rPr>
      </w:pPr>
      <w:r w:rsidRPr="008C4E4D">
        <w:rPr>
          <w:rFonts w:cs="Times New Roman"/>
          <w:szCs w:val="22"/>
        </w:rPr>
        <w:t>(e)</w:t>
      </w:r>
      <w:r w:rsidRPr="008C4E4D">
        <w:rPr>
          <w:rFonts w:cs="Times New Roman"/>
          <w:szCs w:val="22"/>
        </w:rPr>
        <w:tab/>
        <w:t>In the event any ad valorem taxes are not paid when due, the District is to diligently cooperate with the appropriate county treasurer to enforce the lien of such unpaid taxes against the property for which the taxes are owed.</w:t>
      </w:r>
    </w:p>
    <w:p w14:paraId="0C722CC4" w14:textId="6E54C7DD" w:rsidR="00425668" w:rsidRPr="008C4E4D" w:rsidRDefault="00425668" w:rsidP="008C4E4D">
      <w:pPr>
        <w:pStyle w:val="00BodyText5"/>
        <w:rPr>
          <w:rFonts w:cs="Times New Roman"/>
          <w:szCs w:val="22"/>
        </w:rPr>
      </w:pPr>
      <w:r w:rsidRPr="008C4E4D">
        <w:rPr>
          <w:rFonts w:cs="Times New Roman"/>
          <w:szCs w:val="22"/>
        </w:rPr>
        <w:t>(f)</w:t>
      </w:r>
      <w:r w:rsidRPr="008C4E4D">
        <w:rPr>
          <w:rFonts w:cs="Times New Roman"/>
          <w:szCs w:val="22"/>
        </w:rPr>
        <w:tab/>
        <w:t>In the event that any amount of the Subordinate LT Pledged Revenue is released to the District as provided in clause FOURTH of “—</w:t>
      </w:r>
      <w:r w:rsidR="00DD4A7D">
        <w:rPr>
          <w:rFonts w:cs="Times New Roman"/>
          <w:szCs w:val="22"/>
        </w:rPr>
        <w:t>Certain Subordinate LT Indenture Provisions</w:t>
      </w:r>
      <w:r w:rsidRPr="008C4E4D">
        <w:rPr>
          <w:rFonts w:cs="Times New Roman"/>
          <w:szCs w:val="22"/>
        </w:rPr>
        <w:t>—</w:t>
      </w:r>
      <w:r w:rsidRPr="008C4E4D">
        <w:rPr>
          <w:rFonts w:cs="Times New Roman"/>
          <w:i/>
          <w:szCs w:val="22"/>
        </w:rPr>
        <w:t>Application of Subordinate LT Pledged Revenue</w:t>
      </w:r>
      <w:r w:rsidRPr="008C4E4D">
        <w:rPr>
          <w:rFonts w:cs="Times New Roman"/>
          <w:szCs w:val="22"/>
        </w:rPr>
        <w:t>” above, the District will, in making its determination as to which obligations will be paid with such amounts, take into account that State law places certain restrictions upon the use of any amounts appropriated or added to the tax levy to pay the principal of, premium, and interest on any bonds.</w:t>
      </w:r>
    </w:p>
    <w:p w14:paraId="3FCBEB0B" w14:textId="1A60F94D" w:rsidR="00425668" w:rsidRPr="008C4E4D" w:rsidRDefault="00425668" w:rsidP="008C4E4D">
      <w:pPr>
        <w:pStyle w:val="00BodyText5"/>
        <w:rPr>
          <w:rFonts w:cs="Times New Roman"/>
          <w:szCs w:val="22"/>
        </w:rPr>
      </w:pPr>
      <w:r w:rsidRPr="008C4E4D">
        <w:rPr>
          <w:rFonts w:cs="Times New Roman"/>
          <w:szCs w:val="22"/>
        </w:rPr>
        <w:t>(g)</w:t>
      </w:r>
      <w:r w:rsidRPr="008C4E4D">
        <w:rPr>
          <w:rFonts w:cs="Times New Roman"/>
          <w:szCs w:val="22"/>
        </w:rPr>
        <w:tab/>
        <w:t>The District will not amend or supplement any of the documents pertaining to the Senior LT Obligations in any way which (i) alters the amortization of the principal of such Senior LT Obligations; or (ii) increases the rate or rates of interest borne by the Senior LT Obligations, except upon the prior written consent of the Consent Parties with respect to 100% in aggregate principal amount of the 2026B Subordinate LT Bonds.</w:t>
      </w:r>
    </w:p>
    <w:p w14:paraId="6875BD45" w14:textId="77777777" w:rsidR="00425668" w:rsidRPr="008C4E4D" w:rsidRDefault="00425668" w:rsidP="008C4E4D">
      <w:pPr>
        <w:pStyle w:val="00BodyText5"/>
        <w:rPr>
          <w:rFonts w:cs="Times New Roman"/>
          <w:szCs w:val="22"/>
        </w:rPr>
      </w:pPr>
      <w:r w:rsidRPr="008C4E4D">
        <w:rPr>
          <w:rFonts w:cs="Times New Roman"/>
          <w:szCs w:val="22"/>
        </w:rPr>
        <w:t>(h)</w:t>
      </w:r>
      <w:r w:rsidRPr="008C4E4D">
        <w:rPr>
          <w:rFonts w:cs="Times New Roman"/>
          <w:szCs w:val="22"/>
        </w:rPr>
        <w:tab/>
        <w:t>Subject to the Owners of a majority in aggregate principal amount of the 2026B Subordinate LT Bonds assuming control of the enforcement of remedies upon default, the District will enforce the collection of all amounts payable to it under the Pioneering Agreement in such time and manner as the District reasonably determines will be most efficacious in collecting the same and will diligently pursue all reasonable remedies available to the District with regard to such enforcement, whether at law or in equity. The District will not take any of the following actions without the prior written consent of the Consent Parties with respect to not less than a majority in aggregate principal amount of the 2026B Subordinate LT Bonds then Outstanding: (i) reduce the amounts due to the District (or to the Trustee on behalf of the District) under the Pioneering Agreement, or (ii) consent to an amendment to the Pioneering Agreement where such amendment or supplement would materially adversely affect the amount of Subordinate LT Pledged Revenue to be paid to or on behalf of the District thereunder.</w:t>
      </w:r>
    </w:p>
    <w:p w14:paraId="5321F6B2" w14:textId="4767CA95" w:rsidR="00425668" w:rsidRPr="008C4E4D" w:rsidRDefault="00425668" w:rsidP="008C4E4D">
      <w:pPr>
        <w:pStyle w:val="00BodyText5"/>
        <w:rPr>
          <w:rFonts w:cs="Times New Roman"/>
          <w:szCs w:val="22"/>
        </w:rPr>
      </w:pPr>
      <w:r w:rsidRPr="008C4E4D">
        <w:rPr>
          <w:rFonts w:cs="Times New Roman"/>
          <w:szCs w:val="22"/>
        </w:rPr>
        <w:t>(i)</w:t>
      </w:r>
      <w:r w:rsidRPr="008C4E4D">
        <w:rPr>
          <w:rFonts w:cs="Times New Roman"/>
          <w:szCs w:val="22"/>
        </w:rPr>
        <w:tab/>
        <w:t>Except for the Contract Fees, the District shall not impose any rates, tolls, fees or other charges on vacant lots or other undeveloped property within its boundaries in excess of the rates, tolls, fees or other charges applicable to developed residential lots or engage in any other act or omission that may impair future development in a manner that could adversely affect the amount of the District’s Subordinate LT Pledged Revenue or delay the timing of the District’s receipt of Subordinate LT Pledged Revenue or remittance thereof to the Trustee in accordance with the provisions of the Subordinate LT Indenture.</w:t>
      </w:r>
    </w:p>
    <w:p w14:paraId="1661CCBD" w14:textId="040866A9" w:rsidR="00425668" w:rsidRDefault="00425668" w:rsidP="008C4E4D">
      <w:pPr>
        <w:pStyle w:val="00BodyText5"/>
        <w:rPr>
          <w:rFonts w:cs="Times New Roman"/>
          <w:szCs w:val="22"/>
        </w:rPr>
      </w:pPr>
      <w:r w:rsidRPr="008C4E4D">
        <w:rPr>
          <w:rFonts w:cs="Times New Roman"/>
          <w:szCs w:val="22"/>
        </w:rPr>
        <w:t>(</w:t>
      </w:r>
      <w:r w:rsidR="007D50B1">
        <w:rPr>
          <w:rFonts w:cs="Times New Roman"/>
          <w:szCs w:val="22"/>
        </w:rPr>
        <w:t>j</w:t>
      </w:r>
      <w:r w:rsidRPr="008C4E4D">
        <w:rPr>
          <w:rFonts w:cs="Times New Roman"/>
          <w:szCs w:val="22"/>
        </w:rPr>
        <w:t>)</w:t>
      </w:r>
      <w:r w:rsidRPr="008C4E4D">
        <w:rPr>
          <w:rFonts w:cs="Times New Roman"/>
          <w:szCs w:val="22"/>
        </w:rPr>
        <w:tab/>
      </w:r>
      <w:r w:rsidR="00407A16">
        <w:rPr>
          <w:rFonts w:cs="Times New Roman"/>
          <w:szCs w:val="22"/>
        </w:rPr>
        <w:t>In the event of nonpayment of any tax, fee or charge that the District imposes, and so long as permitted under the District Act, the District shall impose or cause the County to impose a property tax penalty at an annual rate of 7% in addition to any other lawful penalty for nonpayment of property taxes</w:t>
      </w:r>
      <w:r w:rsidRPr="008C4E4D">
        <w:rPr>
          <w:rFonts w:cs="Times New Roman"/>
          <w:szCs w:val="22"/>
        </w:rPr>
        <w:t>.</w:t>
      </w:r>
    </w:p>
    <w:p w14:paraId="4E9D71D7" w14:textId="48806521" w:rsidR="000444C8" w:rsidRPr="000444C8" w:rsidRDefault="000444C8" w:rsidP="000444C8">
      <w:pPr>
        <w:pStyle w:val="00BodyText5"/>
        <w:rPr>
          <w:rFonts w:cs="Times New Roman"/>
          <w:szCs w:val="22"/>
        </w:rPr>
      </w:pPr>
      <w:r>
        <w:rPr>
          <w:rFonts w:cs="Times New Roman"/>
          <w:szCs w:val="22"/>
        </w:rPr>
        <w:t>(k)</w:t>
      </w:r>
      <w:r>
        <w:rPr>
          <w:rFonts w:cs="Times New Roman"/>
          <w:szCs w:val="22"/>
        </w:rPr>
        <w:tab/>
      </w:r>
      <w:r w:rsidRPr="000444C8">
        <w:rPr>
          <w:rFonts w:cs="Times New Roman"/>
          <w:szCs w:val="22"/>
        </w:rPr>
        <w:t xml:space="preserve">The District shall employ or cause to be employed as required a certified public accountant to perform auditing functions and duties required by the Act and the Subordinate </w:t>
      </w:r>
      <w:r>
        <w:rPr>
          <w:rFonts w:cs="Times New Roman"/>
          <w:szCs w:val="22"/>
        </w:rPr>
        <w:t xml:space="preserve">LT </w:t>
      </w:r>
      <w:r w:rsidRPr="000444C8">
        <w:rPr>
          <w:rFonts w:cs="Times New Roman"/>
          <w:szCs w:val="22"/>
        </w:rPr>
        <w:t>Indenture and to assist in completion of the District’s obligations under the Continuing Disclosure Agreement.</w:t>
      </w:r>
    </w:p>
    <w:p w14:paraId="092535BA" w14:textId="492AB387" w:rsidR="000444C8" w:rsidRPr="000444C8" w:rsidRDefault="000444C8" w:rsidP="000444C8">
      <w:pPr>
        <w:pStyle w:val="00BodyText5"/>
        <w:rPr>
          <w:rFonts w:cs="Times New Roman"/>
          <w:szCs w:val="22"/>
        </w:rPr>
      </w:pPr>
      <w:r w:rsidRPr="000444C8">
        <w:rPr>
          <w:rFonts w:cs="Times New Roman"/>
          <w:szCs w:val="22"/>
        </w:rPr>
        <w:t>(</w:t>
      </w:r>
      <w:r>
        <w:rPr>
          <w:rFonts w:cs="Times New Roman"/>
          <w:szCs w:val="22"/>
        </w:rPr>
        <w:t>l</w:t>
      </w:r>
      <w:r w:rsidRPr="000444C8">
        <w:rPr>
          <w:rFonts w:cs="Times New Roman"/>
          <w:szCs w:val="22"/>
        </w:rPr>
        <w:t>)</w:t>
      </w:r>
      <w:r w:rsidRPr="000444C8">
        <w:rPr>
          <w:rFonts w:cs="Times New Roman"/>
          <w:szCs w:val="22"/>
        </w:rPr>
        <w:tab/>
        <w:t xml:space="preserve">The District covenants and agrees that it will comply with and carry out all of the provisions of the Continuing Disclosure Agreement. Notwithstanding any other provision of the Subordinate </w:t>
      </w:r>
      <w:r>
        <w:rPr>
          <w:rFonts w:cs="Times New Roman"/>
          <w:szCs w:val="22"/>
        </w:rPr>
        <w:t xml:space="preserve">LT </w:t>
      </w:r>
      <w:r w:rsidRPr="000444C8">
        <w:rPr>
          <w:rFonts w:cs="Times New Roman"/>
          <w:szCs w:val="22"/>
        </w:rPr>
        <w:t>Indenture, failure of the District or the Developer to comply with the Continuing Disclosure Agreement will not be considered an Event of Default; however, the Trustee may (and, at the request of any participating underwriter or the Owners of at least 25% aggregate principal amount in Outstanding 2026B Subordinate</w:t>
      </w:r>
      <w:r>
        <w:rPr>
          <w:rFonts w:cs="Times New Roman"/>
          <w:szCs w:val="22"/>
        </w:rPr>
        <w:t xml:space="preserve"> LT</w:t>
      </w:r>
      <w:r w:rsidRPr="000444C8">
        <w:rPr>
          <w:rFonts w:cs="Times New Roman"/>
          <w:szCs w:val="22"/>
        </w:rPr>
        <w:t xml:space="preserve"> Bonds and receipt of indemnity to its satisfaction shall), or any Owner of the 2026B Subordinate </w:t>
      </w:r>
      <w:r>
        <w:rPr>
          <w:rFonts w:cs="Times New Roman"/>
          <w:szCs w:val="22"/>
        </w:rPr>
        <w:t xml:space="preserve">LT </w:t>
      </w:r>
      <w:r w:rsidRPr="000444C8">
        <w:rPr>
          <w:rFonts w:cs="Times New Roman"/>
          <w:szCs w:val="22"/>
        </w:rPr>
        <w:t xml:space="preserve">Bonds or Beneficial Owner may take such actions as may be necessary and appropriate, including seeking specific performance by court order, to cause the District to comply with its obligations under the Subordinate </w:t>
      </w:r>
      <w:r>
        <w:rPr>
          <w:rFonts w:cs="Times New Roman"/>
          <w:szCs w:val="22"/>
        </w:rPr>
        <w:t xml:space="preserve">LT </w:t>
      </w:r>
      <w:r w:rsidRPr="000444C8">
        <w:rPr>
          <w:rFonts w:cs="Times New Roman"/>
          <w:szCs w:val="22"/>
        </w:rPr>
        <w:t>Indenture.</w:t>
      </w:r>
    </w:p>
    <w:p w14:paraId="7057C849" w14:textId="77777777" w:rsidR="00425668" w:rsidRPr="008C4E4D" w:rsidRDefault="00425668" w:rsidP="008C4E4D">
      <w:pPr>
        <w:pStyle w:val="00BodyText5"/>
        <w:rPr>
          <w:rFonts w:cs="Times New Roman"/>
          <w:szCs w:val="22"/>
        </w:rPr>
      </w:pPr>
      <w:r w:rsidRPr="008C4E4D">
        <w:rPr>
          <w:rFonts w:cs="Times New Roman"/>
          <w:b/>
          <w:i/>
          <w:szCs w:val="22"/>
        </w:rPr>
        <w:t>Additional LT Obligations</w:t>
      </w:r>
      <w:r w:rsidRPr="008C4E4D">
        <w:rPr>
          <w:rFonts w:cs="Times New Roman"/>
          <w:szCs w:val="22"/>
        </w:rPr>
        <w:t xml:space="preserve">. Any Additional LT Obligations secured by a lien on ad valorem property taxes of the District will be issued as Subordinate LT Parity Bonds, Senior LT Obligations or Junior Lien LT Obligations; provided, however, that such requirement shall not apply to Additional LT Obligations secured solely by an Unencumbered Debt Service Mill Levy. The issuance of the 2026A-1 Senior LT Bonds in accordance with the Senior LT Indenture is permitted, notwithstanding any provision of the Subordinate LT Indenture. The District will not issue or incur any other Additional LT Obligations except as provided in the Subordinate LT Indenture. </w:t>
      </w:r>
    </w:p>
    <w:p w14:paraId="6E6A0508" w14:textId="77777777" w:rsidR="00425668" w:rsidRPr="008C4E4D" w:rsidRDefault="00425668" w:rsidP="008C4E4D">
      <w:pPr>
        <w:pStyle w:val="00BodyText5"/>
        <w:rPr>
          <w:rFonts w:cs="Times New Roman"/>
          <w:szCs w:val="22"/>
        </w:rPr>
      </w:pPr>
      <w:r w:rsidRPr="008C4E4D">
        <w:rPr>
          <w:rFonts w:cs="Times New Roman"/>
          <w:b/>
          <w:i/>
          <w:szCs w:val="22"/>
        </w:rPr>
        <w:t>Issuance by Consent; Subordinate LT Parity Bonds</w:t>
      </w:r>
      <w:r w:rsidRPr="008C4E4D">
        <w:rPr>
          <w:rFonts w:cs="Times New Roman"/>
          <w:i/>
          <w:szCs w:val="22"/>
        </w:rPr>
        <w:t xml:space="preserve">. </w:t>
      </w:r>
      <w:r w:rsidRPr="008C4E4D">
        <w:rPr>
          <w:rFonts w:cs="Times New Roman"/>
          <w:szCs w:val="22"/>
        </w:rPr>
        <w:t>The District may issue Additional LT Obligations constituting Subordinate LT Parity Bonds, Senior LT Obligations or Junior Lien LT Obligations if such issuance is consented to by the Consent Parties with respect to 100% in aggregate principal amount of the 2026B Subordinate LT Bonds then Outstanding.</w:t>
      </w:r>
    </w:p>
    <w:p w14:paraId="3E7C9375" w14:textId="77777777" w:rsidR="00425668" w:rsidRPr="008C4E4D" w:rsidRDefault="00425668" w:rsidP="008C4E4D">
      <w:pPr>
        <w:pStyle w:val="00BodyText5"/>
        <w:rPr>
          <w:rFonts w:cs="Times New Roman"/>
          <w:szCs w:val="22"/>
        </w:rPr>
      </w:pPr>
      <w:r w:rsidRPr="008C4E4D">
        <w:rPr>
          <w:rFonts w:cs="Times New Roman"/>
          <w:b/>
          <w:i/>
          <w:szCs w:val="22"/>
        </w:rPr>
        <w:t>Senior LT Obligations</w:t>
      </w:r>
      <w:r w:rsidRPr="008C4E4D">
        <w:rPr>
          <w:rFonts w:cs="Times New Roman"/>
          <w:i/>
          <w:szCs w:val="22"/>
        </w:rPr>
        <w:t xml:space="preserve">. </w:t>
      </w:r>
      <w:r w:rsidRPr="008C4E4D">
        <w:rPr>
          <w:rFonts w:cs="Times New Roman"/>
          <w:szCs w:val="22"/>
        </w:rPr>
        <w:t>The District may issue Additional LT Obligations constituting Senior LT Obligations without the consent of the Consent Parties provided that the following conditions are satisfied:</w:t>
      </w:r>
    </w:p>
    <w:p w14:paraId="29510F09" w14:textId="77777777" w:rsidR="00425668" w:rsidRPr="008C4E4D" w:rsidRDefault="00425668" w:rsidP="008C4E4D">
      <w:pPr>
        <w:pStyle w:val="00BodyText5"/>
        <w:rPr>
          <w:rFonts w:cs="Times New Roman"/>
          <w:szCs w:val="22"/>
        </w:rPr>
      </w:pPr>
      <w:r w:rsidRPr="008C4E4D">
        <w:rPr>
          <w:rFonts w:cs="Times New Roman"/>
          <w:szCs w:val="22"/>
        </w:rPr>
        <w:t>(a)</w:t>
      </w:r>
      <w:r w:rsidRPr="008C4E4D">
        <w:rPr>
          <w:rFonts w:cs="Times New Roman"/>
          <w:szCs w:val="22"/>
        </w:rPr>
        <w:tab/>
        <w:t xml:space="preserve">the proposed Senior LT Obligations will constitute Refunding Senior LT Obligations and, upon issuance of such Refunding Senior LT Obligations, the total of the District’s scheduled debt service on such Refunding Senior LT Obligations and any other Senior LT Obligations (to the extent to remain outstanding upon the issuance of such Refunding Senior LT Obligations) will not exceed in any year the total scheduled debt service on the Senior LT Obligations outstanding immediately prior to the issuance of such Refunding Senior LT Obligations (excluding from such calculation of debt service any amount on deposit in a reserve fund anticipated to be available for payment of debt service at final maturity, as reasonably determined by the Board in good faith, such determination to be binding and final). For purposes of the foregoing, the issuance of Refunding Senior LT Obligations that have a scheduled payment date in any year that is after the latest maturity date of the Senior LT Obligations outstanding immediately prior to the issuance of the Refunding Senior LT Obligations will be deemed to increase the District’s Senior LT Obligations debt service and will not be permitted by this clause (a); and </w:t>
      </w:r>
    </w:p>
    <w:p w14:paraId="44561E2B" w14:textId="725203EC" w:rsidR="00425668" w:rsidRPr="008C4E4D" w:rsidRDefault="00425668" w:rsidP="008C4E4D">
      <w:pPr>
        <w:pStyle w:val="00BodyText5"/>
        <w:rPr>
          <w:rFonts w:cs="Times New Roman"/>
          <w:szCs w:val="22"/>
        </w:rPr>
      </w:pPr>
      <w:r w:rsidRPr="008C4E4D">
        <w:rPr>
          <w:rFonts w:cs="Times New Roman"/>
          <w:szCs w:val="22"/>
        </w:rPr>
        <w:t>(b)</w:t>
      </w:r>
      <w:r w:rsidRPr="008C4E4D">
        <w:rPr>
          <w:rFonts w:cs="Times New Roman"/>
          <w:szCs w:val="22"/>
        </w:rPr>
        <w:tab/>
        <w:t xml:space="preserve">the Senior Obligation LT Surplus Fund and Senior Obligation </w:t>
      </w:r>
      <w:r w:rsidR="00A03016">
        <w:rPr>
          <w:rFonts w:cs="Times New Roman"/>
          <w:szCs w:val="22"/>
        </w:rPr>
        <w:t xml:space="preserve">LT </w:t>
      </w:r>
      <w:r w:rsidRPr="008C4E4D">
        <w:rPr>
          <w:rFonts w:cs="Times New Roman"/>
          <w:szCs w:val="22"/>
        </w:rPr>
        <w:t>Reserve Fund, if any, securing such Senior LT Obligations will not together be required or permitted to be funded in excess of an aggregate amount equal to 20% of the original par amount of such Senior LT Obligations;</w:t>
      </w:r>
    </w:p>
    <w:p w14:paraId="7E569DFB" w14:textId="77777777" w:rsidR="00425668" w:rsidRPr="008C4E4D" w:rsidRDefault="00425668" w:rsidP="008C4E4D">
      <w:pPr>
        <w:pStyle w:val="00BodyText5"/>
        <w:rPr>
          <w:rFonts w:cs="Times New Roman"/>
          <w:szCs w:val="22"/>
        </w:rPr>
      </w:pPr>
      <w:r w:rsidRPr="008C4E4D">
        <w:rPr>
          <w:rFonts w:cs="Times New Roman"/>
          <w:szCs w:val="22"/>
        </w:rPr>
        <w:t>(c)</w:t>
      </w:r>
      <w:r w:rsidRPr="008C4E4D">
        <w:rPr>
          <w:rFonts w:cs="Times New Roman"/>
          <w:szCs w:val="22"/>
        </w:rPr>
        <w:tab/>
        <w:t>the ad valorem property tax levy pledged to the payment of the Senior LT Obligations is to be not higher than, and subject to the same adjustments and deductions as, the maximum rate per dollar of taxable value set forth in the definition of Senior Required Mill Levy in the Senior LT Indenture; and</w:t>
      </w:r>
    </w:p>
    <w:p w14:paraId="47818628" w14:textId="77777777" w:rsidR="00425668" w:rsidRPr="008C4E4D" w:rsidRDefault="00425668" w:rsidP="008C4E4D">
      <w:pPr>
        <w:pStyle w:val="00BodyText5"/>
        <w:rPr>
          <w:rFonts w:cs="Times New Roman"/>
          <w:szCs w:val="22"/>
        </w:rPr>
      </w:pPr>
      <w:r w:rsidRPr="008C4E4D">
        <w:rPr>
          <w:rFonts w:cs="Times New Roman"/>
          <w:szCs w:val="22"/>
        </w:rPr>
        <w:t>(d)</w:t>
      </w:r>
      <w:r w:rsidRPr="008C4E4D">
        <w:rPr>
          <w:rFonts w:cs="Times New Roman"/>
          <w:szCs w:val="22"/>
        </w:rPr>
        <w:tab/>
        <w:t>the remedies for defaults under such Senior LT Obligations are substantially the same as the remedies applicable to the Senior LT Obligations being refunded.</w:t>
      </w:r>
    </w:p>
    <w:p w14:paraId="3C2E9EC1" w14:textId="77777777" w:rsidR="00425668" w:rsidRPr="008C4E4D" w:rsidRDefault="00425668" w:rsidP="008C4E4D">
      <w:pPr>
        <w:pStyle w:val="00BodyText5"/>
        <w:rPr>
          <w:rFonts w:cs="Times New Roman"/>
          <w:szCs w:val="22"/>
        </w:rPr>
      </w:pPr>
      <w:r w:rsidRPr="008C4E4D">
        <w:rPr>
          <w:rFonts w:cs="Times New Roman"/>
          <w:b/>
          <w:i/>
          <w:szCs w:val="22"/>
        </w:rPr>
        <w:t>Junior Lien LT Obligations</w:t>
      </w:r>
      <w:r w:rsidRPr="008C4E4D">
        <w:rPr>
          <w:rFonts w:cs="Times New Roman"/>
          <w:i/>
          <w:szCs w:val="22"/>
        </w:rPr>
        <w:t>.</w:t>
      </w:r>
      <w:r w:rsidRPr="008C4E4D">
        <w:rPr>
          <w:rFonts w:cs="Times New Roman"/>
          <w:b/>
          <w:i/>
          <w:szCs w:val="22"/>
        </w:rPr>
        <w:t xml:space="preserve"> </w:t>
      </w:r>
      <w:r w:rsidRPr="008C4E4D">
        <w:rPr>
          <w:rFonts w:cs="Times New Roman"/>
          <w:szCs w:val="22"/>
        </w:rPr>
        <w:t>The District may issue Additional LT Obligations constituting Junior Lien LT Obligations without the consent of the Consent Parties and the terms of such Junior Lien LT Obligations will be as provided in the documents pursuant to which they are issued, provided that each of the following conditions are to apply to the Junior Lien LT Obligations:</w:t>
      </w:r>
    </w:p>
    <w:p w14:paraId="48A7A7E1" w14:textId="77777777" w:rsidR="00425668" w:rsidRPr="008C4E4D" w:rsidRDefault="00425668" w:rsidP="008C4E4D">
      <w:pPr>
        <w:pStyle w:val="00BodyText5"/>
        <w:rPr>
          <w:rFonts w:cs="Times New Roman"/>
          <w:szCs w:val="22"/>
        </w:rPr>
      </w:pPr>
      <w:r w:rsidRPr="008C4E4D">
        <w:rPr>
          <w:rFonts w:cs="Times New Roman"/>
          <w:szCs w:val="22"/>
        </w:rPr>
        <w:t>(a)</w:t>
      </w:r>
      <w:r w:rsidRPr="008C4E4D">
        <w:rPr>
          <w:rFonts w:cs="Times New Roman"/>
          <w:szCs w:val="22"/>
        </w:rPr>
        <w:tab/>
        <w:t xml:space="preserve">the aggregate rate per dollar of taxable value which the District may promise to impose for payment of all Junior Lien LT Obligations will not exceed the Subordinate Required Mill Levy; </w:t>
      </w:r>
    </w:p>
    <w:p w14:paraId="7F50E238" w14:textId="77777777" w:rsidR="00425668" w:rsidRPr="008C4E4D" w:rsidRDefault="00425668" w:rsidP="008C4E4D">
      <w:pPr>
        <w:pStyle w:val="00BodyText5"/>
        <w:rPr>
          <w:rFonts w:cs="Times New Roman"/>
          <w:szCs w:val="22"/>
        </w:rPr>
      </w:pPr>
      <w:r w:rsidRPr="008C4E4D">
        <w:rPr>
          <w:rFonts w:cs="Times New Roman"/>
          <w:szCs w:val="22"/>
        </w:rPr>
        <w:t>(b)</w:t>
      </w:r>
      <w:r w:rsidRPr="008C4E4D">
        <w:rPr>
          <w:rFonts w:cs="Times New Roman"/>
          <w:szCs w:val="22"/>
        </w:rPr>
        <w:tab/>
        <w:t>the failure to make a payment when due on the Junior Lien LT Obligations will not constitute an event of default thereunder; and</w:t>
      </w:r>
    </w:p>
    <w:p w14:paraId="3C66C550" w14:textId="556610B1" w:rsidR="00425668" w:rsidRPr="008C4E4D" w:rsidRDefault="00425668" w:rsidP="008C4E4D">
      <w:pPr>
        <w:pStyle w:val="00BodyText5"/>
        <w:rPr>
          <w:rFonts w:cs="Times New Roman"/>
          <w:szCs w:val="22"/>
        </w:rPr>
      </w:pPr>
      <w:r w:rsidRPr="008C4E4D">
        <w:rPr>
          <w:rFonts w:cs="Times New Roman"/>
          <w:szCs w:val="22"/>
        </w:rPr>
        <w:t>(c)</w:t>
      </w:r>
      <w:r w:rsidRPr="008C4E4D">
        <w:rPr>
          <w:rFonts w:cs="Times New Roman"/>
          <w:szCs w:val="22"/>
        </w:rPr>
        <w:tab/>
        <w:t>the Junior Lien LT Obligations will be payable as to both principal and interest only on an annual basis, on or after March 1</w:t>
      </w:r>
      <w:r w:rsidR="007D50B1">
        <w:rPr>
          <w:rFonts w:cs="Times New Roman"/>
          <w:szCs w:val="22"/>
        </w:rPr>
        <w:t>5</w:t>
      </w:r>
      <w:r w:rsidRPr="008C4E4D">
        <w:rPr>
          <w:rFonts w:cs="Times New Roman"/>
          <w:szCs w:val="22"/>
        </w:rPr>
        <w:t xml:space="preserve"> of each calendar year, and only after the payment or defeasance of the full amount of the 2026B Subordinate LT Bonds.</w:t>
      </w:r>
    </w:p>
    <w:p w14:paraId="1663E047" w14:textId="77777777" w:rsidR="00425668" w:rsidRPr="008C4E4D" w:rsidRDefault="00425668" w:rsidP="008C4E4D">
      <w:pPr>
        <w:pStyle w:val="00BodyText5"/>
        <w:rPr>
          <w:rFonts w:cs="Times New Roman"/>
          <w:szCs w:val="22"/>
        </w:rPr>
      </w:pPr>
      <w:r w:rsidRPr="008C4E4D">
        <w:rPr>
          <w:rFonts w:cs="Times New Roman"/>
          <w:szCs w:val="22"/>
        </w:rPr>
        <w:t>The District is permitted to issue or incur Additional LT Obligations secured solely by an Unencumbered Debt Service Mill Levy (including property tax revenues resulting from an Unencumbered Debt Service Mill Levy) without limitation. Any Additional LT Obligation secured by an Unencumbered Debt Service Mill Levy and other ad valorem property taxes of the District shall be issued as Subordinate LT Parity Bonds, Senior LT Obligations, or Junior Lien LT Obligations, and shall satisfy the requirements of the Subordinate LT Indenture with respect to Senior LT Obligations, or of the Subordinate LT Indenture with respect to Junior Lien LT Obligations, as applicable, unless such issuance is consented to by the Consent Parties with respect to a majority in aggregate principal amount of the 2026B Subordinate LT Bonds then Outstanding (which consent shall be required if such Additional LT Obligations are to be issued as Subordinate LT Parity Bonds); provided, however, that any provisions of the Subordinate LT Indenture purporting to limit the number of mills pledged to the payment of such Additional LT Obligations shall not apply to an Unencumbered Debt Service Mill Levy.</w:t>
      </w:r>
    </w:p>
    <w:p w14:paraId="2457BDAF" w14:textId="33C1FF65" w:rsidR="00425668" w:rsidRPr="008C4E4D" w:rsidRDefault="00425668" w:rsidP="008C4E4D">
      <w:pPr>
        <w:pStyle w:val="00BodyText5"/>
        <w:rPr>
          <w:rFonts w:cs="Times New Roman"/>
          <w:szCs w:val="22"/>
        </w:rPr>
      </w:pPr>
      <w:r w:rsidRPr="008C4E4D">
        <w:rPr>
          <w:rFonts w:cs="Times New Roman"/>
          <w:szCs w:val="22"/>
        </w:rPr>
        <w:t>The issuance of the 2026A-2 SR Bonds in accordance with the SR Indenture is permitted. The District may refund the 2026A-2 SR Bonds with the same security (i.e. Contract Fees) without compliance with any of the other terms and conditions of the Subordinate LT Indenture.</w:t>
      </w:r>
    </w:p>
    <w:p w14:paraId="2BA7E6EB" w14:textId="77777777" w:rsidR="00425668" w:rsidRPr="008C4E4D" w:rsidRDefault="00425668" w:rsidP="008C4E4D">
      <w:pPr>
        <w:pStyle w:val="00BodyText5"/>
        <w:rPr>
          <w:rFonts w:cs="Times New Roman"/>
          <w:szCs w:val="22"/>
        </w:rPr>
      </w:pPr>
      <w:r w:rsidRPr="008C4E4D">
        <w:rPr>
          <w:rFonts w:cs="Times New Roman"/>
          <w:szCs w:val="22"/>
        </w:rPr>
        <w:t xml:space="preserve">The District expects to issue the 2026A-1 Senior LT Bonds on the date of issuance of the 2026B Subordinate LT Bonds, which will constitute Senior LT Obligations under the Subordinate LT Indenture. </w:t>
      </w:r>
    </w:p>
    <w:p w14:paraId="013B17D8" w14:textId="7746A096" w:rsidR="00425668" w:rsidRPr="008C4E4D" w:rsidRDefault="00425668" w:rsidP="008C4E4D">
      <w:pPr>
        <w:pStyle w:val="00BodyText5"/>
        <w:rPr>
          <w:rFonts w:cs="Times New Roman"/>
          <w:szCs w:val="22"/>
        </w:rPr>
      </w:pPr>
      <w:r w:rsidRPr="008C4E4D">
        <w:rPr>
          <w:rFonts w:cs="Times New Roman"/>
          <w:szCs w:val="22"/>
        </w:rPr>
        <w:t>A written certificate by the Chair or Treasurer of the District that the conditions set forth in the Subordinate LT Indenture (and described above) are met will conclusively determine the right of the District to authorize, issue, sell, and deliver Additional LT Obligations in accordance therewith.</w:t>
      </w:r>
    </w:p>
    <w:p w14:paraId="42F17D38" w14:textId="77777777" w:rsidR="00425668" w:rsidRPr="008C4E4D" w:rsidRDefault="00425668" w:rsidP="008C4E4D">
      <w:pPr>
        <w:pStyle w:val="00BodyText5"/>
        <w:rPr>
          <w:rFonts w:cs="Times New Roman"/>
          <w:szCs w:val="22"/>
        </w:rPr>
      </w:pPr>
      <w:r w:rsidRPr="008C4E4D">
        <w:rPr>
          <w:rFonts w:cs="Times New Roman"/>
          <w:szCs w:val="22"/>
        </w:rPr>
        <w:t>Nothing in the Subordinate LT Indenture will affect or restrict the right of the District to issue or incur obligations that are not Additional LT Obligations thereunder.</w:t>
      </w:r>
    </w:p>
    <w:p w14:paraId="168DA282" w14:textId="77777777" w:rsidR="00425668" w:rsidRPr="008C4E4D" w:rsidRDefault="00425668" w:rsidP="008C4E4D">
      <w:pPr>
        <w:pStyle w:val="00BodyText5"/>
        <w:rPr>
          <w:rFonts w:cs="Times New Roman"/>
          <w:szCs w:val="22"/>
        </w:rPr>
      </w:pPr>
      <w:r w:rsidRPr="008C4E4D">
        <w:rPr>
          <w:rFonts w:cs="Times New Roman"/>
          <w:szCs w:val="22"/>
        </w:rPr>
        <w:t xml:space="preserve">Notwithstanding any other provision contained in the Subordinate LT Indenture, under no circumstances will the District issue Additional LT Obligations in excess of the amount authorized by the Bond Consent, any future consent or election by property owners or eligible electors of the District and the District’s Governing Document, as the same may be amended from time to time. </w:t>
      </w:r>
    </w:p>
    <w:p w14:paraId="63673369" w14:textId="77777777" w:rsidR="00425668" w:rsidRPr="008C4E4D" w:rsidRDefault="00425668" w:rsidP="008C4E4D">
      <w:pPr>
        <w:pStyle w:val="00BodyText5"/>
        <w:rPr>
          <w:rFonts w:cs="Times New Roman"/>
          <w:szCs w:val="22"/>
        </w:rPr>
      </w:pPr>
      <w:r w:rsidRPr="008C4E4D">
        <w:rPr>
          <w:rFonts w:cs="Times New Roman"/>
          <w:b/>
          <w:i/>
          <w:szCs w:val="22"/>
        </w:rPr>
        <w:t>Events of Default</w:t>
      </w:r>
      <w:r w:rsidRPr="008C4E4D">
        <w:rPr>
          <w:rFonts w:cs="Times New Roman"/>
          <w:szCs w:val="22"/>
        </w:rPr>
        <w:t>. The occurrence of any one or more of the following events or the existence of any one or more of the following conditions will constitute an Event of Default under the Subordinate LT Indenture (whatever the reason for such event or condition and whether it will be voluntary or involuntary or be effected by operation of law or pursuant to any judgment, decree, rule, regulation, or order of any court or any administrative or governmental body), and there will be no default or Event of Default under the Subordinate LT Indenture except as described below:</w:t>
      </w:r>
    </w:p>
    <w:p w14:paraId="1E8B1BD7" w14:textId="77777777" w:rsidR="00425668" w:rsidRPr="008C4E4D" w:rsidRDefault="00425668" w:rsidP="008C4E4D">
      <w:pPr>
        <w:pStyle w:val="00BodyText5"/>
        <w:rPr>
          <w:rFonts w:cs="Times New Roman"/>
          <w:szCs w:val="22"/>
        </w:rPr>
      </w:pPr>
      <w:r w:rsidRPr="008C4E4D">
        <w:rPr>
          <w:rFonts w:cs="Times New Roman"/>
          <w:szCs w:val="22"/>
        </w:rPr>
        <w:t>(a)</w:t>
      </w:r>
      <w:r w:rsidRPr="008C4E4D">
        <w:rPr>
          <w:rFonts w:cs="Times New Roman"/>
          <w:szCs w:val="22"/>
        </w:rPr>
        <w:tab/>
        <w:t>The District fails or refuses to impose the Subordinate Required Mill Levy or to apply the Subordinate LT Pledged Revenue as required by the Subordinate LT Indenture;</w:t>
      </w:r>
    </w:p>
    <w:p w14:paraId="10D79322" w14:textId="77777777" w:rsidR="00425668" w:rsidRPr="008C4E4D" w:rsidRDefault="00425668" w:rsidP="008C4E4D">
      <w:pPr>
        <w:pStyle w:val="00BodyText5"/>
        <w:rPr>
          <w:rFonts w:cs="Times New Roman"/>
          <w:szCs w:val="22"/>
        </w:rPr>
      </w:pPr>
      <w:r w:rsidRPr="008C4E4D">
        <w:rPr>
          <w:rFonts w:cs="Times New Roman"/>
          <w:szCs w:val="22"/>
        </w:rPr>
        <w:t>(b)</w:t>
      </w:r>
      <w:r w:rsidRPr="008C4E4D">
        <w:rPr>
          <w:rFonts w:cs="Times New Roman"/>
          <w:szCs w:val="22"/>
        </w:rPr>
        <w:tab/>
        <w:t>The District defaults in the performance or observance of any other of the covenants, agreements, or conditions on the part of the District in the Subordinate LT Indenture or the Bond Resolution, and fails to remedy the same after notice thereof pursuant to the Subordinate LT Indenture; or</w:t>
      </w:r>
    </w:p>
    <w:p w14:paraId="539012EC" w14:textId="77777777" w:rsidR="00425668" w:rsidRPr="008C4E4D" w:rsidRDefault="00425668" w:rsidP="008C4E4D">
      <w:pPr>
        <w:pStyle w:val="00BodyText5"/>
        <w:rPr>
          <w:rFonts w:cs="Times New Roman"/>
          <w:szCs w:val="22"/>
        </w:rPr>
      </w:pPr>
      <w:r w:rsidRPr="008C4E4D">
        <w:rPr>
          <w:rFonts w:cs="Times New Roman"/>
          <w:szCs w:val="22"/>
        </w:rPr>
        <w:t>(c)</w:t>
      </w:r>
      <w:r w:rsidRPr="008C4E4D">
        <w:rPr>
          <w:rFonts w:cs="Times New Roman"/>
          <w:szCs w:val="22"/>
        </w:rPr>
        <w:tab/>
        <w:t>The District files a petition under the federal bankruptcy laws or other applicable bankruptcy laws seeking to adjust the obligation represented by the 2026B Subordinate LT Bonds.</w:t>
      </w:r>
    </w:p>
    <w:p w14:paraId="31C898BA" w14:textId="77777777" w:rsidR="00425668" w:rsidRPr="008C4E4D" w:rsidRDefault="00425668" w:rsidP="008C4E4D">
      <w:pPr>
        <w:spacing w:after="240"/>
        <w:ind w:firstLine="720"/>
        <w:jc w:val="both"/>
        <w:rPr>
          <w:rFonts w:cs="Times New Roman"/>
          <w:sz w:val="22"/>
          <w:szCs w:val="22"/>
        </w:rPr>
      </w:pPr>
      <w:r w:rsidRPr="008C4E4D">
        <w:rPr>
          <w:rFonts w:cs="Times New Roman"/>
          <w:sz w:val="22"/>
          <w:szCs w:val="22"/>
        </w:rPr>
        <w:t>WITHOUT LIMITING THE FOREGOING, AND NOTWITHSTANDING ANY OTHER PROVISION CONTAINED IN THE SUBORDINATE LT INDENTURE, THE DISTRICT ACKNOWLEDGES AND AGREES IN THE SUBORDINATE LT INDENTURE THAT THE APPLICATION OF ANY PORTION OF THE SUBORDINATE LT PLEDGED REVENUE TO ANY PURPOSE OTHER THAN DEPOSIT WITH THE TRUSTEE IN ACCORDANCE WITH THE PROVISIONS OF THE SUBORDINATE LT INDENTURE CONSTITUTES A VIOLATION OF THE TERMS OF THE SUBORDINATE LT INDENTURE AND A BREACH OF THE COVENANTS MADE THEREUNDER FOR THE BENEFIT OF THE OWNERS OF THE 2026B SUBORDINATE LT BONDS, WHICH SHALL ENTITLE THE TRUSTEE TO PURSUE, ON BEHALF OF THE OWNERS OF THE 2026B SUBORDINATE LT BONDS, ALL AVAILABLE ACTIONS AGAINST THE DISTRICT IN LAW OR IN EQUITY, AS MORE PARTICULARLY PROVIDED IN THE SUBORDINATE LT INDENTURE. THE DISTRICT FURTHER ACKNOWLEDGES AND AGREES IN THE SUBORDINATE LT INDENTURE THAT THE APPLICATION OF SUBORDINATE LT PLEDGED REVENUE IN VIOLATION OF THE COVENANTS THEREOF WILL RESULT IN IRREPARABLE HARM TO THE OWNERS OF THE 2026B SUBORDINATE LT BONDS. IN NO EVENT SHALL ANY PROVISION OF THE SUBORDINATE LT INDENTURE BE INTERPRETED TO PERMIT THE DISTRICT TO RETAIN ANY PORTION OF THE SUBORDINATE LT PLEDGED REVENUE.</w:t>
      </w:r>
    </w:p>
    <w:p w14:paraId="47184B18" w14:textId="77777777" w:rsidR="00425668" w:rsidRPr="008C4E4D" w:rsidRDefault="00425668" w:rsidP="008C4E4D">
      <w:pPr>
        <w:pStyle w:val="00BodyText5"/>
        <w:rPr>
          <w:rFonts w:cs="Times New Roman"/>
          <w:szCs w:val="22"/>
        </w:rPr>
      </w:pPr>
      <w:r w:rsidRPr="008C4E4D">
        <w:rPr>
          <w:rFonts w:cs="Times New Roman"/>
          <w:szCs w:val="22"/>
        </w:rPr>
        <w:t>It is acknowledged in the Subordinate LT Indenture that due to the limited nature of the Subordinate LT Pledged Revenue, the failure to pay the principal of or interest on the 2026B Subordinate LT Bonds when due will not, of itself, constitute an Event of Default thereunder.</w:t>
      </w:r>
    </w:p>
    <w:p w14:paraId="684EF1D8" w14:textId="285CF8F7" w:rsidR="00425668" w:rsidRPr="008C4E4D" w:rsidRDefault="00425668" w:rsidP="008C4E4D">
      <w:pPr>
        <w:pStyle w:val="00BodyText5"/>
        <w:rPr>
          <w:rFonts w:cs="Times New Roman"/>
          <w:szCs w:val="22"/>
        </w:rPr>
      </w:pPr>
      <w:r w:rsidRPr="008C4E4D">
        <w:rPr>
          <w:rFonts w:cs="Times New Roman"/>
          <w:szCs w:val="22"/>
        </w:rPr>
        <w:t>It is also acknowledged in the Subordinate LT Indenture that, in accordance with the Governing Document, the District will not be required to impose the Subordinate Required Mill Levy pursuant to the terms of the Subordinate LT Indenture for payment of the 2026B Subordinate LT Bonds after tax levy year 206</w:t>
      </w:r>
      <w:r w:rsidR="0031301D" w:rsidRPr="008C4E4D">
        <w:rPr>
          <w:rFonts w:cs="Times New Roman"/>
          <w:szCs w:val="22"/>
        </w:rPr>
        <w:t>6</w:t>
      </w:r>
      <w:r w:rsidRPr="008C4E4D">
        <w:rPr>
          <w:rFonts w:cs="Times New Roman"/>
          <w:szCs w:val="22"/>
        </w:rPr>
        <w:t xml:space="preserve"> for payment on March 1</w:t>
      </w:r>
      <w:r w:rsidR="0031301D" w:rsidRPr="008C4E4D">
        <w:rPr>
          <w:rFonts w:cs="Times New Roman"/>
          <w:szCs w:val="22"/>
        </w:rPr>
        <w:t>5</w:t>
      </w:r>
      <w:r w:rsidRPr="008C4E4D">
        <w:rPr>
          <w:rFonts w:cs="Times New Roman"/>
          <w:szCs w:val="22"/>
        </w:rPr>
        <w:t>, 2067.</w:t>
      </w:r>
    </w:p>
    <w:p w14:paraId="71894B98" w14:textId="77777777" w:rsidR="00425668" w:rsidRPr="008C4E4D" w:rsidRDefault="00425668" w:rsidP="008C4E4D">
      <w:pPr>
        <w:pStyle w:val="00BodyText5"/>
        <w:rPr>
          <w:rFonts w:cs="Times New Roman"/>
          <w:szCs w:val="22"/>
        </w:rPr>
      </w:pPr>
      <w:r w:rsidRPr="008C4E4D">
        <w:rPr>
          <w:rFonts w:cs="Times New Roman"/>
          <w:szCs w:val="22"/>
        </w:rPr>
        <w:t>The Trustee will give to the Owners of all 2026B Subordinate LT Bonds notice by mailing to the address shown on the registration books maintained by the Trustee or by electronic means to DTC or its successors, of all Events of Default of which the Trustee is by the Subordinate LT Indenture required to take notice, or if notice of an Event of Default is given as provided in the Subordinate LT Indenture, within 90 days after the Trustee has knowledge of the occurrence of such default or Event of Default unless such default or Event of Default will have been cured before the giving of such notice; provided that, the Trustee will be protected in withholding such notice if and so long as a committee of its corporate trust department in good faith determines that the withholding of such notice is not detrimental to the interests of the Owners.</w:t>
      </w:r>
    </w:p>
    <w:p w14:paraId="1DE0E25F" w14:textId="77777777" w:rsidR="00425668" w:rsidRPr="008C4E4D" w:rsidRDefault="00425668" w:rsidP="008C4E4D">
      <w:pPr>
        <w:pStyle w:val="00BodyText5"/>
        <w:rPr>
          <w:rFonts w:cs="Times New Roman"/>
          <w:szCs w:val="22"/>
        </w:rPr>
      </w:pPr>
      <w:r w:rsidRPr="008C4E4D">
        <w:rPr>
          <w:rFonts w:cs="Times New Roman"/>
          <w:szCs w:val="22"/>
        </w:rPr>
        <w:t>No default under paragraph (b) above will constitute an Event of Default until actual notice of such default by registered or certified mail will be given by the Trustee or by the Owners of not less than 25% in aggregate principal amount of all 2026B Subordinate LT Bonds Outstanding to the District, and the District will have had 30 days after receipt of such notice to correct said default or cause said default to be corrected, and will not have corrected said default or caused said default to be corrected within the applicable period; provided however, if said default be such that it cannot be corrected within the applicable period, it will not constitute an Event of Default if corrective action is instituted within the applicable period and diligently pursued thereafter until the default is corrected.</w:t>
      </w:r>
    </w:p>
    <w:p w14:paraId="6C05D80C" w14:textId="77777777" w:rsidR="00425668" w:rsidRPr="008C4E4D" w:rsidRDefault="00425668" w:rsidP="008C4E4D">
      <w:pPr>
        <w:pStyle w:val="00BodyText5"/>
        <w:rPr>
          <w:rFonts w:cs="Times New Roman"/>
          <w:szCs w:val="22"/>
        </w:rPr>
      </w:pPr>
      <w:r w:rsidRPr="008C4E4D">
        <w:rPr>
          <w:rFonts w:cs="Times New Roman"/>
          <w:b/>
          <w:i/>
          <w:szCs w:val="22"/>
        </w:rPr>
        <w:t>Remedies on Occurrence of Event of Default</w:t>
      </w:r>
      <w:r w:rsidRPr="008C4E4D">
        <w:rPr>
          <w:rFonts w:cs="Times New Roman"/>
          <w:szCs w:val="22"/>
        </w:rPr>
        <w:t>. Upon the occurrence and continuance of an Event of Default, the Trustee is to have the following rights and remedies which may be pursued:</w:t>
      </w:r>
    </w:p>
    <w:p w14:paraId="6B644083" w14:textId="6E126490" w:rsidR="00425668" w:rsidRPr="008C4E4D" w:rsidRDefault="00425668" w:rsidP="008C4E4D">
      <w:pPr>
        <w:pStyle w:val="00BodyText5"/>
        <w:rPr>
          <w:rFonts w:cs="Times New Roman"/>
          <w:szCs w:val="22"/>
        </w:rPr>
      </w:pPr>
      <w:r w:rsidRPr="008C4E4D">
        <w:rPr>
          <w:rFonts w:cs="Times New Roman"/>
          <w:i/>
          <w:szCs w:val="22"/>
        </w:rPr>
        <w:t>Receivership</w:t>
      </w:r>
      <w:r w:rsidRPr="008C4E4D">
        <w:rPr>
          <w:rFonts w:cs="Times New Roman"/>
          <w:szCs w:val="22"/>
        </w:rPr>
        <w:t xml:space="preserve">. Upon the filing of a bill in equity or other commencement of judicial proceedings to enforce the rights of the Trustee and of the Owners, the Trustee is to be entitled as a matter of right to the appointment of a receiver or receivers of the </w:t>
      </w:r>
      <w:r w:rsidR="003C76E1">
        <w:rPr>
          <w:rFonts w:cs="Times New Roman"/>
          <w:szCs w:val="22"/>
        </w:rPr>
        <w:t xml:space="preserve">Subordinate LT </w:t>
      </w:r>
      <w:r w:rsidRPr="008C4E4D">
        <w:rPr>
          <w:rFonts w:cs="Times New Roman"/>
          <w:szCs w:val="22"/>
        </w:rPr>
        <w:t>Trust Estate, and of the revenues, income, product, and profits thereof pending such proceedings, subject however, to constitutional limitations inherent in the sovereignty of the District; but notwithstanding the appointment of any receiver or other custodian, the Trustee is to be entitled to the possession and control of any cash, securities, or other instruments at the time held by, or payable or deliverable under the provisions of the Subordinate LT Indenture to, the Trustee.</w:t>
      </w:r>
    </w:p>
    <w:p w14:paraId="1550D9BF" w14:textId="77777777" w:rsidR="00425668" w:rsidRPr="008C4E4D" w:rsidRDefault="00425668" w:rsidP="008C4E4D">
      <w:pPr>
        <w:pStyle w:val="00BodyText5"/>
        <w:rPr>
          <w:rFonts w:cs="Times New Roman"/>
          <w:szCs w:val="22"/>
        </w:rPr>
      </w:pPr>
      <w:r w:rsidRPr="008C4E4D">
        <w:rPr>
          <w:rFonts w:cs="Times New Roman"/>
          <w:i/>
          <w:szCs w:val="22"/>
        </w:rPr>
        <w:t>Suit for Judgment</w:t>
      </w:r>
      <w:r w:rsidRPr="008C4E4D">
        <w:rPr>
          <w:rFonts w:cs="Times New Roman"/>
          <w:szCs w:val="22"/>
        </w:rPr>
        <w:t>. The Trustee may proceed to protect and enforce its rights and the rights of the Owners under the District Act and the Bond Act, the 2026B Subordinate LT Bonds, the Bond Resolution, the Subordinate LT Indenture, and any provision of law by such suit, action, or special proceedings as the Trustee, being advised by Counsel, is to deem appropriate.</w:t>
      </w:r>
    </w:p>
    <w:p w14:paraId="15B5FDB0" w14:textId="77777777" w:rsidR="00425668" w:rsidRPr="008C4E4D" w:rsidRDefault="00425668" w:rsidP="008C4E4D">
      <w:pPr>
        <w:pStyle w:val="00BodyText5"/>
        <w:rPr>
          <w:rFonts w:cs="Times New Roman"/>
          <w:szCs w:val="22"/>
        </w:rPr>
      </w:pPr>
      <w:r w:rsidRPr="008C4E4D">
        <w:rPr>
          <w:rFonts w:cs="Times New Roman"/>
          <w:i/>
          <w:szCs w:val="22"/>
        </w:rPr>
        <w:t>Mandamus or Other Suit</w:t>
      </w:r>
      <w:r w:rsidRPr="008C4E4D">
        <w:rPr>
          <w:rFonts w:cs="Times New Roman"/>
          <w:szCs w:val="22"/>
        </w:rPr>
        <w:t>. The Trustee may proceed by mandamus or any other suit, action, or proceeding at law or in equity, to enforce all rights of the Owners.</w:t>
      </w:r>
    </w:p>
    <w:p w14:paraId="0F92C2E3" w14:textId="77777777" w:rsidR="00425668" w:rsidRPr="008C4E4D" w:rsidRDefault="00425668" w:rsidP="008C4E4D">
      <w:pPr>
        <w:pStyle w:val="00BodyText5"/>
        <w:rPr>
          <w:rFonts w:cs="Times New Roman"/>
          <w:szCs w:val="22"/>
        </w:rPr>
      </w:pPr>
      <w:r w:rsidRPr="008C4E4D">
        <w:rPr>
          <w:rFonts w:cs="Times New Roman"/>
          <w:szCs w:val="22"/>
        </w:rPr>
        <w:t>No recovery of any judgment by the Trustee is to in any manner or to any extent affect the lien of the Subordinate LT Indenture or any rights, powers, or remedies of the Trustee under the Subordinate LT Indenture, or any lien, rights, powers, and remedies of the Owners of the 2026B Subordinate LT Bonds, but such lien, rights, powers, and remedies of the Trustee and of the Owners is to continue unimpaired as before.</w:t>
      </w:r>
    </w:p>
    <w:p w14:paraId="2D7AEB08" w14:textId="77777777" w:rsidR="00425668" w:rsidRPr="008C4E4D" w:rsidRDefault="00425668" w:rsidP="008C4E4D">
      <w:pPr>
        <w:pStyle w:val="00BodyText5"/>
        <w:rPr>
          <w:rFonts w:cs="Times New Roman"/>
          <w:szCs w:val="22"/>
        </w:rPr>
      </w:pPr>
      <w:r w:rsidRPr="008C4E4D">
        <w:rPr>
          <w:rFonts w:cs="Times New Roman"/>
          <w:szCs w:val="22"/>
        </w:rPr>
        <w:t>If any Event of Default under paragraph (a) in “—</w:t>
      </w:r>
      <w:r w:rsidRPr="008C4E4D">
        <w:rPr>
          <w:rFonts w:cs="Times New Roman"/>
          <w:i/>
          <w:szCs w:val="22"/>
        </w:rPr>
        <w:t>Events of Default</w:t>
      </w:r>
      <w:r w:rsidRPr="008C4E4D">
        <w:rPr>
          <w:rFonts w:cs="Times New Roman"/>
          <w:szCs w:val="22"/>
        </w:rPr>
        <w:t>” above is to have occurred and if requested by the Owners of 25% in aggregate principal amount of the 2026B Subordinate LT Bonds then Outstanding, the Trustee is to be obligated to exercise such one or more of the rights and powers conferred by the Subordinate LT Indenture as the Trustee, being advised by Counsel, is to deem most expedient in the interests of the Owners, subject to the Subordinate LT Indenture; provided that the Trustee at its option is to be indemnified as provided in the Subordinate LT Indenture.</w:t>
      </w:r>
    </w:p>
    <w:p w14:paraId="729BAD8C" w14:textId="77777777" w:rsidR="00425668" w:rsidRPr="008C4E4D" w:rsidRDefault="00425668" w:rsidP="008C4E4D">
      <w:pPr>
        <w:pStyle w:val="00BodyText5"/>
        <w:rPr>
          <w:rFonts w:cs="Times New Roman"/>
          <w:szCs w:val="22"/>
        </w:rPr>
      </w:pPr>
      <w:r w:rsidRPr="008C4E4D">
        <w:rPr>
          <w:rFonts w:cs="Times New Roman"/>
          <w:szCs w:val="22"/>
        </w:rPr>
        <w:t>Notwithstanding anything in the Subordinate LT Indenture to the contrary, acceleration of the 2026B Subordinate LT Bonds is not to be an available remedy for an Event of Default.</w:t>
      </w:r>
    </w:p>
    <w:p w14:paraId="24E3AC9A" w14:textId="77777777" w:rsidR="00425668" w:rsidRPr="008C4E4D" w:rsidRDefault="00425668" w:rsidP="008C4E4D">
      <w:pPr>
        <w:pStyle w:val="00BodyText5"/>
        <w:rPr>
          <w:rFonts w:cs="Times New Roman"/>
          <w:szCs w:val="22"/>
        </w:rPr>
      </w:pPr>
      <w:r w:rsidRPr="008C4E4D">
        <w:rPr>
          <w:rFonts w:cs="Times New Roman"/>
          <w:szCs w:val="22"/>
        </w:rPr>
        <w:t>The Consent Parties of a majority in aggregate principal amount of the 2026B Subordinate LT Bonds then Outstanding are to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the Subordinate LT Indenture, or for the appointment of a receiver, and any other proceedings thereunder; provided that such direction is not to be otherwise than in accordance with the provisions thereof; and provided further that at its option the Trustee is to be indemnified as provided in the Subordinate LT Indenture.</w:t>
      </w:r>
    </w:p>
    <w:p w14:paraId="0A2C1901" w14:textId="77777777" w:rsidR="00425668" w:rsidRPr="008C4E4D" w:rsidRDefault="00425668" w:rsidP="008C4E4D">
      <w:pPr>
        <w:pStyle w:val="00BodyText5"/>
        <w:rPr>
          <w:rFonts w:cs="Times New Roman"/>
          <w:szCs w:val="22"/>
        </w:rPr>
      </w:pPr>
      <w:r w:rsidRPr="008C4E4D">
        <w:rPr>
          <w:rFonts w:cs="Times New Roman"/>
          <w:szCs w:val="22"/>
        </w:rPr>
        <w:t>No Owner of any 2026B Subordinate LT Bond is to have any right to institute any suit, action, or proceeding in equity or at law for the enforcement of the Subordinate LT Indenture or for the execution of any trust thereof or for the appointment of a receiver or any other remedy thereunder, unless (a) a default has occurred of which the Trustee has been notified as provided in the Subordinate LT Indenture, or of which under the Subordinate LT Indenture it is deemed to have notice; (b) such default is to have become an Event of Default; (c) the Owners of not less than 25% in aggregate principal amount of 2026B Subordinate LT Bonds then Outstanding are to have made written request to the Trustee and are to have offered reasonable opportunity either to proceed to exercise the powers granted in the Subordinate LT Indenture or to institute such action, suit, or proceedings in their own name, and are to have also offered to the Trustee indemnity as provided in the Subordinate LT Indenture; and (d) the Trustee is to thereafter fail or refuse to exercise the powers granted in the Subordinate LT Indenture, or to institute such action, suit, or proceeding in its own name; such notification, request, and offer of indemnity are declared in every case at the option of the Trustee to be conditions precedent to any action or cause of action for the enforcement of the Subordinate LT Indenture, or for the appointment of a receiver or for any other remedy thereunder; it being understood and intended that no one or more Owners of 2026B Subordinate LT Bonds is to have any right in any manner whatsoever to affect, disturb, or prejudice the lien of the Subordinate LT Indenture by his, her, its, or their action, or to enforce any right under the Subordinate LT Indenture except in the manner therein provided and that all proceedings at law or in equity are to be instituted, had, and maintained in the manner therein provided and for the equal benefit of the Owners of all 2026B Subordinate LT Bonds then Outstanding.</w:t>
      </w:r>
    </w:p>
    <w:p w14:paraId="5F7E2E7E" w14:textId="77777777" w:rsidR="00425668" w:rsidRPr="008C4E4D" w:rsidRDefault="00425668" w:rsidP="008C4E4D">
      <w:pPr>
        <w:pStyle w:val="00BodyText5"/>
        <w:rPr>
          <w:rFonts w:cs="Times New Roman"/>
          <w:szCs w:val="22"/>
        </w:rPr>
      </w:pPr>
      <w:r w:rsidRPr="008C4E4D">
        <w:rPr>
          <w:rFonts w:cs="Times New Roman"/>
          <w:szCs w:val="22"/>
        </w:rPr>
        <w:t>The Trustee may in its discretion waive any Event of Default under the Subordinate LT Indenture and its consequences, and is to do so upon the written request of the Consent Parties with respect to a majority in aggregate principal amount of all the 2026B Subordinate LT Bonds then Outstanding; provided however, that there is not to be waived without the consent of the Consent Parties with respect to 100% of the 2026B Subordinate LT Bonds then Outstanding as to which the Event of Default exists any Event of Default described under paragraph (a) in “—</w:t>
      </w:r>
      <w:r w:rsidRPr="008C4E4D">
        <w:rPr>
          <w:rFonts w:cs="Times New Roman"/>
          <w:i/>
          <w:szCs w:val="22"/>
        </w:rPr>
        <w:t>Events of Default</w:t>
      </w:r>
      <w:r w:rsidRPr="008C4E4D">
        <w:rPr>
          <w:rFonts w:cs="Times New Roman"/>
          <w:szCs w:val="22"/>
        </w:rPr>
        <w:t>” above. In case of any such waiver, or in case any proceedings taken by the Trustee on account of any such default are to have been discontinued or abandoned or determined adversely to the Trustee, then in every such case the District, the Trustee, and the Owners are to be restored to their former positions and rights thereunder respectively, but no such waiver or rescission is to extend to any subsequent or other default, or impair any right consequent thereon.</w:t>
      </w:r>
    </w:p>
    <w:p w14:paraId="2222CFDF" w14:textId="10D2D147" w:rsidR="00425668" w:rsidRPr="008C4E4D" w:rsidRDefault="00425668" w:rsidP="008C4E4D">
      <w:pPr>
        <w:pStyle w:val="00BodyText5"/>
        <w:rPr>
          <w:rFonts w:cs="Times New Roman"/>
          <w:szCs w:val="22"/>
        </w:rPr>
      </w:pPr>
      <w:r w:rsidRPr="008C4E4D">
        <w:rPr>
          <w:rFonts w:cs="Times New Roman"/>
          <w:szCs w:val="22"/>
        </w:rPr>
        <w:t xml:space="preserve">It is acknowledged in the Subordinate LT Indenture that a portion of the Subordinate LT Pledged Revenue securing payment of the 2026B Subordinate LT Bonds is subject to the prior lien thereon in favor of the 2026A-1 Senior LT Bonds and any additional Senior LT Obligations issued after the issuance of the 2026B Subordinate LT Bonds. Except as to any of the duties the Trustee is required to perform prior to a default, as set forth in the Subordinate LT Indenture, the Trustee or any Owner of the 2026B Subordinate LT Bonds may not knowingly take any action thereunder which would unduly prejudice the rights of owners of the Senior LT Obligations with respect to such Subordinate LT Pledged Revenue. Furthermore, it is acknowledged that, notwithstanding the occurrence of an Event of Default, no portion of the Subordinate LT Pledged Revenue that is pledged on a senior basis to the Senior LT Obligations is to be applied to the payment of any amounts relating to the 2026B Subordinate LT Bonds until the full satisfaction of all amounts then due with respect to any Senior LT Obligations (acknowledging that the Senior LT Obligations is not to be subject to acceleration upon the occurrence of an event of default under the applicable resolution, indenture, or other document pursuant to which any such Senior </w:t>
      </w:r>
      <w:r w:rsidR="00A03016">
        <w:rPr>
          <w:rFonts w:cs="Times New Roman"/>
          <w:szCs w:val="22"/>
        </w:rPr>
        <w:t xml:space="preserve">LT </w:t>
      </w:r>
      <w:r w:rsidRPr="008C4E4D">
        <w:rPr>
          <w:rFonts w:cs="Times New Roman"/>
          <w:szCs w:val="22"/>
        </w:rPr>
        <w:t>Obligation is issued).</w:t>
      </w:r>
    </w:p>
    <w:p w14:paraId="7F233FA9" w14:textId="77777777" w:rsidR="00425668" w:rsidRPr="008C4E4D" w:rsidRDefault="00425668" w:rsidP="008C4E4D">
      <w:pPr>
        <w:pStyle w:val="00BodyText5"/>
        <w:rPr>
          <w:rFonts w:cs="Times New Roman"/>
          <w:szCs w:val="22"/>
        </w:rPr>
      </w:pPr>
      <w:r w:rsidRPr="008C4E4D">
        <w:rPr>
          <w:rFonts w:cs="Times New Roman"/>
          <w:b/>
          <w:i/>
          <w:szCs w:val="22"/>
        </w:rPr>
        <w:t>Subordinate LT Indenture Supplements</w:t>
      </w:r>
      <w:r w:rsidRPr="008C4E4D">
        <w:rPr>
          <w:rFonts w:cs="Times New Roman"/>
          <w:szCs w:val="22"/>
        </w:rPr>
        <w:t>. Subject to the provisions of the Subordinate LT Indenture, the District and the Trustee may, without the consent of or notice to the Consent Parties, enter into such indentures supplemental thereto, which supplemental indentures are to thereafter form a part thereof, for any one or more of the following purposes: (a) to cure any ambiguity, to cure, correct, or supplement any formal defect or omission or inconsistent provision contained in the Subordinate LT Indenture, to make any provision necessary or desirable due to a change in law, to make any provisions with respect to matters arising under the Subordinate LT Indenture, or to make any provisions for any other purpose if such provisions are necessary or desirable and do not materially adversely affect the interests of the Owners of the 2026B Subordinate LT Bonds; (b) to subject to the Subordinate LT Indenture additional revenues, properties, or collateral; (c) to grant or confer upon the Trustee for the benefit of the Owners any additional rights, remedies, powers, or authority that may lawfully be granted to or conferred upon the Owners or the Trustee; and (d) to qualify the Subordinate LT Indenture under the Trust Indenture Act of 1939.</w:t>
      </w:r>
    </w:p>
    <w:p w14:paraId="3531EC07" w14:textId="77777777" w:rsidR="00425668" w:rsidRPr="008C4E4D" w:rsidRDefault="00425668" w:rsidP="008C4E4D">
      <w:pPr>
        <w:pStyle w:val="00BodyText5"/>
        <w:rPr>
          <w:rFonts w:cs="Times New Roman"/>
          <w:szCs w:val="22"/>
        </w:rPr>
      </w:pPr>
      <w:r w:rsidRPr="008C4E4D">
        <w:rPr>
          <w:rFonts w:cs="Times New Roman"/>
          <w:szCs w:val="22"/>
        </w:rPr>
        <w:t>Except for supplemental indentures delivered as described above, and subject to the provisions of the Subordinate LT Indenture, the Consent Parties with respect to not less than a majority (or for modifications of provisions thereof which require the consent of a percentage of Owners or Consent Parties higher than a majority, such higher percentage) in aggregate principal amount of the 2026B Subordinate LT Bonds then Outstanding are to have the right, from time to time, to consent to and approve the execution by the District and the Trustee of such indenture or indentures supplemental thereto as are to be deemed necessary or desirable by the District for the purpose of modifying, altering, amending, adding to, or rescinding, in any particular, any of the terms or provisions contained in the Subordinate LT Indenture; provided however, that without the consent of the Consent Parties with respect to all the Outstanding 2026B Subordinate LT Bonds affected thereby, nothing therein contained is to permit, or be construed as permitting: (a) a change in the terms of the maturity of any Outstanding 2026B Subordinate LT Bond, in the principal amount of any Outstanding 2026B Subordinate LT Bond, in the optional or mandatory redemption provisions applicable thereto, or the rate of interest thereon; (b) an impairment of the right of the Owners to institute suit for the enforcement of any payment of the principal of or interest on the 2026B Subordinate LT Bonds when due; (c) a privilege or priority of any 2026B Subordinate LT Bond or any interest payment over any other 2026B Subordinate LT Bond or interest payment; or (d) a reduction in the percentage in principal amount of the Outstanding 2026B Subordinate LT Bonds, the consent of whose Owners or Consent Parties is required for any such supplemental indenture.</w:t>
      </w:r>
    </w:p>
    <w:p w14:paraId="627D023D" w14:textId="77777777" w:rsidR="00425668" w:rsidRPr="008C4E4D" w:rsidRDefault="00425668" w:rsidP="008C4E4D">
      <w:pPr>
        <w:pStyle w:val="00BodyText5"/>
        <w:rPr>
          <w:rFonts w:cs="Times New Roman"/>
          <w:szCs w:val="22"/>
        </w:rPr>
      </w:pPr>
      <w:r w:rsidRPr="008C4E4D">
        <w:rPr>
          <w:rFonts w:cs="Times New Roman"/>
          <w:b/>
          <w:i/>
          <w:szCs w:val="22"/>
        </w:rPr>
        <w:t>Discharge of the Lien of the Subordinate LT Indenture</w:t>
      </w:r>
      <w:r w:rsidRPr="008C4E4D">
        <w:rPr>
          <w:rFonts w:cs="Times New Roman"/>
          <w:szCs w:val="22"/>
        </w:rPr>
        <w:t>. If the District is to pay or cause to be paid to the Trustee, for the Owners of the 2026B Subordinate LT Bonds, the principal of and interest to become due thereon at the times and in the manner stipulated in the Subordinate LT Indenture, and if the District is to keep, perform, and observe all and singular the covenants and promises in the 2026B Subordinate LT Bonds and in the Subordinate LT Indenture expressed to be kept, performed, and observed by it or on its part, and if all fees and expenses of the Trustee required by the Subordinate LT Indenture to be paid are to have been paid, then these presents and the estate and rights thereby granted are to cease, terminate, and be void, and thereupon the Trustee is to cancel and discharge the lien of the Subordinate LT Indenture, and execute and deliver to the District such instruments in writing as are required to satisfy the lien thereof, and assign and deliver to the District any property at the time subject to the lien of the Subordinate LT Indenture which may then be in its possession, and deliver any amounts required to be paid to the District under the Subordinate LT Indenture, except for moneys and Federal Securities held by the Trustee for the payment of the principal of, premium if any, and interest on the 2026B Subordinate LT Bonds.</w:t>
      </w:r>
    </w:p>
    <w:p w14:paraId="12AE6ED5" w14:textId="57921632" w:rsidR="00425668" w:rsidRPr="008C4E4D" w:rsidRDefault="00425668" w:rsidP="008C4E4D">
      <w:pPr>
        <w:pStyle w:val="00BodyText5"/>
        <w:rPr>
          <w:rFonts w:cs="Times New Roman"/>
          <w:szCs w:val="22"/>
        </w:rPr>
      </w:pPr>
      <w:r w:rsidRPr="008C4E4D">
        <w:rPr>
          <w:rFonts w:cs="Times New Roman"/>
          <w:szCs w:val="22"/>
        </w:rPr>
        <w:t xml:space="preserve">Any 2026B Subordinate LT Bond is to, prior to the maturity or prior redemption thereof, be deemed to have been paid within the meaning and with the effect expressed in the Subordinate LT Indenture if, for the purpose of paying such 2026B Subordinate LT Bond (a) there is to have been deposited with the Trustee an amount sufficient, without investment, to pay the principal of, premium if any, and interest on such 2026B Subordinate LT Bond as the same becomes due at maturity or upon one or more designated prior redemption dates, or (b) there is to have been placed in escrow and in trust with a commercial bank exercising trust powers, an amount sufficient (including the known minimum yield from Federal Securities in which such amount may be invested) to pay the principal of, premium if any, and interest on such 2026B Subordinate LT Bond, as the same becomes due at maturity or upon one or more designated prior redemption dates. The Federal Securities in any such escrow are not to be subject to redemption or prepayment at the option of the issuer, and are to become due at or prior to the respective times on which the proceeds thereof are needed, in accordance with a schedule established and agreed upon between the District and such bank at the time of the creation of the escrow, or the Federal Securities are to be subject to redemption at the option of the holders thereof to assure such availability as so needed to meet such schedule. The sufficiency of any such escrow funded with Federal Securities is to be verified by a certified public accountant. With respect to any accrued and unpaid interest on the 2026B Subordinate LT Bonds, including any compound interest remaining unpaid, it is acknowledged that such amounts are due and payable immediately at the time of funding any escrow intended to accomplish a defeasance of the 2026B Subordinate LT Bonds. Upon the funding of an escrow defeasing </w:t>
      </w:r>
      <w:r w:rsidR="004824B5">
        <w:rPr>
          <w:rFonts w:cs="Times New Roman"/>
          <w:szCs w:val="22"/>
        </w:rPr>
        <w:t xml:space="preserve">the </w:t>
      </w:r>
      <w:r w:rsidRPr="008C4E4D">
        <w:rPr>
          <w:rFonts w:cs="Times New Roman"/>
          <w:szCs w:val="22"/>
        </w:rPr>
        <w:t>2026B Subordinate LT Bonds in accordance with the provisions of the Subordinate LT Indenture, the 2026B Subordinate LT Bonds are to cease to be subject to mandatory redemption in accordance with the Subordinate LT Indenture, and the principal of the 2026B Subordinate LT Bonds is to be due and payable only on the designated redemption date(s).</w:t>
      </w:r>
    </w:p>
    <w:p w14:paraId="3CDFBD03" w14:textId="77777777" w:rsidR="00425668" w:rsidRPr="008C4E4D" w:rsidRDefault="00425668" w:rsidP="008C4E4D">
      <w:pPr>
        <w:pStyle w:val="00BodyText5"/>
        <w:rPr>
          <w:rFonts w:cs="Times New Roman"/>
          <w:szCs w:val="22"/>
        </w:rPr>
      </w:pPr>
      <w:r w:rsidRPr="008C4E4D">
        <w:rPr>
          <w:rFonts w:cs="Times New Roman"/>
          <w:szCs w:val="22"/>
        </w:rPr>
        <w:t>Neither the Federal Securities, nor moneys deposited with the Trustee or placed in escrow and in trust pursuant to the Subordinate LT Indenture, nor principal or interest payments on any such Federal Securities are to be withdrawn or used for any purpose other than, and are to be held in trust for, the payment of the principal of and interest on the 2026B Subordinate LT Bonds; provided however, that any cash received from such principal or interest payments on such Federal Securities, if not then needed for such purpose, are to, to the extent practicable, be reinvested subject to the provisions of the Subordinate LT Indenture in Federal Securities maturing at the times and in amounts sufficient to pay, when due, the principal of and interest on the 2026B Subordinate LT Bonds.</w:t>
      </w:r>
    </w:p>
    <w:p w14:paraId="33DAFFD9" w14:textId="77777777" w:rsidR="00425668" w:rsidRPr="008C4E4D" w:rsidRDefault="00425668" w:rsidP="008C4E4D">
      <w:pPr>
        <w:pStyle w:val="00BodyText5"/>
        <w:rPr>
          <w:rFonts w:cs="Times New Roman"/>
          <w:szCs w:val="22"/>
        </w:rPr>
      </w:pPr>
      <w:r w:rsidRPr="008C4E4D">
        <w:rPr>
          <w:rFonts w:cs="Times New Roman"/>
          <w:szCs w:val="22"/>
        </w:rPr>
        <w:t>Prior to the investment or reinvestment of such moneys or such Federal Securities as therein provided, the Trustee is to receive and may rely upon: (a) an opinion of Bond Counsel experienced in matters arising under Section 103 of the Code and acceptable to the Trustee, that the investment or reinvestment of such moneys or such Federal Securities complies with the Subordinate LT Indenture; and (b) a report of a certified public accountant that the moneys or Federal Securities will be sufficient to provide for the payment of the principal of and interest on the 2026B Subordinate LT Bonds when due.</w:t>
      </w:r>
    </w:p>
    <w:p w14:paraId="1F2DCA4D" w14:textId="77777777" w:rsidR="00425668" w:rsidRPr="008C4E4D" w:rsidRDefault="00425668" w:rsidP="008C4E4D">
      <w:pPr>
        <w:pStyle w:val="00BodyText5"/>
        <w:rPr>
          <w:rFonts w:cs="Times New Roman"/>
          <w:szCs w:val="22"/>
        </w:rPr>
      </w:pPr>
      <w:r w:rsidRPr="008C4E4D">
        <w:rPr>
          <w:rFonts w:cs="Times New Roman"/>
          <w:szCs w:val="22"/>
        </w:rPr>
        <w:t>The release of the obligations of the District under the Subordinate LT Indenture is to be without prejudice to the rights of the Trustee to be paid reasonable compensation by the District for all services rendered by it thereunder and all its reasonable expenses, charges, and other disbursements incurred in the administration of the trust thereby created, the exercise of its powers, and the performance of its duties thereunder.</w:t>
      </w:r>
    </w:p>
    <w:p w14:paraId="1B9D8141" w14:textId="77777777" w:rsidR="00425668" w:rsidRPr="008C4E4D" w:rsidRDefault="00425668" w:rsidP="008C4E4D">
      <w:pPr>
        <w:pStyle w:val="00BodyText5"/>
        <w:rPr>
          <w:rFonts w:cs="Times New Roman"/>
          <w:szCs w:val="22"/>
        </w:rPr>
      </w:pPr>
      <w:r w:rsidRPr="008C4E4D">
        <w:rPr>
          <w:rFonts w:cs="Times New Roman"/>
          <w:i/>
          <w:szCs w:val="22"/>
        </w:rPr>
        <w:t>Continuing Role as Bond Registrar and Paying Agent</w:t>
      </w:r>
      <w:r w:rsidRPr="008C4E4D">
        <w:rPr>
          <w:rFonts w:cs="Times New Roman"/>
          <w:szCs w:val="22"/>
        </w:rPr>
        <w:t>. Notwithstanding the defeasance of the 2026B Subordinate LT Bonds prior to maturity and the discharge of the Subordinate LT Indenture as provided therein, the Trustee is to continue to fulfill its obligations as bond registrar and paying agent thereunder until the 2026B Subordinate LT Bonds are fully paid, satisfied, and discharged.</w:t>
      </w:r>
    </w:p>
    <w:p w14:paraId="4E6156E2" w14:textId="369DED7F" w:rsidR="005242D4" w:rsidRPr="008C4E4D" w:rsidRDefault="00425668" w:rsidP="008C4E4D">
      <w:pPr>
        <w:pStyle w:val="00BodyText5"/>
        <w:rPr>
          <w:rFonts w:cs="Times New Roman"/>
          <w:szCs w:val="22"/>
        </w:rPr>
      </w:pPr>
      <w:r w:rsidRPr="008C4E4D">
        <w:rPr>
          <w:rFonts w:cs="Times New Roman"/>
          <w:i/>
          <w:szCs w:val="22"/>
        </w:rPr>
        <w:t>Discharge on March 1</w:t>
      </w:r>
      <w:r w:rsidR="0031301D" w:rsidRPr="008C4E4D">
        <w:rPr>
          <w:rFonts w:cs="Times New Roman"/>
          <w:i/>
          <w:szCs w:val="22"/>
        </w:rPr>
        <w:t>5</w:t>
      </w:r>
      <w:r w:rsidRPr="008C4E4D">
        <w:rPr>
          <w:rFonts w:cs="Times New Roman"/>
          <w:i/>
          <w:szCs w:val="22"/>
        </w:rPr>
        <w:t>, 2067</w:t>
      </w:r>
      <w:r w:rsidRPr="008C4E4D">
        <w:rPr>
          <w:rFonts w:cs="Times New Roman"/>
          <w:szCs w:val="22"/>
        </w:rPr>
        <w:t>. Notwithstanding any other provision in the Subordinate LT Indenture, in accordance with the Governing Document (because the District is not permitted to impose an ad valorem property tax levy after a period exceeding forty (40) years from the first date of imposition of the property tax levy for the 2026B Subordinate LT Bonds) in the event that any amount of principal of or interest on the 2026B Subordinate LT Bonds remains unpaid after the application of all Subordinate LT Pledged Revenue available therefor on March 1</w:t>
      </w:r>
      <w:r w:rsidR="0031301D" w:rsidRPr="008C4E4D">
        <w:rPr>
          <w:rFonts w:cs="Times New Roman"/>
          <w:szCs w:val="22"/>
        </w:rPr>
        <w:t>5</w:t>
      </w:r>
      <w:r w:rsidRPr="008C4E4D">
        <w:rPr>
          <w:rFonts w:cs="Times New Roman"/>
          <w:szCs w:val="22"/>
        </w:rPr>
        <w:t>, 2067, the 2026B Subordinate LT Bonds and the lien of the Subordinate LT Indenture securing payment thereof are to be deemed discharged, the estate and rights thereby granted are to cease, terminate, and be void, and thereupon the Trustee is to cancel and discharge the lien of the Subordinate LT Indenture, and execute and deliver to the District such instruments in writing as are to be required to evidence the same. Upon such discharge, the Owners will have no recourse to the District or any property of the District for the payment of any amount of principal of or interest on the 2026B Subordinate LT Bonds remaining unpaid.</w:t>
      </w:r>
    </w:p>
    <w:p w14:paraId="1548103D" w14:textId="11685E12" w:rsidR="00CB0E8E" w:rsidRPr="00DA2177" w:rsidRDefault="00CB0E8E" w:rsidP="00CB0E8E">
      <w:pPr>
        <w:pStyle w:val="Heading1"/>
        <w:rPr>
          <w:rFonts w:cs="Times New Roman"/>
          <w:sz w:val="22"/>
          <w:szCs w:val="22"/>
        </w:rPr>
      </w:pPr>
      <w:bookmarkStart w:id="144" w:name="_Toc235521086"/>
      <w:r>
        <w:rPr>
          <w:rFonts w:cs="Times New Roman"/>
          <w:sz w:val="22"/>
          <w:szCs w:val="22"/>
        </w:rPr>
        <w:t>USE OF PROCEEDS AND DEBT SERVICE REQUIREMENTS</w:t>
      </w:r>
      <w:bookmarkEnd w:id="144"/>
    </w:p>
    <w:p w14:paraId="2539D80E" w14:textId="4247AD53" w:rsidR="0075493D" w:rsidRPr="00DA2177" w:rsidRDefault="003904FF" w:rsidP="00AF1F50">
      <w:pPr>
        <w:pStyle w:val="Heading2"/>
        <w:rPr>
          <w:rFonts w:eastAsia="Times New Roman"/>
          <w:sz w:val="22"/>
          <w:szCs w:val="22"/>
        </w:rPr>
      </w:pPr>
      <w:bookmarkStart w:id="145" w:name="_Toc235521087"/>
      <w:r>
        <w:rPr>
          <w:rFonts w:eastAsia="Times New Roman"/>
          <w:sz w:val="22"/>
          <w:szCs w:val="22"/>
        </w:rPr>
        <w:t xml:space="preserve">Application of </w:t>
      </w:r>
      <w:r>
        <w:rPr>
          <w:sz w:val="22"/>
          <w:szCs w:val="22"/>
        </w:rPr>
        <w:t>Bond</w:t>
      </w:r>
      <w:r>
        <w:rPr>
          <w:rFonts w:eastAsia="Times New Roman"/>
          <w:sz w:val="22"/>
          <w:szCs w:val="22"/>
        </w:rPr>
        <w:t xml:space="preserve"> Proceeds</w:t>
      </w:r>
      <w:bookmarkEnd w:id="145"/>
    </w:p>
    <w:p w14:paraId="307B3B79" w14:textId="3F829087" w:rsidR="003A0044" w:rsidRDefault="00652602" w:rsidP="00652602">
      <w:pPr>
        <w:pStyle w:val="00BodyText5"/>
        <w:rPr>
          <w:rFonts w:cs="Times New Roman"/>
          <w:szCs w:val="22"/>
        </w:rPr>
      </w:pPr>
      <w:r>
        <w:rPr>
          <w:rFonts w:cs="Times New Roman"/>
          <w:b/>
          <w:i/>
          <w:szCs w:val="22"/>
        </w:rPr>
        <w:t>General</w:t>
      </w:r>
      <w:r>
        <w:rPr>
          <w:rFonts w:cs="Times New Roman"/>
          <w:szCs w:val="22"/>
        </w:rPr>
        <w:t xml:space="preserve">. The Bonds are being issued for the purpose of paying the Project Costs. A portion of the proceeds of the </w:t>
      </w:r>
      <w:r w:rsidR="00787226">
        <w:rPr>
          <w:rFonts w:cs="Times New Roman"/>
          <w:szCs w:val="22"/>
        </w:rPr>
        <w:t>2026A-1 Senior LT Bond</w:t>
      </w:r>
      <w:r>
        <w:rPr>
          <w:rFonts w:cs="Times New Roman"/>
          <w:szCs w:val="22"/>
        </w:rPr>
        <w:t xml:space="preserve">s will also be issued for the purposes of: (a) funding capitalized interest on the </w:t>
      </w:r>
      <w:r w:rsidR="00787226">
        <w:rPr>
          <w:rFonts w:cs="Times New Roman"/>
          <w:szCs w:val="22"/>
        </w:rPr>
        <w:t>2026A-1 Senior LT Bond</w:t>
      </w:r>
      <w:r>
        <w:rPr>
          <w:rFonts w:cs="Times New Roman"/>
          <w:szCs w:val="22"/>
        </w:rPr>
        <w:t>s, (b) funding the Initial Deposit to the LT Surplus Fund</w:t>
      </w:r>
      <w:r w:rsidR="003E4526">
        <w:rPr>
          <w:rFonts w:cs="Times New Roman"/>
          <w:szCs w:val="22"/>
        </w:rPr>
        <w:t xml:space="preserve">, (c) funding the </w:t>
      </w:r>
      <w:r w:rsidR="00B96B68">
        <w:rPr>
          <w:rFonts w:cs="Times New Roman"/>
          <w:szCs w:val="22"/>
        </w:rPr>
        <w:t xml:space="preserve">LT </w:t>
      </w:r>
      <w:r w:rsidR="003E4526">
        <w:rPr>
          <w:rFonts w:cs="Times New Roman"/>
          <w:szCs w:val="22"/>
        </w:rPr>
        <w:t>Working Capital Fund,</w:t>
      </w:r>
      <w:r>
        <w:rPr>
          <w:rFonts w:cs="Times New Roman"/>
          <w:szCs w:val="22"/>
        </w:rPr>
        <w:t xml:space="preserve"> and (</w:t>
      </w:r>
      <w:r w:rsidR="003E4526">
        <w:rPr>
          <w:rFonts w:cs="Times New Roman"/>
          <w:szCs w:val="22"/>
        </w:rPr>
        <w:t>d</w:t>
      </w:r>
      <w:r>
        <w:rPr>
          <w:rFonts w:cs="Times New Roman"/>
          <w:szCs w:val="22"/>
        </w:rPr>
        <w:t xml:space="preserve">) paying other costs in connection with the issuance of the </w:t>
      </w:r>
      <w:r w:rsidR="00787226">
        <w:rPr>
          <w:rFonts w:cs="Times New Roman"/>
          <w:szCs w:val="22"/>
        </w:rPr>
        <w:t>LT Bond</w:t>
      </w:r>
      <w:r>
        <w:rPr>
          <w:rFonts w:cs="Times New Roman"/>
          <w:szCs w:val="22"/>
        </w:rPr>
        <w:t xml:space="preserve">s. </w:t>
      </w:r>
      <w:r w:rsidR="00460549">
        <w:rPr>
          <w:rFonts w:cs="Times New Roman"/>
          <w:szCs w:val="22"/>
        </w:rPr>
        <w:t>[</w:t>
      </w:r>
      <w:r w:rsidRPr="00460549">
        <w:rPr>
          <w:rFonts w:cs="Times New Roman"/>
          <w:szCs w:val="22"/>
        </w:rPr>
        <w:t>A portion of the proceeds of the 2026A-2 SR Bonds will also be used to fund the costs in connection with the issuance of the 2026A-2 SR Bonds.</w:t>
      </w:r>
      <w:r w:rsidR="00460549">
        <w:rPr>
          <w:rFonts w:cs="Times New Roman"/>
          <w:szCs w:val="22"/>
        </w:rPr>
        <w:t>]</w:t>
      </w:r>
      <w:r w:rsidR="00425668">
        <w:rPr>
          <w:rFonts w:cs="Times New Roman"/>
          <w:szCs w:val="22"/>
        </w:rPr>
        <w:t xml:space="preserve"> </w:t>
      </w:r>
    </w:p>
    <w:p w14:paraId="6DD0D3BD" w14:textId="77777777" w:rsidR="00815121" w:rsidRPr="00DA2177" w:rsidRDefault="00815121" w:rsidP="00815121">
      <w:pPr>
        <w:jc w:val="center"/>
        <w:rPr>
          <w:rFonts w:cs="Times New Roman"/>
          <w:sz w:val="22"/>
          <w:szCs w:val="22"/>
        </w:rPr>
      </w:pPr>
      <w:r>
        <w:rPr>
          <w:rFonts w:cs="Times New Roman"/>
          <w:sz w:val="22"/>
          <w:szCs w:val="22"/>
        </w:rPr>
        <w:t>(The remainder of this page intentionally left blank.)</w:t>
      </w:r>
    </w:p>
    <w:p w14:paraId="0AA55498" w14:textId="77777777" w:rsidR="00815121" w:rsidRDefault="00815121" w:rsidP="00652602">
      <w:pPr>
        <w:pStyle w:val="00BodyText5"/>
        <w:rPr>
          <w:rFonts w:cs="Times New Roman"/>
          <w:szCs w:val="22"/>
        </w:rPr>
      </w:pPr>
    </w:p>
    <w:p w14:paraId="393713C7" w14:textId="46472EDD" w:rsidR="0045079E" w:rsidRPr="00DA2177" w:rsidRDefault="00652602" w:rsidP="003A0044">
      <w:pPr>
        <w:pStyle w:val="00BodyText5"/>
        <w:keepNext/>
        <w:keepLines/>
        <w:rPr>
          <w:rFonts w:cs="Times New Roman"/>
          <w:szCs w:val="22"/>
        </w:rPr>
      </w:pPr>
      <w:r>
        <w:rPr>
          <w:rFonts w:cs="Times New Roman"/>
          <w:b/>
          <w:i/>
          <w:szCs w:val="22"/>
        </w:rPr>
        <w:t xml:space="preserve">Estimated Sources and Uses of Funds. </w:t>
      </w:r>
      <w:r>
        <w:rPr>
          <w:rFonts w:cs="Times New Roman"/>
          <w:szCs w:val="22"/>
        </w:rPr>
        <w:t>The estimated uses of the proceeds of the Bonds are as follows (figures set forth below are rounded elsewhere in this Official Statement)</w:t>
      </w:r>
      <w:r>
        <w:rPr>
          <w:rFonts w:cs="Times New Roman"/>
          <w:szCs w:val="22"/>
          <w:vertAlign w:val="superscript"/>
        </w:rPr>
        <w:t>*</w:t>
      </w:r>
      <w:r>
        <w:rPr>
          <w:rFonts w:cs="Times New Roman"/>
          <w:szCs w:val="22"/>
        </w:rPr>
        <w:t>:</w:t>
      </w:r>
    </w:p>
    <w:tbl>
      <w:tblPr>
        <w:tblW w:w="5000" w:type="pct"/>
        <w:jc w:val="center"/>
        <w:tblLayout w:type="fixed"/>
        <w:tblCellMar>
          <w:left w:w="40" w:type="dxa"/>
          <w:right w:w="40" w:type="dxa"/>
        </w:tblCellMar>
        <w:tblLook w:val="0000" w:firstRow="0" w:lastRow="0" w:firstColumn="0" w:lastColumn="0" w:noHBand="0" w:noVBand="0"/>
      </w:tblPr>
      <w:tblGrid>
        <w:gridCol w:w="7675"/>
        <w:gridCol w:w="1685"/>
      </w:tblGrid>
      <w:tr w:rsidR="0045079E" w:rsidRPr="00DA2177" w14:paraId="050C99FA" w14:textId="77777777" w:rsidTr="00C97A71">
        <w:trPr>
          <w:jc w:val="center"/>
        </w:trPr>
        <w:tc>
          <w:tcPr>
            <w:tcW w:w="7675" w:type="dxa"/>
          </w:tcPr>
          <w:p w14:paraId="10FE8CB1" w14:textId="77777777" w:rsidR="0045079E" w:rsidRPr="00DA2177" w:rsidRDefault="0045079E" w:rsidP="002C752D">
            <w:pPr>
              <w:keepNext/>
              <w:rPr>
                <w:rFonts w:cs="Times New Roman"/>
                <w:sz w:val="22"/>
                <w:szCs w:val="22"/>
              </w:rPr>
            </w:pPr>
            <w:r>
              <w:rPr>
                <w:rFonts w:cs="Times New Roman"/>
                <w:sz w:val="22"/>
                <w:szCs w:val="22"/>
              </w:rPr>
              <w:t>SOURCES:</w:t>
            </w:r>
          </w:p>
        </w:tc>
        <w:tc>
          <w:tcPr>
            <w:tcW w:w="1685" w:type="dxa"/>
          </w:tcPr>
          <w:p w14:paraId="10681C26" w14:textId="77777777" w:rsidR="0045079E" w:rsidRPr="00DA2177" w:rsidRDefault="0045079E" w:rsidP="002C752D">
            <w:pPr>
              <w:keepNext/>
              <w:rPr>
                <w:rFonts w:cs="Times New Roman"/>
                <w:sz w:val="22"/>
                <w:szCs w:val="22"/>
              </w:rPr>
            </w:pPr>
          </w:p>
        </w:tc>
      </w:tr>
      <w:tr w:rsidR="0045079E" w:rsidRPr="00DA2177" w14:paraId="5DD8A987" w14:textId="77777777" w:rsidTr="00C97A71">
        <w:trPr>
          <w:jc w:val="center"/>
        </w:trPr>
        <w:tc>
          <w:tcPr>
            <w:tcW w:w="7675" w:type="dxa"/>
          </w:tcPr>
          <w:p w14:paraId="4F7BB9D3" w14:textId="5F59BC54" w:rsidR="0045079E" w:rsidRPr="00DA2177" w:rsidRDefault="00787226" w:rsidP="002C752D">
            <w:pPr>
              <w:keepNext/>
              <w:tabs>
                <w:tab w:val="right" w:leader="dot" w:pos="7370"/>
              </w:tabs>
              <w:ind w:left="194"/>
              <w:rPr>
                <w:rFonts w:cs="Times New Roman"/>
                <w:sz w:val="22"/>
                <w:szCs w:val="22"/>
              </w:rPr>
            </w:pPr>
            <w:r>
              <w:rPr>
                <w:rFonts w:cs="Times New Roman"/>
                <w:sz w:val="22"/>
                <w:szCs w:val="22"/>
              </w:rPr>
              <w:t>2026A-1 Senior LT Bond</w:t>
            </w:r>
            <w:r w:rsidR="00C13B74">
              <w:rPr>
                <w:rFonts w:cs="Times New Roman"/>
                <w:sz w:val="22"/>
                <w:szCs w:val="22"/>
              </w:rPr>
              <w:t>s Par Amount</w:t>
            </w:r>
            <w:r w:rsidR="00C13B74">
              <w:rPr>
                <w:rFonts w:cs="Times New Roman"/>
                <w:sz w:val="22"/>
                <w:szCs w:val="22"/>
              </w:rPr>
              <w:tab/>
            </w:r>
          </w:p>
        </w:tc>
        <w:tc>
          <w:tcPr>
            <w:tcW w:w="1685" w:type="dxa"/>
          </w:tcPr>
          <w:p w14:paraId="5894C1B9" w14:textId="104B039F" w:rsidR="0045079E" w:rsidRPr="00DA2177" w:rsidRDefault="0045079E" w:rsidP="002C752D">
            <w:pPr>
              <w:keepNext/>
              <w:jc w:val="right"/>
              <w:rPr>
                <w:rFonts w:cs="Times New Roman"/>
                <w:sz w:val="22"/>
                <w:szCs w:val="22"/>
              </w:rPr>
            </w:pPr>
          </w:p>
        </w:tc>
      </w:tr>
      <w:tr w:rsidR="009F1FD0" w:rsidRPr="00DA2177" w14:paraId="770B3EE3" w14:textId="77777777" w:rsidTr="00C97A71">
        <w:trPr>
          <w:jc w:val="center"/>
        </w:trPr>
        <w:tc>
          <w:tcPr>
            <w:tcW w:w="7675" w:type="dxa"/>
          </w:tcPr>
          <w:p w14:paraId="1FDB3616" w14:textId="7885F68E" w:rsidR="009F1FD0" w:rsidRPr="00DA2177" w:rsidRDefault="00C13B74" w:rsidP="002C752D">
            <w:pPr>
              <w:keepNext/>
              <w:tabs>
                <w:tab w:val="right" w:leader="dot" w:pos="7370"/>
              </w:tabs>
              <w:ind w:left="194"/>
              <w:rPr>
                <w:rFonts w:cs="Times New Roman"/>
                <w:sz w:val="22"/>
                <w:szCs w:val="22"/>
              </w:rPr>
            </w:pPr>
            <w:r>
              <w:rPr>
                <w:rFonts w:cs="Times New Roman"/>
                <w:sz w:val="22"/>
                <w:szCs w:val="22"/>
              </w:rPr>
              <w:t>2026A-2 SR Bonds Par Amount</w:t>
            </w:r>
            <w:r>
              <w:rPr>
                <w:rFonts w:cs="Times New Roman"/>
                <w:sz w:val="22"/>
                <w:szCs w:val="22"/>
              </w:rPr>
              <w:tab/>
            </w:r>
          </w:p>
        </w:tc>
        <w:tc>
          <w:tcPr>
            <w:tcW w:w="1685" w:type="dxa"/>
          </w:tcPr>
          <w:p w14:paraId="37B6B359" w14:textId="77777777" w:rsidR="009F1FD0" w:rsidRPr="00DA2177" w:rsidRDefault="009F1FD0" w:rsidP="002C752D">
            <w:pPr>
              <w:keepNext/>
              <w:jc w:val="right"/>
              <w:rPr>
                <w:rFonts w:cs="Times New Roman"/>
                <w:sz w:val="22"/>
                <w:szCs w:val="22"/>
              </w:rPr>
            </w:pPr>
          </w:p>
        </w:tc>
      </w:tr>
      <w:tr w:rsidR="0010765E" w:rsidRPr="00DA2177" w14:paraId="0B0DC727" w14:textId="77777777" w:rsidTr="00C97A71">
        <w:trPr>
          <w:jc w:val="center"/>
        </w:trPr>
        <w:tc>
          <w:tcPr>
            <w:tcW w:w="7675" w:type="dxa"/>
          </w:tcPr>
          <w:p w14:paraId="042759DF" w14:textId="4347977E" w:rsidR="0010765E" w:rsidRDefault="0010765E" w:rsidP="002C752D">
            <w:pPr>
              <w:keepNext/>
              <w:tabs>
                <w:tab w:val="right" w:leader="dot" w:pos="7370"/>
              </w:tabs>
              <w:ind w:left="194"/>
              <w:rPr>
                <w:rFonts w:cs="Times New Roman"/>
                <w:sz w:val="22"/>
                <w:szCs w:val="22"/>
              </w:rPr>
            </w:pPr>
            <w:r>
              <w:rPr>
                <w:rFonts w:cs="Times New Roman"/>
                <w:sz w:val="22"/>
                <w:szCs w:val="22"/>
              </w:rPr>
              <w:t>2026B Subordinate LT Bonds Par Amount</w:t>
            </w:r>
            <w:r>
              <w:rPr>
                <w:rFonts w:cs="Times New Roman"/>
                <w:sz w:val="22"/>
                <w:szCs w:val="22"/>
              </w:rPr>
              <w:tab/>
            </w:r>
          </w:p>
        </w:tc>
        <w:tc>
          <w:tcPr>
            <w:tcW w:w="1685" w:type="dxa"/>
          </w:tcPr>
          <w:p w14:paraId="74AF7AFA" w14:textId="77777777" w:rsidR="0010765E" w:rsidRPr="00DA2177" w:rsidRDefault="0010765E" w:rsidP="002C752D">
            <w:pPr>
              <w:keepNext/>
              <w:jc w:val="right"/>
              <w:rPr>
                <w:rFonts w:cs="Times New Roman"/>
                <w:sz w:val="22"/>
                <w:szCs w:val="22"/>
              </w:rPr>
            </w:pPr>
          </w:p>
        </w:tc>
      </w:tr>
      <w:tr w:rsidR="00191159" w:rsidRPr="00DA2177" w14:paraId="1734ABFC" w14:textId="77777777" w:rsidTr="00C97A71">
        <w:trPr>
          <w:jc w:val="center"/>
        </w:trPr>
        <w:tc>
          <w:tcPr>
            <w:tcW w:w="7675" w:type="dxa"/>
          </w:tcPr>
          <w:p w14:paraId="53E7AB64" w14:textId="77777777" w:rsidR="00191159" w:rsidRPr="00DA2177" w:rsidRDefault="00191159" w:rsidP="002C752D">
            <w:pPr>
              <w:keepNext/>
              <w:rPr>
                <w:rFonts w:cs="Times New Roman"/>
                <w:sz w:val="22"/>
                <w:szCs w:val="22"/>
              </w:rPr>
            </w:pPr>
            <w:r>
              <w:rPr>
                <w:rFonts w:cs="Times New Roman"/>
                <w:sz w:val="22"/>
                <w:szCs w:val="22"/>
              </w:rPr>
              <w:tab/>
            </w:r>
            <w:r>
              <w:rPr>
                <w:rFonts w:cs="Times New Roman"/>
                <w:sz w:val="22"/>
                <w:szCs w:val="22"/>
              </w:rPr>
              <w:tab/>
              <w:t>Total</w:t>
            </w:r>
          </w:p>
        </w:tc>
        <w:tc>
          <w:tcPr>
            <w:tcW w:w="1685" w:type="dxa"/>
          </w:tcPr>
          <w:p w14:paraId="79A70340" w14:textId="4E64461B" w:rsidR="00191159" w:rsidRPr="00DA2177" w:rsidRDefault="00191159" w:rsidP="002C752D">
            <w:pPr>
              <w:keepNext/>
              <w:jc w:val="right"/>
              <w:rPr>
                <w:rFonts w:cs="Times New Roman"/>
                <w:sz w:val="22"/>
                <w:szCs w:val="22"/>
              </w:rPr>
            </w:pPr>
          </w:p>
        </w:tc>
      </w:tr>
      <w:tr w:rsidR="00191159" w:rsidRPr="00DA2177" w14:paraId="1BD1C0F5" w14:textId="77777777" w:rsidTr="00C97A71">
        <w:trPr>
          <w:jc w:val="center"/>
        </w:trPr>
        <w:tc>
          <w:tcPr>
            <w:tcW w:w="7675" w:type="dxa"/>
          </w:tcPr>
          <w:p w14:paraId="5AB68E3B" w14:textId="77777777" w:rsidR="00191159" w:rsidRPr="00DA2177" w:rsidRDefault="00191159" w:rsidP="002C752D">
            <w:pPr>
              <w:keepNext/>
              <w:rPr>
                <w:rFonts w:cs="Times New Roman"/>
                <w:sz w:val="22"/>
                <w:szCs w:val="22"/>
              </w:rPr>
            </w:pPr>
          </w:p>
        </w:tc>
        <w:tc>
          <w:tcPr>
            <w:tcW w:w="1685" w:type="dxa"/>
          </w:tcPr>
          <w:p w14:paraId="287B434E" w14:textId="77777777" w:rsidR="00191159" w:rsidRPr="00DA2177" w:rsidRDefault="00191159" w:rsidP="002C752D">
            <w:pPr>
              <w:keepNext/>
              <w:jc w:val="right"/>
              <w:rPr>
                <w:rFonts w:cs="Times New Roman"/>
                <w:sz w:val="22"/>
                <w:szCs w:val="22"/>
              </w:rPr>
            </w:pPr>
          </w:p>
        </w:tc>
      </w:tr>
      <w:tr w:rsidR="00191159" w:rsidRPr="00DA2177" w14:paraId="031A124B" w14:textId="77777777" w:rsidTr="00C97A71">
        <w:trPr>
          <w:jc w:val="center"/>
        </w:trPr>
        <w:tc>
          <w:tcPr>
            <w:tcW w:w="7675" w:type="dxa"/>
          </w:tcPr>
          <w:p w14:paraId="58E444A1" w14:textId="77777777" w:rsidR="00191159" w:rsidRPr="00DA2177" w:rsidRDefault="00191159" w:rsidP="002C752D">
            <w:pPr>
              <w:keepNext/>
              <w:rPr>
                <w:rFonts w:cs="Times New Roman"/>
                <w:sz w:val="22"/>
                <w:szCs w:val="22"/>
              </w:rPr>
            </w:pPr>
            <w:r>
              <w:rPr>
                <w:rFonts w:cs="Times New Roman"/>
                <w:sz w:val="22"/>
                <w:szCs w:val="22"/>
              </w:rPr>
              <w:t>USES:</w:t>
            </w:r>
          </w:p>
        </w:tc>
        <w:tc>
          <w:tcPr>
            <w:tcW w:w="1685" w:type="dxa"/>
          </w:tcPr>
          <w:p w14:paraId="4829B538" w14:textId="77777777" w:rsidR="00191159" w:rsidRPr="00DA2177" w:rsidRDefault="00191159" w:rsidP="002C752D">
            <w:pPr>
              <w:keepNext/>
              <w:jc w:val="right"/>
              <w:rPr>
                <w:rFonts w:cs="Times New Roman"/>
                <w:sz w:val="22"/>
                <w:szCs w:val="22"/>
              </w:rPr>
            </w:pPr>
          </w:p>
        </w:tc>
      </w:tr>
      <w:tr w:rsidR="00191159" w:rsidRPr="00DA2177" w14:paraId="2E4DB979" w14:textId="77777777" w:rsidTr="00C97A71">
        <w:trPr>
          <w:jc w:val="center"/>
        </w:trPr>
        <w:tc>
          <w:tcPr>
            <w:tcW w:w="7675" w:type="dxa"/>
          </w:tcPr>
          <w:p w14:paraId="21428C76" w14:textId="1C7C0CF4" w:rsidR="00191159" w:rsidRPr="00DA2177" w:rsidRDefault="00191159" w:rsidP="002C752D">
            <w:pPr>
              <w:keepNext/>
              <w:tabs>
                <w:tab w:val="right" w:leader="dot" w:pos="7370"/>
              </w:tabs>
              <w:ind w:left="194"/>
              <w:rPr>
                <w:rFonts w:cs="Times New Roman"/>
                <w:sz w:val="22"/>
                <w:szCs w:val="22"/>
              </w:rPr>
            </w:pPr>
            <w:r>
              <w:rPr>
                <w:rFonts w:cs="Times New Roman"/>
                <w:sz w:val="22"/>
                <w:szCs w:val="22"/>
              </w:rPr>
              <w:t xml:space="preserve">Deposit to </w:t>
            </w:r>
            <w:r w:rsidR="007217C3">
              <w:rPr>
                <w:rFonts w:cs="Times New Roman"/>
                <w:sz w:val="22"/>
                <w:szCs w:val="22"/>
              </w:rPr>
              <w:t>Senior LT Project Fund</w:t>
            </w:r>
            <w:r>
              <w:rPr>
                <w:rFonts w:cs="Times New Roman"/>
                <w:sz w:val="22"/>
                <w:szCs w:val="22"/>
              </w:rPr>
              <w:tab/>
            </w:r>
          </w:p>
        </w:tc>
        <w:tc>
          <w:tcPr>
            <w:tcW w:w="1685" w:type="dxa"/>
          </w:tcPr>
          <w:p w14:paraId="11135918" w14:textId="77E25166" w:rsidR="00191159" w:rsidRPr="00DA2177" w:rsidRDefault="00191159" w:rsidP="002C752D">
            <w:pPr>
              <w:keepNext/>
              <w:jc w:val="right"/>
              <w:rPr>
                <w:rFonts w:cs="Times New Roman"/>
                <w:sz w:val="22"/>
                <w:szCs w:val="22"/>
              </w:rPr>
            </w:pPr>
          </w:p>
        </w:tc>
      </w:tr>
      <w:tr w:rsidR="00E84679" w:rsidRPr="00DA2177" w14:paraId="3C60C6E8" w14:textId="77777777" w:rsidTr="00C97A71">
        <w:trPr>
          <w:jc w:val="center"/>
        </w:trPr>
        <w:tc>
          <w:tcPr>
            <w:tcW w:w="7675" w:type="dxa"/>
          </w:tcPr>
          <w:p w14:paraId="116C2566" w14:textId="3898C752" w:rsidR="00E84679" w:rsidRPr="00DA2177" w:rsidRDefault="00E84679" w:rsidP="002C752D">
            <w:pPr>
              <w:keepNext/>
              <w:tabs>
                <w:tab w:val="right" w:leader="dot" w:pos="7370"/>
              </w:tabs>
              <w:ind w:left="194"/>
              <w:rPr>
                <w:rFonts w:cs="Times New Roman"/>
                <w:sz w:val="22"/>
                <w:szCs w:val="22"/>
              </w:rPr>
            </w:pPr>
            <w:r>
              <w:rPr>
                <w:rFonts w:cs="Times New Roman"/>
                <w:sz w:val="22"/>
                <w:szCs w:val="22"/>
              </w:rPr>
              <w:t>Deposit to S</w:t>
            </w:r>
            <w:r w:rsidR="00A03016">
              <w:rPr>
                <w:rFonts w:cs="Times New Roman"/>
                <w:sz w:val="22"/>
                <w:szCs w:val="22"/>
              </w:rPr>
              <w:t>R Project Fund</w:t>
            </w:r>
            <w:r>
              <w:rPr>
                <w:rFonts w:cs="Times New Roman"/>
                <w:sz w:val="22"/>
                <w:szCs w:val="22"/>
              </w:rPr>
              <w:tab/>
            </w:r>
          </w:p>
        </w:tc>
        <w:tc>
          <w:tcPr>
            <w:tcW w:w="1685" w:type="dxa"/>
          </w:tcPr>
          <w:p w14:paraId="7CE37086" w14:textId="77777777" w:rsidR="00E84679" w:rsidRPr="00DA2177" w:rsidRDefault="00E84679" w:rsidP="002C752D">
            <w:pPr>
              <w:keepNext/>
              <w:jc w:val="right"/>
              <w:rPr>
                <w:rFonts w:cs="Times New Roman"/>
                <w:sz w:val="22"/>
                <w:szCs w:val="22"/>
              </w:rPr>
            </w:pPr>
          </w:p>
        </w:tc>
      </w:tr>
      <w:tr w:rsidR="0010765E" w:rsidRPr="00DA2177" w14:paraId="1924729F" w14:textId="77777777" w:rsidTr="00C97A71">
        <w:trPr>
          <w:jc w:val="center"/>
        </w:trPr>
        <w:tc>
          <w:tcPr>
            <w:tcW w:w="7675" w:type="dxa"/>
          </w:tcPr>
          <w:p w14:paraId="423A41A7" w14:textId="1A4744B5" w:rsidR="0010765E" w:rsidRDefault="0010765E" w:rsidP="002C752D">
            <w:pPr>
              <w:keepNext/>
              <w:tabs>
                <w:tab w:val="right" w:leader="dot" w:pos="7370"/>
              </w:tabs>
              <w:ind w:left="194"/>
              <w:rPr>
                <w:rFonts w:cs="Times New Roman"/>
                <w:sz w:val="22"/>
                <w:szCs w:val="22"/>
              </w:rPr>
            </w:pPr>
            <w:r>
              <w:rPr>
                <w:rFonts w:cs="Times New Roman"/>
                <w:sz w:val="22"/>
                <w:szCs w:val="22"/>
              </w:rPr>
              <w:t>Deposit to Subordinate LT Project Fund</w:t>
            </w:r>
            <w:r>
              <w:rPr>
                <w:rFonts w:cs="Times New Roman"/>
                <w:sz w:val="22"/>
                <w:szCs w:val="22"/>
              </w:rPr>
              <w:tab/>
            </w:r>
          </w:p>
        </w:tc>
        <w:tc>
          <w:tcPr>
            <w:tcW w:w="1685" w:type="dxa"/>
          </w:tcPr>
          <w:p w14:paraId="4FF5860D" w14:textId="77777777" w:rsidR="0010765E" w:rsidRPr="00DA2177" w:rsidRDefault="0010765E" w:rsidP="002C752D">
            <w:pPr>
              <w:keepNext/>
              <w:jc w:val="right"/>
              <w:rPr>
                <w:rFonts w:cs="Times New Roman"/>
                <w:sz w:val="22"/>
                <w:szCs w:val="22"/>
              </w:rPr>
            </w:pPr>
          </w:p>
        </w:tc>
      </w:tr>
      <w:tr w:rsidR="00191159" w:rsidRPr="00DA2177" w14:paraId="24E9E874" w14:textId="77777777" w:rsidTr="00C97A71">
        <w:trPr>
          <w:trHeight w:val="159"/>
          <w:jc w:val="center"/>
        </w:trPr>
        <w:tc>
          <w:tcPr>
            <w:tcW w:w="7675" w:type="dxa"/>
          </w:tcPr>
          <w:p w14:paraId="7C6379F1" w14:textId="79B2BADC" w:rsidR="00191159" w:rsidRPr="00DA2177" w:rsidRDefault="00191159" w:rsidP="002C752D">
            <w:pPr>
              <w:keepNext/>
              <w:tabs>
                <w:tab w:val="right" w:leader="dot" w:pos="7370"/>
              </w:tabs>
              <w:ind w:left="194"/>
              <w:rPr>
                <w:rFonts w:cs="Times New Roman"/>
                <w:sz w:val="22"/>
                <w:szCs w:val="22"/>
              </w:rPr>
            </w:pPr>
            <w:r>
              <w:rPr>
                <w:rFonts w:cs="Times New Roman"/>
                <w:sz w:val="22"/>
                <w:szCs w:val="22"/>
              </w:rPr>
              <w:t xml:space="preserve">Deposit to </w:t>
            </w:r>
            <w:r w:rsidR="007217C3">
              <w:rPr>
                <w:rFonts w:cs="Times New Roman"/>
                <w:sz w:val="22"/>
                <w:szCs w:val="22"/>
              </w:rPr>
              <w:t>Senior LT Bond Fund</w:t>
            </w:r>
            <w:r>
              <w:rPr>
                <w:rFonts w:cs="Times New Roman"/>
                <w:sz w:val="22"/>
                <w:szCs w:val="22"/>
              </w:rPr>
              <w:t xml:space="preserve"> (Capitalized Interest)</w:t>
            </w:r>
            <w:r>
              <w:rPr>
                <w:rFonts w:cs="Times New Roman"/>
                <w:sz w:val="22"/>
                <w:szCs w:val="22"/>
              </w:rPr>
              <w:tab/>
            </w:r>
          </w:p>
        </w:tc>
        <w:tc>
          <w:tcPr>
            <w:tcW w:w="1685" w:type="dxa"/>
          </w:tcPr>
          <w:p w14:paraId="0F49FFE0" w14:textId="20A92627" w:rsidR="00191159" w:rsidRPr="00DA2177" w:rsidRDefault="00191159" w:rsidP="002C752D">
            <w:pPr>
              <w:keepNext/>
              <w:jc w:val="right"/>
              <w:rPr>
                <w:rFonts w:cs="Times New Roman"/>
                <w:sz w:val="22"/>
                <w:szCs w:val="22"/>
              </w:rPr>
            </w:pPr>
          </w:p>
        </w:tc>
      </w:tr>
      <w:tr w:rsidR="00191159" w:rsidRPr="00DA2177" w14:paraId="36F1947B" w14:textId="77777777" w:rsidTr="00C97A71">
        <w:trPr>
          <w:jc w:val="center"/>
        </w:trPr>
        <w:tc>
          <w:tcPr>
            <w:tcW w:w="7675" w:type="dxa"/>
          </w:tcPr>
          <w:p w14:paraId="0252DC73" w14:textId="77777777" w:rsidR="00191159" w:rsidRDefault="00191159" w:rsidP="002C752D">
            <w:pPr>
              <w:keepNext/>
              <w:tabs>
                <w:tab w:val="right" w:leader="dot" w:pos="7370"/>
              </w:tabs>
              <w:ind w:left="194"/>
              <w:rPr>
                <w:rFonts w:cs="Times New Roman"/>
                <w:sz w:val="22"/>
                <w:szCs w:val="22"/>
              </w:rPr>
            </w:pPr>
            <w:r>
              <w:rPr>
                <w:rFonts w:cs="Times New Roman"/>
                <w:sz w:val="22"/>
                <w:szCs w:val="22"/>
              </w:rPr>
              <w:t>Initial Deposit to LT Surplus Fund</w:t>
            </w:r>
            <w:r>
              <w:rPr>
                <w:rFonts w:cs="Times New Roman"/>
                <w:sz w:val="22"/>
                <w:szCs w:val="22"/>
              </w:rPr>
              <w:tab/>
            </w:r>
          </w:p>
          <w:p w14:paraId="3C8766D5" w14:textId="00BE0AB8" w:rsidR="003E4526" w:rsidRPr="001467C4" w:rsidRDefault="003E4526" w:rsidP="002C752D">
            <w:pPr>
              <w:keepNext/>
              <w:tabs>
                <w:tab w:val="right" w:leader="dot" w:pos="7370"/>
              </w:tabs>
              <w:ind w:left="194"/>
              <w:rPr>
                <w:rFonts w:cs="Times New Roman"/>
                <w:sz w:val="22"/>
                <w:szCs w:val="22"/>
              </w:rPr>
            </w:pPr>
            <w:r>
              <w:rPr>
                <w:rFonts w:cs="Times New Roman"/>
                <w:sz w:val="22"/>
                <w:szCs w:val="22"/>
              </w:rPr>
              <w:t>Deposit to LT Working Capital Fund</w:t>
            </w:r>
            <w:r w:rsidR="00B96B68">
              <w:rPr>
                <w:rFonts w:cs="Times New Roman"/>
                <w:sz w:val="22"/>
                <w:szCs w:val="22"/>
              </w:rPr>
              <w:t xml:space="preserve"> </w:t>
            </w:r>
            <w:r w:rsidR="00B96B68">
              <w:rPr>
                <w:rFonts w:cs="Times New Roman"/>
                <w:sz w:val="22"/>
                <w:szCs w:val="22"/>
              </w:rPr>
              <w:tab/>
            </w:r>
          </w:p>
        </w:tc>
        <w:tc>
          <w:tcPr>
            <w:tcW w:w="1685" w:type="dxa"/>
          </w:tcPr>
          <w:p w14:paraId="3180D82A" w14:textId="1429767E" w:rsidR="00191159" w:rsidRPr="00DA2177" w:rsidRDefault="00191159" w:rsidP="002C752D">
            <w:pPr>
              <w:keepNext/>
              <w:jc w:val="right"/>
              <w:rPr>
                <w:rFonts w:cs="Times New Roman"/>
                <w:sz w:val="22"/>
                <w:szCs w:val="22"/>
              </w:rPr>
            </w:pPr>
          </w:p>
        </w:tc>
      </w:tr>
      <w:tr w:rsidR="00191159" w:rsidRPr="00DA2177" w14:paraId="57F3CDEB" w14:textId="77777777" w:rsidTr="00C97A71">
        <w:trPr>
          <w:jc w:val="center"/>
        </w:trPr>
        <w:tc>
          <w:tcPr>
            <w:tcW w:w="7675" w:type="dxa"/>
          </w:tcPr>
          <w:p w14:paraId="6CDA08A0" w14:textId="6C94F111" w:rsidR="00191159" w:rsidRPr="00DA2177" w:rsidRDefault="00191159" w:rsidP="002C752D">
            <w:pPr>
              <w:keepNext/>
              <w:tabs>
                <w:tab w:val="right" w:leader="dot" w:pos="7370"/>
              </w:tabs>
              <w:ind w:left="194"/>
              <w:rPr>
                <w:rFonts w:cs="Times New Roman"/>
                <w:sz w:val="22"/>
                <w:szCs w:val="22"/>
              </w:rPr>
            </w:pPr>
            <w:r>
              <w:rPr>
                <w:rFonts w:cs="Times New Roman"/>
                <w:sz w:val="22"/>
                <w:szCs w:val="22"/>
              </w:rPr>
              <w:t>Costs of issuance, including Underwriter’s discount</w:t>
            </w:r>
            <w:r>
              <w:rPr>
                <w:rFonts w:cs="Times New Roman"/>
                <w:sz w:val="22"/>
                <w:szCs w:val="22"/>
                <w:vertAlign w:val="superscript"/>
              </w:rPr>
              <w:t>1</w:t>
            </w:r>
            <w:r>
              <w:rPr>
                <w:rFonts w:cs="Times New Roman"/>
                <w:sz w:val="22"/>
                <w:szCs w:val="22"/>
              </w:rPr>
              <w:t xml:space="preserve"> and contingency</w:t>
            </w:r>
            <w:r>
              <w:rPr>
                <w:rFonts w:cs="Times New Roman"/>
                <w:sz w:val="22"/>
                <w:szCs w:val="22"/>
              </w:rPr>
              <w:tab/>
            </w:r>
          </w:p>
        </w:tc>
        <w:tc>
          <w:tcPr>
            <w:tcW w:w="1685" w:type="dxa"/>
          </w:tcPr>
          <w:p w14:paraId="0389C915" w14:textId="15B38ED3" w:rsidR="00191159" w:rsidRPr="00DA2177" w:rsidRDefault="00191159" w:rsidP="002C752D">
            <w:pPr>
              <w:keepNext/>
              <w:jc w:val="right"/>
              <w:rPr>
                <w:rFonts w:cs="Times New Roman"/>
                <w:sz w:val="22"/>
                <w:szCs w:val="22"/>
                <w:u w:val="single"/>
              </w:rPr>
            </w:pPr>
          </w:p>
        </w:tc>
      </w:tr>
      <w:tr w:rsidR="00191159" w:rsidRPr="00DA2177" w14:paraId="1F52FE55" w14:textId="77777777" w:rsidTr="00C97A71">
        <w:trPr>
          <w:jc w:val="center"/>
        </w:trPr>
        <w:tc>
          <w:tcPr>
            <w:tcW w:w="7675" w:type="dxa"/>
          </w:tcPr>
          <w:p w14:paraId="3F2F9F6A" w14:textId="74693B39" w:rsidR="00191159" w:rsidRPr="00DA2177" w:rsidRDefault="00191159" w:rsidP="002C752D">
            <w:pPr>
              <w:keepNext/>
              <w:rPr>
                <w:rFonts w:cs="Times New Roman"/>
                <w:sz w:val="22"/>
                <w:szCs w:val="22"/>
              </w:rPr>
            </w:pPr>
            <w:r>
              <w:rPr>
                <w:rFonts w:cs="Times New Roman"/>
                <w:sz w:val="22"/>
                <w:szCs w:val="22"/>
              </w:rPr>
              <w:tab/>
            </w:r>
            <w:r>
              <w:rPr>
                <w:rFonts w:cs="Times New Roman"/>
                <w:sz w:val="22"/>
                <w:szCs w:val="22"/>
              </w:rPr>
              <w:tab/>
              <w:t>Total</w:t>
            </w:r>
            <w:r>
              <w:rPr>
                <w:rFonts w:cs="Times New Roman"/>
                <w:sz w:val="22"/>
                <w:szCs w:val="22"/>
              </w:rPr>
              <w:tab/>
            </w:r>
          </w:p>
        </w:tc>
        <w:tc>
          <w:tcPr>
            <w:tcW w:w="1685" w:type="dxa"/>
          </w:tcPr>
          <w:p w14:paraId="210386B1" w14:textId="247B0055" w:rsidR="00191159" w:rsidRPr="00DA2177" w:rsidRDefault="00191159" w:rsidP="002C752D">
            <w:pPr>
              <w:keepNext/>
              <w:jc w:val="right"/>
              <w:rPr>
                <w:rFonts w:cs="Times New Roman"/>
                <w:sz w:val="22"/>
                <w:szCs w:val="22"/>
              </w:rPr>
            </w:pPr>
          </w:p>
        </w:tc>
      </w:tr>
    </w:tbl>
    <w:p w14:paraId="49C1292F" w14:textId="4416FFC7" w:rsidR="00552A7A" w:rsidRPr="00DA2177" w:rsidRDefault="00552A7A" w:rsidP="002C752D">
      <w:pPr>
        <w:keepNext/>
        <w:rPr>
          <w:rFonts w:cs="Times New Roman"/>
          <w:sz w:val="22"/>
          <w:szCs w:val="22"/>
        </w:rPr>
      </w:pPr>
      <w:r>
        <w:rPr>
          <w:rFonts w:cs="Times New Roman"/>
          <w:sz w:val="22"/>
          <w:szCs w:val="22"/>
        </w:rPr>
        <w:t>____________________</w:t>
      </w:r>
    </w:p>
    <w:p w14:paraId="290510B8" w14:textId="20C6031E" w:rsidR="00026E06" w:rsidRPr="00997F8F" w:rsidRDefault="00026E06" w:rsidP="002C752D">
      <w:pPr>
        <w:keepNext/>
        <w:rPr>
          <w:rFonts w:cs="Times New Roman"/>
          <w:szCs w:val="22"/>
        </w:rPr>
      </w:pPr>
      <w:r>
        <w:rPr>
          <w:rFonts w:cs="Times New Roman"/>
          <w:szCs w:val="22"/>
          <w:vertAlign w:val="superscript"/>
        </w:rPr>
        <w:t>*</w:t>
      </w:r>
      <w:r>
        <w:rPr>
          <w:rFonts w:cs="Times New Roman"/>
          <w:szCs w:val="22"/>
          <w:vertAlign w:val="superscript"/>
        </w:rPr>
        <w:tab/>
      </w:r>
      <w:r>
        <w:rPr>
          <w:rFonts w:cs="Times New Roman"/>
          <w:szCs w:val="22"/>
        </w:rPr>
        <w:t>Preliminary; subject to change.</w:t>
      </w:r>
    </w:p>
    <w:p w14:paraId="1255DD9F" w14:textId="3FC44579" w:rsidR="00552A7A" w:rsidRPr="00997F8F" w:rsidRDefault="0018629C" w:rsidP="002C752D">
      <w:pPr>
        <w:keepNext/>
        <w:rPr>
          <w:rFonts w:cs="Times New Roman"/>
          <w:szCs w:val="22"/>
        </w:rPr>
      </w:pPr>
      <w:r>
        <w:rPr>
          <w:rFonts w:cs="Times New Roman"/>
          <w:szCs w:val="22"/>
          <w:vertAlign w:val="superscript"/>
        </w:rPr>
        <w:t>1</w:t>
      </w:r>
      <w:r>
        <w:rPr>
          <w:rFonts w:cs="Times New Roman"/>
          <w:szCs w:val="22"/>
        </w:rPr>
        <w:tab/>
        <w:t>See “MISCELLANEOUS—Underwriting.”</w:t>
      </w:r>
    </w:p>
    <w:p w14:paraId="37C91B32" w14:textId="6132F285" w:rsidR="00552A7A" w:rsidRPr="00997F8F" w:rsidRDefault="0018629C" w:rsidP="002C752D">
      <w:pPr>
        <w:keepNext/>
        <w:rPr>
          <w:rFonts w:cs="Times New Roman"/>
          <w:szCs w:val="22"/>
        </w:rPr>
      </w:pPr>
      <w:r>
        <w:rPr>
          <w:rFonts w:cs="Times New Roman"/>
          <w:szCs w:val="22"/>
        </w:rPr>
        <w:t>(Source: The Underwriter.)</w:t>
      </w:r>
    </w:p>
    <w:p w14:paraId="701E819B" w14:textId="2647F2DE" w:rsidR="0075493D" w:rsidRPr="00997F8F" w:rsidRDefault="0075493D" w:rsidP="00790EE8">
      <w:pPr>
        <w:rPr>
          <w:rFonts w:cs="Times New Roman"/>
          <w:sz w:val="22"/>
          <w:szCs w:val="22"/>
        </w:rPr>
      </w:pPr>
    </w:p>
    <w:p w14:paraId="24FDDFA7" w14:textId="77777777" w:rsidR="00E5741F" w:rsidRPr="00DA2177" w:rsidRDefault="00E5741F" w:rsidP="00E5741F">
      <w:pPr>
        <w:jc w:val="center"/>
        <w:rPr>
          <w:rFonts w:cs="Times New Roman"/>
          <w:sz w:val="22"/>
          <w:szCs w:val="22"/>
        </w:rPr>
      </w:pPr>
      <w:r>
        <w:rPr>
          <w:rFonts w:cs="Times New Roman"/>
          <w:sz w:val="22"/>
          <w:szCs w:val="22"/>
        </w:rPr>
        <w:t>(The remainder of this page intentionally left blank.)</w:t>
      </w:r>
    </w:p>
    <w:p w14:paraId="313D0185" w14:textId="40E7D9F6" w:rsidR="0010765E" w:rsidRDefault="0010765E" w:rsidP="00790EE8">
      <w:pPr>
        <w:rPr>
          <w:rFonts w:cs="Times New Roman"/>
          <w:sz w:val="22"/>
          <w:szCs w:val="22"/>
        </w:rPr>
      </w:pPr>
      <w:r>
        <w:rPr>
          <w:rFonts w:cs="Times New Roman"/>
          <w:sz w:val="22"/>
          <w:szCs w:val="22"/>
        </w:rPr>
        <w:br w:type="page"/>
      </w:r>
    </w:p>
    <w:p w14:paraId="077C0DBE" w14:textId="77777777" w:rsidR="00191159" w:rsidRPr="00DA2177" w:rsidRDefault="00191159" w:rsidP="00191159">
      <w:pPr>
        <w:pStyle w:val="Heading2"/>
        <w:rPr>
          <w:sz w:val="22"/>
          <w:szCs w:val="22"/>
        </w:rPr>
      </w:pPr>
      <w:bookmarkStart w:id="146" w:name="_Toc439213497"/>
      <w:bookmarkStart w:id="147" w:name="_Toc524130979"/>
      <w:bookmarkStart w:id="148" w:name="_Toc14438776"/>
      <w:bookmarkStart w:id="149" w:name="_Toc235521088"/>
      <w:r>
        <w:rPr>
          <w:sz w:val="22"/>
          <w:szCs w:val="22"/>
        </w:rPr>
        <w:t>Debt Service Requirements</w:t>
      </w:r>
      <w:bookmarkEnd w:id="146"/>
      <w:r>
        <w:rPr>
          <w:sz w:val="22"/>
          <w:szCs w:val="22"/>
        </w:rPr>
        <w:t xml:space="preserve"> and Forecasted Payments</w:t>
      </w:r>
      <w:bookmarkEnd w:id="147"/>
      <w:bookmarkEnd w:id="148"/>
      <w:bookmarkEnd w:id="149"/>
    </w:p>
    <w:p w14:paraId="09AEE0FC" w14:textId="6E723FD7" w:rsidR="0075493D" w:rsidRDefault="003904FF" w:rsidP="00D77355">
      <w:pPr>
        <w:pStyle w:val="00BodyText5"/>
        <w:keepNext/>
        <w:keepLines/>
        <w:rPr>
          <w:rFonts w:cs="Times New Roman"/>
          <w:szCs w:val="22"/>
          <w:vertAlign w:val="superscript"/>
        </w:rPr>
      </w:pPr>
      <w:r>
        <w:rPr>
          <w:rFonts w:cs="Times New Roman"/>
          <w:szCs w:val="22"/>
        </w:rPr>
        <w:t xml:space="preserve">Set forth in the following tables are the debt service requirements for the </w:t>
      </w:r>
      <w:r w:rsidR="00787226">
        <w:rPr>
          <w:rFonts w:cs="Times New Roman"/>
          <w:szCs w:val="22"/>
        </w:rPr>
        <w:t>2026A-1 Senior LT Bond</w:t>
      </w:r>
      <w:r>
        <w:rPr>
          <w:rFonts w:cs="Times New Roman"/>
          <w:szCs w:val="22"/>
        </w:rPr>
        <w:t>s and the forecasted payments for the</w:t>
      </w:r>
      <w:r w:rsidR="0010765E">
        <w:rPr>
          <w:rFonts w:cs="Times New Roman"/>
          <w:szCs w:val="22"/>
        </w:rPr>
        <w:t xml:space="preserve"> 2026B Subordinate LT Bonds and the</w:t>
      </w:r>
      <w:r>
        <w:rPr>
          <w:rFonts w:cs="Times New Roman"/>
          <w:szCs w:val="22"/>
        </w:rPr>
        <w:t xml:space="preserve"> 2026A-2 SR Bonds.</w:t>
      </w:r>
    </w:p>
    <w:p w14:paraId="38CB1993" w14:textId="50415374" w:rsidR="00CF2881" w:rsidRPr="00DA2177" w:rsidRDefault="00CF2881" w:rsidP="00CF2881">
      <w:pPr>
        <w:pStyle w:val="00TitleC"/>
        <w:rPr>
          <w:rFonts w:cs="Times New Roman"/>
          <w:sz w:val="22"/>
          <w:szCs w:val="22"/>
        </w:rPr>
      </w:pPr>
      <w:r>
        <w:rPr>
          <w:rFonts w:cs="Times New Roman"/>
          <w:sz w:val="22"/>
          <w:szCs w:val="22"/>
        </w:rPr>
        <w:t>Forecasted Payments on the LT Bonds</w:t>
      </w:r>
      <w:r>
        <w:rPr>
          <w:rFonts w:cs="Times New Roman"/>
          <w:sz w:val="22"/>
          <w:szCs w:val="22"/>
          <w:vertAlign w:val="superscript"/>
        </w:rPr>
        <w:t>1,</w:t>
      </w:r>
      <w:r w:rsidR="005F6B23">
        <w:rPr>
          <w:rFonts w:cs="Times New Roman"/>
          <w:sz w:val="22"/>
          <w:szCs w:val="22"/>
          <w:vertAlign w:val="superscript"/>
        </w:rPr>
        <w:t xml:space="preserve"> </w:t>
      </w:r>
      <w:r>
        <w:rPr>
          <w:rFonts w:cs="Times New Roman"/>
          <w:sz w:val="22"/>
          <w:szCs w:val="22"/>
          <w:vertAlign w:val="superscript"/>
        </w:rPr>
        <w:t>2,</w:t>
      </w:r>
      <w:r w:rsidR="005F6B23">
        <w:rPr>
          <w:rFonts w:cs="Times New Roman"/>
          <w:sz w:val="22"/>
          <w:szCs w:val="22"/>
          <w:vertAlign w:val="superscript"/>
        </w:rPr>
        <w:t xml:space="preserve"> </w:t>
      </w:r>
      <w:r>
        <w:rPr>
          <w:rFonts w:cs="Times New Roman"/>
          <w:sz w:val="22"/>
          <w:szCs w:val="22"/>
          <w:vertAlign w:val="superscript"/>
        </w:rPr>
        <w:t>*</w:t>
      </w:r>
    </w:p>
    <w:tbl>
      <w:tblPr>
        <w:tblW w:w="5000" w:type="pct"/>
        <w:jc w:val="center"/>
        <w:tblCellMar>
          <w:left w:w="115" w:type="dxa"/>
          <w:right w:w="115" w:type="dxa"/>
        </w:tblCellMar>
        <w:tblLook w:val="04A0" w:firstRow="1" w:lastRow="0" w:firstColumn="1" w:lastColumn="0" w:noHBand="0" w:noVBand="1"/>
      </w:tblPr>
      <w:tblGrid>
        <w:gridCol w:w="772"/>
        <w:gridCol w:w="1717"/>
        <w:gridCol w:w="1717"/>
        <w:gridCol w:w="1717"/>
        <w:gridCol w:w="1717"/>
        <w:gridCol w:w="1720"/>
      </w:tblGrid>
      <w:tr w:rsidR="0010765E" w:rsidRPr="0010765E" w14:paraId="26E5D1E7" w14:textId="77777777" w:rsidTr="004B291E">
        <w:trPr>
          <w:cantSplit/>
          <w:jc w:val="center"/>
        </w:trPr>
        <w:tc>
          <w:tcPr>
            <w:tcW w:w="412" w:type="pct"/>
            <w:vAlign w:val="bottom"/>
          </w:tcPr>
          <w:p w14:paraId="2573DB17" w14:textId="77777777" w:rsidR="0010765E" w:rsidRPr="0010765E" w:rsidRDefault="0010765E" w:rsidP="004B291E">
            <w:pPr>
              <w:pStyle w:val="00BodyText5"/>
              <w:keepNext/>
              <w:keepLines/>
              <w:spacing w:after="0"/>
              <w:ind w:firstLine="0"/>
              <w:jc w:val="center"/>
              <w:rPr>
                <w:rFonts w:cs="Times New Roman"/>
                <w:b/>
                <w:sz w:val="20"/>
                <w:szCs w:val="20"/>
              </w:rPr>
            </w:pPr>
          </w:p>
        </w:tc>
        <w:tc>
          <w:tcPr>
            <w:tcW w:w="1834" w:type="pct"/>
            <w:gridSpan w:val="2"/>
            <w:vAlign w:val="bottom"/>
          </w:tcPr>
          <w:p w14:paraId="68A8C8D6"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2026A-1 Senior LT Bonds</w:t>
            </w:r>
          </w:p>
        </w:tc>
        <w:tc>
          <w:tcPr>
            <w:tcW w:w="1834" w:type="pct"/>
            <w:gridSpan w:val="2"/>
            <w:vAlign w:val="bottom"/>
          </w:tcPr>
          <w:p w14:paraId="2E2D9E86" w14:textId="752B593C"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2026B Subordinate LT Bonds</w:t>
            </w:r>
          </w:p>
        </w:tc>
        <w:tc>
          <w:tcPr>
            <w:tcW w:w="919" w:type="pct"/>
            <w:vAlign w:val="bottom"/>
          </w:tcPr>
          <w:p w14:paraId="272739EC"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Annual</w:t>
            </w:r>
          </w:p>
        </w:tc>
      </w:tr>
      <w:tr w:rsidR="0010765E" w:rsidRPr="0010765E" w14:paraId="718179D6" w14:textId="77777777" w:rsidTr="004B291E">
        <w:trPr>
          <w:cantSplit/>
          <w:jc w:val="center"/>
        </w:trPr>
        <w:tc>
          <w:tcPr>
            <w:tcW w:w="412" w:type="pct"/>
            <w:vAlign w:val="bottom"/>
          </w:tcPr>
          <w:p w14:paraId="59B2431D"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Year</w:t>
            </w:r>
          </w:p>
        </w:tc>
        <w:tc>
          <w:tcPr>
            <w:tcW w:w="917" w:type="pct"/>
            <w:vAlign w:val="bottom"/>
          </w:tcPr>
          <w:p w14:paraId="26C59238"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Principal</w:t>
            </w:r>
          </w:p>
        </w:tc>
        <w:tc>
          <w:tcPr>
            <w:tcW w:w="917" w:type="pct"/>
            <w:vAlign w:val="bottom"/>
          </w:tcPr>
          <w:p w14:paraId="04872A4A"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Interest</w:t>
            </w:r>
          </w:p>
        </w:tc>
        <w:tc>
          <w:tcPr>
            <w:tcW w:w="917" w:type="pct"/>
            <w:vAlign w:val="bottom"/>
          </w:tcPr>
          <w:p w14:paraId="506E1859"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Principal</w:t>
            </w:r>
          </w:p>
        </w:tc>
        <w:tc>
          <w:tcPr>
            <w:tcW w:w="917" w:type="pct"/>
            <w:vAlign w:val="bottom"/>
          </w:tcPr>
          <w:p w14:paraId="2AA8E267"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Interest</w:t>
            </w:r>
          </w:p>
        </w:tc>
        <w:tc>
          <w:tcPr>
            <w:tcW w:w="919" w:type="pct"/>
            <w:vAlign w:val="bottom"/>
          </w:tcPr>
          <w:p w14:paraId="2C025B9E" w14:textId="77777777" w:rsidR="0010765E" w:rsidRPr="0010765E" w:rsidRDefault="0010765E" w:rsidP="004B291E">
            <w:pPr>
              <w:pStyle w:val="00BodyText5"/>
              <w:keepNext/>
              <w:keepLines/>
              <w:spacing w:after="0"/>
              <w:ind w:firstLine="0"/>
              <w:jc w:val="center"/>
              <w:rPr>
                <w:rFonts w:cs="Times New Roman"/>
                <w:b/>
                <w:sz w:val="20"/>
                <w:szCs w:val="20"/>
              </w:rPr>
            </w:pPr>
            <w:r w:rsidRPr="0010765E">
              <w:rPr>
                <w:rFonts w:cs="Times New Roman"/>
                <w:b/>
                <w:sz w:val="20"/>
                <w:szCs w:val="20"/>
              </w:rPr>
              <w:t>Total</w:t>
            </w:r>
          </w:p>
        </w:tc>
      </w:tr>
      <w:tr w:rsidR="0010765E" w:rsidRPr="0010765E" w14:paraId="2416535B" w14:textId="77777777" w:rsidTr="004B291E">
        <w:trPr>
          <w:cantSplit/>
          <w:jc w:val="center"/>
        </w:trPr>
        <w:tc>
          <w:tcPr>
            <w:tcW w:w="412" w:type="pct"/>
            <w:vAlign w:val="bottom"/>
          </w:tcPr>
          <w:p w14:paraId="2F0F4391" w14:textId="17747830"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2027</w:t>
            </w:r>
          </w:p>
        </w:tc>
        <w:tc>
          <w:tcPr>
            <w:tcW w:w="917" w:type="pct"/>
          </w:tcPr>
          <w:p w14:paraId="779FDD33" w14:textId="77777777" w:rsidR="0010765E" w:rsidRPr="0010765E" w:rsidRDefault="0010765E" w:rsidP="0010765E">
            <w:pPr>
              <w:tabs>
                <w:tab w:val="decimal" w:pos="1181"/>
              </w:tabs>
              <w:rPr>
                <w:rFonts w:cs="Times New Roman"/>
                <w:szCs w:val="20"/>
              </w:rPr>
            </w:pPr>
          </w:p>
        </w:tc>
        <w:tc>
          <w:tcPr>
            <w:tcW w:w="917" w:type="pct"/>
            <w:vAlign w:val="bottom"/>
          </w:tcPr>
          <w:p w14:paraId="4AF5F153"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5837EA79"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742AFE51"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06B6BE1"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60A3A589" w14:textId="77777777" w:rsidTr="004B291E">
        <w:trPr>
          <w:cantSplit/>
          <w:jc w:val="center"/>
        </w:trPr>
        <w:tc>
          <w:tcPr>
            <w:tcW w:w="412" w:type="pct"/>
            <w:vAlign w:val="bottom"/>
          </w:tcPr>
          <w:p w14:paraId="0788A1E1" w14:textId="57BB871B"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2028</w:t>
            </w:r>
          </w:p>
        </w:tc>
        <w:tc>
          <w:tcPr>
            <w:tcW w:w="917" w:type="pct"/>
            <w:vAlign w:val="bottom"/>
          </w:tcPr>
          <w:p w14:paraId="1FB6E3B8" w14:textId="77777777" w:rsidR="0010765E" w:rsidRPr="0010765E" w:rsidRDefault="0010765E" w:rsidP="0010765E">
            <w:pPr>
              <w:tabs>
                <w:tab w:val="decimal" w:pos="1181"/>
              </w:tabs>
              <w:rPr>
                <w:rFonts w:cs="Times New Roman"/>
                <w:szCs w:val="20"/>
              </w:rPr>
            </w:pPr>
          </w:p>
        </w:tc>
        <w:tc>
          <w:tcPr>
            <w:tcW w:w="917" w:type="pct"/>
            <w:vAlign w:val="bottom"/>
          </w:tcPr>
          <w:p w14:paraId="464ADF69"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4169A99E"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0D9CF083"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58C38A76"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5DED5C95" w14:textId="77777777" w:rsidTr="004B291E">
        <w:trPr>
          <w:cantSplit/>
          <w:jc w:val="center"/>
        </w:trPr>
        <w:tc>
          <w:tcPr>
            <w:tcW w:w="412" w:type="pct"/>
            <w:vAlign w:val="bottom"/>
          </w:tcPr>
          <w:p w14:paraId="01125C5A" w14:textId="00DB5A39"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2029</w:t>
            </w:r>
          </w:p>
        </w:tc>
        <w:tc>
          <w:tcPr>
            <w:tcW w:w="917" w:type="pct"/>
            <w:vAlign w:val="bottom"/>
          </w:tcPr>
          <w:p w14:paraId="386DAB88" w14:textId="77777777" w:rsidR="0010765E" w:rsidRPr="0010765E" w:rsidRDefault="0010765E" w:rsidP="0010765E">
            <w:pPr>
              <w:tabs>
                <w:tab w:val="decimal" w:pos="1181"/>
              </w:tabs>
              <w:rPr>
                <w:rFonts w:cs="Times New Roman"/>
                <w:szCs w:val="20"/>
              </w:rPr>
            </w:pPr>
          </w:p>
        </w:tc>
        <w:tc>
          <w:tcPr>
            <w:tcW w:w="917" w:type="pct"/>
            <w:vAlign w:val="bottom"/>
          </w:tcPr>
          <w:p w14:paraId="625A5B25"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3F677E79"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006BAE3E"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E084289"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5A10FFDB" w14:textId="77777777" w:rsidTr="004B291E">
        <w:trPr>
          <w:cantSplit/>
          <w:jc w:val="center"/>
        </w:trPr>
        <w:tc>
          <w:tcPr>
            <w:tcW w:w="412" w:type="pct"/>
            <w:vAlign w:val="bottom"/>
          </w:tcPr>
          <w:p w14:paraId="7605AB20" w14:textId="5A0A6B02"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2030</w:t>
            </w:r>
          </w:p>
        </w:tc>
        <w:tc>
          <w:tcPr>
            <w:tcW w:w="917" w:type="pct"/>
            <w:vAlign w:val="bottom"/>
          </w:tcPr>
          <w:p w14:paraId="5282D326" w14:textId="77777777" w:rsidR="0010765E" w:rsidRPr="0010765E" w:rsidRDefault="0010765E" w:rsidP="0010765E">
            <w:pPr>
              <w:tabs>
                <w:tab w:val="decimal" w:pos="1181"/>
              </w:tabs>
              <w:rPr>
                <w:rFonts w:cs="Times New Roman"/>
                <w:szCs w:val="20"/>
              </w:rPr>
            </w:pPr>
          </w:p>
        </w:tc>
        <w:tc>
          <w:tcPr>
            <w:tcW w:w="917" w:type="pct"/>
            <w:vAlign w:val="bottom"/>
          </w:tcPr>
          <w:p w14:paraId="7FEB41A0"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7F419BBF"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1300DBB6"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22F98932"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1FF91A67" w14:textId="77777777" w:rsidTr="004B291E">
        <w:trPr>
          <w:cantSplit/>
          <w:jc w:val="center"/>
        </w:trPr>
        <w:tc>
          <w:tcPr>
            <w:tcW w:w="412" w:type="pct"/>
            <w:vAlign w:val="bottom"/>
          </w:tcPr>
          <w:p w14:paraId="59345357" w14:textId="1D2D0128"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2031</w:t>
            </w:r>
          </w:p>
        </w:tc>
        <w:tc>
          <w:tcPr>
            <w:tcW w:w="917" w:type="pct"/>
            <w:vAlign w:val="bottom"/>
          </w:tcPr>
          <w:p w14:paraId="476E2831" w14:textId="77777777" w:rsidR="0010765E" w:rsidRPr="0010765E" w:rsidRDefault="0010765E" w:rsidP="0010765E">
            <w:pPr>
              <w:tabs>
                <w:tab w:val="decimal" w:pos="1181"/>
              </w:tabs>
              <w:rPr>
                <w:rFonts w:cs="Times New Roman"/>
                <w:szCs w:val="20"/>
              </w:rPr>
            </w:pPr>
          </w:p>
        </w:tc>
        <w:tc>
          <w:tcPr>
            <w:tcW w:w="917" w:type="pct"/>
            <w:vAlign w:val="bottom"/>
          </w:tcPr>
          <w:p w14:paraId="6808B5BE"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313120FA"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44CAE053"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60CB143"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31F10F8F" w14:textId="77777777" w:rsidTr="004B291E">
        <w:trPr>
          <w:cantSplit/>
          <w:jc w:val="center"/>
        </w:trPr>
        <w:tc>
          <w:tcPr>
            <w:tcW w:w="412" w:type="pct"/>
            <w:vAlign w:val="bottom"/>
          </w:tcPr>
          <w:p w14:paraId="3276AAB3" w14:textId="1B9DEBA3"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2032</w:t>
            </w:r>
          </w:p>
        </w:tc>
        <w:tc>
          <w:tcPr>
            <w:tcW w:w="917" w:type="pct"/>
            <w:vAlign w:val="bottom"/>
          </w:tcPr>
          <w:p w14:paraId="0D7F613C" w14:textId="77777777" w:rsidR="0010765E" w:rsidRPr="0010765E" w:rsidRDefault="0010765E" w:rsidP="0010765E">
            <w:pPr>
              <w:tabs>
                <w:tab w:val="decimal" w:pos="1181"/>
              </w:tabs>
              <w:rPr>
                <w:rFonts w:cs="Times New Roman"/>
                <w:szCs w:val="20"/>
              </w:rPr>
            </w:pPr>
          </w:p>
        </w:tc>
        <w:tc>
          <w:tcPr>
            <w:tcW w:w="917" w:type="pct"/>
            <w:vAlign w:val="bottom"/>
          </w:tcPr>
          <w:p w14:paraId="6AC1E3DB"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2B4F3714"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1900D109"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4F6006C8"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57AB2E5E" w14:textId="77777777" w:rsidTr="004B291E">
        <w:trPr>
          <w:cantSplit/>
          <w:jc w:val="center"/>
        </w:trPr>
        <w:tc>
          <w:tcPr>
            <w:tcW w:w="412" w:type="pct"/>
            <w:vAlign w:val="bottom"/>
          </w:tcPr>
          <w:p w14:paraId="07EE9FD1" w14:textId="187291DA"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2033</w:t>
            </w:r>
          </w:p>
        </w:tc>
        <w:tc>
          <w:tcPr>
            <w:tcW w:w="917" w:type="pct"/>
            <w:vAlign w:val="bottom"/>
          </w:tcPr>
          <w:p w14:paraId="6875D79C" w14:textId="77777777" w:rsidR="0010765E" w:rsidRPr="0010765E" w:rsidRDefault="0010765E" w:rsidP="0010765E">
            <w:pPr>
              <w:tabs>
                <w:tab w:val="decimal" w:pos="1181"/>
              </w:tabs>
              <w:rPr>
                <w:rFonts w:cs="Times New Roman"/>
                <w:szCs w:val="20"/>
              </w:rPr>
            </w:pPr>
          </w:p>
        </w:tc>
        <w:tc>
          <w:tcPr>
            <w:tcW w:w="917" w:type="pct"/>
            <w:vAlign w:val="bottom"/>
          </w:tcPr>
          <w:p w14:paraId="0BDD6ED7"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48F1E88D"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037336C7"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760923B1"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1079A5E2" w14:textId="77777777" w:rsidTr="004B291E">
        <w:trPr>
          <w:cantSplit/>
          <w:jc w:val="center"/>
        </w:trPr>
        <w:tc>
          <w:tcPr>
            <w:tcW w:w="412" w:type="pct"/>
            <w:vAlign w:val="bottom"/>
          </w:tcPr>
          <w:p w14:paraId="5D1EA9BC" w14:textId="2B99A28A"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2034</w:t>
            </w:r>
          </w:p>
        </w:tc>
        <w:tc>
          <w:tcPr>
            <w:tcW w:w="917" w:type="pct"/>
            <w:vAlign w:val="bottom"/>
          </w:tcPr>
          <w:p w14:paraId="7C62661D" w14:textId="77777777" w:rsidR="0010765E" w:rsidRPr="0010765E" w:rsidRDefault="0010765E" w:rsidP="0010765E">
            <w:pPr>
              <w:tabs>
                <w:tab w:val="decimal" w:pos="1181"/>
              </w:tabs>
              <w:rPr>
                <w:rFonts w:cs="Times New Roman"/>
                <w:szCs w:val="20"/>
              </w:rPr>
            </w:pPr>
          </w:p>
        </w:tc>
        <w:tc>
          <w:tcPr>
            <w:tcW w:w="917" w:type="pct"/>
            <w:vAlign w:val="bottom"/>
          </w:tcPr>
          <w:p w14:paraId="65F4580D"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69E2CBC1"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3CAF8D92"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5D6E771"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63FC117D" w14:textId="77777777" w:rsidTr="004B291E">
        <w:trPr>
          <w:cantSplit/>
          <w:jc w:val="center"/>
        </w:trPr>
        <w:tc>
          <w:tcPr>
            <w:tcW w:w="412" w:type="pct"/>
            <w:vAlign w:val="bottom"/>
          </w:tcPr>
          <w:p w14:paraId="25DD7BB0" w14:textId="737403DB"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2035</w:t>
            </w:r>
          </w:p>
        </w:tc>
        <w:tc>
          <w:tcPr>
            <w:tcW w:w="917" w:type="pct"/>
            <w:vAlign w:val="bottom"/>
          </w:tcPr>
          <w:p w14:paraId="3CDEC556" w14:textId="77777777" w:rsidR="0010765E" w:rsidRPr="0010765E" w:rsidRDefault="0010765E" w:rsidP="0010765E">
            <w:pPr>
              <w:tabs>
                <w:tab w:val="decimal" w:pos="1181"/>
              </w:tabs>
              <w:rPr>
                <w:rFonts w:cs="Times New Roman"/>
                <w:szCs w:val="20"/>
              </w:rPr>
            </w:pPr>
          </w:p>
        </w:tc>
        <w:tc>
          <w:tcPr>
            <w:tcW w:w="917" w:type="pct"/>
            <w:vAlign w:val="bottom"/>
          </w:tcPr>
          <w:p w14:paraId="49454923"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021395D7"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44680F94"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672A7CA1"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24FC940B" w14:textId="77777777" w:rsidTr="004B291E">
        <w:trPr>
          <w:cantSplit/>
          <w:jc w:val="center"/>
        </w:trPr>
        <w:tc>
          <w:tcPr>
            <w:tcW w:w="412" w:type="pct"/>
            <w:vAlign w:val="bottom"/>
          </w:tcPr>
          <w:p w14:paraId="5837E2EB" w14:textId="4E3CB3F4"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2036</w:t>
            </w:r>
          </w:p>
        </w:tc>
        <w:tc>
          <w:tcPr>
            <w:tcW w:w="917" w:type="pct"/>
            <w:vAlign w:val="bottom"/>
          </w:tcPr>
          <w:p w14:paraId="73092A88" w14:textId="77777777" w:rsidR="0010765E" w:rsidRPr="0010765E" w:rsidRDefault="0010765E" w:rsidP="0010765E">
            <w:pPr>
              <w:tabs>
                <w:tab w:val="decimal" w:pos="1181"/>
              </w:tabs>
              <w:rPr>
                <w:rFonts w:cs="Times New Roman"/>
                <w:szCs w:val="20"/>
              </w:rPr>
            </w:pPr>
          </w:p>
        </w:tc>
        <w:tc>
          <w:tcPr>
            <w:tcW w:w="917" w:type="pct"/>
            <w:vAlign w:val="bottom"/>
          </w:tcPr>
          <w:p w14:paraId="41B1A974"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57BE9F55"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46F351B3"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7F92275A"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66696CF5" w14:textId="77777777" w:rsidTr="004B291E">
        <w:trPr>
          <w:cantSplit/>
          <w:jc w:val="center"/>
        </w:trPr>
        <w:tc>
          <w:tcPr>
            <w:tcW w:w="412" w:type="pct"/>
            <w:vAlign w:val="bottom"/>
          </w:tcPr>
          <w:p w14:paraId="08C836A7" w14:textId="1BF4B4FD"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2037</w:t>
            </w:r>
          </w:p>
        </w:tc>
        <w:tc>
          <w:tcPr>
            <w:tcW w:w="917" w:type="pct"/>
            <w:vAlign w:val="bottom"/>
          </w:tcPr>
          <w:p w14:paraId="03E5512E" w14:textId="77777777" w:rsidR="0010765E" w:rsidRPr="0010765E" w:rsidRDefault="0010765E" w:rsidP="0010765E">
            <w:pPr>
              <w:tabs>
                <w:tab w:val="decimal" w:pos="1181"/>
              </w:tabs>
              <w:rPr>
                <w:rFonts w:cs="Times New Roman"/>
                <w:szCs w:val="20"/>
              </w:rPr>
            </w:pPr>
          </w:p>
        </w:tc>
        <w:tc>
          <w:tcPr>
            <w:tcW w:w="917" w:type="pct"/>
            <w:vAlign w:val="bottom"/>
          </w:tcPr>
          <w:p w14:paraId="0F680125"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24009B18"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464AB977"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BB9EA97"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1CD75387" w14:textId="77777777" w:rsidTr="004B291E">
        <w:trPr>
          <w:cantSplit/>
          <w:jc w:val="center"/>
        </w:trPr>
        <w:tc>
          <w:tcPr>
            <w:tcW w:w="412" w:type="pct"/>
            <w:vAlign w:val="bottom"/>
          </w:tcPr>
          <w:p w14:paraId="7585E57E" w14:textId="69B20F09"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2038</w:t>
            </w:r>
          </w:p>
        </w:tc>
        <w:tc>
          <w:tcPr>
            <w:tcW w:w="917" w:type="pct"/>
            <w:vAlign w:val="bottom"/>
          </w:tcPr>
          <w:p w14:paraId="2CC20198" w14:textId="77777777" w:rsidR="0010765E" w:rsidRPr="0010765E" w:rsidRDefault="0010765E" w:rsidP="0010765E">
            <w:pPr>
              <w:tabs>
                <w:tab w:val="decimal" w:pos="1181"/>
              </w:tabs>
              <w:rPr>
                <w:rFonts w:cs="Times New Roman"/>
                <w:szCs w:val="20"/>
              </w:rPr>
            </w:pPr>
          </w:p>
        </w:tc>
        <w:tc>
          <w:tcPr>
            <w:tcW w:w="917" w:type="pct"/>
            <w:vAlign w:val="bottom"/>
          </w:tcPr>
          <w:p w14:paraId="29C3F093"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5CF0EE66"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21F6A555"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0E318566"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296C8B69" w14:textId="77777777" w:rsidTr="004B291E">
        <w:trPr>
          <w:cantSplit/>
          <w:jc w:val="center"/>
        </w:trPr>
        <w:tc>
          <w:tcPr>
            <w:tcW w:w="412" w:type="pct"/>
            <w:vAlign w:val="bottom"/>
          </w:tcPr>
          <w:p w14:paraId="0BAC21BC" w14:textId="33B3EC66"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2039</w:t>
            </w:r>
          </w:p>
        </w:tc>
        <w:tc>
          <w:tcPr>
            <w:tcW w:w="917" w:type="pct"/>
            <w:vAlign w:val="bottom"/>
          </w:tcPr>
          <w:p w14:paraId="6596EBE8" w14:textId="77777777" w:rsidR="0010765E" w:rsidRPr="0010765E" w:rsidRDefault="0010765E" w:rsidP="0010765E">
            <w:pPr>
              <w:tabs>
                <w:tab w:val="decimal" w:pos="1181"/>
              </w:tabs>
              <w:rPr>
                <w:rFonts w:cs="Times New Roman"/>
                <w:szCs w:val="20"/>
              </w:rPr>
            </w:pPr>
          </w:p>
        </w:tc>
        <w:tc>
          <w:tcPr>
            <w:tcW w:w="917" w:type="pct"/>
            <w:vAlign w:val="bottom"/>
          </w:tcPr>
          <w:p w14:paraId="69E50F7A"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138FA040"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0803846E"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09FC26E3"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3624D890" w14:textId="77777777" w:rsidTr="004B291E">
        <w:trPr>
          <w:cantSplit/>
          <w:jc w:val="center"/>
        </w:trPr>
        <w:tc>
          <w:tcPr>
            <w:tcW w:w="412" w:type="pct"/>
            <w:vAlign w:val="bottom"/>
          </w:tcPr>
          <w:p w14:paraId="442D16C8" w14:textId="1EF476E8"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2040</w:t>
            </w:r>
          </w:p>
        </w:tc>
        <w:tc>
          <w:tcPr>
            <w:tcW w:w="917" w:type="pct"/>
            <w:vAlign w:val="bottom"/>
          </w:tcPr>
          <w:p w14:paraId="10CFD61E" w14:textId="77777777" w:rsidR="0010765E" w:rsidRPr="0010765E" w:rsidRDefault="0010765E" w:rsidP="0010765E">
            <w:pPr>
              <w:tabs>
                <w:tab w:val="decimal" w:pos="1181"/>
              </w:tabs>
              <w:rPr>
                <w:rFonts w:cs="Times New Roman"/>
                <w:szCs w:val="20"/>
              </w:rPr>
            </w:pPr>
          </w:p>
        </w:tc>
        <w:tc>
          <w:tcPr>
            <w:tcW w:w="917" w:type="pct"/>
            <w:vAlign w:val="bottom"/>
          </w:tcPr>
          <w:p w14:paraId="1056001D"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4E4F0963"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4928054A"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1F5FB80F"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74D18641" w14:textId="77777777" w:rsidTr="004B291E">
        <w:trPr>
          <w:cantSplit/>
          <w:jc w:val="center"/>
        </w:trPr>
        <w:tc>
          <w:tcPr>
            <w:tcW w:w="412" w:type="pct"/>
            <w:vAlign w:val="bottom"/>
          </w:tcPr>
          <w:p w14:paraId="3E94E03C" w14:textId="5B73F5E3"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2041</w:t>
            </w:r>
          </w:p>
        </w:tc>
        <w:tc>
          <w:tcPr>
            <w:tcW w:w="917" w:type="pct"/>
            <w:vAlign w:val="bottom"/>
          </w:tcPr>
          <w:p w14:paraId="706B220E" w14:textId="77777777" w:rsidR="0010765E" w:rsidRPr="0010765E" w:rsidRDefault="0010765E" w:rsidP="0010765E">
            <w:pPr>
              <w:tabs>
                <w:tab w:val="decimal" w:pos="1181"/>
              </w:tabs>
              <w:rPr>
                <w:rFonts w:cs="Times New Roman"/>
                <w:szCs w:val="20"/>
              </w:rPr>
            </w:pPr>
          </w:p>
        </w:tc>
        <w:tc>
          <w:tcPr>
            <w:tcW w:w="917" w:type="pct"/>
            <w:vAlign w:val="bottom"/>
          </w:tcPr>
          <w:p w14:paraId="59065F22"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647C727E"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15412F22"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00B9D949"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25B6DD37" w14:textId="77777777" w:rsidTr="004B291E">
        <w:trPr>
          <w:cantSplit/>
          <w:jc w:val="center"/>
        </w:trPr>
        <w:tc>
          <w:tcPr>
            <w:tcW w:w="412" w:type="pct"/>
            <w:vAlign w:val="bottom"/>
          </w:tcPr>
          <w:p w14:paraId="2518696C" w14:textId="26CB7051"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2042</w:t>
            </w:r>
          </w:p>
        </w:tc>
        <w:tc>
          <w:tcPr>
            <w:tcW w:w="917" w:type="pct"/>
            <w:vAlign w:val="bottom"/>
          </w:tcPr>
          <w:p w14:paraId="3491125A" w14:textId="77777777" w:rsidR="0010765E" w:rsidRPr="0010765E" w:rsidRDefault="0010765E" w:rsidP="0010765E">
            <w:pPr>
              <w:tabs>
                <w:tab w:val="decimal" w:pos="1181"/>
              </w:tabs>
              <w:rPr>
                <w:rFonts w:cs="Times New Roman"/>
                <w:szCs w:val="20"/>
              </w:rPr>
            </w:pPr>
          </w:p>
        </w:tc>
        <w:tc>
          <w:tcPr>
            <w:tcW w:w="917" w:type="pct"/>
            <w:vAlign w:val="bottom"/>
          </w:tcPr>
          <w:p w14:paraId="3C79D06D"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283DB540"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625F0EF2"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73CD4AAE"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6F2B658B" w14:textId="77777777" w:rsidTr="004B291E">
        <w:trPr>
          <w:cantSplit/>
          <w:jc w:val="center"/>
        </w:trPr>
        <w:tc>
          <w:tcPr>
            <w:tcW w:w="412" w:type="pct"/>
            <w:vAlign w:val="bottom"/>
          </w:tcPr>
          <w:p w14:paraId="73513EF3" w14:textId="5EFEA891"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2043</w:t>
            </w:r>
          </w:p>
        </w:tc>
        <w:tc>
          <w:tcPr>
            <w:tcW w:w="917" w:type="pct"/>
            <w:vAlign w:val="bottom"/>
          </w:tcPr>
          <w:p w14:paraId="0EE8E46B" w14:textId="77777777" w:rsidR="0010765E" w:rsidRPr="0010765E" w:rsidRDefault="0010765E" w:rsidP="0010765E">
            <w:pPr>
              <w:tabs>
                <w:tab w:val="decimal" w:pos="1181"/>
              </w:tabs>
              <w:rPr>
                <w:rFonts w:cs="Times New Roman"/>
                <w:szCs w:val="20"/>
              </w:rPr>
            </w:pPr>
          </w:p>
        </w:tc>
        <w:tc>
          <w:tcPr>
            <w:tcW w:w="917" w:type="pct"/>
            <w:vAlign w:val="bottom"/>
          </w:tcPr>
          <w:p w14:paraId="178FA554"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7CC653CA"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5F896923"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5934E30"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6388AC1F" w14:textId="77777777" w:rsidTr="004B291E">
        <w:trPr>
          <w:cantSplit/>
          <w:jc w:val="center"/>
        </w:trPr>
        <w:tc>
          <w:tcPr>
            <w:tcW w:w="412" w:type="pct"/>
            <w:vAlign w:val="bottom"/>
          </w:tcPr>
          <w:p w14:paraId="6EE38B17" w14:textId="0851C940"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2044</w:t>
            </w:r>
          </w:p>
        </w:tc>
        <w:tc>
          <w:tcPr>
            <w:tcW w:w="917" w:type="pct"/>
            <w:vAlign w:val="bottom"/>
          </w:tcPr>
          <w:p w14:paraId="2A5BEC77" w14:textId="77777777" w:rsidR="0010765E" w:rsidRPr="0010765E" w:rsidRDefault="0010765E" w:rsidP="0010765E">
            <w:pPr>
              <w:tabs>
                <w:tab w:val="decimal" w:pos="1181"/>
              </w:tabs>
              <w:rPr>
                <w:rFonts w:cs="Times New Roman"/>
                <w:szCs w:val="20"/>
              </w:rPr>
            </w:pPr>
          </w:p>
        </w:tc>
        <w:tc>
          <w:tcPr>
            <w:tcW w:w="917" w:type="pct"/>
            <w:vAlign w:val="bottom"/>
          </w:tcPr>
          <w:p w14:paraId="238B557E"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335B8875"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598EC77F"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5588288E"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6A230794" w14:textId="77777777" w:rsidTr="004B291E">
        <w:trPr>
          <w:cantSplit/>
          <w:jc w:val="center"/>
        </w:trPr>
        <w:tc>
          <w:tcPr>
            <w:tcW w:w="412" w:type="pct"/>
            <w:vAlign w:val="bottom"/>
          </w:tcPr>
          <w:p w14:paraId="0D40079E" w14:textId="21D3A481"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2045</w:t>
            </w:r>
          </w:p>
        </w:tc>
        <w:tc>
          <w:tcPr>
            <w:tcW w:w="917" w:type="pct"/>
            <w:vAlign w:val="bottom"/>
          </w:tcPr>
          <w:p w14:paraId="6C70F084" w14:textId="77777777" w:rsidR="0010765E" w:rsidRPr="0010765E" w:rsidRDefault="0010765E" w:rsidP="0010765E">
            <w:pPr>
              <w:tabs>
                <w:tab w:val="decimal" w:pos="1181"/>
              </w:tabs>
              <w:rPr>
                <w:rFonts w:cs="Times New Roman"/>
                <w:szCs w:val="20"/>
              </w:rPr>
            </w:pPr>
          </w:p>
        </w:tc>
        <w:tc>
          <w:tcPr>
            <w:tcW w:w="917" w:type="pct"/>
            <w:vAlign w:val="bottom"/>
          </w:tcPr>
          <w:p w14:paraId="43C7FA07"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69CFC4F8"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62C4438B"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1E602974"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30BD5A11" w14:textId="77777777" w:rsidTr="004B291E">
        <w:trPr>
          <w:cantSplit/>
          <w:jc w:val="center"/>
        </w:trPr>
        <w:tc>
          <w:tcPr>
            <w:tcW w:w="412" w:type="pct"/>
            <w:vAlign w:val="bottom"/>
          </w:tcPr>
          <w:p w14:paraId="5CE69AB2" w14:textId="635779D3"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2046</w:t>
            </w:r>
          </w:p>
        </w:tc>
        <w:tc>
          <w:tcPr>
            <w:tcW w:w="917" w:type="pct"/>
            <w:vAlign w:val="bottom"/>
          </w:tcPr>
          <w:p w14:paraId="15C98804" w14:textId="77777777" w:rsidR="0010765E" w:rsidRPr="0010765E" w:rsidRDefault="0010765E" w:rsidP="0010765E">
            <w:pPr>
              <w:tabs>
                <w:tab w:val="decimal" w:pos="1181"/>
              </w:tabs>
              <w:rPr>
                <w:rFonts w:cs="Times New Roman"/>
                <w:szCs w:val="20"/>
              </w:rPr>
            </w:pPr>
          </w:p>
        </w:tc>
        <w:tc>
          <w:tcPr>
            <w:tcW w:w="917" w:type="pct"/>
            <w:vAlign w:val="bottom"/>
          </w:tcPr>
          <w:p w14:paraId="6F73C3C3"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472A0687"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32493818"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DF9BC66"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751A5036" w14:textId="77777777" w:rsidTr="004B291E">
        <w:trPr>
          <w:cantSplit/>
          <w:jc w:val="center"/>
        </w:trPr>
        <w:tc>
          <w:tcPr>
            <w:tcW w:w="412" w:type="pct"/>
            <w:vAlign w:val="bottom"/>
          </w:tcPr>
          <w:p w14:paraId="6B34FCD0" w14:textId="73CBD662"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2047</w:t>
            </w:r>
          </w:p>
        </w:tc>
        <w:tc>
          <w:tcPr>
            <w:tcW w:w="917" w:type="pct"/>
            <w:vAlign w:val="bottom"/>
          </w:tcPr>
          <w:p w14:paraId="6AD3B211" w14:textId="77777777" w:rsidR="0010765E" w:rsidRPr="0010765E" w:rsidRDefault="0010765E" w:rsidP="0010765E">
            <w:pPr>
              <w:tabs>
                <w:tab w:val="decimal" w:pos="1181"/>
              </w:tabs>
              <w:rPr>
                <w:rFonts w:cs="Times New Roman"/>
                <w:szCs w:val="20"/>
              </w:rPr>
            </w:pPr>
          </w:p>
        </w:tc>
        <w:tc>
          <w:tcPr>
            <w:tcW w:w="917" w:type="pct"/>
            <w:vAlign w:val="bottom"/>
          </w:tcPr>
          <w:p w14:paraId="566335C7"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3712FA05"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6E0E6CC7"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3A6FFBC4"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1483B7A8" w14:textId="77777777" w:rsidTr="004B291E">
        <w:trPr>
          <w:cantSplit/>
          <w:jc w:val="center"/>
        </w:trPr>
        <w:tc>
          <w:tcPr>
            <w:tcW w:w="412" w:type="pct"/>
            <w:vAlign w:val="bottom"/>
          </w:tcPr>
          <w:p w14:paraId="0D8428CC" w14:textId="22BBC3E5"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2048</w:t>
            </w:r>
          </w:p>
        </w:tc>
        <w:tc>
          <w:tcPr>
            <w:tcW w:w="917" w:type="pct"/>
            <w:vAlign w:val="bottom"/>
          </w:tcPr>
          <w:p w14:paraId="221DD348" w14:textId="77777777" w:rsidR="0010765E" w:rsidRPr="0010765E" w:rsidRDefault="0010765E" w:rsidP="0010765E">
            <w:pPr>
              <w:tabs>
                <w:tab w:val="decimal" w:pos="1181"/>
              </w:tabs>
              <w:rPr>
                <w:rFonts w:cs="Times New Roman"/>
                <w:szCs w:val="20"/>
              </w:rPr>
            </w:pPr>
          </w:p>
        </w:tc>
        <w:tc>
          <w:tcPr>
            <w:tcW w:w="917" w:type="pct"/>
            <w:vAlign w:val="bottom"/>
          </w:tcPr>
          <w:p w14:paraId="6D3F3B55"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2DD42557"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3EA93F04"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7DE35012"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1828E0BC" w14:textId="77777777" w:rsidTr="004B291E">
        <w:trPr>
          <w:cantSplit/>
          <w:jc w:val="center"/>
        </w:trPr>
        <w:tc>
          <w:tcPr>
            <w:tcW w:w="412" w:type="pct"/>
            <w:vAlign w:val="bottom"/>
          </w:tcPr>
          <w:p w14:paraId="1C2957EA" w14:textId="59C5634E"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2049</w:t>
            </w:r>
          </w:p>
        </w:tc>
        <w:tc>
          <w:tcPr>
            <w:tcW w:w="917" w:type="pct"/>
            <w:vAlign w:val="bottom"/>
          </w:tcPr>
          <w:p w14:paraId="791E621A" w14:textId="77777777" w:rsidR="0010765E" w:rsidRPr="0010765E" w:rsidRDefault="0010765E" w:rsidP="0010765E">
            <w:pPr>
              <w:tabs>
                <w:tab w:val="decimal" w:pos="1181"/>
              </w:tabs>
              <w:rPr>
                <w:rFonts w:cs="Times New Roman"/>
                <w:szCs w:val="20"/>
              </w:rPr>
            </w:pPr>
          </w:p>
        </w:tc>
        <w:tc>
          <w:tcPr>
            <w:tcW w:w="917" w:type="pct"/>
            <w:vAlign w:val="bottom"/>
          </w:tcPr>
          <w:p w14:paraId="1DA68532"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18508B7C"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6503CFFD"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5E4F02BC"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20B592D4" w14:textId="77777777" w:rsidTr="004B291E">
        <w:trPr>
          <w:cantSplit/>
          <w:jc w:val="center"/>
        </w:trPr>
        <w:tc>
          <w:tcPr>
            <w:tcW w:w="412" w:type="pct"/>
            <w:vAlign w:val="bottom"/>
          </w:tcPr>
          <w:p w14:paraId="73423821" w14:textId="2D658C2C"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2050</w:t>
            </w:r>
          </w:p>
        </w:tc>
        <w:tc>
          <w:tcPr>
            <w:tcW w:w="917" w:type="pct"/>
            <w:vAlign w:val="bottom"/>
          </w:tcPr>
          <w:p w14:paraId="4E702DCB" w14:textId="77777777" w:rsidR="0010765E" w:rsidRPr="0010765E" w:rsidRDefault="0010765E" w:rsidP="0010765E">
            <w:pPr>
              <w:tabs>
                <w:tab w:val="decimal" w:pos="1181"/>
              </w:tabs>
              <w:rPr>
                <w:rFonts w:cs="Times New Roman"/>
                <w:szCs w:val="20"/>
              </w:rPr>
            </w:pPr>
          </w:p>
        </w:tc>
        <w:tc>
          <w:tcPr>
            <w:tcW w:w="917" w:type="pct"/>
            <w:vAlign w:val="bottom"/>
          </w:tcPr>
          <w:p w14:paraId="40999C7D"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601535C9"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rPr>
            </w:pPr>
          </w:p>
        </w:tc>
        <w:tc>
          <w:tcPr>
            <w:tcW w:w="917" w:type="pct"/>
          </w:tcPr>
          <w:p w14:paraId="28BD39B6"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rPr>
            </w:pPr>
          </w:p>
        </w:tc>
        <w:tc>
          <w:tcPr>
            <w:tcW w:w="919" w:type="pct"/>
          </w:tcPr>
          <w:p w14:paraId="7E5BBED9"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0AF10B0B" w14:textId="77777777" w:rsidTr="004B291E">
        <w:trPr>
          <w:cantSplit/>
          <w:jc w:val="center"/>
        </w:trPr>
        <w:tc>
          <w:tcPr>
            <w:tcW w:w="412" w:type="pct"/>
            <w:vAlign w:val="bottom"/>
          </w:tcPr>
          <w:p w14:paraId="70CE9C90" w14:textId="63647CFB"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2051</w:t>
            </w:r>
          </w:p>
        </w:tc>
        <w:tc>
          <w:tcPr>
            <w:tcW w:w="917" w:type="pct"/>
            <w:vAlign w:val="bottom"/>
          </w:tcPr>
          <w:p w14:paraId="41594071" w14:textId="77777777" w:rsidR="0010765E" w:rsidRPr="0010765E" w:rsidRDefault="0010765E" w:rsidP="0010765E">
            <w:pPr>
              <w:tabs>
                <w:tab w:val="decimal" w:pos="1181"/>
              </w:tabs>
              <w:rPr>
                <w:rFonts w:cs="Times New Roman"/>
                <w:szCs w:val="20"/>
                <w:u w:val="single"/>
              </w:rPr>
            </w:pPr>
          </w:p>
        </w:tc>
        <w:tc>
          <w:tcPr>
            <w:tcW w:w="917" w:type="pct"/>
            <w:vAlign w:val="bottom"/>
          </w:tcPr>
          <w:p w14:paraId="1809F9E8"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c>
          <w:tcPr>
            <w:tcW w:w="917" w:type="pct"/>
          </w:tcPr>
          <w:p w14:paraId="51C4FE5D"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u w:val="single"/>
              </w:rPr>
            </w:pPr>
          </w:p>
        </w:tc>
        <w:tc>
          <w:tcPr>
            <w:tcW w:w="917" w:type="pct"/>
          </w:tcPr>
          <w:p w14:paraId="0D5F21C3"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u w:val="single"/>
              </w:rPr>
            </w:pPr>
          </w:p>
        </w:tc>
        <w:tc>
          <w:tcPr>
            <w:tcW w:w="919" w:type="pct"/>
          </w:tcPr>
          <w:p w14:paraId="159EDF81"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rPr>
            </w:pPr>
          </w:p>
        </w:tc>
      </w:tr>
      <w:tr w:rsidR="0010765E" w:rsidRPr="0010765E" w14:paraId="107740DA" w14:textId="77777777" w:rsidTr="004B291E">
        <w:trPr>
          <w:cantSplit/>
          <w:jc w:val="center"/>
        </w:trPr>
        <w:tc>
          <w:tcPr>
            <w:tcW w:w="412" w:type="pct"/>
            <w:vAlign w:val="bottom"/>
          </w:tcPr>
          <w:p w14:paraId="5C415ACB" w14:textId="394FF9E7"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2052</w:t>
            </w:r>
          </w:p>
        </w:tc>
        <w:tc>
          <w:tcPr>
            <w:tcW w:w="917" w:type="pct"/>
            <w:vAlign w:val="bottom"/>
          </w:tcPr>
          <w:p w14:paraId="5245079E" w14:textId="77777777" w:rsidR="0010765E" w:rsidRPr="0010765E" w:rsidRDefault="0010765E" w:rsidP="0010765E">
            <w:pPr>
              <w:tabs>
                <w:tab w:val="decimal" w:pos="1181"/>
              </w:tabs>
              <w:rPr>
                <w:rFonts w:cs="Times New Roman"/>
                <w:szCs w:val="20"/>
                <w:u w:val="single"/>
              </w:rPr>
            </w:pPr>
          </w:p>
        </w:tc>
        <w:tc>
          <w:tcPr>
            <w:tcW w:w="917" w:type="pct"/>
            <w:vAlign w:val="bottom"/>
          </w:tcPr>
          <w:p w14:paraId="3D422B7D"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c>
          <w:tcPr>
            <w:tcW w:w="917" w:type="pct"/>
            <w:vAlign w:val="bottom"/>
          </w:tcPr>
          <w:p w14:paraId="2E8B3440"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u w:val="single"/>
              </w:rPr>
            </w:pPr>
          </w:p>
        </w:tc>
        <w:tc>
          <w:tcPr>
            <w:tcW w:w="917" w:type="pct"/>
          </w:tcPr>
          <w:p w14:paraId="2D604CEC"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u w:val="single"/>
              </w:rPr>
            </w:pPr>
          </w:p>
        </w:tc>
        <w:tc>
          <w:tcPr>
            <w:tcW w:w="919" w:type="pct"/>
          </w:tcPr>
          <w:p w14:paraId="6273D31F"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r>
      <w:tr w:rsidR="0010765E" w:rsidRPr="0010765E" w14:paraId="4DE73EAE" w14:textId="77777777" w:rsidTr="004B291E">
        <w:trPr>
          <w:cantSplit/>
          <w:jc w:val="center"/>
        </w:trPr>
        <w:tc>
          <w:tcPr>
            <w:tcW w:w="412" w:type="pct"/>
            <w:vAlign w:val="bottom"/>
          </w:tcPr>
          <w:p w14:paraId="49FFB6F3" w14:textId="56503B90"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2053</w:t>
            </w:r>
          </w:p>
        </w:tc>
        <w:tc>
          <w:tcPr>
            <w:tcW w:w="917" w:type="pct"/>
            <w:vAlign w:val="bottom"/>
          </w:tcPr>
          <w:p w14:paraId="721A5440" w14:textId="77777777" w:rsidR="0010765E" w:rsidRPr="0010765E" w:rsidRDefault="0010765E" w:rsidP="0010765E">
            <w:pPr>
              <w:tabs>
                <w:tab w:val="decimal" w:pos="1181"/>
              </w:tabs>
              <w:rPr>
                <w:rFonts w:cs="Times New Roman"/>
                <w:szCs w:val="20"/>
                <w:u w:val="single"/>
              </w:rPr>
            </w:pPr>
          </w:p>
        </w:tc>
        <w:tc>
          <w:tcPr>
            <w:tcW w:w="917" w:type="pct"/>
            <w:vAlign w:val="bottom"/>
          </w:tcPr>
          <w:p w14:paraId="771F227E"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c>
          <w:tcPr>
            <w:tcW w:w="917" w:type="pct"/>
            <w:vAlign w:val="bottom"/>
          </w:tcPr>
          <w:p w14:paraId="007B36BC"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u w:val="single"/>
              </w:rPr>
            </w:pPr>
          </w:p>
        </w:tc>
        <w:tc>
          <w:tcPr>
            <w:tcW w:w="917" w:type="pct"/>
          </w:tcPr>
          <w:p w14:paraId="11EF809F"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u w:val="single"/>
              </w:rPr>
            </w:pPr>
          </w:p>
        </w:tc>
        <w:tc>
          <w:tcPr>
            <w:tcW w:w="919" w:type="pct"/>
          </w:tcPr>
          <w:p w14:paraId="2C2621B1"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r>
      <w:tr w:rsidR="0010765E" w:rsidRPr="0010765E" w14:paraId="6511B6AA" w14:textId="77777777" w:rsidTr="004B291E">
        <w:trPr>
          <w:cantSplit/>
          <w:jc w:val="center"/>
        </w:trPr>
        <w:tc>
          <w:tcPr>
            <w:tcW w:w="412" w:type="pct"/>
            <w:vAlign w:val="bottom"/>
          </w:tcPr>
          <w:p w14:paraId="3B5C8452" w14:textId="1CD70068"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2054</w:t>
            </w:r>
          </w:p>
        </w:tc>
        <w:tc>
          <w:tcPr>
            <w:tcW w:w="917" w:type="pct"/>
            <w:vAlign w:val="bottom"/>
          </w:tcPr>
          <w:p w14:paraId="674D1D8C" w14:textId="77777777" w:rsidR="0010765E" w:rsidRPr="0010765E" w:rsidRDefault="0010765E" w:rsidP="0010765E">
            <w:pPr>
              <w:tabs>
                <w:tab w:val="decimal" w:pos="1181"/>
              </w:tabs>
              <w:rPr>
                <w:rFonts w:cs="Times New Roman"/>
                <w:szCs w:val="20"/>
                <w:u w:val="single"/>
              </w:rPr>
            </w:pPr>
          </w:p>
        </w:tc>
        <w:tc>
          <w:tcPr>
            <w:tcW w:w="917" w:type="pct"/>
            <w:vAlign w:val="bottom"/>
          </w:tcPr>
          <w:p w14:paraId="147362F2"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c>
          <w:tcPr>
            <w:tcW w:w="917" w:type="pct"/>
            <w:vAlign w:val="bottom"/>
          </w:tcPr>
          <w:p w14:paraId="29A7A4A6"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u w:val="single"/>
              </w:rPr>
            </w:pPr>
          </w:p>
        </w:tc>
        <w:tc>
          <w:tcPr>
            <w:tcW w:w="917" w:type="pct"/>
          </w:tcPr>
          <w:p w14:paraId="1F6439C4"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u w:val="single"/>
              </w:rPr>
            </w:pPr>
          </w:p>
        </w:tc>
        <w:tc>
          <w:tcPr>
            <w:tcW w:w="919" w:type="pct"/>
          </w:tcPr>
          <w:p w14:paraId="6308D64A"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r>
      <w:tr w:rsidR="0010765E" w:rsidRPr="0010765E" w14:paraId="3B82E51D" w14:textId="77777777" w:rsidTr="004B291E">
        <w:trPr>
          <w:cantSplit/>
          <w:jc w:val="center"/>
        </w:trPr>
        <w:tc>
          <w:tcPr>
            <w:tcW w:w="412" w:type="pct"/>
            <w:vAlign w:val="bottom"/>
          </w:tcPr>
          <w:p w14:paraId="628497A3" w14:textId="3E8F3561" w:rsidR="0010765E" w:rsidRPr="0010765E" w:rsidRDefault="0010765E" w:rsidP="0010765E">
            <w:pPr>
              <w:pStyle w:val="00BodyText5"/>
              <w:keepNext/>
              <w:keepLines/>
              <w:spacing w:after="0"/>
              <w:ind w:firstLine="0"/>
              <w:jc w:val="center"/>
              <w:rPr>
                <w:rFonts w:cs="Times New Roman"/>
                <w:color w:val="000000"/>
                <w:sz w:val="20"/>
                <w:szCs w:val="20"/>
              </w:rPr>
            </w:pPr>
            <w:r w:rsidRPr="0010765E">
              <w:rPr>
                <w:rFonts w:cs="Times New Roman"/>
                <w:color w:val="000000"/>
                <w:sz w:val="20"/>
                <w:szCs w:val="20"/>
              </w:rPr>
              <w:t>2055</w:t>
            </w:r>
          </w:p>
        </w:tc>
        <w:tc>
          <w:tcPr>
            <w:tcW w:w="917" w:type="pct"/>
            <w:vAlign w:val="bottom"/>
          </w:tcPr>
          <w:p w14:paraId="13BA4366" w14:textId="77777777" w:rsidR="0010765E" w:rsidRPr="0010765E" w:rsidRDefault="0010765E" w:rsidP="0010765E">
            <w:pPr>
              <w:tabs>
                <w:tab w:val="decimal" w:pos="1181"/>
              </w:tabs>
              <w:rPr>
                <w:rFonts w:cs="Times New Roman"/>
                <w:szCs w:val="20"/>
                <w:u w:val="single"/>
              </w:rPr>
            </w:pPr>
          </w:p>
        </w:tc>
        <w:tc>
          <w:tcPr>
            <w:tcW w:w="917" w:type="pct"/>
            <w:vAlign w:val="bottom"/>
          </w:tcPr>
          <w:p w14:paraId="6BB86B35"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c>
          <w:tcPr>
            <w:tcW w:w="917" w:type="pct"/>
            <w:vAlign w:val="bottom"/>
          </w:tcPr>
          <w:p w14:paraId="1CF5B137"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u w:val="single"/>
              </w:rPr>
            </w:pPr>
          </w:p>
        </w:tc>
        <w:tc>
          <w:tcPr>
            <w:tcW w:w="917" w:type="pct"/>
          </w:tcPr>
          <w:p w14:paraId="189C4042"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u w:val="single"/>
              </w:rPr>
            </w:pPr>
          </w:p>
        </w:tc>
        <w:tc>
          <w:tcPr>
            <w:tcW w:w="919" w:type="pct"/>
          </w:tcPr>
          <w:p w14:paraId="3D59DD13"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r>
      <w:tr w:rsidR="0010765E" w:rsidRPr="0010765E" w14:paraId="31ED0ACD" w14:textId="77777777" w:rsidTr="004B291E">
        <w:trPr>
          <w:cantSplit/>
          <w:jc w:val="center"/>
        </w:trPr>
        <w:tc>
          <w:tcPr>
            <w:tcW w:w="412" w:type="pct"/>
            <w:vAlign w:val="bottom"/>
          </w:tcPr>
          <w:p w14:paraId="7399732B" w14:textId="67634F27" w:rsidR="0010765E" w:rsidRPr="0010765E" w:rsidRDefault="0010765E" w:rsidP="0010765E">
            <w:pPr>
              <w:pStyle w:val="00BodyText5"/>
              <w:keepNext/>
              <w:keepLines/>
              <w:spacing w:after="0"/>
              <w:ind w:firstLine="0"/>
              <w:jc w:val="center"/>
              <w:rPr>
                <w:rFonts w:cs="Times New Roman"/>
                <w:sz w:val="20"/>
                <w:szCs w:val="20"/>
              </w:rPr>
            </w:pPr>
            <w:r w:rsidRPr="0010765E">
              <w:rPr>
                <w:rFonts w:cs="Times New Roman"/>
                <w:color w:val="000000"/>
                <w:sz w:val="20"/>
                <w:szCs w:val="20"/>
              </w:rPr>
              <w:t>2056</w:t>
            </w:r>
          </w:p>
        </w:tc>
        <w:tc>
          <w:tcPr>
            <w:tcW w:w="917" w:type="pct"/>
            <w:vAlign w:val="bottom"/>
          </w:tcPr>
          <w:p w14:paraId="60E42989" w14:textId="77777777" w:rsidR="0010765E" w:rsidRPr="0010765E" w:rsidRDefault="0010765E" w:rsidP="0010765E">
            <w:pPr>
              <w:tabs>
                <w:tab w:val="decimal" w:pos="1181"/>
              </w:tabs>
              <w:rPr>
                <w:rFonts w:cs="Times New Roman"/>
                <w:szCs w:val="20"/>
                <w:u w:val="single"/>
              </w:rPr>
            </w:pPr>
          </w:p>
        </w:tc>
        <w:tc>
          <w:tcPr>
            <w:tcW w:w="917" w:type="pct"/>
            <w:vAlign w:val="bottom"/>
          </w:tcPr>
          <w:p w14:paraId="2C1A62C8"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c>
          <w:tcPr>
            <w:tcW w:w="917" w:type="pct"/>
            <w:vAlign w:val="bottom"/>
          </w:tcPr>
          <w:p w14:paraId="0B4C6FB9" w14:textId="77777777" w:rsidR="0010765E" w:rsidRPr="0010765E" w:rsidRDefault="0010765E" w:rsidP="0010765E">
            <w:pPr>
              <w:pStyle w:val="00BodyText5"/>
              <w:keepNext/>
              <w:keepLines/>
              <w:tabs>
                <w:tab w:val="decimal" w:pos="1272"/>
              </w:tabs>
              <w:spacing w:after="0"/>
              <w:ind w:firstLine="0"/>
              <w:jc w:val="left"/>
              <w:rPr>
                <w:rFonts w:cs="Times New Roman"/>
                <w:sz w:val="20"/>
                <w:szCs w:val="20"/>
                <w:u w:val="single"/>
              </w:rPr>
            </w:pPr>
          </w:p>
        </w:tc>
        <w:tc>
          <w:tcPr>
            <w:tcW w:w="917" w:type="pct"/>
          </w:tcPr>
          <w:p w14:paraId="0E66B040" w14:textId="77777777" w:rsidR="0010765E" w:rsidRPr="0010765E" w:rsidRDefault="0010765E" w:rsidP="0010765E">
            <w:pPr>
              <w:pStyle w:val="00BodyText5"/>
              <w:keepNext/>
              <w:keepLines/>
              <w:tabs>
                <w:tab w:val="decimal" w:pos="1164"/>
              </w:tabs>
              <w:spacing w:after="0"/>
              <w:ind w:firstLine="0"/>
              <w:jc w:val="left"/>
              <w:rPr>
                <w:rFonts w:cs="Times New Roman"/>
                <w:sz w:val="20"/>
                <w:szCs w:val="20"/>
                <w:u w:val="single"/>
              </w:rPr>
            </w:pPr>
          </w:p>
        </w:tc>
        <w:tc>
          <w:tcPr>
            <w:tcW w:w="919" w:type="pct"/>
          </w:tcPr>
          <w:p w14:paraId="148448E4" w14:textId="77777777" w:rsidR="0010765E" w:rsidRPr="0010765E" w:rsidRDefault="0010765E" w:rsidP="0010765E">
            <w:pPr>
              <w:pStyle w:val="00BodyText5"/>
              <w:keepNext/>
              <w:keepLines/>
              <w:tabs>
                <w:tab w:val="decimal" w:pos="1181"/>
              </w:tabs>
              <w:spacing w:after="0"/>
              <w:ind w:firstLine="0"/>
              <w:jc w:val="left"/>
              <w:rPr>
                <w:rFonts w:cs="Times New Roman"/>
                <w:sz w:val="20"/>
                <w:szCs w:val="20"/>
                <w:u w:val="single"/>
              </w:rPr>
            </w:pPr>
          </w:p>
        </w:tc>
      </w:tr>
      <w:tr w:rsidR="00EF21D5" w:rsidRPr="0010765E" w14:paraId="5624FFA9" w14:textId="77777777" w:rsidTr="004B291E">
        <w:trPr>
          <w:cantSplit/>
          <w:jc w:val="center"/>
        </w:trPr>
        <w:tc>
          <w:tcPr>
            <w:tcW w:w="412" w:type="pct"/>
            <w:vAlign w:val="bottom"/>
          </w:tcPr>
          <w:p w14:paraId="318F748B" w14:textId="28E7D892" w:rsidR="00EF21D5" w:rsidRPr="0010765E" w:rsidRDefault="00EF21D5" w:rsidP="0010765E">
            <w:pPr>
              <w:pStyle w:val="00BodyText5"/>
              <w:keepNext/>
              <w:keepLines/>
              <w:spacing w:after="0"/>
              <w:ind w:firstLine="0"/>
              <w:jc w:val="center"/>
              <w:rPr>
                <w:rFonts w:cs="Times New Roman"/>
                <w:color w:val="000000"/>
                <w:sz w:val="20"/>
                <w:szCs w:val="20"/>
              </w:rPr>
            </w:pPr>
            <w:r>
              <w:rPr>
                <w:rFonts w:cs="Times New Roman"/>
                <w:color w:val="000000"/>
                <w:sz w:val="20"/>
                <w:szCs w:val="20"/>
              </w:rPr>
              <w:t>2057</w:t>
            </w:r>
          </w:p>
        </w:tc>
        <w:tc>
          <w:tcPr>
            <w:tcW w:w="917" w:type="pct"/>
            <w:vAlign w:val="bottom"/>
          </w:tcPr>
          <w:p w14:paraId="6776C97E" w14:textId="77777777" w:rsidR="00EF21D5" w:rsidRPr="0010765E" w:rsidRDefault="00EF21D5" w:rsidP="0010765E">
            <w:pPr>
              <w:tabs>
                <w:tab w:val="decimal" w:pos="1181"/>
              </w:tabs>
              <w:rPr>
                <w:rFonts w:cs="Times New Roman"/>
                <w:szCs w:val="20"/>
                <w:u w:val="single"/>
              </w:rPr>
            </w:pPr>
          </w:p>
        </w:tc>
        <w:tc>
          <w:tcPr>
            <w:tcW w:w="917" w:type="pct"/>
            <w:vAlign w:val="bottom"/>
          </w:tcPr>
          <w:p w14:paraId="531CCE2C" w14:textId="77777777" w:rsidR="00EF21D5" w:rsidRPr="0010765E" w:rsidRDefault="00EF21D5" w:rsidP="0010765E">
            <w:pPr>
              <w:pStyle w:val="00BodyText5"/>
              <w:keepNext/>
              <w:keepLines/>
              <w:tabs>
                <w:tab w:val="decimal" w:pos="1181"/>
              </w:tabs>
              <w:spacing w:after="0"/>
              <w:ind w:firstLine="0"/>
              <w:jc w:val="left"/>
              <w:rPr>
                <w:rFonts w:cs="Times New Roman"/>
                <w:sz w:val="20"/>
                <w:szCs w:val="20"/>
                <w:u w:val="single"/>
              </w:rPr>
            </w:pPr>
          </w:p>
        </w:tc>
        <w:tc>
          <w:tcPr>
            <w:tcW w:w="917" w:type="pct"/>
            <w:vAlign w:val="bottom"/>
          </w:tcPr>
          <w:p w14:paraId="131E614D" w14:textId="77777777" w:rsidR="00EF21D5" w:rsidRPr="0010765E" w:rsidRDefault="00EF21D5" w:rsidP="0010765E">
            <w:pPr>
              <w:pStyle w:val="00BodyText5"/>
              <w:keepNext/>
              <w:keepLines/>
              <w:tabs>
                <w:tab w:val="decimal" w:pos="1272"/>
              </w:tabs>
              <w:spacing w:after="0"/>
              <w:ind w:firstLine="0"/>
              <w:jc w:val="left"/>
              <w:rPr>
                <w:rFonts w:cs="Times New Roman"/>
                <w:sz w:val="20"/>
                <w:szCs w:val="20"/>
                <w:u w:val="single"/>
              </w:rPr>
            </w:pPr>
          </w:p>
        </w:tc>
        <w:tc>
          <w:tcPr>
            <w:tcW w:w="917" w:type="pct"/>
          </w:tcPr>
          <w:p w14:paraId="0F878F5B" w14:textId="77777777" w:rsidR="00EF21D5" w:rsidRPr="0010765E" w:rsidRDefault="00EF21D5" w:rsidP="0010765E">
            <w:pPr>
              <w:pStyle w:val="00BodyText5"/>
              <w:keepNext/>
              <w:keepLines/>
              <w:tabs>
                <w:tab w:val="decimal" w:pos="1164"/>
              </w:tabs>
              <w:spacing w:after="0"/>
              <w:ind w:firstLine="0"/>
              <w:jc w:val="left"/>
              <w:rPr>
                <w:rFonts w:cs="Times New Roman"/>
                <w:sz w:val="20"/>
                <w:szCs w:val="20"/>
                <w:u w:val="single"/>
              </w:rPr>
            </w:pPr>
          </w:p>
        </w:tc>
        <w:tc>
          <w:tcPr>
            <w:tcW w:w="919" w:type="pct"/>
          </w:tcPr>
          <w:p w14:paraId="5E935B5E" w14:textId="77777777" w:rsidR="00EF21D5" w:rsidRPr="0010765E" w:rsidRDefault="00EF21D5" w:rsidP="0010765E">
            <w:pPr>
              <w:pStyle w:val="00BodyText5"/>
              <w:keepNext/>
              <w:keepLines/>
              <w:tabs>
                <w:tab w:val="decimal" w:pos="1181"/>
              </w:tabs>
              <w:spacing w:after="0"/>
              <w:ind w:firstLine="0"/>
              <w:jc w:val="left"/>
              <w:rPr>
                <w:rFonts w:cs="Times New Roman"/>
                <w:sz w:val="20"/>
                <w:szCs w:val="20"/>
                <w:u w:val="single"/>
              </w:rPr>
            </w:pPr>
          </w:p>
        </w:tc>
      </w:tr>
      <w:tr w:rsidR="0010765E" w:rsidRPr="0010765E" w14:paraId="5AA1228F" w14:textId="77777777" w:rsidTr="004B291E">
        <w:trPr>
          <w:cantSplit/>
          <w:jc w:val="center"/>
        </w:trPr>
        <w:tc>
          <w:tcPr>
            <w:tcW w:w="412" w:type="pct"/>
            <w:vAlign w:val="bottom"/>
          </w:tcPr>
          <w:p w14:paraId="6DC4283F" w14:textId="77777777" w:rsidR="0010765E" w:rsidRPr="0010765E" w:rsidRDefault="0010765E" w:rsidP="004B291E">
            <w:pPr>
              <w:pStyle w:val="00BodyText5"/>
              <w:keepNext/>
              <w:keepLines/>
              <w:spacing w:after="0"/>
              <w:ind w:firstLine="0"/>
              <w:jc w:val="center"/>
              <w:rPr>
                <w:rFonts w:cs="Times New Roman"/>
                <w:sz w:val="20"/>
                <w:szCs w:val="20"/>
              </w:rPr>
            </w:pPr>
            <w:r w:rsidRPr="0010765E">
              <w:rPr>
                <w:rFonts w:cs="Times New Roman"/>
                <w:sz w:val="20"/>
                <w:szCs w:val="20"/>
              </w:rPr>
              <w:t>Total</w:t>
            </w:r>
          </w:p>
        </w:tc>
        <w:tc>
          <w:tcPr>
            <w:tcW w:w="917" w:type="pct"/>
            <w:vAlign w:val="bottom"/>
          </w:tcPr>
          <w:p w14:paraId="1948E78F" w14:textId="77777777" w:rsidR="0010765E" w:rsidRPr="0010765E" w:rsidRDefault="0010765E" w:rsidP="004B291E">
            <w:pPr>
              <w:tabs>
                <w:tab w:val="decimal" w:pos="1181"/>
              </w:tabs>
              <w:rPr>
                <w:rFonts w:cs="Times New Roman"/>
                <w:szCs w:val="20"/>
                <w:u w:val="double"/>
              </w:rPr>
            </w:pPr>
          </w:p>
        </w:tc>
        <w:tc>
          <w:tcPr>
            <w:tcW w:w="917" w:type="pct"/>
            <w:vAlign w:val="bottom"/>
          </w:tcPr>
          <w:p w14:paraId="1CE8175E" w14:textId="77777777" w:rsidR="0010765E" w:rsidRPr="0010765E" w:rsidRDefault="0010765E" w:rsidP="004B291E">
            <w:pPr>
              <w:pStyle w:val="00BodyText5"/>
              <w:keepNext/>
              <w:keepLines/>
              <w:tabs>
                <w:tab w:val="decimal" w:pos="1181"/>
              </w:tabs>
              <w:spacing w:after="0"/>
              <w:ind w:firstLine="0"/>
              <w:jc w:val="left"/>
              <w:rPr>
                <w:rFonts w:cs="Times New Roman"/>
                <w:sz w:val="20"/>
                <w:szCs w:val="20"/>
                <w:u w:val="double"/>
              </w:rPr>
            </w:pPr>
          </w:p>
        </w:tc>
        <w:tc>
          <w:tcPr>
            <w:tcW w:w="917" w:type="pct"/>
            <w:vAlign w:val="bottom"/>
          </w:tcPr>
          <w:p w14:paraId="0ED53064" w14:textId="77777777" w:rsidR="0010765E" w:rsidRPr="0010765E" w:rsidRDefault="0010765E" w:rsidP="004B291E">
            <w:pPr>
              <w:pStyle w:val="00BodyText5"/>
              <w:keepNext/>
              <w:keepLines/>
              <w:tabs>
                <w:tab w:val="decimal" w:pos="1272"/>
              </w:tabs>
              <w:spacing w:after="0"/>
              <w:ind w:firstLine="0"/>
              <w:jc w:val="left"/>
              <w:rPr>
                <w:rFonts w:cs="Times New Roman"/>
                <w:sz w:val="20"/>
                <w:szCs w:val="20"/>
                <w:u w:val="double"/>
              </w:rPr>
            </w:pPr>
          </w:p>
        </w:tc>
        <w:tc>
          <w:tcPr>
            <w:tcW w:w="917" w:type="pct"/>
            <w:vAlign w:val="bottom"/>
          </w:tcPr>
          <w:p w14:paraId="23AE2B7F" w14:textId="77777777" w:rsidR="0010765E" w:rsidRPr="0010765E" w:rsidRDefault="0010765E" w:rsidP="004B291E">
            <w:pPr>
              <w:pStyle w:val="00BodyText5"/>
              <w:keepNext/>
              <w:keepLines/>
              <w:tabs>
                <w:tab w:val="decimal" w:pos="1164"/>
              </w:tabs>
              <w:spacing w:after="0"/>
              <w:ind w:firstLine="0"/>
              <w:jc w:val="left"/>
              <w:rPr>
                <w:rFonts w:cs="Times New Roman"/>
                <w:sz w:val="20"/>
                <w:szCs w:val="20"/>
                <w:u w:val="double"/>
              </w:rPr>
            </w:pPr>
          </w:p>
        </w:tc>
        <w:tc>
          <w:tcPr>
            <w:tcW w:w="919" w:type="pct"/>
            <w:vAlign w:val="bottom"/>
          </w:tcPr>
          <w:p w14:paraId="6BC75F55" w14:textId="77777777" w:rsidR="0010765E" w:rsidRPr="0010765E" w:rsidRDefault="0010765E" w:rsidP="004B291E">
            <w:pPr>
              <w:pStyle w:val="00BodyText5"/>
              <w:keepNext/>
              <w:keepLines/>
              <w:tabs>
                <w:tab w:val="decimal" w:pos="1181"/>
              </w:tabs>
              <w:spacing w:after="0"/>
              <w:ind w:firstLine="0"/>
              <w:jc w:val="left"/>
              <w:rPr>
                <w:rFonts w:cs="Times New Roman"/>
                <w:sz w:val="20"/>
                <w:szCs w:val="20"/>
                <w:u w:val="double"/>
              </w:rPr>
            </w:pPr>
          </w:p>
        </w:tc>
      </w:tr>
    </w:tbl>
    <w:p w14:paraId="1C8D65B4" w14:textId="77836B47" w:rsidR="0018629C" w:rsidRPr="00DA2177" w:rsidRDefault="0018629C" w:rsidP="0018629C">
      <w:pPr>
        <w:tabs>
          <w:tab w:val="right" w:pos="2880"/>
        </w:tabs>
        <w:rPr>
          <w:rFonts w:cs="Times New Roman"/>
          <w:sz w:val="22"/>
          <w:szCs w:val="22"/>
          <w:u w:val="single"/>
        </w:rPr>
      </w:pPr>
      <w:r>
        <w:rPr>
          <w:rFonts w:cs="Times New Roman"/>
          <w:sz w:val="22"/>
          <w:szCs w:val="22"/>
          <w:u w:val="single"/>
        </w:rPr>
        <w:tab/>
      </w:r>
    </w:p>
    <w:p w14:paraId="538D8A83" w14:textId="7960809F" w:rsidR="00790EE8" w:rsidRPr="0035418B" w:rsidRDefault="00790EE8" w:rsidP="0018629C">
      <w:pPr>
        <w:jc w:val="both"/>
        <w:rPr>
          <w:rFonts w:cs="Times New Roman"/>
          <w:sz w:val="18"/>
          <w:szCs w:val="18"/>
        </w:rPr>
      </w:pPr>
      <w:r w:rsidRPr="0035418B">
        <w:rPr>
          <w:rFonts w:cs="Times New Roman"/>
          <w:sz w:val="18"/>
          <w:szCs w:val="18"/>
        </w:rPr>
        <w:t>*</w:t>
      </w:r>
      <w:r w:rsidRPr="0035418B">
        <w:rPr>
          <w:rFonts w:cs="Times New Roman"/>
          <w:sz w:val="18"/>
          <w:szCs w:val="18"/>
        </w:rPr>
        <w:tab/>
        <w:t>Preliminary; subject to change.</w:t>
      </w:r>
    </w:p>
    <w:p w14:paraId="7807B15B" w14:textId="317A8825" w:rsidR="00790EE8" w:rsidRPr="0035418B" w:rsidRDefault="0018629C" w:rsidP="0018629C">
      <w:pPr>
        <w:jc w:val="both"/>
        <w:rPr>
          <w:rFonts w:cs="Times New Roman"/>
          <w:sz w:val="18"/>
          <w:szCs w:val="18"/>
        </w:rPr>
      </w:pPr>
      <w:r w:rsidRPr="0035418B">
        <w:rPr>
          <w:rFonts w:cs="Times New Roman"/>
          <w:sz w:val="18"/>
          <w:szCs w:val="18"/>
        </w:rPr>
        <w:t>1</w:t>
      </w:r>
      <w:r w:rsidRPr="0035418B">
        <w:rPr>
          <w:rFonts w:cs="Times New Roman"/>
          <w:sz w:val="18"/>
          <w:szCs w:val="18"/>
        </w:rPr>
        <w:tab/>
        <w:t>Assumes no optional redemptions prior to maturity. Figures have been rounded</w:t>
      </w:r>
      <w:r w:rsidR="0010765E" w:rsidRPr="0035418B">
        <w:rPr>
          <w:rFonts w:cs="Times New Roman"/>
          <w:sz w:val="18"/>
          <w:szCs w:val="18"/>
        </w:rPr>
        <w:t xml:space="preserve"> and may not sum due to rounding</w:t>
      </w:r>
      <w:r w:rsidRPr="0035418B">
        <w:rPr>
          <w:rFonts w:cs="Times New Roman"/>
          <w:sz w:val="18"/>
          <w:szCs w:val="18"/>
        </w:rPr>
        <w:t xml:space="preserve">. </w:t>
      </w:r>
    </w:p>
    <w:p w14:paraId="50FEA11C" w14:textId="637E1BF8" w:rsidR="0010765E" w:rsidRPr="0010765E" w:rsidRDefault="0010765E" w:rsidP="0010765E">
      <w:pPr>
        <w:jc w:val="both"/>
        <w:rPr>
          <w:rFonts w:cs="Times New Roman"/>
          <w:sz w:val="18"/>
          <w:szCs w:val="18"/>
        </w:rPr>
      </w:pPr>
      <w:r w:rsidRPr="0010765E">
        <w:rPr>
          <w:rFonts w:cs="Times New Roman"/>
          <w:sz w:val="18"/>
          <w:szCs w:val="18"/>
        </w:rPr>
        <w:t>2</w:t>
      </w:r>
      <w:r w:rsidRPr="0010765E">
        <w:rPr>
          <w:rFonts w:cs="Times New Roman"/>
          <w:sz w:val="18"/>
          <w:szCs w:val="18"/>
        </w:rPr>
        <w:tab/>
        <w:t xml:space="preserve">Principal and interest on the 2026B Subordinate LT Bonds are payable solely from and to the extent of Subordinate LT Pledged Revenue. There are no scheduled principal payments on the 2026B Subordinate LT Bonds until final maturity. The amounts set forth herein reflect the projected payments on the 2026B Subordinate LT Bonds as set forth in the </w:t>
      </w:r>
      <w:r w:rsidRPr="0035418B">
        <w:rPr>
          <w:rFonts w:cs="Times New Roman"/>
          <w:sz w:val="18"/>
          <w:szCs w:val="18"/>
        </w:rPr>
        <w:t xml:space="preserve">LT </w:t>
      </w:r>
      <w:r w:rsidRPr="0010765E">
        <w:rPr>
          <w:rFonts w:cs="Times New Roman"/>
          <w:sz w:val="18"/>
          <w:szCs w:val="18"/>
        </w:rPr>
        <w:t xml:space="preserve">Financial Forecast, based upon the assumptions more particularly set forth therein. No assurance is given that the level of Subordinate LT Pledged Revenue projected in the </w:t>
      </w:r>
      <w:r w:rsidRPr="0035418B">
        <w:rPr>
          <w:rFonts w:cs="Times New Roman"/>
          <w:sz w:val="18"/>
          <w:szCs w:val="18"/>
        </w:rPr>
        <w:t xml:space="preserve">LT </w:t>
      </w:r>
      <w:r w:rsidRPr="0010765E">
        <w:rPr>
          <w:rFonts w:cs="Times New Roman"/>
          <w:sz w:val="18"/>
          <w:szCs w:val="18"/>
        </w:rPr>
        <w:t>Financial Forecast will be achieved, or that payment of the principal of or interest on the 2026B Subordinate LT Bonds will be paid as set forth in this table. Failure to pay the amounts set forth above with respect to the 2026B Subordinate LT Bonds will not constitute an event of default under the Subordinate LT Indenture. See “</w:t>
      </w:r>
      <w:r w:rsidR="00683F5C">
        <w:rPr>
          <w:rFonts w:cs="Times New Roman"/>
          <w:sz w:val="18"/>
          <w:szCs w:val="18"/>
        </w:rPr>
        <w:t>THE 2026B SUBORDINATE LT BONDS</w:t>
      </w:r>
      <w:r w:rsidRPr="0010765E">
        <w:rPr>
          <w:rFonts w:cs="Times New Roman"/>
          <w:sz w:val="18"/>
          <w:szCs w:val="18"/>
        </w:rPr>
        <w:t>—</w:t>
      </w:r>
      <w:r w:rsidR="00A03016">
        <w:rPr>
          <w:rFonts w:cs="Times New Roman"/>
          <w:sz w:val="18"/>
          <w:szCs w:val="18"/>
        </w:rPr>
        <w:t>'</w:t>
      </w:r>
      <w:r w:rsidR="00E75172">
        <w:rPr>
          <w:rFonts w:cs="Times New Roman"/>
          <w:sz w:val="18"/>
          <w:szCs w:val="18"/>
        </w:rPr>
        <w:t>Cash Flow</w:t>
      </w:r>
      <w:r w:rsidR="00A03016">
        <w:rPr>
          <w:rFonts w:cs="Times New Roman"/>
          <w:sz w:val="18"/>
          <w:szCs w:val="18"/>
        </w:rPr>
        <w:t>’</w:t>
      </w:r>
      <w:r w:rsidRPr="0010765E">
        <w:rPr>
          <w:rFonts w:cs="Times New Roman"/>
          <w:sz w:val="18"/>
          <w:szCs w:val="18"/>
        </w:rPr>
        <w:t xml:space="preserve"> Nature of 2026B Subordinate LT Bonds,” and “—Security for the 2026B Subordinate LT Bonds; Subordinate Lien,” and the </w:t>
      </w:r>
      <w:r w:rsidRPr="0035418B">
        <w:rPr>
          <w:rFonts w:cs="Times New Roman"/>
          <w:sz w:val="18"/>
          <w:szCs w:val="18"/>
        </w:rPr>
        <w:t xml:space="preserve">LT </w:t>
      </w:r>
      <w:r w:rsidRPr="0010765E">
        <w:rPr>
          <w:rFonts w:cs="Times New Roman"/>
          <w:sz w:val="18"/>
          <w:szCs w:val="18"/>
        </w:rPr>
        <w:t>Financial Forecast attached hereto as APPENDIX A</w:t>
      </w:r>
      <w:r w:rsidRPr="0035418B">
        <w:rPr>
          <w:rFonts w:cs="Times New Roman"/>
          <w:sz w:val="18"/>
          <w:szCs w:val="18"/>
        </w:rPr>
        <w:t>-1</w:t>
      </w:r>
      <w:r w:rsidRPr="0010765E">
        <w:rPr>
          <w:rFonts w:cs="Times New Roman"/>
          <w:sz w:val="18"/>
          <w:szCs w:val="18"/>
        </w:rPr>
        <w:t>.</w:t>
      </w:r>
    </w:p>
    <w:p w14:paraId="74C88474" w14:textId="3CEA18A5" w:rsidR="00854200" w:rsidRPr="0035418B" w:rsidRDefault="0010765E" w:rsidP="0010765E">
      <w:pPr>
        <w:jc w:val="both"/>
        <w:rPr>
          <w:rFonts w:cs="Times New Roman"/>
          <w:sz w:val="18"/>
          <w:szCs w:val="18"/>
        </w:rPr>
      </w:pPr>
      <w:r w:rsidRPr="0035418B">
        <w:rPr>
          <w:rFonts w:cs="Times New Roman"/>
          <w:sz w:val="18"/>
          <w:szCs w:val="18"/>
        </w:rPr>
        <w:t>(Sources: The Underwriter (with respect to the 2026A-1 Senior LT Bonds) and the LT Financial Forecast (with respect to the 2026B Subordinate LT Bonds).)</w:t>
      </w:r>
    </w:p>
    <w:p w14:paraId="6E6C2F41" w14:textId="1B0B59AC" w:rsidR="00854200" w:rsidRPr="00DA2177" w:rsidRDefault="00EA19FD" w:rsidP="00854200">
      <w:pPr>
        <w:pStyle w:val="00TitleC"/>
        <w:rPr>
          <w:rFonts w:cs="Times New Roman"/>
          <w:sz w:val="22"/>
          <w:szCs w:val="22"/>
        </w:rPr>
      </w:pPr>
      <w:r>
        <w:rPr>
          <w:rFonts w:cs="Times New Roman"/>
          <w:sz w:val="22"/>
          <w:szCs w:val="22"/>
        </w:rPr>
        <w:t>Forecasted Payments on the 2026A-2 SR Bonds</w:t>
      </w:r>
      <w:r>
        <w:rPr>
          <w:rFonts w:cs="Times New Roman"/>
          <w:sz w:val="22"/>
          <w:szCs w:val="22"/>
          <w:vertAlign w:val="superscript"/>
        </w:rPr>
        <w:t>1</w:t>
      </w:r>
      <w:r w:rsidR="00CF2881">
        <w:rPr>
          <w:rFonts w:cs="Times New Roman"/>
          <w:sz w:val="22"/>
          <w:szCs w:val="22"/>
          <w:vertAlign w:val="superscript"/>
        </w:rPr>
        <w:t>,</w:t>
      </w:r>
      <w:r w:rsidR="005F6B23">
        <w:rPr>
          <w:rFonts w:cs="Times New Roman"/>
          <w:sz w:val="22"/>
          <w:szCs w:val="22"/>
          <w:vertAlign w:val="superscript"/>
        </w:rPr>
        <w:t xml:space="preserve"> </w:t>
      </w:r>
      <w:r>
        <w:rPr>
          <w:rFonts w:cs="Times New Roman"/>
          <w:sz w:val="22"/>
          <w:szCs w:val="22"/>
          <w:vertAlign w:val="superscript"/>
        </w:rPr>
        <w:t>2</w:t>
      </w:r>
      <w:r w:rsidR="00CF2881">
        <w:rPr>
          <w:rFonts w:cs="Times New Roman"/>
          <w:sz w:val="22"/>
          <w:szCs w:val="22"/>
          <w:vertAlign w:val="superscript"/>
        </w:rPr>
        <w:t>,</w:t>
      </w:r>
      <w:r w:rsidR="005F6B23">
        <w:rPr>
          <w:rFonts w:cs="Times New Roman"/>
          <w:sz w:val="22"/>
          <w:szCs w:val="22"/>
          <w:vertAlign w:val="superscript"/>
        </w:rPr>
        <w:t xml:space="preserve"> </w:t>
      </w:r>
      <w:r>
        <w:rPr>
          <w:rFonts w:cs="Times New Roman"/>
          <w:sz w:val="22"/>
          <w:szCs w:val="22"/>
          <w:vertAlign w:val="superscript"/>
        </w:rPr>
        <w:t>*</w:t>
      </w:r>
    </w:p>
    <w:tbl>
      <w:tblPr>
        <w:tblW w:w="5000" w:type="pct"/>
        <w:jc w:val="center"/>
        <w:tblLayout w:type="fixed"/>
        <w:tblCellMar>
          <w:left w:w="115" w:type="dxa"/>
          <w:right w:w="115" w:type="dxa"/>
        </w:tblCellMar>
        <w:tblLook w:val="04A0" w:firstRow="1" w:lastRow="0" w:firstColumn="1" w:lastColumn="0" w:noHBand="0" w:noVBand="1"/>
      </w:tblPr>
      <w:tblGrid>
        <w:gridCol w:w="1217"/>
        <w:gridCol w:w="2713"/>
        <w:gridCol w:w="2714"/>
        <w:gridCol w:w="2716"/>
      </w:tblGrid>
      <w:tr w:rsidR="00854200" w:rsidRPr="00DA2177" w14:paraId="18F9A5F1" w14:textId="77777777" w:rsidTr="00A14B98">
        <w:trPr>
          <w:cantSplit/>
          <w:jc w:val="center"/>
        </w:trPr>
        <w:tc>
          <w:tcPr>
            <w:tcW w:w="650" w:type="pct"/>
            <w:vAlign w:val="bottom"/>
          </w:tcPr>
          <w:p w14:paraId="3935CD57" w14:textId="77777777" w:rsidR="00854200" w:rsidRPr="00DA2177" w:rsidRDefault="00854200" w:rsidP="00A14B98">
            <w:pPr>
              <w:pStyle w:val="00BodyText5"/>
              <w:keepNext/>
              <w:keepLines/>
              <w:spacing w:after="0"/>
              <w:ind w:firstLine="0"/>
              <w:jc w:val="center"/>
              <w:rPr>
                <w:rFonts w:cs="Times New Roman"/>
                <w:b/>
                <w:szCs w:val="22"/>
              </w:rPr>
            </w:pPr>
            <w:r>
              <w:rPr>
                <w:rFonts w:cs="Times New Roman"/>
                <w:b/>
                <w:szCs w:val="22"/>
              </w:rPr>
              <w:t>Year</w:t>
            </w:r>
          </w:p>
        </w:tc>
        <w:tc>
          <w:tcPr>
            <w:tcW w:w="1449" w:type="pct"/>
            <w:vAlign w:val="bottom"/>
          </w:tcPr>
          <w:p w14:paraId="60134F2E" w14:textId="77777777" w:rsidR="00854200" w:rsidRPr="00DA2177" w:rsidRDefault="00854200" w:rsidP="00A14B98">
            <w:pPr>
              <w:pStyle w:val="00BodyText5"/>
              <w:keepNext/>
              <w:keepLines/>
              <w:spacing w:after="0"/>
              <w:ind w:firstLine="0"/>
              <w:jc w:val="center"/>
              <w:rPr>
                <w:rFonts w:cs="Times New Roman"/>
                <w:b/>
                <w:szCs w:val="22"/>
              </w:rPr>
            </w:pPr>
            <w:r>
              <w:rPr>
                <w:rFonts w:cs="Times New Roman"/>
                <w:b/>
                <w:szCs w:val="22"/>
              </w:rPr>
              <w:t>Principal</w:t>
            </w:r>
          </w:p>
        </w:tc>
        <w:tc>
          <w:tcPr>
            <w:tcW w:w="1450" w:type="pct"/>
            <w:vAlign w:val="bottom"/>
          </w:tcPr>
          <w:p w14:paraId="5FD189FA" w14:textId="77777777" w:rsidR="00854200" w:rsidRPr="00DA2177" w:rsidRDefault="00854200" w:rsidP="00A14B98">
            <w:pPr>
              <w:pStyle w:val="00BodyText5"/>
              <w:keepNext/>
              <w:keepLines/>
              <w:spacing w:after="0"/>
              <w:ind w:firstLine="0"/>
              <w:jc w:val="center"/>
              <w:rPr>
                <w:rFonts w:cs="Times New Roman"/>
                <w:b/>
                <w:szCs w:val="22"/>
              </w:rPr>
            </w:pPr>
            <w:r>
              <w:rPr>
                <w:rFonts w:cs="Times New Roman"/>
                <w:b/>
                <w:szCs w:val="22"/>
              </w:rPr>
              <w:t>Interest</w:t>
            </w:r>
          </w:p>
        </w:tc>
        <w:tc>
          <w:tcPr>
            <w:tcW w:w="1451" w:type="pct"/>
            <w:vAlign w:val="bottom"/>
          </w:tcPr>
          <w:p w14:paraId="04A715BD" w14:textId="4DF9ADD1" w:rsidR="00854200" w:rsidRPr="00DA2177" w:rsidRDefault="004D3781" w:rsidP="00A14B98">
            <w:pPr>
              <w:pStyle w:val="00BodyText5"/>
              <w:keepNext/>
              <w:keepLines/>
              <w:spacing w:after="0"/>
              <w:ind w:firstLine="0"/>
              <w:jc w:val="center"/>
              <w:rPr>
                <w:rFonts w:cs="Times New Roman"/>
                <w:b/>
                <w:szCs w:val="22"/>
              </w:rPr>
            </w:pPr>
            <w:r>
              <w:rPr>
                <w:rFonts w:cs="Times New Roman"/>
                <w:b/>
                <w:szCs w:val="22"/>
              </w:rPr>
              <w:t>Annual Total</w:t>
            </w:r>
          </w:p>
        </w:tc>
      </w:tr>
      <w:tr w:rsidR="00854200" w:rsidRPr="00DA2177" w14:paraId="6BCEE55C" w14:textId="77777777" w:rsidTr="00A14B98">
        <w:trPr>
          <w:cantSplit/>
          <w:jc w:val="center"/>
        </w:trPr>
        <w:tc>
          <w:tcPr>
            <w:tcW w:w="650" w:type="pct"/>
            <w:vAlign w:val="bottom"/>
          </w:tcPr>
          <w:p w14:paraId="5148B939" w14:textId="2DE05FF3" w:rsidR="00854200" w:rsidRPr="00DA2177" w:rsidRDefault="00854200" w:rsidP="00A14B98">
            <w:pPr>
              <w:pStyle w:val="00BodyText5"/>
              <w:keepNext/>
              <w:keepLines/>
              <w:spacing w:after="0"/>
              <w:ind w:firstLine="0"/>
              <w:jc w:val="center"/>
              <w:rPr>
                <w:rFonts w:cs="Times New Roman"/>
                <w:szCs w:val="22"/>
              </w:rPr>
            </w:pPr>
            <w:r>
              <w:rPr>
                <w:rFonts w:cs="Times New Roman"/>
                <w:szCs w:val="22"/>
              </w:rPr>
              <w:t>20[__]</w:t>
            </w:r>
          </w:p>
        </w:tc>
        <w:tc>
          <w:tcPr>
            <w:tcW w:w="1449" w:type="pct"/>
          </w:tcPr>
          <w:p w14:paraId="6DF6A336" w14:textId="77777777" w:rsidR="00854200" w:rsidRPr="00DA2177" w:rsidRDefault="00854200" w:rsidP="00A14B98">
            <w:pPr>
              <w:tabs>
                <w:tab w:val="decimal" w:pos="1181"/>
              </w:tabs>
              <w:rPr>
                <w:rFonts w:cs="Times New Roman"/>
                <w:sz w:val="22"/>
                <w:szCs w:val="22"/>
              </w:rPr>
            </w:pPr>
          </w:p>
        </w:tc>
        <w:tc>
          <w:tcPr>
            <w:tcW w:w="1450" w:type="pct"/>
            <w:vAlign w:val="bottom"/>
          </w:tcPr>
          <w:p w14:paraId="29E030DA"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c>
          <w:tcPr>
            <w:tcW w:w="1451" w:type="pct"/>
          </w:tcPr>
          <w:p w14:paraId="18BED3C5"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r>
      <w:tr w:rsidR="00854200" w:rsidRPr="00DA2177" w14:paraId="30D2BBA4" w14:textId="77777777" w:rsidTr="00A14B98">
        <w:trPr>
          <w:cantSplit/>
          <w:jc w:val="center"/>
        </w:trPr>
        <w:tc>
          <w:tcPr>
            <w:tcW w:w="650" w:type="pct"/>
            <w:vAlign w:val="bottom"/>
          </w:tcPr>
          <w:p w14:paraId="7B41EE7C" w14:textId="76E12F84" w:rsidR="00854200" w:rsidRPr="00DA2177" w:rsidRDefault="00854200" w:rsidP="00A14B98">
            <w:pPr>
              <w:pStyle w:val="00BodyText5"/>
              <w:keepNext/>
              <w:keepLines/>
              <w:spacing w:after="0"/>
              <w:ind w:firstLine="0"/>
              <w:jc w:val="center"/>
              <w:rPr>
                <w:rFonts w:cs="Times New Roman"/>
                <w:szCs w:val="22"/>
              </w:rPr>
            </w:pPr>
            <w:r>
              <w:rPr>
                <w:rFonts w:cs="Times New Roman"/>
                <w:szCs w:val="22"/>
              </w:rPr>
              <w:t>20[__]</w:t>
            </w:r>
          </w:p>
        </w:tc>
        <w:tc>
          <w:tcPr>
            <w:tcW w:w="1449" w:type="pct"/>
          </w:tcPr>
          <w:p w14:paraId="2B66F2D3" w14:textId="77777777" w:rsidR="00854200" w:rsidRPr="00DA2177" w:rsidRDefault="00854200" w:rsidP="00A14B98">
            <w:pPr>
              <w:tabs>
                <w:tab w:val="decimal" w:pos="1181"/>
              </w:tabs>
              <w:rPr>
                <w:rFonts w:cs="Times New Roman"/>
                <w:sz w:val="22"/>
                <w:szCs w:val="22"/>
              </w:rPr>
            </w:pPr>
          </w:p>
        </w:tc>
        <w:tc>
          <w:tcPr>
            <w:tcW w:w="1450" w:type="pct"/>
            <w:vAlign w:val="bottom"/>
          </w:tcPr>
          <w:p w14:paraId="277E5229"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c>
          <w:tcPr>
            <w:tcW w:w="1451" w:type="pct"/>
          </w:tcPr>
          <w:p w14:paraId="3422A9A4"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r>
      <w:tr w:rsidR="00854200" w:rsidRPr="00DA2177" w14:paraId="1959E282" w14:textId="77777777" w:rsidTr="00A14B98">
        <w:trPr>
          <w:cantSplit/>
          <w:jc w:val="center"/>
        </w:trPr>
        <w:tc>
          <w:tcPr>
            <w:tcW w:w="650" w:type="pct"/>
            <w:vAlign w:val="bottom"/>
          </w:tcPr>
          <w:p w14:paraId="1F754BDC" w14:textId="780D433A" w:rsidR="00854200" w:rsidRPr="00DA2177" w:rsidRDefault="00854200" w:rsidP="00A14B98">
            <w:pPr>
              <w:pStyle w:val="00BodyText5"/>
              <w:keepNext/>
              <w:keepLines/>
              <w:spacing w:after="0"/>
              <w:ind w:firstLine="0"/>
              <w:jc w:val="center"/>
              <w:rPr>
                <w:rFonts w:cs="Times New Roman"/>
                <w:szCs w:val="22"/>
              </w:rPr>
            </w:pPr>
            <w:r>
              <w:rPr>
                <w:rFonts w:cs="Times New Roman"/>
                <w:szCs w:val="22"/>
              </w:rPr>
              <w:t>20[__]</w:t>
            </w:r>
          </w:p>
        </w:tc>
        <w:tc>
          <w:tcPr>
            <w:tcW w:w="1449" w:type="pct"/>
            <w:vAlign w:val="bottom"/>
          </w:tcPr>
          <w:p w14:paraId="71EC031F" w14:textId="77777777" w:rsidR="00854200" w:rsidRPr="00DA2177" w:rsidRDefault="00854200" w:rsidP="00A14B98">
            <w:pPr>
              <w:tabs>
                <w:tab w:val="decimal" w:pos="1181"/>
              </w:tabs>
              <w:rPr>
                <w:rFonts w:cs="Times New Roman"/>
                <w:sz w:val="22"/>
                <w:szCs w:val="22"/>
              </w:rPr>
            </w:pPr>
          </w:p>
        </w:tc>
        <w:tc>
          <w:tcPr>
            <w:tcW w:w="1450" w:type="pct"/>
            <w:vAlign w:val="bottom"/>
          </w:tcPr>
          <w:p w14:paraId="0640B20E"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c>
          <w:tcPr>
            <w:tcW w:w="1451" w:type="pct"/>
          </w:tcPr>
          <w:p w14:paraId="7AFB64E0"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r>
      <w:tr w:rsidR="00854200" w:rsidRPr="00DA2177" w14:paraId="6DA72697" w14:textId="77777777" w:rsidTr="00A14B98">
        <w:trPr>
          <w:cantSplit/>
          <w:jc w:val="center"/>
        </w:trPr>
        <w:tc>
          <w:tcPr>
            <w:tcW w:w="650" w:type="pct"/>
            <w:vAlign w:val="bottom"/>
          </w:tcPr>
          <w:p w14:paraId="285355E4" w14:textId="345014E7" w:rsidR="00854200" w:rsidRPr="00DA2177" w:rsidRDefault="00854200" w:rsidP="00A14B98">
            <w:pPr>
              <w:pStyle w:val="00BodyText5"/>
              <w:keepNext/>
              <w:keepLines/>
              <w:spacing w:after="0"/>
              <w:ind w:firstLine="0"/>
              <w:jc w:val="center"/>
              <w:rPr>
                <w:rFonts w:cs="Times New Roman"/>
                <w:szCs w:val="22"/>
              </w:rPr>
            </w:pPr>
            <w:r>
              <w:rPr>
                <w:rFonts w:cs="Times New Roman"/>
                <w:szCs w:val="22"/>
              </w:rPr>
              <w:t>20[__]</w:t>
            </w:r>
          </w:p>
        </w:tc>
        <w:tc>
          <w:tcPr>
            <w:tcW w:w="1449" w:type="pct"/>
            <w:vAlign w:val="bottom"/>
          </w:tcPr>
          <w:p w14:paraId="2012DC4E" w14:textId="77777777" w:rsidR="00854200" w:rsidRPr="00DA2177" w:rsidRDefault="00854200" w:rsidP="00A14B98">
            <w:pPr>
              <w:tabs>
                <w:tab w:val="decimal" w:pos="1181"/>
              </w:tabs>
              <w:rPr>
                <w:rFonts w:cs="Times New Roman"/>
                <w:sz w:val="22"/>
                <w:szCs w:val="22"/>
              </w:rPr>
            </w:pPr>
          </w:p>
        </w:tc>
        <w:tc>
          <w:tcPr>
            <w:tcW w:w="1450" w:type="pct"/>
            <w:vAlign w:val="bottom"/>
          </w:tcPr>
          <w:p w14:paraId="0E9A52F6"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c>
          <w:tcPr>
            <w:tcW w:w="1451" w:type="pct"/>
          </w:tcPr>
          <w:p w14:paraId="516D6ACD"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r>
      <w:tr w:rsidR="00854200" w:rsidRPr="00DA2177" w14:paraId="3A64E8A5" w14:textId="77777777" w:rsidTr="00A14B98">
        <w:trPr>
          <w:cantSplit/>
          <w:jc w:val="center"/>
        </w:trPr>
        <w:tc>
          <w:tcPr>
            <w:tcW w:w="650" w:type="pct"/>
            <w:vAlign w:val="bottom"/>
          </w:tcPr>
          <w:p w14:paraId="4080732E" w14:textId="25A4686B" w:rsidR="00854200" w:rsidRPr="00DA2177" w:rsidRDefault="00854200" w:rsidP="00A14B98">
            <w:pPr>
              <w:pStyle w:val="00BodyText5"/>
              <w:keepNext/>
              <w:keepLines/>
              <w:spacing w:after="0"/>
              <w:ind w:firstLine="0"/>
              <w:jc w:val="center"/>
              <w:rPr>
                <w:rFonts w:cs="Times New Roman"/>
                <w:szCs w:val="22"/>
              </w:rPr>
            </w:pPr>
            <w:r>
              <w:rPr>
                <w:rFonts w:cs="Times New Roman"/>
                <w:szCs w:val="22"/>
              </w:rPr>
              <w:t>20[__]</w:t>
            </w:r>
          </w:p>
        </w:tc>
        <w:tc>
          <w:tcPr>
            <w:tcW w:w="1449" w:type="pct"/>
            <w:vAlign w:val="bottom"/>
          </w:tcPr>
          <w:p w14:paraId="1ACF7D29" w14:textId="77777777" w:rsidR="00854200" w:rsidRPr="00DA2177" w:rsidRDefault="00854200" w:rsidP="00A14B98">
            <w:pPr>
              <w:tabs>
                <w:tab w:val="decimal" w:pos="1181"/>
              </w:tabs>
              <w:rPr>
                <w:rFonts w:cs="Times New Roman"/>
                <w:sz w:val="22"/>
                <w:szCs w:val="22"/>
              </w:rPr>
            </w:pPr>
          </w:p>
        </w:tc>
        <w:tc>
          <w:tcPr>
            <w:tcW w:w="1450" w:type="pct"/>
            <w:vAlign w:val="bottom"/>
          </w:tcPr>
          <w:p w14:paraId="25015262"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c>
          <w:tcPr>
            <w:tcW w:w="1451" w:type="pct"/>
          </w:tcPr>
          <w:p w14:paraId="3EC22DD4"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r>
      <w:tr w:rsidR="00854200" w:rsidRPr="00DA2177" w14:paraId="3BA0109D" w14:textId="77777777" w:rsidTr="00A14B98">
        <w:trPr>
          <w:cantSplit/>
          <w:jc w:val="center"/>
        </w:trPr>
        <w:tc>
          <w:tcPr>
            <w:tcW w:w="650" w:type="pct"/>
            <w:vAlign w:val="bottom"/>
          </w:tcPr>
          <w:p w14:paraId="4C3DD87C" w14:textId="3FBD5717" w:rsidR="00854200" w:rsidRPr="00DA2177" w:rsidRDefault="00854200" w:rsidP="00A14B98">
            <w:pPr>
              <w:pStyle w:val="00BodyText5"/>
              <w:keepNext/>
              <w:keepLines/>
              <w:spacing w:after="0"/>
              <w:ind w:firstLine="0"/>
              <w:jc w:val="center"/>
              <w:rPr>
                <w:rFonts w:cs="Times New Roman"/>
                <w:szCs w:val="22"/>
              </w:rPr>
            </w:pPr>
            <w:r>
              <w:rPr>
                <w:rFonts w:cs="Times New Roman"/>
                <w:szCs w:val="22"/>
              </w:rPr>
              <w:t>20[__]</w:t>
            </w:r>
          </w:p>
        </w:tc>
        <w:tc>
          <w:tcPr>
            <w:tcW w:w="1449" w:type="pct"/>
            <w:vAlign w:val="bottom"/>
          </w:tcPr>
          <w:p w14:paraId="7BA6DF04" w14:textId="77777777" w:rsidR="00854200" w:rsidRPr="00DA2177" w:rsidRDefault="00854200" w:rsidP="00A14B98">
            <w:pPr>
              <w:tabs>
                <w:tab w:val="decimal" w:pos="1181"/>
              </w:tabs>
              <w:rPr>
                <w:rFonts w:cs="Times New Roman"/>
                <w:sz w:val="22"/>
                <w:szCs w:val="22"/>
              </w:rPr>
            </w:pPr>
          </w:p>
        </w:tc>
        <w:tc>
          <w:tcPr>
            <w:tcW w:w="1450" w:type="pct"/>
            <w:vAlign w:val="bottom"/>
          </w:tcPr>
          <w:p w14:paraId="4BC691B7"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c>
          <w:tcPr>
            <w:tcW w:w="1451" w:type="pct"/>
          </w:tcPr>
          <w:p w14:paraId="1BD0FDAA" w14:textId="77777777" w:rsidR="00854200" w:rsidRPr="00DA2177" w:rsidRDefault="00854200" w:rsidP="00A14B98">
            <w:pPr>
              <w:pStyle w:val="00BodyText5"/>
              <w:keepNext/>
              <w:keepLines/>
              <w:tabs>
                <w:tab w:val="decimal" w:pos="1181"/>
              </w:tabs>
              <w:spacing w:after="0"/>
              <w:ind w:firstLine="0"/>
              <w:jc w:val="left"/>
              <w:rPr>
                <w:rFonts w:cs="Times New Roman"/>
                <w:szCs w:val="22"/>
              </w:rPr>
            </w:pPr>
          </w:p>
        </w:tc>
      </w:tr>
      <w:tr w:rsidR="00854200" w:rsidRPr="00DA2177" w14:paraId="6FE99A72" w14:textId="77777777" w:rsidTr="00A14B98">
        <w:trPr>
          <w:cantSplit/>
          <w:jc w:val="center"/>
        </w:trPr>
        <w:tc>
          <w:tcPr>
            <w:tcW w:w="650" w:type="pct"/>
            <w:vAlign w:val="bottom"/>
          </w:tcPr>
          <w:p w14:paraId="4EE97FA5" w14:textId="77777777" w:rsidR="00854200" w:rsidRPr="00DA2177" w:rsidRDefault="00854200" w:rsidP="00A14B98">
            <w:pPr>
              <w:pStyle w:val="00BodyText5"/>
              <w:keepNext/>
              <w:keepLines/>
              <w:spacing w:after="0"/>
              <w:ind w:firstLine="0"/>
              <w:jc w:val="center"/>
              <w:rPr>
                <w:rFonts w:cs="Times New Roman"/>
                <w:szCs w:val="22"/>
              </w:rPr>
            </w:pPr>
            <w:r>
              <w:rPr>
                <w:rFonts w:cs="Times New Roman"/>
                <w:szCs w:val="22"/>
              </w:rPr>
              <w:t>Total</w:t>
            </w:r>
          </w:p>
        </w:tc>
        <w:tc>
          <w:tcPr>
            <w:tcW w:w="1449" w:type="pct"/>
            <w:vAlign w:val="bottom"/>
          </w:tcPr>
          <w:p w14:paraId="6ED2AFBC" w14:textId="7E46B75F" w:rsidR="00854200" w:rsidRPr="00DA2177" w:rsidRDefault="007E27D3" w:rsidP="00A14B98">
            <w:pPr>
              <w:tabs>
                <w:tab w:val="decimal" w:pos="1181"/>
              </w:tabs>
              <w:rPr>
                <w:rFonts w:cs="Times New Roman"/>
                <w:sz w:val="22"/>
                <w:szCs w:val="22"/>
                <w:u w:val="double"/>
              </w:rPr>
            </w:pPr>
            <w:r>
              <w:rPr>
                <w:rFonts w:cs="Times New Roman"/>
                <w:sz w:val="22"/>
                <w:szCs w:val="22"/>
                <w:u w:val="double"/>
              </w:rPr>
              <w:t>$[PAR A-2]</w:t>
            </w:r>
          </w:p>
        </w:tc>
        <w:tc>
          <w:tcPr>
            <w:tcW w:w="1450" w:type="pct"/>
            <w:vAlign w:val="bottom"/>
          </w:tcPr>
          <w:p w14:paraId="23ACB47D" w14:textId="77777777" w:rsidR="00854200" w:rsidRPr="00DA2177" w:rsidRDefault="00854200" w:rsidP="00A14B98">
            <w:pPr>
              <w:pStyle w:val="00BodyText5"/>
              <w:keepNext/>
              <w:keepLines/>
              <w:tabs>
                <w:tab w:val="decimal" w:pos="1181"/>
              </w:tabs>
              <w:spacing w:after="0"/>
              <w:ind w:firstLine="0"/>
              <w:jc w:val="left"/>
              <w:rPr>
                <w:rFonts w:cs="Times New Roman"/>
                <w:szCs w:val="22"/>
                <w:u w:val="double"/>
              </w:rPr>
            </w:pPr>
          </w:p>
        </w:tc>
        <w:tc>
          <w:tcPr>
            <w:tcW w:w="1451" w:type="pct"/>
            <w:vAlign w:val="bottom"/>
          </w:tcPr>
          <w:p w14:paraId="3394D62F" w14:textId="77777777" w:rsidR="00854200" w:rsidRPr="00DA2177" w:rsidRDefault="00854200" w:rsidP="00A14B98">
            <w:pPr>
              <w:pStyle w:val="00BodyText5"/>
              <w:keepNext/>
              <w:keepLines/>
              <w:tabs>
                <w:tab w:val="decimal" w:pos="1181"/>
              </w:tabs>
              <w:spacing w:after="0"/>
              <w:ind w:firstLine="0"/>
              <w:jc w:val="left"/>
              <w:rPr>
                <w:rFonts w:cs="Times New Roman"/>
                <w:szCs w:val="22"/>
                <w:u w:val="double"/>
              </w:rPr>
            </w:pPr>
          </w:p>
        </w:tc>
      </w:tr>
    </w:tbl>
    <w:p w14:paraId="6FD6EB4A" w14:textId="77777777" w:rsidR="00854200" w:rsidRPr="00DA2177" w:rsidRDefault="00854200" w:rsidP="00854200">
      <w:pPr>
        <w:tabs>
          <w:tab w:val="right" w:pos="2880"/>
        </w:tabs>
        <w:rPr>
          <w:rFonts w:cs="Times New Roman"/>
          <w:sz w:val="22"/>
          <w:szCs w:val="22"/>
          <w:u w:val="single"/>
        </w:rPr>
      </w:pPr>
      <w:r>
        <w:rPr>
          <w:rFonts w:cs="Times New Roman"/>
          <w:sz w:val="22"/>
          <w:szCs w:val="22"/>
          <w:u w:val="single"/>
        </w:rPr>
        <w:tab/>
      </w:r>
    </w:p>
    <w:p w14:paraId="230D7B08" w14:textId="77777777" w:rsidR="00854200" w:rsidRPr="0035418B" w:rsidRDefault="00854200" w:rsidP="00854200">
      <w:pPr>
        <w:jc w:val="both"/>
        <w:rPr>
          <w:rFonts w:cs="Times New Roman"/>
          <w:sz w:val="18"/>
          <w:szCs w:val="18"/>
        </w:rPr>
      </w:pPr>
      <w:r w:rsidRPr="0035418B">
        <w:rPr>
          <w:rFonts w:cs="Times New Roman"/>
          <w:sz w:val="18"/>
          <w:szCs w:val="18"/>
        </w:rPr>
        <w:t xml:space="preserve">* </w:t>
      </w:r>
      <w:r w:rsidRPr="0035418B">
        <w:rPr>
          <w:rFonts w:cs="Times New Roman"/>
          <w:sz w:val="18"/>
          <w:szCs w:val="18"/>
        </w:rPr>
        <w:tab/>
        <w:t>Preliminary, subject to change.</w:t>
      </w:r>
    </w:p>
    <w:p w14:paraId="5735B334" w14:textId="48D64668" w:rsidR="00854200" w:rsidRPr="0035418B" w:rsidRDefault="00854200" w:rsidP="00854200">
      <w:pPr>
        <w:jc w:val="both"/>
        <w:rPr>
          <w:rFonts w:cs="Times New Roman"/>
          <w:sz w:val="18"/>
          <w:szCs w:val="18"/>
        </w:rPr>
      </w:pPr>
      <w:r w:rsidRPr="0035418B">
        <w:rPr>
          <w:rFonts w:cs="Times New Roman"/>
          <w:sz w:val="18"/>
          <w:szCs w:val="18"/>
        </w:rPr>
        <w:t>1</w:t>
      </w:r>
      <w:r w:rsidRPr="0035418B">
        <w:rPr>
          <w:rFonts w:cs="Times New Roman"/>
          <w:sz w:val="18"/>
          <w:szCs w:val="18"/>
        </w:rPr>
        <w:tab/>
        <w:t xml:space="preserve">Assumes no optional redemptions prior to maturity. Figures have been rounded. </w:t>
      </w:r>
    </w:p>
    <w:p w14:paraId="2D5C4B8E" w14:textId="7BF29FC2" w:rsidR="00EA19FD" w:rsidRPr="0035418B" w:rsidRDefault="00EA19FD" w:rsidP="00EA19FD">
      <w:pPr>
        <w:jc w:val="both"/>
        <w:rPr>
          <w:rFonts w:cs="Times New Roman"/>
          <w:sz w:val="18"/>
          <w:szCs w:val="18"/>
        </w:rPr>
      </w:pPr>
      <w:r w:rsidRPr="0035418B">
        <w:rPr>
          <w:rFonts w:cs="Times New Roman"/>
          <w:sz w:val="18"/>
          <w:szCs w:val="18"/>
        </w:rPr>
        <w:t>2</w:t>
      </w:r>
      <w:r w:rsidRPr="0035418B">
        <w:rPr>
          <w:rFonts w:cs="Times New Roman"/>
          <w:sz w:val="18"/>
          <w:szCs w:val="18"/>
        </w:rPr>
        <w:tab/>
        <w:t xml:space="preserve">Principal and interest on the 2026A-2 SR Bonds are payable solely from and to the extent of SR Pledged Revenue. There are no scheduled principal payments on the 2026A-2 SR Bonds until final maturity. The amounts set forth herein reflect the projected payments on the 2026A-2 SR Bonds as set forth in the SR Financial Forecast, based upon the assumptions more particularly set forth therein. No assurance is given that the level of SR Pledged Revenue projected in the </w:t>
      </w:r>
      <w:r w:rsidR="00A03016">
        <w:rPr>
          <w:rFonts w:cs="Times New Roman"/>
          <w:sz w:val="18"/>
          <w:szCs w:val="18"/>
        </w:rPr>
        <w:t xml:space="preserve">SR </w:t>
      </w:r>
      <w:r w:rsidRPr="0035418B">
        <w:rPr>
          <w:rFonts w:cs="Times New Roman"/>
          <w:sz w:val="18"/>
          <w:szCs w:val="18"/>
        </w:rPr>
        <w:t>Financial Forecast will be achieved, or that payment of the principal of or interest on the 2026A-2 SR Bonds will be paid as set forth in this table. Failure to pay the amounts set forth above with respect to the 2026A-2 SR Bonds will not constitute an event of default under the SR Indenture. See “THE 2026A-2 SR BONDS—</w:t>
      </w:r>
      <w:r w:rsidR="00E75172">
        <w:rPr>
          <w:rFonts w:cs="Times New Roman"/>
          <w:sz w:val="18"/>
          <w:szCs w:val="18"/>
        </w:rPr>
        <w:t>”Cash Flow”</w:t>
      </w:r>
      <w:r w:rsidRPr="0035418B">
        <w:rPr>
          <w:rFonts w:cs="Times New Roman"/>
          <w:sz w:val="18"/>
          <w:szCs w:val="18"/>
        </w:rPr>
        <w:t xml:space="preserve"> Nature of 2026A-2 SR Bonds” and the SR Financial Forecast attached hereto as APPENDIX A-2.</w:t>
      </w:r>
    </w:p>
    <w:p w14:paraId="4228AECD" w14:textId="1DEE5408" w:rsidR="00854200" w:rsidRPr="0035418B" w:rsidRDefault="00854200" w:rsidP="00854200">
      <w:pPr>
        <w:jc w:val="both"/>
        <w:rPr>
          <w:rFonts w:cs="Times New Roman"/>
          <w:sz w:val="18"/>
          <w:szCs w:val="18"/>
        </w:rPr>
      </w:pPr>
      <w:r w:rsidRPr="0035418B">
        <w:rPr>
          <w:rFonts w:cs="Times New Roman"/>
          <w:sz w:val="18"/>
          <w:szCs w:val="18"/>
        </w:rPr>
        <w:t>(Source: The SR Financial Forecast.)</w:t>
      </w:r>
    </w:p>
    <w:p w14:paraId="00EF7F7A" w14:textId="77777777" w:rsidR="00EA19FD" w:rsidRPr="00EB50E1" w:rsidRDefault="00EA19FD" w:rsidP="00854200">
      <w:pPr>
        <w:jc w:val="both"/>
        <w:rPr>
          <w:rFonts w:cs="Times New Roman"/>
          <w:szCs w:val="22"/>
        </w:rPr>
      </w:pPr>
    </w:p>
    <w:p w14:paraId="10B59097" w14:textId="6A3350F1" w:rsidR="0075493D" w:rsidRPr="00DA2177" w:rsidRDefault="003904FF" w:rsidP="00516267">
      <w:pPr>
        <w:pStyle w:val="Heading1"/>
        <w:rPr>
          <w:rFonts w:eastAsia="Times New Roman" w:cs="Times New Roman"/>
          <w:sz w:val="22"/>
          <w:szCs w:val="22"/>
        </w:rPr>
      </w:pPr>
      <w:bookmarkStart w:id="150" w:name="_Toc235521089"/>
      <w:r>
        <w:rPr>
          <w:rFonts w:eastAsia="Times New Roman" w:cs="Times New Roman"/>
          <w:sz w:val="22"/>
          <w:szCs w:val="22"/>
        </w:rPr>
        <w:t>THE DISTRICT</w:t>
      </w:r>
      <w:bookmarkEnd w:id="150"/>
    </w:p>
    <w:p w14:paraId="23DAD8DC" w14:textId="28AB3393" w:rsidR="009B4948" w:rsidRPr="00DA2177" w:rsidRDefault="009B4948" w:rsidP="009B4948">
      <w:pPr>
        <w:pStyle w:val="Heading2"/>
        <w:keepLines/>
        <w:rPr>
          <w:sz w:val="22"/>
          <w:szCs w:val="22"/>
        </w:rPr>
      </w:pPr>
      <w:bookmarkStart w:id="151" w:name="_Toc166306602"/>
      <w:bookmarkStart w:id="152" w:name="_Toc438476568"/>
      <w:bookmarkStart w:id="153" w:name="_Toc524130981"/>
      <w:bookmarkStart w:id="154" w:name="_Toc31182476"/>
      <w:bookmarkStart w:id="155" w:name="_Toc235521090"/>
      <w:bookmarkStart w:id="156" w:name="_Toc413067500"/>
      <w:r>
        <w:rPr>
          <w:sz w:val="22"/>
          <w:szCs w:val="22"/>
        </w:rPr>
        <w:t>Organization and Description</w:t>
      </w:r>
      <w:bookmarkEnd w:id="151"/>
      <w:bookmarkEnd w:id="152"/>
      <w:bookmarkEnd w:id="153"/>
      <w:bookmarkEnd w:id="154"/>
      <w:bookmarkEnd w:id="155"/>
    </w:p>
    <w:p w14:paraId="65E5D702" w14:textId="3BCFF41A" w:rsidR="00974AD2" w:rsidRPr="00DA2177" w:rsidRDefault="00974AD2" w:rsidP="00974AD2">
      <w:pPr>
        <w:pStyle w:val="00BodyText5"/>
        <w:rPr>
          <w:rFonts w:cs="Times New Roman"/>
          <w:szCs w:val="22"/>
        </w:rPr>
      </w:pPr>
      <w:bookmarkStart w:id="157" w:name="_Toc396391900"/>
      <w:bookmarkStart w:id="158" w:name="_Toc438476569"/>
      <w:bookmarkStart w:id="159" w:name="_Toc524130982"/>
      <w:r>
        <w:rPr>
          <w:rFonts w:cs="Times New Roman"/>
          <w:szCs w:val="22"/>
        </w:rPr>
        <w:t xml:space="preserve">The District is a public infrastructure district and a political subdivision and body corporate and politic of the State duly created pursuant to the Public Infrastructure District Act and relevant portions of the Special District Act for the purpose of financing and constructing the Public Improvements and for dedicating, when appropriate, such Public Improvements to the City or to such other entity as appropriate for the use and benefit of the District’s residents and property owners. </w:t>
      </w:r>
    </w:p>
    <w:p w14:paraId="3D764BD5" w14:textId="1D740529" w:rsidR="00974AD2" w:rsidRPr="00DA2177" w:rsidRDefault="00974AD2" w:rsidP="00974AD2">
      <w:pPr>
        <w:pStyle w:val="00BodyText5"/>
        <w:rPr>
          <w:rFonts w:cs="Times New Roman"/>
          <w:szCs w:val="22"/>
        </w:rPr>
      </w:pPr>
      <w:r>
        <w:rPr>
          <w:rFonts w:cs="Times New Roman"/>
          <w:szCs w:val="22"/>
        </w:rPr>
        <w:t>The District was created pursuant to a Certificate of Creation issued by the Office of the Lieutenant Governor of the State of Utah on October 21, 2021 and recorded in the real property records of the Salt Lake County Recorder on January 11, 2022.</w:t>
      </w:r>
    </w:p>
    <w:p w14:paraId="29F3BFBE" w14:textId="0B2B2F12" w:rsidR="00974AD2" w:rsidRPr="00EB0780" w:rsidRDefault="00974AD2" w:rsidP="005D4391">
      <w:pPr>
        <w:pStyle w:val="00BodyText5"/>
        <w:rPr>
          <w:rFonts w:cs="Times New Roman"/>
          <w:szCs w:val="22"/>
        </w:rPr>
      </w:pPr>
      <w:r>
        <w:rPr>
          <w:rFonts w:cs="Times New Roman"/>
          <w:szCs w:val="22"/>
        </w:rPr>
        <w:t xml:space="preserve">The Olympia PIDs operate in accordance with the authority, and subject to the limitations, of </w:t>
      </w:r>
      <w:r w:rsidR="000F6280">
        <w:rPr>
          <w:rFonts w:cs="Times New Roman"/>
          <w:szCs w:val="22"/>
        </w:rPr>
        <w:t>a</w:t>
      </w:r>
      <w:r>
        <w:rPr>
          <w:rFonts w:cs="Times New Roman"/>
          <w:szCs w:val="22"/>
        </w:rPr>
        <w:t xml:space="preserve"> </w:t>
      </w:r>
      <w:r w:rsidR="000F6280">
        <w:rPr>
          <w:rFonts w:cs="Times New Roman"/>
          <w:szCs w:val="22"/>
        </w:rPr>
        <w:t xml:space="preserve">Third </w:t>
      </w:r>
      <w:r>
        <w:rPr>
          <w:rFonts w:cs="Times New Roman"/>
          <w:szCs w:val="22"/>
        </w:rPr>
        <w:t>Amended and Restated Governing Document for the Olympia PIDs approved by the City and the Olympia PIDs and</w:t>
      </w:r>
      <w:r w:rsidR="00B1175B">
        <w:rPr>
          <w:rFonts w:cs="Times New Roman"/>
          <w:szCs w:val="22"/>
        </w:rPr>
        <w:t xml:space="preserve"> as of</w:t>
      </w:r>
      <w:r>
        <w:rPr>
          <w:rFonts w:cs="Times New Roman"/>
          <w:szCs w:val="22"/>
        </w:rPr>
        <w:t xml:space="preserve"> dated </w:t>
      </w:r>
      <w:r w:rsidR="000F6280">
        <w:rPr>
          <w:rFonts w:cs="Times New Roman"/>
          <w:szCs w:val="22"/>
        </w:rPr>
        <w:t>July 8, 2026</w:t>
      </w:r>
      <w:r>
        <w:rPr>
          <w:rFonts w:cs="Times New Roman"/>
          <w:szCs w:val="22"/>
        </w:rPr>
        <w:t xml:space="preserve"> (as previously defined, the “</w:t>
      </w:r>
      <w:r>
        <w:rPr>
          <w:rFonts w:cs="Times New Roman"/>
          <w:b/>
          <w:szCs w:val="22"/>
        </w:rPr>
        <w:t>Governing Document</w:t>
      </w:r>
      <w:r>
        <w:rPr>
          <w:rFonts w:cs="Times New Roman"/>
          <w:szCs w:val="22"/>
        </w:rPr>
        <w:t>”). Pursuant to the Governing Document and the Public Infrastructure District Act, the District is authorized to issue bonds to pay all or part of the costs of acquiring, acquiring an interest in, improving, or extending any of the improvements, facilities, or property allowed under the Bond Act (to the extent permitted in the Governing Document) including (but not limited to) public buildings, water systems, sewer systems, drainage and flood control systems, recreational facilities, public gathering facilities, roads improvements, parking facilities, and educational facilities (as previously defined, collectively, the “</w:t>
      </w:r>
      <w:r>
        <w:rPr>
          <w:rFonts w:cs="Times New Roman"/>
          <w:b/>
          <w:szCs w:val="22"/>
        </w:rPr>
        <w:t>Public Improvements</w:t>
      </w:r>
      <w:r>
        <w:rPr>
          <w:rFonts w:cs="Times New Roman"/>
          <w:szCs w:val="22"/>
        </w:rPr>
        <w:t>”), within and without the boundaries of the District, to serve the future taxpayers and inhabitants of the District, except as specifically limited therein. See “—Governing Document Authorizations and Limitations” below and “THE DEVELOPMENT.”</w:t>
      </w:r>
    </w:p>
    <w:p w14:paraId="070FB75D" w14:textId="5FB33556" w:rsidR="00974AD2" w:rsidRPr="00EB0780" w:rsidRDefault="001E24AE" w:rsidP="00974AD2">
      <w:pPr>
        <w:pStyle w:val="00BodyText5"/>
        <w:rPr>
          <w:rFonts w:cs="Times New Roman"/>
          <w:szCs w:val="22"/>
        </w:rPr>
      </w:pPr>
      <w:r>
        <w:rPr>
          <w:rFonts w:cs="Times New Roman"/>
          <w:szCs w:val="22"/>
        </w:rPr>
        <w:t xml:space="preserve">The District is approximately 18 miles southwest of downtown Salt Lake City, Utah and approximately 10 miles northwest of the startup and technology hub referred to as Silicon Slopes in Lehi, Utah. See “DISTRICT VICINITY MAP” and “AERIAL MAP OF DEVELOPMENT LOCATION.” </w:t>
      </w:r>
    </w:p>
    <w:p w14:paraId="00FA2E60" w14:textId="0DFC3EB6" w:rsidR="00974AD2" w:rsidRPr="00DA2177" w:rsidRDefault="005D4391" w:rsidP="00DE62B0">
      <w:pPr>
        <w:pStyle w:val="00BodyText5"/>
        <w:rPr>
          <w:rFonts w:cs="Times New Roman"/>
          <w:szCs w:val="22"/>
        </w:rPr>
      </w:pPr>
      <w:bookmarkStart w:id="160" w:name="_Toc466439483"/>
      <w:bookmarkStart w:id="161" w:name="_Toc11049671"/>
      <w:r>
        <w:rPr>
          <w:rFonts w:cs="Times New Roman"/>
          <w:szCs w:val="22"/>
        </w:rPr>
        <w:t xml:space="preserve">The District currently encompasses approximately </w:t>
      </w:r>
      <w:r w:rsidR="00E97FDD">
        <w:rPr>
          <w:rFonts w:cs="Times New Roman"/>
          <w:szCs w:val="22"/>
        </w:rPr>
        <w:t>135</w:t>
      </w:r>
      <w:r w:rsidR="002105E6">
        <w:rPr>
          <w:rFonts w:cs="Times New Roman"/>
          <w:szCs w:val="22"/>
        </w:rPr>
        <w:t xml:space="preserve"> acre</w:t>
      </w:r>
      <w:r>
        <w:rPr>
          <w:rFonts w:cs="Times New Roman"/>
          <w:szCs w:val="22"/>
        </w:rPr>
        <w:t>s. The District’s population is currently zero. As of the 202</w:t>
      </w:r>
      <w:r w:rsidR="00732F1D">
        <w:rPr>
          <w:rFonts w:cs="Times New Roman"/>
          <w:szCs w:val="22"/>
        </w:rPr>
        <w:t>5</w:t>
      </w:r>
      <w:r>
        <w:rPr>
          <w:rFonts w:cs="Times New Roman"/>
          <w:szCs w:val="22"/>
        </w:rPr>
        <w:t xml:space="preserve"> tax year, property within the District was assigned a taxable value of $</w:t>
      </w:r>
      <w:r>
        <w:t>[______]</w:t>
      </w:r>
      <w:r>
        <w:rPr>
          <w:rFonts w:cs="Times New Roman"/>
          <w:szCs w:val="22"/>
        </w:rPr>
        <w:t xml:space="preserve">. </w:t>
      </w:r>
      <w:r w:rsidR="00DE62B0">
        <w:rPr>
          <w:rFonts w:cs="Times New Roman"/>
          <w:szCs w:val="22"/>
        </w:rPr>
        <w:t xml:space="preserve">Approximately [___] acres are owned by the Developer, approximately [___] acres are owned by Edge Homes, and approximately [___] acres are owned by Wright Homes. </w:t>
      </w:r>
      <w:r w:rsidR="00736413" w:rsidRPr="00C75606">
        <w:rPr>
          <w:rFonts w:cs="Times New Roman"/>
          <w:szCs w:val="22"/>
        </w:rPr>
        <w:t xml:space="preserve">The Developer has also entered into purchase and sale agreements with Edge Homes and Wright </w:t>
      </w:r>
      <w:r w:rsidR="00736413">
        <w:rPr>
          <w:rFonts w:cs="Times New Roman"/>
          <w:szCs w:val="22"/>
        </w:rPr>
        <w:t>Homes</w:t>
      </w:r>
      <w:r w:rsidR="00736413" w:rsidRPr="00C75606">
        <w:rPr>
          <w:rFonts w:cs="Times New Roman"/>
          <w:szCs w:val="22"/>
        </w:rPr>
        <w:t xml:space="preserve"> for </w:t>
      </w:r>
      <w:r w:rsidR="00DE62B0">
        <w:rPr>
          <w:rFonts w:cs="Times New Roman"/>
          <w:szCs w:val="22"/>
        </w:rPr>
        <w:t xml:space="preserve">an additional </w:t>
      </w:r>
      <w:r w:rsidR="00736413" w:rsidRPr="00C75606">
        <w:rPr>
          <w:rFonts w:cs="Times New Roman"/>
          <w:szCs w:val="22"/>
        </w:rPr>
        <w:t>approximately [___] acres</w:t>
      </w:r>
      <w:r w:rsidR="00736413">
        <w:rPr>
          <w:rFonts w:cs="Times New Roman"/>
          <w:szCs w:val="22"/>
        </w:rPr>
        <w:t xml:space="preserve"> of the Development</w:t>
      </w:r>
      <w:r>
        <w:rPr>
          <w:rFonts w:cs="Times New Roman"/>
          <w:szCs w:val="22"/>
        </w:rPr>
        <w:t>. See “FINANCIAL INFORMATION—Ad Valorem Property Tax Data” and “THE DISTRICT.”</w:t>
      </w:r>
    </w:p>
    <w:p w14:paraId="18D1C636" w14:textId="77777777" w:rsidR="00974AD2" w:rsidRPr="00DA2177" w:rsidRDefault="00974AD2" w:rsidP="00B471D8">
      <w:pPr>
        <w:pStyle w:val="Heading2"/>
        <w:numPr>
          <w:ilvl w:val="1"/>
          <w:numId w:val="7"/>
        </w:numPr>
        <w:rPr>
          <w:sz w:val="22"/>
          <w:szCs w:val="22"/>
        </w:rPr>
      </w:pPr>
      <w:bookmarkStart w:id="162" w:name="_Toc31182477"/>
      <w:bookmarkStart w:id="163" w:name="_Toc86152185"/>
      <w:bookmarkStart w:id="164" w:name="_Toc235521091"/>
      <w:r>
        <w:rPr>
          <w:sz w:val="22"/>
          <w:szCs w:val="22"/>
        </w:rPr>
        <w:t>District Powers</w:t>
      </w:r>
      <w:bookmarkEnd w:id="160"/>
      <w:bookmarkEnd w:id="161"/>
      <w:bookmarkEnd w:id="162"/>
      <w:bookmarkEnd w:id="163"/>
      <w:bookmarkEnd w:id="164"/>
    </w:p>
    <w:p w14:paraId="42ADB4F9" w14:textId="0333BEE9" w:rsidR="00974AD2" w:rsidRPr="00DA2177" w:rsidRDefault="00974AD2" w:rsidP="00974AD2">
      <w:pPr>
        <w:pStyle w:val="00BodyText5"/>
        <w:rPr>
          <w:rFonts w:cs="Times New Roman"/>
          <w:szCs w:val="22"/>
        </w:rPr>
      </w:pPr>
      <w:r>
        <w:rPr>
          <w:rFonts w:cs="Times New Roman"/>
          <w:szCs w:val="22"/>
        </w:rPr>
        <w:t xml:space="preserve">The rights, powers, privileges, authorities, functions, and duties of the District are established by the laws of the State, particularly the District Act. The powers of the District are, however, limited both by the provisions of its Governing Document and the Bond Consent. See “—Governing Document Authorizations and Limitations” below. </w:t>
      </w:r>
    </w:p>
    <w:p w14:paraId="1D049202" w14:textId="77777777" w:rsidR="00974AD2" w:rsidRPr="00DA2177" w:rsidRDefault="00974AD2" w:rsidP="00974AD2">
      <w:pPr>
        <w:pStyle w:val="00BodyText5"/>
        <w:rPr>
          <w:rFonts w:cs="Times New Roman"/>
          <w:szCs w:val="22"/>
        </w:rPr>
      </w:pPr>
      <w:r>
        <w:rPr>
          <w:rFonts w:cs="Times New Roman"/>
          <w:szCs w:val="22"/>
        </w:rPr>
        <w:t xml:space="preserve">Pursuant to the District Act, public infrastructure districts each have the power (among others) to: acquire any interest in real property, personal property, or groundwater right necessary or convenient to the full exercise of the district’s powers; transfer an interest or dispose of any property or interest; acquire or construct works, facilities, and improvements necessary or convenient to the full exercise of the district’s powers; borrow money and incur indebtedness for any lawful district purpose; issue bonds, including refunding bonds, for any lawful district purpose and as provided in the District Act and the Bond Act; acquire by eminent domain property necessary to the exercise of the district’s powers; invest money pursuant to the Money Management Act (defined herein); impose fees or other charges; enter into a contract that the district board of trustees considers necessary, convenient, or desirable to carry out the district’s purposes; purchase supplies, equipment, and materials; encumber district property; exercise other powers and perform other functions that are provided by law; construct and maintain works and establish and maintain facilities; perform any act or exercise any power reasonably necessary for the efficient operation of the district in carrying out its purposes; designate an assessment area and levy an assessment on land within the assessment area; and contract with another political subdivision of the state to allow the other political subdivision to have an ownership interest in the district’s works or facilities. </w:t>
      </w:r>
    </w:p>
    <w:p w14:paraId="536214EB" w14:textId="77777777" w:rsidR="00974AD2" w:rsidRPr="00DA2177" w:rsidRDefault="00974AD2" w:rsidP="00974AD2">
      <w:pPr>
        <w:pStyle w:val="00BodyText5"/>
        <w:rPr>
          <w:rFonts w:cs="Times New Roman"/>
          <w:szCs w:val="22"/>
        </w:rPr>
      </w:pPr>
      <w:r>
        <w:rPr>
          <w:rFonts w:cs="Times New Roman"/>
          <w:szCs w:val="22"/>
        </w:rPr>
        <w:t>Each public infrastructure district also has the power, subject to constitutional and statutory limitations, to levy and collect property taxes for any lawful district purpose or expenditure, including to cover a deficit resulting from tax delinquencies in a preceding year. See “FINANCIAL INFORMATION—Ad Valorem Property Taxes.”</w:t>
      </w:r>
    </w:p>
    <w:p w14:paraId="74C94C11" w14:textId="77777777" w:rsidR="00974AD2" w:rsidRPr="00DA2177" w:rsidRDefault="00974AD2" w:rsidP="00B471D8">
      <w:pPr>
        <w:pStyle w:val="Heading2"/>
        <w:numPr>
          <w:ilvl w:val="1"/>
          <w:numId w:val="7"/>
        </w:numPr>
        <w:rPr>
          <w:sz w:val="22"/>
          <w:szCs w:val="22"/>
        </w:rPr>
      </w:pPr>
      <w:bookmarkStart w:id="165" w:name="_Toc523906417"/>
      <w:bookmarkStart w:id="166" w:name="_Toc31182478"/>
      <w:bookmarkStart w:id="167" w:name="_Toc86152186"/>
      <w:bookmarkStart w:id="168" w:name="_Toc235521092"/>
      <w:bookmarkStart w:id="169" w:name="_Toc436745524"/>
      <w:bookmarkStart w:id="170" w:name="_Toc438476571"/>
      <w:bookmarkStart w:id="171" w:name="_Toc524130984"/>
      <w:bookmarkStart w:id="172" w:name="_Toc166306604"/>
      <w:bookmarkEnd w:id="157"/>
      <w:bookmarkEnd w:id="158"/>
      <w:bookmarkEnd w:id="159"/>
      <w:r>
        <w:rPr>
          <w:sz w:val="22"/>
          <w:szCs w:val="22"/>
        </w:rPr>
        <w:t>Annexation, Withdrawal, and Dissolution</w:t>
      </w:r>
      <w:bookmarkEnd w:id="165"/>
      <w:bookmarkEnd w:id="166"/>
      <w:bookmarkEnd w:id="167"/>
      <w:bookmarkEnd w:id="168"/>
    </w:p>
    <w:p w14:paraId="69781A11" w14:textId="324BCEAE" w:rsidR="00974AD2" w:rsidRPr="00DA2177" w:rsidRDefault="00974AD2" w:rsidP="00974AD2">
      <w:pPr>
        <w:pStyle w:val="00BodyText5"/>
        <w:rPr>
          <w:rFonts w:cs="Times New Roman"/>
          <w:szCs w:val="22"/>
        </w:rPr>
      </w:pPr>
      <w:r>
        <w:rPr>
          <w:rFonts w:cs="Times New Roman"/>
          <w:b/>
          <w:i/>
          <w:szCs w:val="22"/>
        </w:rPr>
        <w:t>Annexation and Withdrawal of Property</w:t>
      </w:r>
      <w:r>
        <w:rPr>
          <w:rFonts w:cs="Times New Roman"/>
          <w:szCs w:val="22"/>
        </w:rPr>
        <w:t>. The Special District Act provides that the boundaries of a public infrastructure district may be altered by the annexation or withdrawal of additional real property under certain circumstances. After its annexation, the annexed property is subject to all of the taxes and charges imposed by the district and shall be liable for its proportionate share of existing bonded indebtedness of the district. After its withdrawal, the withdrawn property is not subject to any property tax levy for new debt issued by the district. Unless an escrow trust fund is established for outstanding debt, the withdrawn property remains subject to the district’s property tax levy for that proportion of the district’s outstanding indebtedness and the interest thereon existing immediately prior to the effective date of the withdrawal order. Boundary changes resulting from property annexed or withdrawn to or from the district are not effective for purposes of assessing property located within the affected area until the required documents are recorded in the office of the county recorder of each county in which the affected area is located.</w:t>
      </w:r>
    </w:p>
    <w:p w14:paraId="3F8CDB9D" w14:textId="7496F43C" w:rsidR="00974AD2" w:rsidRPr="00DA2177" w:rsidRDefault="00974AD2" w:rsidP="00974AD2">
      <w:pPr>
        <w:pStyle w:val="00BodyText5"/>
        <w:rPr>
          <w:rFonts w:cs="Times New Roman"/>
          <w:szCs w:val="22"/>
        </w:rPr>
      </w:pPr>
      <w:r>
        <w:rPr>
          <w:rFonts w:cs="Times New Roman"/>
          <w:szCs w:val="22"/>
        </w:rPr>
        <w:t xml:space="preserve">The District currently encompasses approximately </w:t>
      </w:r>
      <w:r w:rsidR="00E97FDD">
        <w:rPr>
          <w:rFonts w:cs="Times New Roman"/>
          <w:szCs w:val="22"/>
        </w:rPr>
        <w:t>135</w:t>
      </w:r>
      <w:r w:rsidR="002105E6">
        <w:rPr>
          <w:rFonts w:cs="Times New Roman"/>
          <w:szCs w:val="22"/>
        </w:rPr>
        <w:t xml:space="preserve"> acre</w:t>
      </w:r>
      <w:r>
        <w:rPr>
          <w:rFonts w:cs="Times New Roman"/>
          <w:szCs w:val="22"/>
        </w:rPr>
        <w:t>s. The Governing Document authorizes the District to annex any portion of property within an approximately 9</w:t>
      </w:r>
      <w:r w:rsidR="00A03016">
        <w:rPr>
          <w:rFonts w:cs="Times New Roman"/>
          <w:szCs w:val="22"/>
        </w:rPr>
        <w:t>57</w:t>
      </w:r>
      <w:r>
        <w:rPr>
          <w:rFonts w:cs="Times New Roman"/>
          <w:szCs w:val="22"/>
        </w:rPr>
        <w:t xml:space="preserve"> acre area (as previously defined, the “</w:t>
      </w:r>
      <w:r>
        <w:rPr>
          <w:rFonts w:cs="Times New Roman"/>
          <w:b/>
          <w:szCs w:val="22"/>
        </w:rPr>
        <w:t>Annexation Area</w:t>
      </w:r>
      <w:r>
        <w:rPr>
          <w:rFonts w:cs="Times New Roman"/>
          <w:szCs w:val="22"/>
        </w:rPr>
        <w:t xml:space="preserve">”) or </w:t>
      </w:r>
      <w:r w:rsidRPr="00ED0087">
        <w:rPr>
          <w:rFonts w:cs="Times New Roman"/>
          <w:szCs w:val="22"/>
        </w:rPr>
        <w:t xml:space="preserve">to withdraw any property within the boundaries of the District and the Annexation Area without the consent of the City but with </w:t>
      </w:r>
      <w:r w:rsidR="00A03016" w:rsidRPr="00ED0087">
        <w:rPr>
          <w:rFonts w:cs="Times New Roman"/>
          <w:szCs w:val="22"/>
        </w:rPr>
        <w:t xml:space="preserve">all required consents </w:t>
      </w:r>
      <w:r w:rsidR="00ED0087" w:rsidRPr="00ED0087">
        <w:rPr>
          <w:rFonts w:cs="Times New Roman"/>
          <w:szCs w:val="22"/>
        </w:rPr>
        <w:t>of</w:t>
      </w:r>
      <w:r w:rsidR="00B1175B" w:rsidRPr="00ED0087">
        <w:rPr>
          <w:rFonts w:cs="Times New Roman"/>
          <w:szCs w:val="22"/>
        </w:rPr>
        <w:t xml:space="preserve"> </w:t>
      </w:r>
      <w:r w:rsidR="00A03016" w:rsidRPr="00ED0087">
        <w:rPr>
          <w:rFonts w:cs="Times New Roman"/>
          <w:szCs w:val="22"/>
        </w:rPr>
        <w:t xml:space="preserve">the Public Infrastructure District Act </w:t>
      </w:r>
      <w:r w:rsidRPr="00ED0087">
        <w:rPr>
          <w:rFonts w:cs="Times New Roman"/>
          <w:szCs w:val="22"/>
        </w:rPr>
        <w:t xml:space="preserve">within the </w:t>
      </w:r>
      <w:r w:rsidR="00ED0087" w:rsidRPr="00ED0087">
        <w:rPr>
          <w:rFonts w:cs="Times New Roman"/>
          <w:szCs w:val="22"/>
        </w:rPr>
        <w:t xml:space="preserve">area proposed to be annexed or withdrawn </w:t>
      </w:r>
      <w:r w:rsidRPr="00ED0087">
        <w:rPr>
          <w:rFonts w:cs="Times New Roman"/>
          <w:szCs w:val="22"/>
        </w:rPr>
        <w:t>and the passage of a resolution of t</w:t>
      </w:r>
      <w:r>
        <w:rPr>
          <w:rFonts w:cs="Times New Roman"/>
          <w:szCs w:val="22"/>
        </w:rPr>
        <w:t>he Board approving such annexation or withdrawal. See “—Governing Document Authorizations and Limitations.” No annexations or withdrawals are contemplated at this time</w:t>
      </w:r>
      <w:r>
        <w:rPr>
          <w:rFonts w:eastAsia="Calibri" w:cs="Times New Roman"/>
          <w:b/>
          <w:i/>
          <w:szCs w:val="22"/>
        </w:rPr>
        <w:t>.</w:t>
      </w:r>
    </w:p>
    <w:p w14:paraId="19D1DCEC" w14:textId="55FF22EA" w:rsidR="00974AD2" w:rsidRDefault="00974AD2" w:rsidP="00974AD2">
      <w:pPr>
        <w:pStyle w:val="00BodyText5"/>
        <w:rPr>
          <w:rFonts w:cs="Times New Roman"/>
          <w:szCs w:val="22"/>
        </w:rPr>
      </w:pPr>
      <w:r>
        <w:rPr>
          <w:rFonts w:cs="Times New Roman"/>
          <w:b/>
          <w:i/>
          <w:szCs w:val="22"/>
        </w:rPr>
        <w:t>Dissolution of the District</w:t>
      </w:r>
      <w:r>
        <w:rPr>
          <w:rFonts w:cs="Times New Roman"/>
          <w:szCs w:val="22"/>
        </w:rPr>
        <w:t xml:space="preserve">. </w:t>
      </w:r>
      <w:r w:rsidR="00732F1D">
        <w:rPr>
          <w:szCs w:val="20"/>
        </w:rPr>
        <w:t>The District Act provides that a public infrastructure district shall be dissolved after (a) all of the public infrastructure district’s bonded indebtedness and contractual obligations are satisfied or defeased, and (b) the public infrastructure and improvements, facilities, or properties described in the governing document have been (i) constructed, repaired, or otherwise completed, and (ii) transferred to the entity responsible for the maintenance and operation of the public infrastructure and improvement, facility, or property. Within thirty (30) days after the date on which the foregoing requirements are met, the board of the public infrastructure district is required to adopt a resolution approving the dissolution of the public infrastructure district and notify the Lieutenant Governor of the dissolution. Upon the Lieutenant Governor’s issuance of a certificate of dissolution, the public infrastructure district is dissolved, and the board is required to file the original certificate of dissolution and a certified copy of the dissolution resolution with the recorder of each county in which the public infrastructure district was located.</w:t>
      </w:r>
      <w:r w:rsidR="00732F1D" w:rsidRPr="006121A0">
        <w:rPr>
          <w:rFonts w:cs="Times New Roman"/>
          <w:szCs w:val="22"/>
        </w:rPr>
        <w:t xml:space="preserve"> </w:t>
      </w:r>
      <w:r>
        <w:rPr>
          <w:rFonts w:cs="Times New Roman"/>
          <w:szCs w:val="22"/>
        </w:rPr>
        <w:t xml:space="preserve">The Governing Document provides that upon an independent determination of the Board that the purposes for which the District was created have been accomplished, the District agrees to file </w:t>
      </w:r>
      <w:r w:rsidR="00A03016">
        <w:rPr>
          <w:rFonts w:cs="Times New Roman"/>
          <w:szCs w:val="22"/>
        </w:rPr>
        <w:t xml:space="preserve">a </w:t>
      </w:r>
      <w:r>
        <w:rPr>
          <w:rFonts w:cs="Times New Roman"/>
          <w:szCs w:val="22"/>
        </w:rPr>
        <w:t>petition for dissolution, pursuant to applicable State statutes. In no event is a dissolution to occur until the District has provided for the payment or discharge of all of its outstanding indebtedness and other financial obligations as required pursuant to State statutes, collected or assigned all fees payable to the District, and disbursed of all assets of the District.</w:t>
      </w:r>
    </w:p>
    <w:p w14:paraId="52C063FE" w14:textId="77777777" w:rsidR="003A2F25" w:rsidRPr="00244A43" w:rsidRDefault="003A2F25" w:rsidP="00B471D8">
      <w:pPr>
        <w:pStyle w:val="Kutak1L2"/>
        <w:numPr>
          <w:ilvl w:val="1"/>
          <w:numId w:val="11"/>
        </w:numPr>
      </w:pPr>
      <w:bookmarkStart w:id="173" w:name="_Toc89684459"/>
      <w:r>
        <w:t>Multiple District Structure</w:t>
      </w:r>
      <w:bookmarkEnd w:id="173"/>
    </w:p>
    <w:p w14:paraId="6DDE3D7E" w14:textId="2AD54144" w:rsidR="005D4391" w:rsidRPr="00DD3D18" w:rsidRDefault="005D4391" w:rsidP="00B471D8">
      <w:pPr>
        <w:pStyle w:val="BodyText"/>
        <w:numPr>
          <w:ilvl w:val="2"/>
          <w:numId w:val="11"/>
        </w:numPr>
      </w:pPr>
      <w:r>
        <w:t>The District was organized concurrently with the other Olympia PIDs to provide public improvements and services to the Olympia Master Development, an approximately 9</w:t>
      </w:r>
      <w:r w:rsidR="00A03016">
        <w:t>57</w:t>
      </w:r>
      <w:r>
        <w:t xml:space="preserve">-acre mixed-use master planned development in the City. The Olympia PIDs are anticipated to separately undertake the financing and construction of the </w:t>
      </w:r>
      <w:r w:rsidR="00A03016">
        <w:t>P</w:t>
      </w:r>
      <w:r>
        <w:t xml:space="preserve">ublic </w:t>
      </w:r>
      <w:r w:rsidR="00A03016">
        <w:t>I</w:t>
      </w:r>
      <w:r>
        <w:t>mprovements to serve portions of the Olympia Master Development. The nature of the functions and services to be provided by each of the Olympia PIDs are clarified in an interlocal agreement between and among the Olympia PIDs. See “—Agreements and Resolutions—</w:t>
      </w:r>
      <w:r>
        <w:rPr>
          <w:i/>
          <w:iCs/>
        </w:rPr>
        <w:t>City Interlocal Agreement</w:t>
      </w:r>
      <w:r>
        <w:t xml:space="preserve">” below. </w:t>
      </w:r>
    </w:p>
    <w:p w14:paraId="0CB72758" w14:textId="7CED4E5C" w:rsidR="003A2F25" w:rsidRPr="003A2F25" w:rsidRDefault="003A2F25" w:rsidP="00FD506F">
      <w:pPr>
        <w:pStyle w:val="BodyText"/>
        <w:ind w:firstLine="720"/>
        <w:rPr>
          <w:b/>
          <w:bCs/>
          <w:i/>
          <w:iCs/>
        </w:rPr>
      </w:pPr>
      <w:r>
        <w:rPr>
          <w:b/>
          <w:bCs/>
          <w:i/>
          <w:iCs/>
        </w:rPr>
        <w:t xml:space="preserve">None of Olympia Public Infrastructure District Nos. </w:t>
      </w:r>
      <w:r w:rsidR="00466AD3">
        <w:rPr>
          <w:b/>
          <w:bCs/>
          <w:i/>
          <w:iCs/>
        </w:rPr>
        <w:t>1 or 3</w:t>
      </w:r>
      <w:r>
        <w:rPr>
          <w:b/>
          <w:bCs/>
          <w:i/>
          <w:iCs/>
        </w:rPr>
        <w:t xml:space="preserve">-7 are pledging any revenues for the payment of the Bonds, and the Bonds are not an obligation of Olympia Public Infrastructure District Nos. </w:t>
      </w:r>
      <w:r w:rsidR="00466AD3">
        <w:rPr>
          <w:b/>
          <w:bCs/>
          <w:i/>
          <w:iCs/>
        </w:rPr>
        <w:t>1 or 3-7</w:t>
      </w:r>
      <w:r>
        <w:rPr>
          <w:b/>
          <w:bCs/>
          <w:i/>
          <w:iCs/>
        </w:rPr>
        <w:t>. Only property within the boundaries of the District will generate revenues for the payment of the Bonds.</w:t>
      </w:r>
    </w:p>
    <w:p w14:paraId="2314F6C5" w14:textId="051CD1EC" w:rsidR="00974AD2" w:rsidRPr="00DA2177" w:rsidRDefault="00974AD2" w:rsidP="00B471D8">
      <w:pPr>
        <w:pStyle w:val="Heading2"/>
        <w:numPr>
          <w:ilvl w:val="1"/>
          <w:numId w:val="2"/>
        </w:numPr>
        <w:rPr>
          <w:sz w:val="22"/>
          <w:szCs w:val="22"/>
        </w:rPr>
      </w:pPr>
      <w:bookmarkStart w:id="174" w:name="_Toc31182479"/>
      <w:bookmarkStart w:id="175" w:name="_Toc86152187"/>
      <w:bookmarkStart w:id="176" w:name="_Toc235521093"/>
      <w:r>
        <w:rPr>
          <w:sz w:val="22"/>
          <w:szCs w:val="22"/>
        </w:rPr>
        <w:t>Governing Document Authorizations and Limitations</w:t>
      </w:r>
      <w:bookmarkEnd w:id="169"/>
      <w:bookmarkEnd w:id="170"/>
      <w:bookmarkEnd w:id="171"/>
      <w:bookmarkEnd w:id="174"/>
      <w:bookmarkEnd w:id="175"/>
      <w:bookmarkEnd w:id="176"/>
    </w:p>
    <w:p w14:paraId="764B9D68" w14:textId="379C24F4" w:rsidR="00974AD2" w:rsidRPr="00DA2177" w:rsidRDefault="00974AD2" w:rsidP="00974AD2">
      <w:pPr>
        <w:pStyle w:val="00BodyText5"/>
        <w:rPr>
          <w:rFonts w:cs="Times New Roman"/>
          <w:szCs w:val="22"/>
        </w:rPr>
      </w:pPr>
      <w:bookmarkStart w:id="177" w:name="_Toc524130985"/>
      <w:bookmarkStart w:id="178" w:name="_Toc438476572"/>
      <w:r>
        <w:rPr>
          <w:rFonts w:cs="Times New Roman"/>
          <w:szCs w:val="22"/>
        </w:rPr>
        <w:t xml:space="preserve">Pursuant to the Governing Document, the District has the power and authority to provide the Public Improvements within and without the boundaries of the District as such power and authority is described in the Special District Act, and other applicable statutes, common law, and the State Constitution, subject to the limitations set forth therein and as described below. </w:t>
      </w:r>
      <w:r>
        <w:rPr>
          <w:rFonts w:cs="Times New Roman"/>
          <w:i/>
          <w:szCs w:val="22"/>
        </w:rPr>
        <w:t>The authorizations and limitations of the Governing Document may be modified or amended with the approval of the City Council and the Board.</w:t>
      </w:r>
    </w:p>
    <w:p w14:paraId="4DE2A7AD" w14:textId="3B3264C7" w:rsidR="00974AD2" w:rsidRPr="00DA2177" w:rsidRDefault="00974AD2" w:rsidP="00974AD2">
      <w:pPr>
        <w:pStyle w:val="00BodyText5"/>
        <w:rPr>
          <w:rFonts w:cs="Times New Roman"/>
          <w:szCs w:val="22"/>
        </w:rPr>
      </w:pPr>
      <w:r>
        <w:rPr>
          <w:rFonts w:cs="Times New Roman"/>
          <w:szCs w:val="22"/>
        </w:rPr>
        <w:t>The Governing Document authorizes the District to provide for the planning, design, acquisition, construction, installation, relocation, redevelopment, maintenance, and financing of certain Public Improvements (limited as described below), including financing the prepayment of impact fees, within and without the boundaries of the District to serve the future taxpayers and inhabitants of the District. The District is to dedicate the Public Improvements to the City or other appropriate public entity</w:t>
      </w:r>
      <w:r w:rsidR="00A03016">
        <w:rPr>
          <w:rFonts w:cs="Times New Roman"/>
          <w:szCs w:val="22"/>
        </w:rPr>
        <w:t>, utility,</w:t>
      </w:r>
      <w:r>
        <w:rPr>
          <w:rFonts w:cs="Times New Roman"/>
          <w:szCs w:val="22"/>
        </w:rPr>
        <w:t xml:space="preserve"> or owners’ association, subject to any limitations specified in the Governing Document. The District is authorized, but not obligated, to own, operate, and maintain Public Improvements not otherwise required to be dedicated to the City or other appropriate public entity, provided that the District does not currently anticipate owning any Public Improvements. </w:t>
      </w:r>
      <w:r w:rsidR="00A03016">
        <w:rPr>
          <w:rFonts w:cs="Times New Roman"/>
          <w:szCs w:val="22"/>
        </w:rPr>
        <w:t>In accordance with the Public Infrastructure District Act, the City expressly authorizes the District to acquire or finance any remediation and any related improvements for publicly or privately owned property. Except for improvements related to Affordable Housing (as defined therein), the Governing Document states that t</w:t>
      </w:r>
      <w:r>
        <w:rPr>
          <w:rFonts w:cs="Times New Roman"/>
          <w:szCs w:val="22"/>
        </w:rPr>
        <w:t>he District is not permitted to finance any of the following improvements: (a) any waterline or sewer line 8” or smaller in diameter; (b) any storm drain system only benefiting a single subdivision; (c) any park less than 2 acres in size; or (d) any road right of way 55’ wide or narrower.</w:t>
      </w:r>
    </w:p>
    <w:p w14:paraId="0B476C4C" w14:textId="2689C86B" w:rsidR="00974AD2" w:rsidRPr="00DA2177" w:rsidRDefault="00974AD2" w:rsidP="00974AD2">
      <w:pPr>
        <w:pStyle w:val="00BodyText5"/>
        <w:rPr>
          <w:rFonts w:cs="Times New Roman"/>
          <w:szCs w:val="22"/>
        </w:rPr>
      </w:pPr>
      <w:r>
        <w:rPr>
          <w:rFonts w:cs="Times New Roman"/>
          <w:szCs w:val="22"/>
        </w:rPr>
        <w:t xml:space="preserve">The District may impose a mill levy on taxable property and may also rely on other revenue sources authorized by law, including the power to assess assessments, fees (including Contract Fees), penalties, and charges, subject to the limitations of the Governing Document. The Contract Fees are presently the only fees imposed by the District. </w:t>
      </w:r>
    </w:p>
    <w:p w14:paraId="4E1247EC" w14:textId="6E78BD25" w:rsidR="00974AD2" w:rsidRDefault="001E24AE" w:rsidP="00974AD2">
      <w:pPr>
        <w:pStyle w:val="00BodyText5"/>
        <w:rPr>
          <w:rFonts w:cs="Times New Roman"/>
          <w:szCs w:val="22"/>
        </w:rPr>
      </w:pPr>
      <w:r>
        <w:rPr>
          <w:rFonts w:cs="Times New Roman"/>
          <w:szCs w:val="22"/>
        </w:rPr>
        <w:t xml:space="preserve">The Governing Document does not limit the amount of debt that may be issued by the Olympia PIDs. For purposes of the Governing Document, “bond” or “debt” refers to bonds or other obligations, including loans of any property owner, for the payment of which the District has promised to impose an </w:t>
      </w:r>
      <w:r>
        <w:rPr>
          <w:rFonts w:cs="Times New Roman"/>
          <w:i/>
          <w:szCs w:val="22"/>
        </w:rPr>
        <w:t>ad valorem</w:t>
      </w:r>
      <w:r>
        <w:rPr>
          <w:rFonts w:cs="Times New Roman"/>
          <w:szCs w:val="22"/>
        </w:rPr>
        <w:t xml:space="preserve"> property tax levy, impose fees, and/or collect assessments. Pursuant to the Governing Document, the maximum rate the District is permitted to impose for the payment of limited tax debt, such as the Bonds, is </w:t>
      </w:r>
      <w:r w:rsidR="00DA3361">
        <w:rPr>
          <w:rFonts w:cs="Times New Roman"/>
          <w:szCs w:val="22"/>
        </w:rPr>
        <w:t>0.004</w:t>
      </w:r>
      <w:r>
        <w:rPr>
          <w:rFonts w:cs="Times New Roman"/>
          <w:szCs w:val="22"/>
        </w:rPr>
        <w:t xml:space="preserve"> per dollar of taxable value (the “</w:t>
      </w:r>
      <w:r>
        <w:rPr>
          <w:rFonts w:cs="Times New Roman"/>
          <w:b/>
          <w:szCs w:val="22"/>
        </w:rPr>
        <w:t>Maximum Debt Mill Levy</w:t>
      </w:r>
      <w:r>
        <w:rPr>
          <w:rFonts w:cs="Times New Roman"/>
          <w:szCs w:val="22"/>
        </w:rPr>
        <w:t>”); provided that such tax rate is subject to adjustment, pursuant to 17D-4-301</w:t>
      </w:r>
      <w:r w:rsidR="00CD1CA9">
        <w:rPr>
          <w:rFonts w:cs="Times New Roman"/>
          <w:szCs w:val="22"/>
        </w:rPr>
        <w:t>(13)</w:t>
      </w:r>
      <w:r>
        <w:rPr>
          <w:rFonts w:cs="Times New Roman"/>
          <w:szCs w:val="22"/>
        </w:rPr>
        <w:t xml:space="preserve"> of the Utah Code, in the event of any statutory change in the methodology of assessment or collection of property taxes in a manner that reduces the amounts which are devoted or pledged to the repayment of limited tax bonds, the District may charge a rate sufficient to receive the amount of property taxes the District would have received before the statutory change in order to pay the debt service on outstanding limited tax bonds. The District is not permitted to impose mill levies which aggregate in excess of </w:t>
      </w:r>
      <w:r w:rsidR="00DA3361">
        <w:rPr>
          <w:rFonts w:cs="Times New Roman"/>
          <w:szCs w:val="22"/>
        </w:rPr>
        <w:t>0.004</w:t>
      </w:r>
      <w:r>
        <w:rPr>
          <w:rFonts w:cs="Times New Roman"/>
          <w:szCs w:val="22"/>
        </w:rPr>
        <w:t xml:space="preserve"> per dollar of taxable property in the District, subject to adjustment as described above. In addition, the Governing Document provides that the maximum term of any bond issue is to be 31 years from the original date of issuance and no mill levy may be imposed for the repayment of a series of bonds after a period exceeding 40 years from the first date of imposition of the mill levy for such bond (the “</w:t>
      </w:r>
      <w:r>
        <w:rPr>
          <w:rFonts w:cs="Times New Roman"/>
          <w:b/>
          <w:szCs w:val="22"/>
        </w:rPr>
        <w:t>Maximum Debt Mill Levy Imposition Term</w:t>
      </w:r>
      <w:r>
        <w:rPr>
          <w:rFonts w:cs="Times New Roman"/>
          <w:szCs w:val="22"/>
        </w:rPr>
        <w:t>”). Neither the Maximum Debt Mill Levy nor the Maximum Debt Mill Levy Imposition Term apply to General Obligation Debt (generally meaning debt that is not limited tax debt).</w:t>
      </w:r>
    </w:p>
    <w:p w14:paraId="50628302" w14:textId="5FE2FF85" w:rsidR="00FE1642" w:rsidRPr="001E1D6C" w:rsidRDefault="00FE1642" w:rsidP="00FE1642">
      <w:pPr>
        <w:pStyle w:val="00BodyText5"/>
        <w:rPr>
          <w:rFonts w:cs="Times New Roman"/>
          <w:szCs w:val="22"/>
        </w:rPr>
      </w:pPr>
      <w:r>
        <w:rPr>
          <w:rFonts w:cs="Times New Roman"/>
          <w:szCs w:val="22"/>
        </w:rPr>
        <w:t xml:space="preserve">All fees and assessments (other than </w:t>
      </w:r>
      <w:r w:rsidR="008D0FFE">
        <w:rPr>
          <w:rFonts w:cs="Times New Roman"/>
          <w:szCs w:val="22"/>
        </w:rPr>
        <w:t xml:space="preserve">C-PACE </w:t>
      </w:r>
      <w:r>
        <w:rPr>
          <w:rFonts w:cs="Times New Roman"/>
          <w:szCs w:val="22"/>
        </w:rPr>
        <w:t>assessments) imposed by the District on a parcel will be payable at or before the issuance of a building permit by the City with respect to such parcel. So long as fees are not passed on to end users, there is no maximum amount of fees that may be imposed by the District, provided that all such fees are to be related to administrative expenses of the District, the provision of Public Improvements, and debt service on bonds related thereto. As set forth in the Governing Document, the City agrees to collect fees and remit such fees to the District on at least a monthly basis and further agrees that any building permit issued within the boundaries of the District will require proof of payment of fees. The District and the City have entered into the Contract Fee Interlocal Agreement, which sets forth additional procedures regarding the collection and remittance of fees. See “—Agreements and Resolutions—</w:t>
      </w:r>
      <w:r>
        <w:rPr>
          <w:rFonts w:cs="Times New Roman"/>
          <w:i/>
          <w:iCs/>
          <w:szCs w:val="22"/>
        </w:rPr>
        <w:t>Contract Fee Interlocal Agreement</w:t>
      </w:r>
      <w:r>
        <w:rPr>
          <w:rFonts w:cs="Times New Roman"/>
          <w:szCs w:val="22"/>
        </w:rPr>
        <w:t>.”</w:t>
      </w:r>
    </w:p>
    <w:p w14:paraId="32826B7E" w14:textId="3043DB50" w:rsidR="00FE1642" w:rsidRPr="00FE1642" w:rsidRDefault="00FE1642" w:rsidP="00FE1642">
      <w:pPr>
        <w:pStyle w:val="00BodyText5"/>
        <w:rPr>
          <w:szCs w:val="22"/>
        </w:rPr>
      </w:pPr>
      <w:r>
        <w:rPr>
          <w:szCs w:val="22"/>
        </w:rPr>
        <w:t>The District is authorized to provide for the planning, design, acquisition, construction, installation, relocation and/or redevelopment and a contribution to the funding of certain public improvements and facilities that will benefit the Annexation Area and fund the administration and overhead costs related to the provisions of such improvements.</w:t>
      </w:r>
    </w:p>
    <w:p w14:paraId="2E5DF7EF" w14:textId="4CAB4A7C" w:rsidR="00974AD2" w:rsidRPr="00DA2177" w:rsidRDefault="00974AD2" w:rsidP="00974AD2">
      <w:pPr>
        <w:pStyle w:val="00BodyText5"/>
        <w:rPr>
          <w:rFonts w:cs="Times New Roman"/>
          <w:szCs w:val="22"/>
        </w:rPr>
      </w:pPr>
      <w:r>
        <w:rPr>
          <w:rFonts w:cs="Times New Roman"/>
          <w:szCs w:val="22"/>
        </w:rPr>
        <w:t xml:space="preserve">The District is to obtain prior written approval of the City before making any material modification to the Governing Document. Annexation of any portion of the Annexation Area is specifically authorized in the Governing Document; however, the District is not authorized to </w:t>
      </w:r>
      <w:r w:rsidRPr="00AA40F1">
        <w:rPr>
          <w:rFonts w:cs="Times New Roman"/>
          <w:szCs w:val="22"/>
        </w:rPr>
        <w:t xml:space="preserve">annex </w:t>
      </w:r>
      <w:r>
        <w:rPr>
          <w:rFonts w:cs="Times New Roman"/>
          <w:szCs w:val="22"/>
        </w:rPr>
        <w:t xml:space="preserve">any property outside of the Annexation Area without prior written consent of the City. The boundaries of the Olympia PIDs may not overlap unless the aggregate mill levy for payment of debt of the overlapping Olympia PIDs will not at any time exceed the Maximum Debt Mill Levy of the Olympia PIDs. In addition, the Olympia PIDs are not authorized to consent to the organization of any other </w:t>
      </w:r>
      <w:r>
        <w:rPr>
          <w:szCs w:val="22"/>
        </w:rPr>
        <w:t>public infrastructure district organized under the Public Infrastructure Act within the Annexation Area which will overlap the boundaries of the Olympia PIDs unless the aggregate mill levy for payment of debt of such proposed districts will not at any time exceed the Maximum Debt Mill Levy of the Olympia PIDs.</w:t>
      </w:r>
    </w:p>
    <w:p w14:paraId="65FD6570" w14:textId="4A240F4B" w:rsidR="00974AD2" w:rsidRDefault="00974AD2" w:rsidP="00974AD2">
      <w:pPr>
        <w:pStyle w:val="00BodyText5"/>
        <w:rPr>
          <w:rFonts w:cs="Times New Roman"/>
          <w:szCs w:val="22"/>
        </w:rPr>
      </w:pPr>
      <w:r>
        <w:rPr>
          <w:rFonts w:cs="Times New Roman"/>
          <w:szCs w:val="22"/>
        </w:rPr>
        <w:t>The Governing Document requires the following language be included in any document used for the offering of debt for sale: “By acceptance of the Bonds, the owner of the Bond agrees and consents to all of the limitations in respect of the payment of the principal and interest on the Bond contained therein, in the resolution of the District authorizing the issuance of the Bond, and in the Governing Document for the creation of the District.”</w:t>
      </w:r>
    </w:p>
    <w:p w14:paraId="646B7DA5" w14:textId="08BB0331" w:rsidR="00FE1642" w:rsidRPr="00DA2177" w:rsidRDefault="00FE1642" w:rsidP="00974AD2">
      <w:pPr>
        <w:pStyle w:val="00BodyText5"/>
        <w:rPr>
          <w:rFonts w:cs="Times New Roman"/>
          <w:szCs w:val="22"/>
        </w:rPr>
      </w:pPr>
      <w:r>
        <w:rPr>
          <w:rFonts w:eastAsia="Calibri" w:cs="Times New Roman"/>
          <w:szCs w:val="22"/>
        </w:rPr>
        <w:t>The Governing Document also provides that “it is the intent of the City that the District shall use competent and nationally recognized bond and disclosure counsel with respect to the District Bonds (as defined therein) to ensure proper issuance and compliance with the Governing Document.” The District has agreed to utilize Gilmore &amp; Bell, P.C., Salt Lake City, Utah, as bond and disclosure counsel in connection with the issuance of the Bonds.</w:t>
      </w:r>
    </w:p>
    <w:p w14:paraId="45295CD1" w14:textId="77777777" w:rsidR="00974AD2" w:rsidRPr="00DA2177" w:rsidRDefault="00974AD2" w:rsidP="00B471D8">
      <w:pPr>
        <w:pStyle w:val="Heading2"/>
        <w:numPr>
          <w:ilvl w:val="1"/>
          <w:numId w:val="7"/>
        </w:numPr>
        <w:rPr>
          <w:sz w:val="22"/>
          <w:szCs w:val="22"/>
        </w:rPr>
      </w:pPr>
      <w:bookmarkStart w:id="179" w:name="_Toc466439485"/>
      <w:bookmarkStart w:id="180" w:name="_Toc11049673"/>
      <w:bookmarkStart w:id="181" w:name="_Toc31182481"/>
      <w:bookmarkStart w:id="182" w:name="_Toc86152188"/>
      <w:bookmarkStart w:id="183" w:name="_Toc235521094"/>
      <w:bookmarkStart w:id="184" w:name="_Toc166306605"/>
      <w:bookmarkStart w:id="185" w:name="_Toc438476573"/>
      <w:bookmarkStart w:id="186" w:name="_Toc524130987"/>
      <w:bookmarkEnd w:id="172"/>
      <w:bookmarkEnd w:id="177"/>
      <w:bookmarkEnd w:id="178"/>
      <w:r>
        <w:rPr>
          <w:sz w:val="22"/>
          <w:szCs w:val="22"/>
        </w:rPr>
        <w:t>Governing Board</w:t>
      </w:r>
      <w:bookmarkEnd w:id="179"/>
      <w:bookmarkEnd w:id="180"/>
      <w:bookmarkEnd w:id="181"/>
      <w:bookmarkEnd w:id="182"/>
      <w:bookmarkEnd w:id="183"/>
    </w:p>
    <w:p w14:paraId="5EDAA3AD" w14:textId="707F2EF9" w:rsidR="00974AD2" w:rsidRPr="00F90C1A" w:rsidRDefault="00974AD2" w:rsidP="00974AD2">
      <w:pPr>
        <w:pStyle w:val="00BodyText5"/>
        <w:rPr>
          <w:rFonts w:cs="Times New Roman"/>
          <w:szCs w:val="22"/>
        </w:rPr>
      </w:pPr>
      <w:r w:rsidRPr="00F90C1A">
        <w:rPr>
          <w:rFonts w:cs="Times New Roman"/>
          <w:szCs w:val="22"/>
        </w:rPr>
        <w:t>The District is governed by a three-member Board. Because there are no residents within the boundaries of the District, the members of the Board are not required to be resident</w:t>
      </w:r>
      <w:r w:rsidR="00F90C1A" w:rsidRPr="00F90C1A">
        <w:rPr>
          <w:rFonts w:cs="Times New Roman"/>
          <w:szCs w:val="22"/>
        </w:rPr>
        <w:t>s</w:t>
      </w:r>
      <w:r w:rsidRPr="00F90C1A">
        <w:rPr>
          <w:rFonts w:cs="Times New Roman"/>
          <w:szCs w:val="22"/>
        </w:rPr>
        <w:t xml:space="preserve"> within the boundaries of the District. However, the members must be an owner of land or an agent or officer of an owner of land within the boundaries of the District and a registered voter at their primary residence. </w:t>
      </w:r>
      <w:r w:rsidR="00F90C1A" w:rsidRPr="00F90C1A">
        <w:rPr>
          <w:rFonts w:cs="Times New Roman"/>
          <w:szCs w:val="22"/>
        </w:rPr>
        <w:t xml:space="preserve">As set forth in the Governing Document, any property owner owning at least one-third of the taxable value of the property within the District shall be entitled to nominate, and have its nominee appointed to fill, one trustee seat for each one-third value. </w:t>
      </w:r>
      <w:r w:rsidRPr="00F90C1A">
        <w:rPr>
          <w:rFonts w:cs="Times New Roman"/>
          <w:szCs w:val="22"/>
        </w:rPr>
        <w:t xml:space="preserve">A majority of Board members may serve an initial six-year term with the remainder serving a four-year term, </w:t>
      </w:r>
      <w:r w:rsidR="00F90C1A">
        <w:rPr>
          <w:rFonts w:cs="Times New Roman"/>
          <w:szCs w:val="22"/>
        </w:rPr>
        <w:t xml:space="preserve">and </w:t>
      </w:r>
      <w:r w:rsidRPr="00F90C1A">
        <w:rPr>
          <w:rFonts w:cs="Times New Roman"/>
          <w:szCs w:val="22"/>
        </w:rPr>
        <w:t xml:space="preserve">after the initial term each term shall be four years. Upon a vacancy in or end of a term for an appointed Board seat, such seat shall be appointed or reappointed by the </w:t>
      </w:r>
      <w:r w:rsidR="00B67E34">
        <w:rPr>
          <w:rFonts w:cs="Times New Roman"/>
          <w:szCs w:val="22"/>
        </w:rPr>
        <w:t>Board</w:t>
      </w:r>
      <w:r w:rsidRPr="00F90C1A">
        <w:rPr>
          <w:rFonts w:cs="Times New Roman"/>
          <w:szCs w:val="22"/>
        </w:rPr>
        <w:t xml:space="preserve"> in accordance with the Special District Act. </w:t>
      </w:r>
    </w:p>
    <w:p w14:paraId="04C61751" w14:textId="3691BA1A" w:rsidR="00974AD2" w:rsidRPr="00DA2177" w:rsidRDefault="00187DFA" w:rsidP="00187DFA">
      <w:pPr>
        <w:pStyle w:val="00BodyText5"/>
        <w:rPr>
          <w:rFonts w:cs="Times New Roman"/>
          <w:szCs w:val="22"/>
        </w:rPr>
      </w:pPr>
      <w:r>
        <w:rPr>
          <w:rFonts w:cs="Times New Roman"/>
          <w:szCs w:val="22"/>
        </w:rPr>
        <w:t xml:space="preserve">Prior to the issuance of debt, the District is to estimate the number of certificates of occupancy to be issued by the City within the District. Upon attainment of that number of certificates of occupancy, the Board seats for the District will transition from appointed to elected seats following expiration of the then current term for such Board member, provided that seats on the Board may transition earlier if approved in a resolution of the Board. Until such time as a seat transitions to an elected seat, the Board is to continue to be appointed </w:t>
      </w:r>
      <w:r w:rsidR="00B67E34">
        <w:rPr>
          <w:rFonts w:cs="Times New Roman"/>
          <w:szCs w:val="22"/>
        </w:rPr>
        <w:t xml:space="preserve">or reappointed </w:t>
      </w:r>
      <w:r>
        <w:rPr>
          <w:rFonts w:cs="Times New Roman"/>
          <w:szCs w:val="22"/>
        </w:rPr>
        <w:t xml:space="preserve">by the </w:t>
      </w:r>
      <w:r w:rsidR="00B67E34">
        <w:rPr>
          <w:rFonts w:cs="Times New Roman"/>
          <w:szCs w:val="22"/>
        </w:rPr>
        <w:t>Board</w:t>
      </w:r>
      <w:r>
        <w:rPr>
          <w:rFonts w:cs="Times New Roman"/>
          <w:szCs w:val="22"/>
        </w:rPr>
        <w:t xml:space="preserve"> and be comprised of owners of land or agents and officers of owners of land within the boundaries of the District.</w:t>
      </w:r>
    </w:p>
    <w:p w14:paraId="3E792E61" w14:textId="77777777" w:rsidR="00974AD2" w:rsidRPr="00DA2177" w:rsidRDefault="00974AD2" w:rsidP="00974AD2">
      <w:pPr>
        <w:pStyle w:val="00BodyText5"/>
        <w:rPr>
          <w:rFonts w:cs="Times New Roman"/>
          <w:szCs w:val="22"/>
        </w:rPr>
      </w:pPr>
      <w:r>
        <w:rPr>
          <w:rFonts w:cs="Times New Roman"/>
          <w:szCs w:val="22"/>
        </w:rPr>
        <w:t xml:space="preserve">The Board holds regular meetings and special meetings as needed. Each Board member is entitled to one vote on all questions before the Board when a quorum is present. Board members who are not residents of the District may not be compensated for serving on the Board and none of the current Board members are residents. The present Board members, their positions on the Board, principal occupations, and terms are as set forth below. </w:t>
      </w:r>
    </w:p>
    <w:p w14:paraId="49F522AB" w14:textId="77777777" w:rsidR="00974AD2" w:rsidRPr="00DA2177" w:rsidRDefault="00974AD2" w:rsidP="00974AD2">
      <w:pPr>
        <w:pStyle w:val="00TitleC"/>
        <w:rPr>
          <w:rFonts w:cs="Times New Roman"/>
          <w:sz w:val="22"/>
          <w:szCs w:val="22"/>
        </w:rPr>
      </w:pPr>
      <w:r>
        <w:rPr>
          <w:rFonts w:cs="Times New Roman"/>
          <w:sz w:val="22"/>
          <w:szCs w:val="22"/>
        </w:rPr>
        <w:t>Board of Trustees</w:t>
      </w:r>
    </w:p>
    <w:tbl>
      <w:tblPr>
        <w:tblW w:w="5000" w:type="pct"/>
        <w:jc w:val="center"/>
        <w:tblLayout w:type="fixed"/>
        <w:tblCellMar>
          <w:left w:w="115" w:type="dxa"/>
          <w:right w:w="115" w:type="dxa"/>
        </w:tblCellMar>
        <w:tblLook w:val="04A0" w:firstRow="1" w:lastRow="0" w:firstColumn="1" w:lastColumn="0" w:noHBand="0" w:noVBand="1"/>
      </w:tblPr>
      <w:tblGrid>
        <w:gridCol w:w="1710"/>
        <w:gridCol w:w="2435"/>
        <w:gridCol w:w="2789"/>
        <w:gridCol w:w="2426"/>
      </w:tblGrid>
      <w:tr w:rsidR="00974AD2" w:rsidRPr="00DA2177" w14:paraId="2668508C" w14:textId="77777777" w:rsidTr="0004345C">
        <w:trPr>
          <w:cantSplit/>
          <w:jc w:val="center"/>
        </w:trPr>
        <w:tc>
          <w:tcPr>
            <w:tcW w:w="913" w:type="pct"/>
            <w:vAlign w:val="bottom"/>
          </w:tcPr>
          <w:p w14:paraId="5C3FD562" w14:textId="77777777" w:rsidR="00974AD2" w:rsidRPr="00DA2177" w:rsidRDefault="00974AD2" w:rsidP="0004345C">
            <w:pPr>
              <w:keepNext/>
              <w:keepLines/>
              <w:jc w:val="center"/>
              <w:rPr>
                <w:rFonts w:eastAsia="Calibri" w:cs="Times New Roman"/>
                <w:b/>
                <w:sz w:val="22"/>
                <w:szCs w:val="22"/>
              </w:rPr>
            </w:pPr>
            <w:r>
              <w:rPr>
                <w:rFonts w:eastAsia="Calibri" w:cs="Times New Roman"/>
                <w:b/>
                <w:sz w:val="22"/>
                <w:szCs w:val="22"/>
              </w:rPr>
              <w:t>Name/Office</w:t>
            </w:r>
          </w:p>
        </w:tc>
        <w:tc>
          <w:tcPr>
            <w:tcW w:w="1301" w:type="pct"/>
            <w:vAlign w:val="bottom"/>
          </w:tcPr>
          <w:p w14:paraId="17E9F396" w14:textId="77777777" w:rsidR="00974AD2" w:rsidRPr="00DA2177" w:rsidRDefault="00974AD2" w:rsidP="0004345C">
            <w:pPr>
              <w:keepNext/>
              <w:keepLines/>
              <w:jc w:val="center"/>
              <w:rPr>
                <w:rFonts w:eastAsia="Calibri" w:cs="Times New Roman"/>
                <w:b/>
                <w:sz w:val="22"/>
                <w:szCs w:val="22"/>
              </w:rPr>
            </w:pPr>
            <w:r>
              <w:rPr>
                <w:rFonts w:eastAsia="Calibri" w:cs="Times New Roman"/>
                <w:b/>
                <w:sz w:val="22"/>
                <w:szCs w:val="22"/>
              </w:rPr>
              <w:t>Office</w:t>
            </w:r>
          </w:p>
        </w:tc>
        <w:tc>
          <w:tcPr>
            <w:tcW w:w="1490" w:type="pct"/>
            <w:vAlign w:val="bottom"/>
          </w:tcPr>
          <w:p w14:paraId="053272F3" w14:textId="77777777" w:rsidR="00974AD2" w:rsidRPr="00DA2177" w:rsidRDefault="00974AD2" w:rsidP="0004345C">
            <w:pPr>
              <w:keepNext/>
              <w:keepLines/>
              <w:jc w:val="center"/>
              <w:rPr>
                <w:rFonts w:eastAsia="Calibri" w:cs="Times New Roman"/>
                <w:b/>
                <w:sz w:val="22"/>
                <w:szCs w:val="22"/>
              </w:rPr>
            </w:pPr>
            <w:r>
              <w:rPr>
                <w:rFonts w:eastAsia="Calibri" w:cs="Times New Roman"/>
                <w:b/>
                <w:sz w:val="22"/>
                <w:szCs w:val="22"/>
              </w:rPr>
              <w:t>Occupation</w:t>
            </w:r>
          </w:p>
        </w:tc>
        <w:tc>
          <w:tcPr>
            <w:tcW w:w="1296" w:type="pct"/>
            <w:vAlign w:val="bottom"/>
          </w:tcPr>
          <w:p w14:paraId="7B708341" w14:textId="24B8BE53" w:rsidR="00FE1642" w:rsidRPr="0004345C" w:rsidRDefault="00974AD2" w:rsidP="0004345C">
            <w:pPr>
              <w:keepNext/>
              <w:keepLines/>
              <w:jc w:val="center"/>
              <w:rPr>
                <w:rFonts w:eastAsia="Calibri" w:cs="Times New Roman"/>
                <w:b/>
                <w:sz w:val="22"/>
                <w:szCs w:val="22"/>
              </w:rPr>
            </w:pPr>
            <w:r>
              <w:rPr>
                <w:rFonts w:eastAsia="Calibri" w:cs="Times New Roman"/>
                <w:b/>
                <w:sz w:val="22"/>
                <w:szCs w:val="22"/>
              </w:rPr>
              <w:t>Term Expires</w:t>
            </w:r>
          </w:p>
        </w:tc>
      </w:tr>
      <w:tr w:rsidR="00974AD2" w:rsidRPr="00CC4499" w14:paraId="2FC6BF91" w14:textId="77777777" w:rsidTr="00657209">
        <w:trPr>
          <w:cantSplit/>
          <w:jc w:val="center"/>
        </w:trPr>
        <w:tc>
          <w:tcPr>
            <w:tcW w:w="913" w:type="pct"/>
            <w:vAlign w:val="bottom"/>
          </w:tcPr>
          <w:p w14:paraId="0AE6CF1F" w14:textId="1B799EC6" w:rsidR="00974AD2" w:rsidRPr="00CC4499" w:rsidRDefault="00605689" w:rsidP="00B67E34">
            <w:pPr>
              <w:keepNext/>
              <w:keepLines/>
              <w:ind w:left="-33" w:right="-117"/>
              <w:jc w:val="center"/>
              <w:rPr>
                <w:rFonts w:eastAsia="Calibri" w:cs="Times New Roman"/>
                <w:sz w:val="22"/>
                <w:szCs w:val="22"/>
              </w:rPr>
            </w:pPr>
            <w:r>
              <w:rPr>
                <w:rFonts w:eastAsia="Calibri" w:cs="Times New Roman"/>
                <w:sz w:val="22"/>
                <w:szCs w:val="22"/>
              </w:rPr>
              <w:t>Ryan Button</w:t>
            </w:r>
          </w:p>
        </w:tc>
        <w:tc>
          <w:tcPr>
            <w:tcW w:w="1301" w:type="pct"/>
            <w:vAlign w:val="bottom"/>
          </w:tcPr>
          <w:p w14:paraId="53A49DF2" w14:textId="77777777" w:rsidR="00974AD2" w:rsidRPr="00CC4499" w:rsidRDefault="00974AD2" w:rsidP="00A14B98">
            <w:pPr>
              <w:keepNext/>
              <w:keepLines/>
              <w:jc w:val="center"/>
              <w:rPr>
                <w:rFonts w:eastAsia="Calibri" w:cs="Times New Roman"/>
                <w:sz w:val="22"/>
                <w:szCs w:val="22"/>
              </w:rPr>
            </w:pPr>
            <w:r>
              <w:rPr>
                <w:rFonts w:eastAsia="Calibri" w:cs="Times New Roman"/>
                <w:sz w:val="22"/>
                <w:szCs w:val="22"/>
              </w:rPr>
              <w:t>Chair</w:t>
            </w:r>
          </w:p>
        </w:tc>
        <w:tc>
          <w:tcPr>
            <w:tcW w:w="1490" w:type="pct"/>
          </w:tcPr>
          <w:p w14:paraId="6D4C23E7" w14:textId="197FA214" w:rsidR="00974AD2" w:rsidRPr="00CC4499" w:rsidRDefault="00CC4499" w:rsidP="00A14B98">
            <w:pPr>
              <w:keepNext/>
              <w:keepLines/>
              <w:jc w:val="center"/>
              <w:rPr>
                <w:rFonts w:eastAsia="Calibri" w:cs="Times New Roman"/>
                <w:sz w:val="22"/>
                <w:szCs w:val="22"/>
              </w:rPr>
            </w:pPr>
            <w:r>
              <w:rPr>
                <w:rFonts w:eastAsia="Calibri" w:cs="Times New Roman"/>
                <w:sz w:val="22"/>
                <w:szCs w:val="22"/>
              </w:rPr>
              <w:t>Developer</w:t>
            </w:r>
          </w:p>
        </w:tc>
        <w:tc>
          <w:tcPr>
            <w:tcW w:w="1296" w:type="pct"/>
            <w:vAlign w:val="bottom"/>
          </w:tcPr>
          <w:p w14:paraId="1D0A50B4" w14:textId="7D7502AD" w:rsidR="00974AD2" w:rsidRPr="00CC4499" w:rsidRDefault="0004345C" w:rsidP="00A14B98">
            <w:pPr>
              <w:keepNext/>
              <w:keepLines/>
              <w:jc w:val="center"/>
              <w:rPr>
                <w:rFonts w:eastAsia="Calibri" w:cs="Times New Roman"/>
                <w:sz w:val="22"/>
                <w:szCs w:val="22"/>
              </w:rPr>
            </w:pPr>
            <w:r>
              <w:rPr>
                <w:rFonts w:eastAsia="Calibri" w:cs="Times New Roman"/>
                <w:sz w:val="22"/>
                <w:szCs w:val="22"/>
              </w:rPr>
              <w:t>October 21, 2027</w:t>
            </w:r>
          </w:p>
        </w:tc>
      </w:tr>
      <w:tr w:rsidR="001E157C" w:rsidRPr="00CC4499" w14:paraId="3E85AD09" w14:textId="77777777" w:rsidTr="00657209">
        <w:trPr>
          <w:cantSplit/>
          <w:jc w:val="center"/>
        </w:trPr>
        <w:tc>
          <w:tcPr>
            <w:tcW w:w="913" w:type="pct"/>
            <w:vAlign w:val="bottom"/>
          </w:tcPr>
          <w:p w14:paraId="293D2FB1" w14:textId="37203E17" w:rsidR="001E157C" w:rsidRPr="00CC4499" w:rsidRDefault="001E157C" w:rsidP="00B67E34">
            <w:pPr>
              <w:keepNext/>
              <w:keepLines/>
              <w:ind w:left="-33" w:right="-117"/>
              <w:jc w:val="center"/>
              <w:rPr>
                <w:rFonts w:eastAsia="Times New Roman" w:cs="Times New Roman"/>
                <w:color w:val="000000"/>
                <w:sz w:val="22"/>
                <w:szCs w:val="22"/>
              </w:rPr>
            </w:pPr>
            <w:r>
              <w:rPr>
                <w:rFonts w:eastAsia="Times New Roman" w:cs="Times New Roman"/>
                <w:color w:val="000000"/>
                <w:sz w:val="22"/>
                <w:szCs w:val="22"/>
              </w:rPr>
              <w:t>Doug Young</w:t>
            </w:r>
          </w:p>
        </w:tc>
        <w:tc>
          <w:tcPr>
            <w:tcW w:w="1301" w:type="pct"/>
            <w:vAlign w:val="bottom"/>
          </w:tcPr>
          <w:p w14:paraId="2B5B5638" w14:textId="4862FDE1" w:rsidR="001E157C" w:rsidRPr="00CC4499" w:rsidRDefault="001E157C" w:rsidP="001E157C">
            <w:pPr>
              <w:keepNext/>
              <w:keepLines/>
              <w:jc w:val="center"/>
              <w:rPr>
                <w:rFonts w:eastAsia="Calibri" w:cs="Times New Roman"/>
                <w:sz w:val="22"/>
                <w:szCs w:val="22"/>
              </w:rPr>
            </w:pPr>
            <w:r>
              <w:rPr>
                <w:rFonts w:eastAsia="Calibri" w:cs="Times New Roman"/>
                <w:sz w:val="22"/>
                <w:szCs w:val="22"/>
              </w:rPr>
              <w:t>Vice Chair</w:t>
            </w:r>
          </w:p>
        </w:tc>
        <w:tc>
          <w:tcPr>
            <w:tcW w:w="1490" w:type="pct"/>
          </w:tcPr>
          <w:p w14:paraId="6A076FAB" w14:textId="2EF3D12B" w:rsidR="001E157C" w:rsidRPr="00CC4499" w:rsidRDefault="001E157C" w:rsidP="001E157C">
            <w:pPr>
              <w:keepNext/>
              <w:keepLines/>
              <w:jc w:val="center"/>
              <w:rPr>
                <w:rFonts w:eastAsia="Calibri" w:cs="Times New Roman"/>
                <w:sz w:val="22"/>
                <w:szCs w:val="22"/>
              </w:rPr>
            </w:pPr>
            <w:r>
              <w:rPr>
                <w:rFonts w:eastAsia="Calibri" w:cs="Times New Roman"/>
                <w:sz w:val="22"/>
                <w:szCs w:val="22"/>
              </w:rPr>
              <w:t>Developer</w:t>
            </w:r>
          </w:p>
        </w:tc>
        <w:tc>
          <w:tcPr>
            <w:tcW w:w="1296" w:type="pct"/>
            <w:vAlign w:val="bottom"/>
          </w:tcPr>
          <w:p w14:paraId="3A53DE58" w14:textId="04CED2E0" w:rsidR="001E157C" w:rsidRPr="00CC4499" w:rsidRDefault="0004345C" w:rsidP="001E157C">
            <w:pPr>
              <w:keepNext/>
              <w:keepLines/>
              <w:jc w:val="center"/>
              <w:rPr>
                <w:rFonts w:eastAsia="Calibri" w:cs="Times New Roman"/>
                <w:sz w:val="22"/>
                <w:szCs w:val="22"/>
              </w:rPr>
            </w:pPr>
            <w:r>
              <w:rPr>
                <w:rFonts w:eastAsia="Calibri" w:cs="Times New Roman"/>
                <w:sz w:val="22"/>
                <w:szCs w:val="22"/>
              </w:rPr>
              <w:t>October 21, 2027</w:t>
            </w:r>
          </w:p>
        </w:tc>
      </w:tr>
      <w:tr w:rsidR="001E157C" w:rsidRPr="00DA2177" w14:paraId="03E4AF17" w14:textId="77777777" w:rsidTr="00657209">
        <w:trPr>
          <w:cantSplit/>
          <w:jc w:val="center"/>
        </w:trPr>
        <w:tc>
          <w:tcPr>
            <w:tcW w:w="913" w:type="pct"/>
            <w:vAlign w:val="bottom"/>
          </w:tcPr>
          <w:p w14:paraId="1E995CB0" w14:textId="7AC739DC" w:rsidR="001E157C" w:rsidRPr="00CC4499" w:rsidRDefault="00E25499" w:rsidP="00B67E34">
            <w:pPr>
              <w:keepNext/>
              <w:keepLines/>
              <w:ind w:left="-33" w:right="-117"/>
              <w:jc w:val="center"/>
              <w:rPr>
                <w:rFonts w:eastAsia="Times New Roman" w:cs="Times New Roman"/>
                <w:color w:val="000000"/>
                <w:sz w:val="22"/>
                <w:szCs w:val="22"/>
              </w:rPr>
            </w:pPr>
            <w:r>
              <w:rPr>
                <w:rFonts w:eastAsia="Times New Roman" w:cs="Times New Roman"/>
                <w:color w:val="000000"/>
                <w:sz w:val="22"/>
                <w:szCs w:val="22"/>
              </w:rPr>
              <w:t>Kirk Young</w:t>
            </w:r>
          </w:p>
        </w:tc>
        <w:tc>
          <w:tcPr>
            <w:tcW w:w="1301" w:type="pct"/>
            <w:vAlign w:val="bottom"/>
          </w:tcPr>
          <w:p w14:paraId="7C859391" w14:textId="77F1AFAE" w:rsidR="001E157C" w:rsidRPr="00CC4499" w:rsidRDefault="001E157C" w:rsidP="001E157C">
            <w:pPr>
              <w:keepNext/>
              <w:keepLines/>
              <w:jc w:val="center"/>
              <w:rPr>
                <w:rFonts w:eastAsia="Calibri" w:cs="Times New Roman"/>
                <w:sz w:val="22"/>
                <w:szCs w:val="22"/>
              </w:rPr>
            </w:pPr>
            <w:r>
              <w:rPr>
                <w:rFonts w:eastAsia="Calibri" w:cs="Times New Roman"/>
                <w:sz w:val="22"/>
                <w:szCs w:val="22"/>
              </w:rPr>
              <w:t>Clerk/Secretary</w:t>
            </w:r>
          </w:p>
        </w:tc>
        <w:tc>
          <w:tcPr>
            <w:tcW w:w="1490" w:type="pct"/>
          </w:tcPr>
          <w:p w14:paraId="2B7B1465" w14:textId="171990EE" w:rsidR="001E157C" w:rsidRPr="00CC4499" w:rsidRDefault="001E157C" w:rsidP="001E157C">
            <w:pPr>
              <w:keepNext/>
              <w:keepLines/>
              <w:jc w:val="center"/>
              <w:rPr>
                <w:rFonts w:eastAsia="Calibri" w:cs="Times New Roman"/>
                <w:sz w:val="22"/>
                <w:szCs w:val="22"/>
              </w:rPr>
            </w:pPr>
            <w:r>
              <w:rPr>
                <w:rFonts w:eastAsia="Calibri" w:cs="Times New Roman"/>
                <w:sz w:val="22"/>
                <w:szCs w:val="22"/>
              </w:rPr>
              <w:t>Developer</w:t>
            </w:r>
          </w:p>
        </w:tc>
        <w:tc>
          <w:tcPr>
            <w:tcW w:w="1296" w:type="pct"/>
            <w:vAlign w:val="bottom"/>
          </w:tcPr>
          <w:p w14:paraId="2BCA1DC4" w14:textId="5F790715" w:rsidR="001E157C" w:rsidRPr="00CC4499" w:rsidRDefault="00CD1CA9" w:rsidP="001E157C">
            <w:pPr>
              <w:keepNext/>
              <w:keepLines/>
              <w:jc w:val="center"/>
              <w:rPr>
                <w:rFonts w:eastAsia="Calibri" w:cs="Times New Roman"/>
                <w:sz w:val="22"/>
                <w:szCs w:val="22"/>
              </w:rPr>
            </w:pPr>
            <w:r>
              <w:rPr>
                <w:rFonts w:eastAsia="Calibri" w:cs="Times New Roman"/>
                <w:sz w:val="22"/>
                <w:szCs w:val="22"/>
              </w:rPr>
              <w:t>[</w:t>
            </w:r>
            <w:r w:rsidR="0004345C" w:rsidRPr="00CD1CA9">
              <w:rPr>
                <w:rFonts w:eastAsia="Calibri" w:cs="Times New Roman"/>
                <w:sz w:val="22"/>
                <w:szCs w:val="22"/>
                <w:highlight w:val="cyan"/>
              </w:rPr>
              <w:t>October 21, 2025</w:t>
            </w:r>
            <w:r w:rsidR="0004345C">
              <w:rPr>
                <w:rFonts w:eastAsia="Calibri" w:cs="Times New Roman"/>
                <w:sz w:val="22"/>
                <w:szCs w:val="22"/>
              </w:rPr>
              <w:t>]</w:t>
            </w:r>
          </w:p>
        </w:tc>
      </w:tr>
    </w:tbl>
    <w:p w14:paraId="294C0EA8" w14:textId="77777777" w:rsidR="00974AD2" w:rsidRPr="00DA2177" w:rsidRDefault="00974AD2" w:rsidP="00974AD2">
      <w:pPr>
        <w:rPr>
          <w:rFonts w:eastAsia="Calibri" w:cs="Times New Roman"/>
          <w:sz w:val="22"/>
          <w:szCs w:val="22"/>
        </w:rPr>
      </w:pPr>
    </w:p>
    <w:p w14:paraId="65DB1B72" w14:textId="77777777" w:rsidR="00974AD2" w:rsidRPr="00DA2177" w:rsidRDefault="00974AD2" w:rsidP="00974AD2">
      <w:pPr>
        <w:pStyle w:val="00BodyText5"/>
        <w:rPr>
          <w:rFonts w:cs="Times New Roman"/>
          <w:szCs w:val="22"/>
        </w:rPr>
      </w:pPr>
      <w:r>
        <w:rPr>
          <w:rFonts w:cs="Times New Roman"/>
          <w:szCs w:val="22"/>
        </w:rPr>
        <w:t xml:space="preserve">Under the Public Infrastructure District Act, an employee or officer of the District is not in violation of the State prohibition of conflicts of interest if such employee or officer discloses such business relationship with its creating entity before any appointment or election and upon any significant change in the business relationship. The members of the Board have disclosed any such business relationships. See “RISK FACTORS—Private Interests of Board of Trustees.” </w:t>
      </w:r>
    </w:p>
    <w:p w14:paraId="21B8CB25" w14:textId="77777777" w:rsidR="00974AD2" w:rsidRPr="00DA2177" w:rsidRDefault="00974AD2" w:rsidP="00B471D8">
      <w:pPr>
        <w:pStyle w:val="Heading2"/>
        <w:numPr>
          <w:ilvl w:val="1"/>
          <w:numId w:val="2"/>
        </w:numPr>
        <w:rPr>
          <w:sz w:val="22"/>
          <w:szCs w:val="22"/>
        </w:rPr>
      </w:pPr>
      <w:bookmarkStart w:id="187" w:name="_Toc31182482"/>
      <w:bookmarkStart w:id="188" w:name="_Toc86152189"/>
      <w:bookmarkStart w:id="189" w:name="_Toc235521095"/>
      <w:r>
        <w:rPr>
          <w:sz w:val="22"/>
          <w:szCs w:val="22"/>
        </w:rPr>
        <w:t>Administration</w:t>
      </w:r>
      <w:bookmarkEnd w:id="184"/>
      <w:bookmarkEnd w:id="185"/>
      <w:bookmarkEnd w:id="186"/>
      <w:bookmarkEnd w:id="187"/>
      <w:bookmarkEnd w:id="188"/>
      <w:bookmarkEnd w:id="189"/>
    </w:p>
    <w:p w14:paraId="4955FF0A" w14:textId="5718BAEC" w:rsidR="00974AD2" w:rsidRPr="00DA2177" w:rsidRDefault="00974AD2" w:rsidP="00974AD2">
      <w:pPr>
        <w:pStyle w:val="00BodyText5"/>
        <w:rPr>
          <w:rFonts w:cs="Times New Roman"/>
          <w:szCs w:val="22"/>
        </w:rPr>
      </w:pPr>
      <w:r>
        <w:rPr>
          <w:rFonts w:cs="Times New Roman"/>
          <w:szCs w:val="22"/>
        </w:rPr>
        <w:t xml:space="preserve">The Board is responsible for the overall management and administration of the affairs of the District. The District has no employees. CliftonLarsonAllen, LLP, Salt Lake City, Utah (as previously defined, “CLA”), serves as the District’s accountant; and Snow Jensen &amp; Reece, P.C., St. George, Utah, serves as general counsel </w:t>
      </w:r>
      <w:r w:rsidR="00A3738E">
        <w:rPr>
          <w:rFonts w:cs="Times New Roman"/>
          <w:szCs w:val="22"/>
        </w:rPr>
        <w:t>[and district manager] for</w:t>
      </w:r>
      <w:r>
        <w:rPr>
          <w:rFonts w:cs="Times New Roman"/>
          <w:szCs w:val="22"/>
        </w:rPr>
        <w:t xml:space="preserve"> the District</w:t>
      </w:r>
      <w:r w:rsidR="00A3738E">
        <w:rPr>
          <w:rFonts w:cs="Times New Roman"/>
          <w:szCs w:val="22"/>
        </w:rPr>
        <w:t xml:space="preserve">; </w:t>
      </w:r>
      <w:r w:rsidR="00A3738E" w:rsidRPr="00A3738E">
        <w:rPr>
          <w:rFonts w:cs="Times New Roman"/>
          <w:szCs w:val="22"/>
        </w:rPr>
        <w:t xml:space="preserve">and </w:t>
      </w:r>
      <w:r w:rsidR="00A3738E">
        <w:rPr>
          <w:rFonts w:cs="Times New Roman"/>
          <w:szCs w:val="22"/>
        </w:rPr>
        <w:t>[________]</w:t>
      </w:r>
      <w:r w:rsidR="00A3738E" w:rsidRPr="00A3738E">
        <w:rPr>
          <w:rFonts w:cs="Times New Roman"/>
          <w:szCs w:val="22"/>
        </w:rPr>
        <w:t xml:space="preserve">, </w:t>
      </w:r>
      <w:r w:rsidR="00A3738E">
        <w:rPr>
          <w:rFonts w:cs="Times New Roman"/>
          <w:szCs w:val="22"/>
        </w:rPr>
        <w:t>[________]</w:t>
      </w:r>
      <w:r w:rsidR="00A3738E" w:rsidRPr="00A3738E">
        <w:rPr>
          <w:rFonts w:cs="Times New Roman"/>
          <w:szCs w:val="22"/>
        </w:rPr>
        <w:t xml:space="preserve">, Utah, serves as municipal advisor to the District. </w:t>
      </w:r>
      <w:r w:rsidR="00A3738E">
        <w:rPr>
          <w:rFonts w:cs="Times New Roman"/>
          <w:szCs w:val="22"/>
        </w:rPr>
        <w:t>[</w:t>
      </w:r>
      <w:r w:rsidR="00A3738E" w:rsidRPr="00A3738E">
        <w:rPr>
          <w:rFonts w:cs="Times New Roman"/>
          <w:szCs w:val="22"/>
        </w:rPr>
        <w:t>The District has not engaged a district manager</w:t>
      </w:r>
      <w:r w:rsidR="00A3738E">
        <w:rPr>
          <w:rFonts w:cs="Times New Roman"/>
          <w:szCs w:val="22"/>
        </w:rPr>
        <w:t>]</w:t>
      </w:r>
      <w:r w:rsidR="00A3738E" w:rsidRPr="00A3738E">
        <w:rPr>
          <w:rFonts w:cs="Times New Roman"/>
          <w:szCs w:val="22"/>
        </w:rPr>
        <w:t>.</w:t>
      </w:r>
    </w:p>
    <w:p w14:paraId="0326101B" w14:textId="2570FE00" w:rsidR="00974AD2" w:rsidRPr="00DA2177" w:rsidRDefault="00974AD2" w:rsidP="00B471D8">
      <w:pPr>
        <w:pStyle w:val="Heading2"/>
        <w:numPr>
          <w:ilvl w:val="1"/>
          <w:numId w:val="2"/>
        </w:numPr>
        <w:rPr>
          <w:rFonts w:eastAsia="Times New Roman"/>
          <w:sz w:val="22"/>
          <w:szCs w:val="22"/>
        </w:rPr>
      </w:pPr>
      <w:bookmarkStart w:id="190" w:name="_Toc86152190"/>
      <w:bookmarkStart w:id="191" w:name="_Toc235521096"/>
      <w:r>
        <w:rPr>
          <w:rFonts w:eastAsia="Times New Roman"/>
          <w:sz w:val="22"/>
          <w:szCs w:val="22"/>
        </w:rPr>
        <w:t>Agreements</w:t>
      </w:r>
      <w:bookmarkEnd w:id="190"/>
      <w:r>
        <w:rPr>
          <w:rFonts w:eastAsia="Times New Roman"/>
          <w:sz w:val="22"/>
          <w:szCs w:val="22"/>
        </w:rPr>
        <w:t xml:space="preserve"> and Resolutions</w:t>
      </w:r>
      <w:bookmarkEnd w:id="191"/>
    </w:p>
    <w:p w14:paraId="66449DBE" w14:textId="50575864" w:rsidR="00974AD2" w:rsidRDefault="00974AD2" w:rsidP="00974AD2">
      <w:pPr>
        <w:pStyle w:val="00BodyText5"/>
        <w:rPr>
          <w:rFonts w:cs="Times New Roman"/>
          <w:szCs w:val="22"/>
        </w:rPr>
      </w:pPr>
      <w:r>
        <w:rPr>
          <w:rFonts w:cs="Times New Roman"/>
          <w:b/>
          <w:bCs/>
          <w:i/>
          <w:iCs/>
          <w:szCs w:val="22"/>
        </w:rPr>
        <w:t>City Interlocal Agreement</w:t>
      </w:r>
      <w:r>
        <w:rPr>
          <w:rFonts w:cs="Times New Roman"/>
          <w:i/>
          <w:iCs/>
          <w:szCs w:val="22"/>
        </w:rPr>
        <w:t>.</w:t>
      </w:r>
      <w:r>
        <w:rPr>
          <w:rFonts w:cs="Times New Roman"/>
          <w:b/>
          <w:bCs/>
          <w:i/>
          <w:iCs/>
          <w:szCs w:val="22"/>
        </w:rPr>
        <w:t xml:space="preserve"> </w:t>
      </w:r>
      <w:r>
        <w:rPr>
          <w:rFonts w:cs="Times New Roman"/>
          <w:szCs w:val="22"/>
        </w:rPr>
        <w:t>As required by the Governing Document, the Olympia PIDs have entered into a</w:t>
      </w:r>
      <w:r w:rsidR="00B67E34">
        <w:rPr>
          <w:rFonts w:cs="Times New Roman"/>
          <w:szCs w:val="22"/>
        </w:rPr>
        <w:t xml:space="preserve"> Third</w:t>
      </w:r>
      <w:r>
        <w:rPr>
          <w:rFonts w:cs="Times New Roman"/>
          <w:szCs w:val="22"/>
        </w:rPr>
        <w:t xml:space="preserve"> Amended and Restated Interlocal Agreement with the City, dated as of </w:t>
      </w:r>
      <w:r w:rsidR="00B1175B">
        <w:rPr>
          <w:rFonts w:cs="Times New Roman"/>
          <w:szCs w:val="22"/>
        </w:rPr>
        <w:t>July 8, 2026</w:t>
      </w:r>
      <w:r>
        <w:rPr>
          <w:rFonts w:cs="Times New Roman"/>
          <w:szCs w:val="22"/>
        </w:rPr>
        <w:t xml:space="preserve"> (as previously defined, the “</w:t>
      </w:r>
      <w:r>
        <w:rPr>
          <w:rFonts w:cs="Times New Roman"/>
          <w:b/>
          <w:bCs/>
          <w:szCs w:val="22"/>
        </w:rPr>
        <w:t>City Interlocal Agreement</w:t>
      </w:r>
      <w:r>
        <w:rPr>
          <w:rFonts w:cs="Times New Roman"/>
          <w:szCs w:val="22"/>
        </w:rPr>
        <w:t>”), which, among other things, restates provisions of the Governing Document regarding the limitations on the Olympia PIDs’ exercise of powers. The City Interlocal Agreement generally functions as a contractual obligation of the Olympia PIDs to abide by the limitations imposed on it by the City in the Governing Document. See “—Multiple District Structure” and “—Governing Document Authorizations and Limitations.”</w:t>
      </w:r>
    </w:p>
    <w:p w14:paraId="3A23DF0D" w14:textId="56DCE806" w:rsidR="00AB27A5" w:rsidRDefault="00AB27A5" w:rsidP="00C0389E">
      <w:pPr>
        <w:pStyle w:val="00BodyText5"/>
        <w:rPr>
          <w:rFonts w:cs="Times New Roman"/>
          <w:szCs w:val="22"/>
        </w:rPr>
      </w:pPr>
      <w:r>
        <w:rPr>
          <w:rFonts w:cs="Times New Roman"/>
          <w:b/>
          <w:bCs/>
          <w:i/>
          <w:iCs/>
          <w:szCs w:val="22"/>
        </w:rPr>
        <w:t>Contract Fee</w:t>
      </w:r>
      <w:r w:rsidR="00CD137B">
        <w:rPr>
          <w:rFonts w:cs="Times New Roman"/>
          <w:b/>
          <w:bCs/>
          <w:i/>
          <w:iCs/>
          <w:szCs w:val="22"/>
        </w:rPr>
        <w:t>s</w:t>
      </w:r>
      <w:r>
        <w:rPr>
          <w:rFonts w:cs="Times New Roman"/>
          <w:b/>
          <w:bCs/>
          <w:i/>
          <w:iCs/>
          <w:szCs w:val="22"/>
        </w:rPr>
        <w:t xml:space="preserve"> Resolution</w:t>
      </w:r>
      <w:r>
        <w:rPr>
          <w:rFonts w:cs="Times New Roman"/>
          <w:szCs w:val="22"/>
        </w:rPr>
        <w:t>. The Board adopted the Contract Fee</w:t>
      </w:r>
      <w:r w:rsidR="00CD137B">
        <w:rPr>
          <w:rFonts w:cs="Times New Roman"/>
          <w:szCs w:val="22"/>
        </w:rPr>
        <w:t>s</w:t>
      </w:r>
      <w:r>
        <w:rPr>
          <w:rFonts w:cs="Times New Roman"/>
          <w:szCs w:val="22"/>
        </w:rPr>
        <w:t xml:space="preserve"> Resolution, pursuant to which the District has imposed Contract Fees of $15,</w:t>
      </w:r>
      <w:r w:rsidR="00662962">
        <w:rPr>
          <w:rFonts w:cs="Times New Roman"/>
          <w:szCs w:val="22"/>
        </w:rPr>
        <w:t>450</w:t>
      </w:r>
      <w:r>
        <w:rPr>
          <w:rFonts w:cs="Times New Roman"/>
          <w:szCs w:val="22"/>
        </w:rPr>
        <w:t xml:space="preserve"> for calendar year 202</w:t>
      </w:r>
      <w:r w:rsidR="00662962">
        <w:rPr>
          <w:rFonts w:cs="Times New Roman"/>
          <w:szCs w:val="22"/>
        </w:rPr>
        <w:t>6</w:t>
      </w:r>
      <w:r>
        <w:rPr>
          <w:rFonts w:cs="Times New Roman"/>
          <w:szCs w:val="22"/>
        </w:rPr>
        <w:t>, with such Contract Fees to increase by 3% each calendar year thereafter without further action by the Board. The Contract Fee</w:t>
      </w:r>
      <w:r w:rsidR="00CD137B">
        <w:rPr>
          <w:rFonts w:cs="Times New Roman"/>
          <w:szCs w:val="22"/>
        </w:rPr>
        <w:t>s</w:t>
      </w:r>
      <w:r>
        <w:rPr>
          <w:rFonts w:cs="Times New Roman"/>
          <w:szCs w:val="22"/>
        </w:rPr>
        <w:t xml:space="preserve"> Resolution further states that Contract Fees for a property must be paid before issuing a building permit for residential units. Unpaid fees will result in a perpetual lien on the structure or unit, enforceable through foreclosure. Failure to make payment of the Contract Fees due under the Contract Fee</w:t>
      </w:r>
      <w:r w:rsidR="00CD137B">
        <w:rPr>
          <w:rFonts w:cs="Times New Roman"/>
          <w:szCs w:val="22"/>
        </w:rPr>
        <w:t>s</w:t>
      </w:r>
      <w:r>
        <w:rPr>
          <w:rFonts w:cs="Times New Roman"/>
          <w:szCs w:val="22"/>
        </w:rPr>
        <w:t xml:space="preserve"> Resolution constitutes a default in the payment of such Contract Fees. Upon a default thereunder, interest accrues on the total amount of the Contract Fees due at the rate of ten percent (10%) per annum and the District shall be entitled to institute such remedies and collection proceedings as may be authorized by State law, including but not limited to foreclosure of its perpetual lien. The defaulting property owner is required to pay all costs, including attorneys’ fees, the District incurs in connection with the foregoing. In foreclosing the lien, the District will enforce the lien only the extent necessary to collect unpaid fees, interests, and costs.</w:t>
      </w:r>
    </w:p>
    <w:p w14:paraId="0E0820C6" w14:textId="1808557F" w:rsidR="00AB27A5" w:rsidRPr="00DA2177" w:rsidRDefault="00AB27A5" w:rsidP="00974AD2">
      <w:pPr>
        <w:pStyle w:val="00BodyText5"/>
        <w:rPr>
          <w:rFonts w:cs="Times New Roman"/>
          <w:szCs w:val="22"/>
        </w:rPr>
      </w:pPr>
      <w:r>
        <w:rPr>
          <w:rFonts w:cs="Times New Roman"/>
          <w:b/>
          <w:bCs/>
          <w:i/>
          <w:iCs/>
          <w:szCs w:val="22"/>
        </w:rPr>
        <w:t>Contract Fee Interlocal Agreement</w:t>
      </w:r>
      <w:r>
        <w:rPr>
          <w:rFonts w:cs="Times New Roman"/>
          <w:szCs w:val="22"/>
        </w:rPr>
        <w:t xml:space="preserve">. The District and the City have entered into </w:t>
      </w:r>
      <w:r w:rsidR="007E5BAB">
        <w:rPr>
          <w:rFonts w:cs="Times New Roman"/>
          <w:szCs w:val="22"/>
        </w:rPr>
        <w:t>the Contract Fee Interlocal Agreement, pursuant to which</w:t>
      </w:r>
      <w:r>
        <w:rPr>
          <w:rFonts w:cs="Times New Roman"/>
          <w:szCs w:val="22"/>
        </w:rPr>
        <w:t xml:space="preserve"> the City has agreed to (a) collect the Contract Fees imposed by the District and prior to the issuance of a building permit by the City, and then to (b) remit such Contract Fees and the Proof of Payment </w:t>
      </w:r>
      <w:r w:rsidR="00B67E34">
        <w:rPr>
          <w:rFonts w:cs="Times New Roman"/>
          <w:szCs w:val="22"/>
        </w:rPr>
        <w:t xml:space="preserve">(as defined therein) </w:t>
      </w:r>
      <w:r>
        <w:rPr>
          <w:rFonts w:cs="Times New Roman"/>
          <w:szCs w:val="22"/>
        </w:rPr>
        <w:t>on at least a monthly basis to the District, no later than the 30th day of the calendar month immediately following collection of the Contract Fees. The City has agreed to deposit Contract Fees collected in a separate account created for the foregoing purpose. In addition, pursuant to the Contract Fee Interlocal Agreement, the City is permitted to assess an administrative fee at the time the Contract Fees are paid per the City’s fee schedule. In the event the City is precluded from charging an administrative fee, the District is required to pay the City the fee per the City’s fee schedule. In the event that the District must pay to the City the administrative fee under the terms of th</w:t>
      </w:r>
      <w:r w:rsidR="00B67E34">
        <w:rPr>
          <w:rFonts w:cs="Times New Roman"/>
          <w:szCs w:val="22"/>
        </w:rPr>
        <w:t>e Contract Fee Interlocal</w:t>
      </w:r>
      <w:r>
        <w:rPr>
          <w:rFonts w:cs="Times New Roman"/>
          <w:szCs w:val="22"/>
        </w:rPr>
        <w:t xml:space="preserve"> Agreement, the District may increase the Contract Fees to cover the administrative fee. The Contract Fee Interlocal Agreement is valid until repayment of all debt secured by the Contract Fees (including the 2026A-2 SR Bonds). The Trustee is a third-party beneficiary of the Contract Fee Interlocal Agreement.</w:t>
      </w:r>
      <w:r w:rsidR="00712C93">
        <w:rPr>
          <w:rFonts w:cs="Times New Roman"/>
          <w:szCs w:val="22"/>
        </w:rPr>
        <w:t xml:space="preserve"> [</w:t>
      </w:r>
      <w:r w:rsidR="00712C93" w:rsidRPr="00712C93">
        <w:rPr>
          <w:rFonts w:cs="Times New Roman"/>
          <w:szCs w:val="22"/>
          <w:highlight w:val="cyan"/>
        </w:rPr>
        <w:t>UPDATE</w:t>
      </w:r>
      <w:r w:rsidR="00712C93">
        <w:rPr>
          <w:rFonts w:cs="Times New Roman"/>
          <w:szCs w:val="22"/>
        </w:rPr>
        <w:t>]</w:t>
      </w:r>
    </w:p>
    <w:p w14:paraId="71647C3B" w14:textId="373F2BC4" w:rsidR="00974AD2" w:rsidRPr="00DA2177" w:rsidRDefault="00974AD2" w:rsidP="00974AD2">
      <w:pPr>
        <w:pStyle w:val="00BodyText5"/>
        <w:rPr>
          <w:rFonts w:cs="Times New Roman"/>
          <w:szCs w:val="22"/>
        </w:rPr>
      </w:pPr>
      <w:r>
        <w:rPr>
          <w:rFonts w:cs="Times New Roman"/>
          <w:b/>
          <w:i/>
          <w:szCs w:val="22"/>
        </w:rPr>
        <w:t>Infrastructure Acquisition and Reimbursement Agreement</w:t>
      </w:r>
      <w:r>
        <w:rPr>
          <w:rFonts w:cs="Times New Roman"/>
          <w:szCs w:val="22"/>
        </w:rPr>
        <w:t>. The District and the Developer entered into an Infrastructure Acquisition and Reimbursement Agreement (the “</w:t>
      </w:r>
      <w:r>
        <w:rPr>
          <w:rFonts w:cs="Times New Roman"/>
          <w:b/>
          <w:bCs/>
          <w:szCs w:val="22"/>
        </w:rPr>
        <w:t>Infrastructure Acquisition and Reimbursement Agreement</w:t>
      </w:r>
      <w:r>
        <w:rPr>
          <w:rFonts w:cs="Times New Roman"/>
          <w:szCs w:val="22"/>
        </w:rPr>
        <w:t xml:space="preserve">”) dated as of </w:t>
      </w:r>
      <w:r w:rsidR="00DA267A">
        <w:rPr>
          <w:rFonts w:cs="Times New Roman"/>
          <w:szCs w:val="22"/>
        </w:rPr>
        <w:t>[</w:t>
      </w:r>
      <w:r w:rsidR="000456C4">
        <w:rPr>
          <w:rFonts w:cs="Times New Roman"/>
          <w:szCs w:val="22"/>
        </w:rPr>
        <w:t>July 27</w:t>
      </w:r>
      <w:r w:rsidR="00DA267A">
        <w:rPr>
          <w:rFonts w:cs="Times New Roman"/>
          <w:szCs w:val="22"/>
        </w:rPr>
        <w:t>]</w:t>
      </w:r>
      <w:r>
        <w:rPr>
          <w:rFonts w:cs="Times New Roman"/>
          <w:szCs w:val="22"/>
        </w:rPr>
        <w:t>, 202</w:t>
      </w:r>
      <w:r w:rsidR="00DA267A">
        <w:rPr>
          <w:rFonts w:cs="Times New Roman"/>
          <w:szCs w:val="22"/>
        </w:rPr>
        <w:t>6</w:t>
      </w:r>
      <w:r>
        <w:rPr>
          <w:rFonts w:cs="Times New Roman"/>
          <w:szCs w:val="22"/>
        </w:rPr>
        <w:t xml:space="preserve">. The Infrastructure Acquisition and Reimbursement Agreement sets forth the rights, obligations and procedures for the acquisition of the Public Improvements and for the District to reimburse the Developer for certain Certified District Eligible Costs (defined below). </w:t>
      </w:r>
    </w:p>
    <w:p w14:paraId="36FEDE18" w14:textId="77777777" w:rsidR="00974AD2" w:rsidRPr="00DA2177" w:rsidRDefault="00974AD2" w:rsidP="00974AD2">
      <w:pPr>
        <w:pStyle w:val="00BodyText5"/>
        <w:rPr>
          <w:rFonts w:cs="Times New Roman"/>
          <w:szCs w:val="22"/>
        </w:rPr>
      </w:pPr>
      <w:r>
        <w:rPr>
          <w:rFonts w:cs="Times New Roman"/>
          <w:szCs w:val="22"/>
        </w:rPr>
        <w:t>The Developer has previously expended funds on behalf of the District and intends to make future payments for costs directly related to the provision of Public Infrastructure (as defined therein) in furtherance of the District’s permitted purposes, including, but not limited to: District organizational costs, engineering, architectural, surveying, construction planning, and related legal, accounting, and other professional services (the “</w:t>
      </w:r>
      <w:r>
        <w:rPr>
          <w:rFonts w:cs="Times New Roman"/>
          <w:b/>
          <w:bCs/>
          <w:szCs w:val="22"/>
        </w:rPr>
        <w:t>Eligible Professional Service Costs</w:t>
      </w:r>
      <w:r>
        <w:rPr>
          <w:rFonts w:cs="Times New Roman"/>
          <w:szCs w:val="22"/>
        </w:rPr>
        <w:t xml:space="preserve">”). </w:t>
      </w:r>
    </w:p>
    <w:p w14:paraId="6A9AFF88" w14:textId="1833BFE7" w:rsidR="00974AD2" w:rsidRPr="00DA2177" w:rsidRDefault="00974AD2" w:rsidP="00974AD2">
      <w:pPr>
        <w:pStyle w:val="00BodyText5"/>
        <w:rPr>
          <w:rFonts w:cs="Times New Roman"/>
          <w:szCs w:val="22"/>
        </w:rPr>
      </w:pPr>
      <w:r>
        <w:rPr>
          <w:rFonts w:cs="Times New Roman"/>
          <w:szCs w:val="22"/>
        </w:rPr>
        <w:t xml:space="preserve">The Developer may be reimbursed for Certified District Eligible Costs for Public Infrastructure being dedicated to other governmental entities and for Eligible Professional Service Costs in accordance with the terms and conditions set forth in the Infrastructure Acquisition and Reimbursement Agreement. </w:t>
      </w:r>
    </w:p>
    <w:p w14:paraId="5749E2D1" w14:textId="27AA5CDF" w:rsidR="00974AD2" w:rsidRPr="00DA2177" w:rsidRDefault="00974AD2" w:rsidP="00974AD2">
      <w:pPr>
        <w:pStyle w:val="00BodyText5"/>
        <w:rPr>
          <w:rFonts w:cs="Times New Roman"/>
          <w:szCs w:val="22"/>
        </w:rPr>
      </w:pPr>
      <w:r>
        <w:rPr>
          <w:rFonts w:cs="Times New Roman"/>
          <w:szCs w:val="22"/>
        </w:rPr>
        <w:t xml:space="preserve">Following receipt by the District of an applicable application for acceptance of costs, and within thirty (30) days thereafter, the District’s accountant and engineer are to review relevant materials presented for the purpose of substantiating the applicable costs. If the District’s engineer (or other appropriate design professional) reasonably determines that corrective work must be completed before the engineer’s cost certificate can be issued, the Developer is to promptly be given written notice thereof and an opportunity to dispute and/or complete such corrective work. </w:t>
      </w:r>
    </w:p>
    <w:p w14:paraId="488F40AB" w14:textId="09761697" w:rsidR="00974AD2" w:rsidRPr="00DA2177" w:rsidRDefault="00974AD2" w:rsidP="00974AD2">
      <w:pPr>
        <w:pStyle w:val="00BodyText5"/>
        <w:rPr>
          <w:rFonts w:cs="Times New Roman"/>
          <w:szCs w:val="22"/>
        </w:rPr>
      </w:pPr>
      <w:r>
        <w:rPr>
          <w:rFonts w:cs="Times New Roman"/>
          <w:szCs w:val="22"/>
        </w:rPr>
        <w:t>Within fifteen (15) days following the certification of costs by the District’s accountant and engineer, the District is to consider the adoption of a resolution accepting the District Eligible Costs and any related Public Infrastructure and, if so accepted, such resolution shall declare the satisfaction of the conditions to acceptance as set forth in the Infrastructure Acquisition and Reimbursement Agreement, with any reasonable conditions the District may specify. Following the adoption thereof, the accepted District Eligible Costs shall be “</w:t>
      </w:r>
      <w:r>
        <w:rPr>
          <w:rFonts w:cs="Times New Roman"/>
          <w:b/>
          <w:bCs/>
          <w:szCs w:val="22"/>
        </w:rPr>
        <w:t>Certified District Eligible Costs.</w:t>
      </w:r>
      <w:r>
        <w:rPr>
          <w:rFonts w:cs="Times New Roman"/>
          <w:szCs w:val="22"/>
        </w:rPr>
        <w:t xml:space="preserve">” </w:t>
      </w:r>
    </w:p>
    <w:p w14:paraId="3AB0CAAB" w14:textId="77777777" w:rsidR="00974AD2" w:rsidRPr="00DA2177" w:rsidRDefault="00974AD2" w:rsidP="00974AD2">
      <w:pPr>
        <w:pStyle w:val="00BodyText5"/>
        <w:rPr>
          <w:rFonts w:cs="Times New Roman"/>
          <w:szCs w:val="22"/>
        </w:rPr>
      </w:pPr>
      <w:r>
        <w:rPr>
          <w:rFonts w:cs="Times New Roman"/>
          <w:szCs w:val="22"/>
        </w:rPr>
        <w:t xml:space="preserve">The District shall repay Certified District Eligible Costs approved by the District under the Infrastructure Acquisition and Reimbursement Agreement no later than thirty (30) days following adoption of an acceptance resolution and solely from the proceeds of loans or bonds issued by the District (if any), subject to the limitations of the Governing Document, the District Act, and the availability of loan or bond proceeds in an unrestricted account. The Infrastructure Acquisition and Reimbursement Agreement provides that any reimbursement obligations of the District thereunder are to be issued on a basis that is junior and subordinate to all other then-outstanding obligations of the District, including but not limited to any bond(s) previously issued by the District. </w:t>
      </w:r>
    </w:p>
    <w:p w14:paraId="2B5BE733" w14:textId="20B99702" w:rsidR="00974AD2" w:rsidRDefault="00974AD2" w:rsidP="00974AD2">
      <w:pPr>
        <w:pStyle w:val="00BodyText5"/>
        <w:rPr>
          <w:rFonts w:cs="Times New Roman"/>
          <w:szCs w:val="22"/>
        </w:rPr>
      </w:pPr>
      <w:r>
        <w:rPr>
          <w:rFonts w:cs="Times New Roman"/>
          <w:szCs w:val="22"/>
        </w:rPr>
        <w:t xml:space="preserve">As of </w:t>
      </w:r>
      <w:r w:rsidR="00DA267A">
        <w:rPr>
          <w:rFonts w:cs="Times New Roman"/>
          <w:szCs w:val="22"/>
        </w:rPr>
        <w:t>July</w:t>
      </w:r>
      <w:r>
        <w:rPr>
          <w:rFonts w:cs="Times New Roman"/>
          <w:szCs w:val="22"/>
        </w:rPr>
        <w:t xml:space="preserve"> </w:t>
      </w:r>
      <w:r w:rsidR="000456C4">
        <w:rPr>
          <w:rFonts w:cs="Times New Roman"/>
          <w:szCs w:val="22"/>
        </w:rPr>
        <w:t>27</w:t>
      </w:r>
      <w:r>
        <w:rPr>
          <w:rFonts w:cs="Times New Roman"/>
          <w:szCs w:val="22"/>
        </w:rPr>
        <w:t>, 202</w:t>
      </w:r>
      <w:r w:rsidR="00DA267A">
        <w:rPr>
          <w:rFonts w:cs="Times New Roman"/>
          <w:szCs w:val="22"/>
        </w:rPr>
        <w:t>6</w:t>
      </w:r>
      <w:r>
        <w:rPr>
          <w:rFonts w:cs="Times New Roman"/>
          <w:szCs w:val="22"/>
        </w:rPr>
        <w:t xml:space="preserve">, the District owes the Developer $0 under the Infrastructure Acquisition and Reimbursement Agreement. </w:t>
      </w:r>
      <w:bookmarkStart w:id="192" w:name="_Hlk47443822"/>
      <w:r w:rsidR="00DA267A">
        <w:rPr>
          <w:rFonts w:cs="Times New Roman"/>
          <w:szCs w:val="22"/>
        </w:rPr>
        <w:t>[</w:t>
      </w:r>
      <w:r w:rsidR="00DA267A" w:rsidRPr="00712C93">
        <w:rPr>
          <w:rFonts w:cs="Times New Roman"/>
          <w:szCs w:val="22"/>
          <w:highlight w:val="cyan"/>
        </w:rPr>
        <w:t>UPDATE</w:t>
      </w:r>
      <w:r w:rsidR="00DA267A">
        <w:rPr>
          <w:rFonts w:cs="Times New Roman"/>
          <w:szCs w:val="22"/>
        </w:rPr>
        <w:t>]</w:t>
      </w:r>
    </w:p>
    <w:bookmarkEnd w:id="192"/>
    <w:p w14:paraId="3549B5E5" w14:textId="50889F3D" w:rsidR="00974AD2" w:rsidRPr="00DA2177" w:rsidRDefault="007E05CB" w:rsidP="00974AD2">
      <w:pPr>
        <w:pStyle w:val="00BodyText5"/>
        <w:rPr>
          <w:rFonts w:cs="Times New Roman"/>
          <w:szCs w:val="22"/>
        </w:rPr>
      </w:pPr>
      <w:r>
        <w:rPr>
          <w:rFonts w:cs="Times New Roman"/>
          <w:b/>
          <w:bCs/>
          <w:i/>
          <w:iCs/>
          <w:szCs w:val="22"/>
        </w:rPr>
        <w:t>Administration Funding Agreement</w:t>
      </w:r>
      <w:r>
        <w:rPr>
          <w:rFonts w:cs="Times New Roman"/>
          <w:szCs w:val="22"/>
        </w:rPr>
        <w:t>. The District will incur costs in furtherance of the District’s permitted purposes, including but not limited to, costs in the nature of general operating and administrative costs, such as attorney, engineering, architectural, surveying, district management, accounting, auditing, insurance, and other costs necessary for continued good standing under applicable law (the “</w:t>
      </w:r>
      <w:r>
        <w:rPr>
          <w:rFonts w:cs="Times New Roman"/>
          <w:b/>
          <w:bCs/>
          <w:szCs w:val="22"/>
        </w:rPr>
        <w:t>Costs</w:t>
      </w:r>
      <w:r>
        <w:rPr>
          <w:rFonts w:cs="Times New Roman"/>
          <w:szCs w:val="22"/>
        </w:rPr>
        <w:t xml:space="preserve">”). The District does not presently have financial resources to fund the Costs; therefore, to ensure the continued provision of services and facilities by the District, the Developer is anticipated to agree to loan funds to the District from time to time, on the condition that the District agrees to repay such loans. </w:t>
      </w:r>
    </w:p>
    <w:p w14:paraId="67D3EDC0" w14:textId="5CAA34E8" w:rsidR="00974AD2" w:rsidRPr="00DA2177" w:rsidRDefault="00974AD2" w:rsidP="00974AD2">
      <w:pPr>
        <w:pStyle w:val="00BodyText5"/>
        <w:rPr>
          <w:rFonts w:cs="Times New Roman"/>
          <w:szCs w:val="22"/>
        </w:rPr>
      </w:pPr>
      <w:r>
        <w:rPr>
          <w:rFonts w:cs="Times New Roman"/>
          <w:szCs w:val="22"/>
        </w:rPr>
        <w:t>Accordingly, the District and the Developer entered into a Funding and Reimbursement Agreement (Administration) (the “</w:t>
      </w:r>
      <w:r>
        <w:rPr>
          <w:rFonts w:cs="Times New Roman"/>
          <w:b/>
          <w:bCs/>
          <w:szCs w:val="22"/>
        </w:rPr>
        <w:t>Administration Funding Agreement</w:t>
      </w:r>
      <w:r>
        <w:rPr>
          <w:rFonts w:cs="Times New Roman"/>
          <w:szCs w:val="22"/>
        </w:rPr>
        <w:t xml:space="preserve">”) dated as of </w:t>
      </w:r>
      <w:r w:rsidR="00DA267A">
        <w:rPr>
          <w:rFonts w:cs="Times New Roman"/>
          <w:szCs w:val="22"/>
        </w:rPr>
        <w:t>[</w:t>
      </w:r>
      <w:r w:rsidR="000456C4">
        <w:rPr>
          <w:rFonts w:cs="Times New Roman"/>
          <w:szCs w:val="22"/>
        </w:rPr>
        <w:t>July 27</w:t>
      </w:r>
      <w:r w:rsidR="00DA267A">
        <w:rPr>
          <w:rFonts w:cs="Times New Roman"/>
          <w:szCs w:val="22"/>
        </w:rPr>
        <w:t>], 2026</w:t>
      </w:r>
      <w:r>
        <w:rPr>
          <w:rFonts w:cs="Times New Roman"/>
          <w:szCs w:val="22"/>
        </w:rPr>
        <w:t>, to address the reimbursement of Costs advanced by the Developer. Under the Administration Funding Agreement, the Developer has agreed to loan to the District an amount not to exceed $500,000 (as the same may be subsequently increased by agreement of the District and the Developer, the “</w:t>
      </w:r>
      <w:r>
        <w:rPr>
          <w:rFonts w:cs="Times New Roman"/>
          <w:b/>
          <w:bCs/>
          <w:szCs w:val="22"/>
        </w:rPr>
        <w:t>Maximum Loan Amount</w:t>
      </w:r>
      <w:r>
        <w:rPr>
          <w:rFonts w:cs="Times New Roman"/>
          <w:szCs w:val="22"/>
        </w:rPr>
        <w:t>”). These funds will be loaned to the District in one or a series of installments (each, a “</w:t>
      </w:r>
      <w:r>
        <w:rPr>
          <w:rFonts w:cs="Times New Roman"/>
          <w:b/>
          <w:bCs/>
          <w:szCs w:val="22"/>
        </w:rPr>
        <w:t>Loan Advance</w:t>
      </w:r>
      <w:r>
        <w:rPr>
          <w:rFonts w:cs="Times New Roman"/>
          <w:szCs w:val="22"/>
        </w:rPr>
        <w:t xml:space="preserve">”) and will be available to the District through December 31, </w:t>
      </w:r>
      <w:r w:rsidR="00DA267A">
        <w:rPr>
          <w:rFonts w:cs="Times New Roman"/>
          <w:szCs w:val="22"/>
        </w:rPr>
        <w:t>[</w:t>
      </w:r>
      <w:r>
        <w:rPr>
          <w:rFonts w:cs="Times New Roman"/>
          <w:szCs w:val="22"/>
        </w:rPr>
        <w:t>20</w:t>
      </w:r>
      <w:r w:rsidR="00DA267A">
        <w:rPr>
          <w:rFonts w:cs="Times New Roman"/>
          <w:szCs w:val="22"/>
        </w:rPr>
        <w:t>__]</w:t>
      </w:r>
      <w:r>
        <w:rPr>
          <w:rFonts w:cs="Times New Roman"/>
          <w:szCs w:val="22"/>
        </w:rPr>
        <w:t xml:space="preserve"> (as the same may be amended in accordance with the Administration Funding Agreement, the “</w:t>
      </w:r>
      <w:r>
        <w:rPr>
          <w:rFonts w:cs="Times New Roman"/>
          <w:b/>
          <w:bCs/>
          <w:szCs w:val="22"/>
        </w:rPr>
        <w:t>Loan Obligation Termination Date</w:t>
      </w:r>
      <w:r>
        <w:rPr>
          <w:rFonts w:cs="Times New Roman"/>
          <w:szCs w:val="22"/>
        </w:rPr>
        <w:t>”). Thereafter, the Developer may agree to renew its obligations by providing written notice to the District, in which case the Loan Obligation Termination Date will be amended to the date provided in such notice, which date will not be earlier than December 31 of the succeeding year.</w:t>
      </w:r>
    </w:p>
    <w:p w14:paraId="4854DD9A" w14:textId="77777777" w:rsidR="00974AD2" w:rsidRPr="00DA2177" w:rsidRDefault="00974AD2" w:rsidP="00974AD2">
      <w:pPr>
        <w:pStyle w:val="00BodyText5"/>
        <w:rPr>
          <w:rFonts w:cs="Times New Roman"/>
          <w:szCs w:val="22"/>
        </w:rPr>
      </w:pPr>
      <w:r>
        <w:rPr>
          <w:rFonts w:cs="Times New Roman"/>
          <w:szCs w:val="22"/>
        </w:rPr>
        <w:t>The District is from time to time to determine the amount of revenue required to fund budgeted expenditures by the District, provided that such determination is made not more than once per month. If the District determines that a Loan Advance from the Developer will be necessary to fund such budgeted expenditures, the District shall, not less than 15 days before the beginning of each month, notify the Developer of the requested Loan Advance for the next month, and the Developer is to deposit such Loan Advance on or before the beginning of that month.</w:t>
      </w:r>
    </w:p>
    <w:p w14:paraId="7AC64AA3" w14:textId="6D3FFB26" w:rsidR="00974AD2" w:rsidRPr="00DA2177" w:rsidRDefault="00974AD2" w:rsidP="00974AD2">
      <w:pPr>
        <w:pStyle w:val="00BodyText5"/>
        <w:rPr>
          <w:rFonts w:cs="Times New Roman"/>
          <w:szCs w:val="22"/>
        </w:rPr>
      </w:pPr>
      <w:r>
        <w:rPr>
          <w:rFonts w:cs="Times New Roman"/>
          <w:szCs w:val="22"/>
        </w:rPr>
        <w:t xml:space="preserve">With respect to each Loan Advance made under the Administration Funding Agreement prior to the issuance of any Operations Reimbursement Obligation (defined and described below) reflecting such Loan Advance, the interest rate will be </w:t>
      </w:r>
      <w:r w:rsidR="00DA267A">
        <w:rPr>
          <w:rFonts w:cs="Times New Roman"/>
          <w:szCs w:val="22"/>
        </w:rPr>
        <w:t>[</w:t>
      </w:r>
      <w:r>
        <w:rPr>
          <w:rFonts w:cs="Times New Roman"/>
          <w:szCs w:val="22"/>
        </w:rPr>
        <w:t>6.5%</w:t>
      </w:r>
      <w:r w:rsidR="00DA267A">
        <w:rPr>
          <w:rFonts w:cs="Times New Roman"/>
          <w:szCs w:val="22"/>
        </w:rPr>
        <w:t>]</w:t>
      </w:r>
      <w:r>
        <w:rPr>
          <w:rFonts w:cs="Times New Roman"/>
          <w:szCs w:val="22"/>
        </w:rPr>
        <w:t xml:space="preserve"> per annum, from the day any such advance is made, simple interest, </w:t>
      </w:r>
      <w:r>
        <w:rPr>
          <w:rFonts w:cs="Times New Roman"/>
          <w:color w:val="000000"/>
          <w:spacing w:val="-2"/>
          <w:szCs w:val="22"/>
        </w:rPr>
        <w:t>to the earlier of the date the Operations Reimbursement Obligation is issued to evidence such advance, or the date of repayment of such amount</w:t>
      </w:r>
      <w:r>
        <w:rPr>
          <w:rFonts w:cs="Times New Roman"/>
          <w:szCs w:val="22"/>
        </w:rPr>
        <w:t>. Upon issuance of any such Operations Reimbursement Obligation, unless otherwise consented to by the Developer, any interest then accrued on any previous Loan Advance will be added to the amount of the Loan Advance and reflected as principal of the Operations Reimbursement Obligation and will then accrue interest as provided in the Operations Reimbursement Obligation.</w:t>
      </w:r>
    </w:p>
    <w:p w14:paraId="242A4C6C" w14:textId="77777777" w:rsidR="00974AD2" w:rsidRPr="00DA2177" w:rsidRDefault="00974AD2" w:rsidP="00974AD2">
      <w:pPr>
        <w:pStyle w:val="00BodyText5"/>
        <w:rPr>
          <w:rFonts w:cs="Times New Roman"/>
          <w:szCs w:val="22"/>
        </w:rPr>
      </w:pPr>
      <w:r>
        <w:rPr>
          <w:rFonts w:cs="Times New Roman"/>
          <w:szCs w:val="22"/>
        </w:rPr>
        <w:t>The District anticipates repaying Loan Advances, including those converted to one or more Operations Reimbursement Obligations, with the proceeds of future bonds, ad valorem taxes, or other legally available revenues of the District, net of any debt service costs of the District and provided that such payment is allowed under any bond indenture applicable to the District. Any property tax levy certified by the District for the purpose of repaying amounts under the Administration Funding Agreement will be subject to any restrictions provided in the District’s Governing Document or any applicable laws.</w:t>
      </w:r>
    </w:p>
    <w:p w14:paraId="05C292CB" w14:textId="77777777" w:rsidR="00974AD2" w:rsidRPr="00DA2177" w:rsidRDefault="00974AD2" w:rsidP="00974AD2">
      <w:pPr>
        <w:pStyle w:val="00BodyText5"/>
        <w:rPr>
          <w:rFonts w:cs="Times New Roman"/>
          <w:szCs w:val="22"/>
        </w:rPr>
      </w:pPr>
      <w:r>
        <w:rPr>
          <w:rFonts w:cs="Times New Roman"/>
          <w:szCs w:val="22"/>
        </w:rPr>
        <w:t>Subject to the terms and conditions of the Administration Funding Agreement, the District agrees to issue, to or at the direction of the Developer, one or more reimbursement notes, bonds, or other instruments (each, an “</w:t>
      </w:r>
      <w:r>
        <w:rPr>
          <w:rFonts w:cs="Times New Roman"/>
          <w:b/>
          <w:bCs/>
          <w:szCs w:val="22"/>
        </w:rPr>
        <w:t>Operations Reimbursement Obligation</w:t>
      </w:r>
      <w:r>
        <w:rPr>
          <w:rFonts w:cs="Times New Roman"/>
          <w:szCs w:val="22"/>
        </w:rPr>
        <w:t xml:space="preserve">”), to evidence the District’s repayment obligation with respect to one or more Loan Advances. The Operations Reimbursement Obligations are to be payable solely from the sources identified in each Operations Reimbursement Obligation, including, but not limited to, ad valorem property tax revenues of the District, and shall be secured by the District’s pledge to apply such revenues as required under the Administration Funding Agreement, unless otherwise consented to by the Developer. </w:t>
      </w:r>
    </w:p>
    <w:p w14:paraId="14863B22" w14:textId="061E9820" w:rsidR="00974AD2" w:rsidRPr="00DA2177" w:rsidRDefault="00974AD2" w:rsidP="00974AD2">
      <w:pPr>
        <w:pStyle w:val="00BodyText5"/>
        <w:rPr>
          <w:rFonts w:cs="Times New Roman"/>
          <w:szCs w:val="22"/>
        </w:rPr>
      </w:pPr>
      <w:r>
        <w:rPr>
          <w:rFonts w:cs="Times New Roman"/>
          <w:szCs w:val="22"/>
        </w:rPr>
        <w:t>The Operations Reimbursement Obligations are to mature on a date or dates, subject to the limitations of the Maximum Operations Reimbursement Obligation Repayment Term (defined below), and bear interest at a market rate, to be determined at the time of issuance of each Operations Reimbursement Obligation. The District is permitted to prepay any Operations Reimbursement Obligation, in whole or in part, at any time, without redemption premium or other penalty, but including interest accrued to the date of prepayment on the principal amount so prepaid. The District and the Developer are to negotiate in good faith the final terms and conditions of each Operations Reimbursement Obligation. Any Operations Reimbursement Obligations are to be issued on a basis that is subordinate to any then-outstanding debt of the District.</w:t>
      </w:r>
    </w:p>
    <w:p w14:paraId="7C974277" w14:textId="77777777" w:rsidR="00974AD2" w:rsidRPr="00DA2177" w:rsidRDefault="00974AD2" w:rsidP="00974AD2">
      <w:pPr>
        <w:pStyle w:val="00BodyText5"/>
        <w:rPr>
          <w:rFonts w:cs="Times New Roman"/>
          <w:szCs w:val="22"/>
        </w:rPr>
      </w:pPr>
      <w:r>
        <w:rPr>
          <w:rFonts w:cs="Times New Roman"/>
          <w:szCs w:val="22"/>
        </w:rPr>
        <w:t>The term for repayment of any Operations Reimbursement Obligation will not extend beyond thirty (30) years from the date of Administration Funding Agreement (the “</w:t>
      </w:r>
      <w:r>
        <w:rPr>
          <w:rFonts w:cs="Times New Roman"/>
          <w:b/>
          <w:bCs/>
          <w:szCs w:val="22"/>
        </w:rPr>
        <w:t>Maximum Operations Reimbursement Obligation Repayment Term</w:t>
      </w:r>
      <w:r>
        <w:rPr>
          <w:rFonts w:cs="Times New Roman"/>
          <w:szCs w:val="22"/>
        </w:rPr>
        <w:t xml:space="preserve">”). </w:t>
      </w:r>
    </w:p>
    <w:p w14:paraId="51DDDB7F" w14:textId="77777777" w:rsidR="00974AD2" w:rsidRPr="00DA2177" w:rsidRDefault="00974AD2" w:rsidP="00974AD2">
      <w:pPr>
        <w:pStyle w:val="00BodyText5"/>
        <w:rPr>
          <w:rFonts w:cs="Times New Roman"/>
          <w:szCs w:val="22"/>
        </w:rPr>
      </w:pPr>
      <w:r>
        <w:rPr>
          <w:rFonts w:cs="Times New Roman"/>
          <w:szCs w:val="22"/>
        </w:rPr>
        <w:t>The District’s obligations under the Administration Funding Agreement terminate at the earlier of the repayment in full of the Maximum Loan Amount (or such lesser amount advanced if it is determined by the District that no further advances are required) or thirty (30) years from the date of the Administration Funding Agreement. After such thirty (30) year period, the District and Developer agree and acknowledge that any obligation created by the Administration Funding Agreement which remains due and outstanding, including accrued interest, is forgiven in its entirety, generally and unconditionally released, waived, acquitted and forever discharged, and will be deemed a contribution to the District by the Developer, and there will be no further obligation of the District to pay or reimburse the Developer with respect to such amounts.</w:t>
      </w:r>
    </w:p>
    <w:p w14:paraId="473A722D" w14:textId="77777777" w:rsidR="00974AD2" w:rsidRPr="00DA2177" w:rsidRDefault="00974AD2" w:rsidP="00974AD2">
      <w:pPr>
        <w:pStyle w:val="00BodyText5"/>
        <w:rPr>
          <w:rFonts w:cs="Times New Roman"/>
          <w:szCs w:val="22"/>
        </w:rPr>
      </w:pPr>
      <w:r>
        <w:rPr>
          <w:rFonts w:cs="Times New Roman"/>
          <w:szCs w:val="22"/>
        </w:rPr>
        <w:t>The Administration Funding Agreement does not constitute a debt or indebtedness of the District within the meaning of any constitutional or statutory provision, nor does it constitute a multiple fiscal year financial obligation. Further, the provision for repayment of Loan Advances made thereunder and the agreement of the District to issue an Operations Reimbursement Obligation are at all times subject to annual appropriation by the District, in its absolute discretion.</w:t>
      </w:r>
    </w:p>
    <w:p w14:paraId="283AF66D" w14:textId="6C3E17D8" w:rsidR="00974AD2" w:rsidRDefault="00974AD2" w:rsidP="00974AD2">
      <w:pPr>
        <w:pStyle w:val="00BodyText5"/>
        <w:rPr>
          <w:rFonts w:cs="Times New Roman"/>
          <w:szCs w:val="22"/>
        </w:rPr>
      </w:pPr>
      <w:r>
        <w:rPr>
          <w:rFonts w:cs="Times New Roman"/>
          <w:szCs w:val="22"/>
        </w:rPr>
        <w:t xml:space="preserve">As of </w:t>
      </w:r>
      <w:r w:rsidR="00DA267A">
        <w:rPr>
          <w:rFonts w:cs="Times New Roman"/>
          <w:szCs w:val="22"/>
        </w:rPr>
        <w:t>July</w:t>
      </w:r>
      <w:r>
        <w:rPr>
          <w:rFonts w:cs="Times New Roman"/>
          <w:szCs w:val="22"/>
        </w:rPr>
        <w:t xml:space="preserve"> </w:t>
      </w:r>
      <w:r w:rsidR="000456C4">
        <w:rPr>
          <w:rFonts w:cs="Times New Roman"/>
          <w:szCs w:val="22"/>
        </w:rPr>
        <w:t>27</w:t>
      </w:r>
      <w:r>
        <w:rPr>
          <w:rFonts w:cs="Times New Roman"/>
          <w:szCs w:val="22"/>
        </w:rPr>
        <w:t>, 202</w:t>
      </w:r>
      <w:r w:rsidR="00DA267A">
        <w:rPr>
          <w:rFonts w:cs="Times New Roman"/>
          <w:szCs w:val="22"/>
        </w:rPr>
        <w:t>6</w:t>
      </w:r>
      <w:r>
        <w:rPr>
          <w:rFonts w:cs="Times New Roman"/>
          <w:szCs w:val="22"/>
        </w:rPr>
        <w:t xml:space="preserve">, the District has not requested, and the Developer has not made any advances to the District. </w:t>
      </w:r>
    </w:p>
    <w:p w14:paraId="6D67C3BA" w14:textId="77777777" w:rsidR="00974AD2" w:rsidRPr="00DA2177" w:rsidRDefault="00974AD2" w:rsidP="00B471D8">
      <w:pPr>
        <w:pStyle w:val="Heading2"/>
        <w:numPr>
          <w:ilvl w:val="1"/>
          <w:numId w:val="2"/>
        </w:numPr>
        <w:rPr>
          <w:rFonts w:eastAsia="Times New Roman"/>
          <w:sz w:val="22"/>
          <w:szCs w:val="22"/>
        </w:rPr>
      </w:pPr>
      <w:bookmarkStart w:id="193" w:name="_Toc86152191"/>
      <w:bookmarkStart w:id="194" w:name="_Toc235521097"/>
      <w:r>
        <w:rPr>
          <w:rFonts w:eastAsia="Times New Roman"/>
          <w:sz w:val="22"/>
          <w:szCs w:val="22"/>
        </w:rPr>
        <w:t>Sovereign Immunity</w:t>
      </w:r>
      <w:bookmarkEnd w:id="193"/>
      <w:bookmarkEnd w:id="194"/>
    </w:p>
    <w:p w14:paraId="561D487A" w14:textId="77777777" w:rsidR="00DA267A" w:rsidRPr="005F5228" w:rsidRDefault="00DA267A" w:rsidP="00DA267A">
      <w:pPr>
        <w:pStyle w:val="00BodyText5"/>
        <w:rPr>
          <w:rFonts w:cs="Times New Roman"/>
          <w:szCs w:val="22"/>
        </w:rPr>
      </w:pPr>
      <w:r w:rsidRPr="005F5228">
        <w:rPr>
          <w:rFonts w:cs="Times New Roman"/>
          <w:szCs w:val="22"/>
        </w:rPr>
        <w:t>The Governmental Immunity Act of Utah, Title 63G, Chapter 7, Utah Code (the “</w:t>
      </w:r>
      <w:r w:rsidRPr="00857F26">
        <w:rPr>
          <w:rFonts w:cs="Times New Roman"/>
          <w:b/>
          <w:bCs/>
          <w:szCs w:val="22"/>
        </w:rPr>
        <w:t>Governmental Immunity Act</w:t>
      </w:r>
      <w:r w:rsidRPr="005F5228">
        <w:rPr>
          <w:rFonts w:cs="Times New Roman"/>
          <w:szCs w:val="22"/>
        </w:rPr>
        <w:t xml:space="preserve">”) provides that governmental entities, such as the District, and their employees retain immunity from suit for any injury that results from the exercise of a governmental function unless that immunity has been expressly waived under the Governmental Immunity Act. </w:t>
      </w:r>
    </w:p>
    <w:p w14:paraId="3C72546D" w14:textId="77777777" w:rsidR="00DA267A" w:rsidRPr="005F5228" w:rsidRDefault="00DA267A" w:rsidP="00DA267A">
      <w:pPr>
        <w:pStyle w:val="00BodyText5"/>
        <w:rPr>
          <w:rFonts w:cs="Times New Roman"/>
          <w:szCs w:val="22"/>
        </w:rPr>
      </w:pPr>
      <w:r w:rsidRPr="005F5228">
        <w:rPr>
          <w:rFonts w:cs="Times New Roman"/>
          <w:szCs w:val="22"/>
        </w:rPr>
        <w:t>The Governmental Immunity Act provides that sovereign immunity does not apply to injuries occurring as a result of certain specified actions or conditions. An action against a governmental entity for an injury caused by an act or omission that occurs during the performance of an employee’s duties is a plaintiff’s exclusive remedy under the Governmental Immunity Act unless, among other things, the employee acted or failed to act through fraud or willful misconduct, the injury or damage resulted from the employee driving a vehicle under the influence of alcohol or drugs, the injury or damage resulted from the employee being physically or mentally impaired so as to be unable to reasonably perform their job function because of alcohol or a controlled substance.</w:t>
      </w:r>
    </w:p>
    <w:p w14:paraId="7648C93E" w14:textId="3C6D2024" w:rsidR="00FE1642" w:rsidRPr="00DA267A" w:rsidRDefault="00DA267A" w:rsidP="00DA267A">
      <w:pPr>
        <w:pStyle w:val="00BodyText5"/>
        <w:rPr>
          <w:szCs w:val="22"/>
        </w:rPr>
      </w:pPr>
      <w:r w:rsidRPr="000E5D4E">
        <w:t xml:space="preserve">The maximum amounts that may be recovered under the Governmental Immunity Act from a governmental entity or an employee whom a governmental entity has a duty to indemnify, are as follows: (a) for damages for personal injury to one person in any one occurrence, the sum of $583,900; (b) for property damage $233,600; and (c) there is a $3,000,000 limit to the aggregate amount of individual awards that may be awarded in relation to a single occurrence. Each even numbered year, the legislative fiscal analyst of the State calculates new limits based upon changes in various price indexes with such limits to take effect July 1 of such year. According to the Utah Office of Administrative Rules, the applicable limits for incidents occurring on or after </w:t>
      </w:r>
      <w:r w:rsidRPr="00C379AB">
        <w:t>July 1, 2024 (the most recent published limits) are as follows: (a) for damages for personal injury to one person in any one occurrence, the sum of $911,300; (b) for property damage $366,900; and (c) and $3,668,400 limit to the aggregate amount of individual awards that may be awarded in relation to a single occurrence</w:t>
      </w:r>
      <w:r w:rsidRPr="002E2A57">
        <w:rPr>
          <w:szCs w:val="22"/>
        </w:rPr>
        <w:t>.</w:t>
      </w:r>
    </w:p>
    <w:p w14:paraId="60D9D093" w14:textId="1B23D115" w:rsidR="00974AD2" w:rsidRPr="00DA2177" w:rsidRDefault="00974AD2" w:rsidP="00B471D8">
      <w:pPr>
        <w:pStyle w:val="Heading2"/>
        <w:numPr>
          <w:ilvl w:val="1"/>
          <w:numId w:val="2"/>
        </w:numPr>
        <w:rPr>
          <w:sz w:val="22"/>
          <w:szCs w:val="22"/>
        </w:rPr>
      </w:pPr>
      <w:bookmarkStart w:id="195" w:name="_Toc522260162"/>
      <w:bookmarkStart w:id="196" w:name="_Toc14245975"/>
      <w:bookmarkStart w:id="197" w:name="_Toc86152192"/>
      <w:bookmarkStart w:id="198" w:name="_Toc235521098"/>
      <w:r>
        <w:rPr>
          <w:sz w:val="22"/>
          <w:szCs w:val="22"/>
        </w:rPr>
        <w:t>District Insurance</w:t>
      </w:r>
      <w:bookmarkEnd w:id="195"/>
      <w:bookmarkEnd w:id="196"/>
      <w:bookmarkEnd w:id="197"/>
      <w:bookmarkEnd w:id="198"/>
    </w:p>
    <w:p w14:paraId="31148F98" w14:textId="578296B4" w:rsidR="00EF4DD7" w:rsidRPr="00DA2177" w:rsidRDefault="00EF4DD7" w:rsidP="00EF4DD7">
      <w:pPr>
        <w:pStyle w:val="00BodyText5"/>
        <w:rPr>
          <w:rFonts w:cs="Times New Roman"/>
          <w:szCs w:val="22"/>
        </w:rPr>
      </w:pPr>
      <w:bookmarkStart w:id="199" w:name="_Toc14438787"/>
      <w:bookmarkStart w:id="200" w:name="_Toc86152193"/>
      <w:r>
        <w:rPr>
          <w:rFonts w:cs="Times New Roman"/>
          <w:szCs w:val="22"/>
        </w:rPr>
        <w:t>The District has obtained general liability and public officials’ errors and omissions liability insurance through a policy with the Utah Local Governments Trust (“</w:t>
      </w:r>
      <w:r>
        <w:rPr>
          <w:rFonts w:cs="Times New Roman"/>
          <w:b/>
          <w:szCs w:val="22"/>
        </w:rPr>
        <w:t>ULGT</w:t>
      </w:r>
      <w:r>
        <w:rPr>
          <w:rFonts w:cs="Times New Roman"/>
          <w:szCs w:val="22"/>
        </w:rPr>
        <w:t>”). ULGT was organized in 1974 as a Public Agency Insurance Mutual under Section 63G-7-703 of the Government Immunity Act and insures more than 550 governmental entities in the State. The limit of the policy is $5,000,000.</w:t>
      </w:r>
    </w:p>
    <w:p w14:paraId="6A7D2430" w14:textId="531330D7" w:rsidR="00910664" w:rsidRPr="00DA2177" w:rsidRDefault="00613AD7" w:rsidP="00613AD7">
      <w:pPr>
        <w:pStyle w:val="00BodyText5"/>
        <w:rPr>
          <w:rFonts w:cs="Times New Roman"/>
          <w:szCs w:val="22"/>
        </w:rPr>
      </w:pPr>
      <w:r>
        <w:rPr>
          <w:rFonts w:cs="Times New Roman"/>
          <w:szCs w:val="22"/>
        </w:rPr>
        <w:t>The District’s policy is for a coverage term through [June 30, 202</w:t>
      </w:r>
      <w:r w:rsidR="000C5C5D">
        <w:rPr>
          <w:rFonts w:cs="Times New Roman"/>
          <w:szCs w:val="22"/>
        </w:rPr>
        <w:t>_</w:t>
      </w:r>
      <w:r>
        <w:rPr>
          <w:rFonts w:cs="Times New Roman"/>
          <w:szCs w:val="22"/>
        </w:rPr>
        <w:t>], with annual renewals thereafter. There is no guaranty that the District will continue to maintain such insurance in the future; provided that the Indentures require that the District carry general liability, public officials’ liability and such other forms of insurance coverage on insurable District property upon the terms and conditions, and in such amount, as in the judgement of such District will protect the District and its operations.</w:t>
      </w:r>
      <w:r w:rsidR="000C5C5D">
        <w:rPr>
          <w:rFonts w:cs="Times New Roman"/>
          <w:szCs w:val="22"/>
        </w:rPr>
        <w:t xml:space="preserve"> [</w:t>
      </w:r>
      <w:r w:rsidR="000C5C5D" w:rsidRPr="000C5C5D">
        <w:rPr>
          <w:rFonts w:cs="Times New Roman"/>
          <w:szCs w:val="22"/>
          <w:highlight w:val="cyan"/>
        </w:rPr>
        <w:t>UPDATE</w:t>
      </w:r>
      <w:r w:rsidR="000C5C5D">
        <w:rPr>
          <w:rFonts w:cs="Times New Roman"/>
          <w:szCs w:val="22"/>
        </w:rPr>
        <w:t>]</w:t>
      </w:r>
    </w:p>
    <w:p w14:paraId="2420C284" w14:textId="77777777" w:rsidR="003126E0" w:rsidRPr="008073E6" w:rsidRDefault="003126E0" w:rsidP="003126E0">
      <w:pPr>
        <w:pStyle w:val="Heading2"/>
        <w:rPr>
          <w:sz w:val="22"/>
          <w:szCs w:val="24"/>
        </w:rPr>
      </w:pPr>
      <w:bookmarkStart w:id="201" w:name="_Toc235521099"/>
      <w:bookmarkStart w:id="202" w:name="_Toc14261012"/>
      <w:bookmarkEnd w:id="156"/>
      <w:bookmarkEnd w:id="199"/>
      <w:bookmarkEnd w:id="200"/>
      <w:r>
        <w:rPr>
          <w:sz w:val="22"/>
          <w:szCs w:val="24"/>
        </w:rPr>
        <w:t>Other Services Available within the District</w:t>
      </w:r>
      <w:bookmarkEnd w:id="201"/>
    </w:p>
    <w:p w14:paraId="17D2FCC6" w14:textId="4D27A1E6" w:rsidR="003126E0" w:rsidRPr="005D45F1" w:rsidRDefault="003126E0" w:rsidP="004832D9">
      <w:pPr>
        <w:pStyle w:val="00BodyText5"/>
        <w:rPr>
          <w:rFonts w:cs="Times New Roman"/>
          <w:szCs w:val="22"/>
        </w:rPr>
      </w:pPr>
      <w:r>
        <w:rPr>
          <w:rFonts w:cs="Times New Roman"/>
          <w:szCs w:val="22"/>
        </w:rPr>
        <w:t xml:space="preserve">Services within the District are made available by various providers. The City provides police protection, and culinary water services to the Development. Fire protection and emergency medical services are provided by the Unified Fire Authority. Sewer service is provided by </w:t>
      </w:r>
      <w:r w:rsidR="008804B0">
        <w:rPr>
          <w:rFonts w:cs="Times New Roman"/>
          <w:szCs w:val="22"/>
        </w:rPr>
        <w:t>Jordan Basin Improvement District</w:t>
      </w:r>
      <w:r w:rsidR="0011659D">
        <w:rPr>
          <w:rFonts w:cs="Times New Roman"/>
          <w:szCs w:val="22"/>
        </w:rPr>
        <w:t xml:space="preserve"> (</w:t>
      </w:r>
      <w:r w:rsidR="0011659D" w:rsidRPr="0011659D">
        <w:rPr>
          <w:rFonts w:cs="Times New Roman"/>
          <w:szCs w:val="22"/>
        </w:rPr>
        <w:t>formerly named South Valley Sewer District</w:t>
      </w:r>
      <w:r w:rsidR="0011659D">
        <w:rPr>
          <w:rFonts w:cs="Times New Roman"/>
          <w:szCs w:val="22"/>
        </w:rPr>
        <w:t>)</w:t>
      </w:r>
      <w:r>
        <w:rPr>
          <w:rFonts w:cs="Times New Roman"/>
          <w:szCs w:val="22"/>
        </w:rPr>
        <w:t>. Discussions with solid waste service providers are ongoing, but according to the Developer there are multiple providers willing to provide solid waste services to the Development. See “THE DEVELOPMENT—Water and Sewer.” Electricity is provided by Rocky Mountain Power</w:t>
      </w:r>
      <w:r w:rsidR="00B67E34">
        <w:rPr>
          <w:rFonts w:cs="Times New Roman"/>
          <w:szCs w:val="22"/>
        </w:rPr>
        <w:t>,</w:t>
      </w:r>
      <w:r>
        <w:rPr>
          <w:rFonts w:cs="Times New Roman"/>
          <w:szCs w:val="22"/>
        </w:rPr>
        <w:t xml:space="preserve"> and natural gas is provided by </w:t>
      </w:r>
      <w:r w:rsidR="00B67E34">
        <w:rPr>
          <w:rFonts w:cs="Times New Roman"/>
          <w:szCs w:val="22"/>
        </w:rPr>
        <w:t>Enbridge</w:t>
      </w:r>
      <w:r>
        <w:rPr>
          <w:rFonts w:cs="Times New Roman"/>
          <w:szCs w:val="22"/>
        </w:rPr>
        <w:t>. The District is served by the Jordan School District. See “THE DEVELOPMENT—Public Schools.” The District is not anticipated to provide any services, and all Public Improvements are anticipated to be dedicated to the applicable public entity.</w:t>
      </w:r>
    </w:p>
    <w:p w14:paraId="6AE49BF1" w14:textId="203A9729" w:rsidR="00421E58" w:rsidRPr="00DA2177" w:rsidRDefault="00421E58" w:rsidP="00903937">
      <w:pPr>
        <w:pStyle w:val="Heading1"/>
        <w:rPr>
          <w:rFonts w:cs="Times New Roman"/>
          <w:sz w:val="22"/>
          <w:szCs w:val="22"/>
        </w:rPr>
      </w:pPr>
      <w:bookmarkStart w:id="203" w:name="_Toc235521100"/>
      <w:r>
        <w:rPr>
          <w:rFonts w:cs="Times New Roman"/>
          <w:sz w:val="22"/>
          <w:szCs w:val="22"/>
        </w:rPr>
        <w:t>THE DEVELOPMENT</w:t>
      </w:r>
      <w:bookmarkEnd w:id="202"/>
      <w:bookmarkEnd w:id="203"/>
    </w:p>
    <w:p w14:paraId="3EAE79E9" w14:textId="77777777" w:rsidR="00F07DEE" w:rsidRPr="00DA2177" w:rsidRDefault="00F07DEE" w:rsidP="00F07DEE">
      <w:pPr>
        <w:spacing w:after="240"/>
        <w:ind w:firstLine="720"/>
        <w:jc w:val="both"/>
        <w:rPr>
          <w:rFonts w:cs="Times New Roman"/>
          <w:i/>
          <w:sz w:val="22"/>
          <w:szCs w:val="22"/>
        </w:rPr>
      </w:pPr>
      <w:r>
        <w:rPr>
          <w:rFonts w:cs="Times New Roman"/>
          <w:i/>
          <w:sz w:val="22"/>
          <w:szCs w:val="22"/>
        </w:rPr>
        <w:t xml:space="preserve">The following information has been supplied by the Developer, except for certain information which, where noted herein, has been obtained from other sources. </w:t>
      </w:r>
    </w:p>
    <w:p w14:paraId="4687A3E7" w14:textId="7BD8D390" w:rsidR="00F07DEE" w:rsidRPr="00DA2177" w:rsidRDefault="00F07DEE" w:rsidP="00F07DEE">
      <w:pPr>
        <w:spacing w:after="240"/>
        <w:ind w:firstLine="720"/>
        <w:jc w:val="both"/>
        <w:rPr>
          <w:rFonts w:cs="Times New Roman"/>
          <w:i/>
          <w:sz w:val="22"/>
          <w:szCs w:val="22"/>
        </w:rPr>
      </w:pPr>
      <w:r>
        <w:rPr>
          <w:rFonts w:cs="Times New Roman"/>
          <w:i/>
          <w:sz w:val="22"/>
          <w:szCs w:val="22"/>
        </w:rPr>
        <w:t>Neither the District, the District’s advisors, nor the Underwriter makes any representation regarding projected development plans within the Development, the financial soundness or the managerial ability of the Developer to complete development in accordance with the plans described herein, nor the assessed valuation presently anticipated to be certified with respect to certain of such properties, and other than the express representations of the Developer set forth herein, the Developer makes no such representations. Without limiting the generality of the foregoing, no assurance of success is provided for the Development by the Developer or otherwise. See “—The Developer” below. The development of the property within the District may be affected by factors such as governmental policies with respect to land development</w:t>
      </w:r>
      <w:r w:rsidR="00822695">
        <w:rPr>
          <w:rFonts w:cs="Times New Roman"/>
          <w:i/>
          <w:sz w:val="22"/>
          <w:szCs w:val="22"/>
        </w:rPr>
        <w:t xml:space="preserve"> or trade policies and tariffs</w:t>
      </w:r>
      <w:r>
        <w:rPr>
          <w:rFonts w:cs="Times New Roman"/>
          <w:i/>
          <w:sz w:val="22"/>
          <w:szCs w:val="22"/>
        </w:rPr>
        <w:t>, the availability of water and other utilities, the availability of energy, construction costs, interest rates, competition from other developments, and other political, legal, and economic conditions. Further, while certain information is provided herein with respect to existing and anticipated encumbrances of the property, in particular encumbrances recorded or to be recorded by the Developer, property within the Development may presently or in the future be subject to additional encumbrances as security for obligations of the Developer or other current or future property owners payable to various parties, the default of which could adversely affect development and construction activity. See “RISK FACTORS—Development Not Assured.”</w:t>
      </w:r>
    </w:p>
    <w:p w14:paraId="5CA7C0F7" w14:textId="77777777" w:rsidR="00F07DEE" w:rsidRPr="00FF6884" w:rsidRDefault="00F07DEE" w:rsidP="00B471D8">
      <w:pPr>
        <w:pStyle w:val="Heading2"/>
        <w:numPr>
          <w:ilvl w:val="1"/>
          <w:numId w:val="2"/>
        </w:numPr>
        <w:rPr>
          <w:sz w:val="22"/>
          <w:szCs w:val="22"/>
        </w:rPr>
      </w:pPr>
      <w:bookmarkStart w:id="204" w:name="_Toc14261013"/>
      <w:bookmarkStart w:id="205" w:name="_Toc86152195"/>
      <w:bookmarkStart w:id="206" w:name="_Toc235521101"/>
      <w:r>
        <w:rPr>
          <w:sz w:val="22"/>
          <w:szCs w:val="22"/>
        </w:rPr>
        <w:t>Development Overview</w:t>
      </w:r>
      <w:bookmarkEnd w:id="204"/>
      <w:bookmarkEnd w:id="205"/>
      <w:bookmarkEnd w:id="206"/>
    </w:p>
    <w:p w14:paraId="2AA29AB9" w14:textId="7DE28BF0" w:rsidR="00F07DEE" w:rsidRPr="00DA2177" w:rsidRDefault="00B04B76" w:rsidP="00F018ED">
      <w:pPr>
        <w:pStyle w:val="00BodyText5"/>
      </w:pPr>
      <w:r>
        <w:t>Property within the District (as previously defined, the “</w:t>
      </w:r>
      <w:r>
        <w:rPr>
          <w:b/>
        </w:rPr>
        <w:t>Development</w:t>
      </w:r>
      <w:r>
        <w:t>”) is anticipated to be developed as a portion of a master planned residential and commercial development being marketed as “Olympia” (the “</w:t>
      </w:r>
      <w:r>
        <w:rPr>
          <w:b/>
          <w:bCs/>
        </w:rPr>
        <w:t>Olympia Master Development</w:t>
      </w:r>
      <w:r>
        <w:t>”). Generally located in the western portion of the City just east of U-111, the Development is approximately 35 minutes from downtown Salt Lake City, Utah and 22 minutes from the Silicon Slopes in Lehi, Utah. See “DISTRICT VICINITY MAP,” “DISTRICT AERIAL MAP” herein.</w:t>
      </w:r>
    </w:p>
    <w:p w14:paraId="6F562D31" w14:textId="6DA11A73" w:rsidR="0017268E" w:rsidRDefault="00F07DEE" w:rsidP="001E1F9A">
      <w:pPr>
        <w:pStyle w:val="00BodyText5"/>
      </w:pPr>
      <w:r>
        <w:t>The Development is being undertaken by Olympia Land, LLC (as previously defined, the “</w:t>
      </w:r>
      <w:r>
        <w:rPr>
          <w:b/>
        </w:rPr>
        <w:t>Developer</w:t>
      </w:r>
      <w:r>
        <w:t xml:space="preserve">”). According to the Developer, at full buildout the Development is planned to </w:t>
      </w:r>
      <w:r w:rsidRPr="005965EB">
        <w:t>contain 1,074 residential units, consisting of 722 townhomes</w:t>
      </w:r>
      <w:r w:rsidR="005965EB" w:rsidRPr="005965EB">
        <w:t xml:space="preserve"> and 352</w:t>
      </w:r>
      <w:r w:rsidRPr="005965EB">
        <w:t xml:space="preserve"> single family detached homes. The land wi</w:t>
      </w:r>
      <w:r>
        <w:t xml:space="preserve">thin the Development is currently undeveloped. Horizontal construction within the Development commenced in the </w:t>
      </w:r>
      <w:r w:rsidR="007406E7">
        <w:t xml:space="preserve">third quarter </w:t>
      </w:r>
      <w:r w:rsidRPr="005965EB">
        <w:t>of 202</w:t>
      </w:r>
      <w:r w:rsidR="007406E7">
        <w:t>6</w:t>
      </w:r>
      <w:r w:rsidRPr="005965EB">
        <w:t>. No vertical construction in the Development has occurred. Vertical</w:t>
      </w:r>
      <w:r>
        <w:t xml:space="preserve"> construction within the Development is dependent upon the completion of the horizontal infrastructure and is anticipated to commence in the </w:t>
      </w:r>
      <w:r w:rsidR="007406E7">
        <w:t>fourth</w:t>
      </w:r>
      <w:r>
        <w:t xml:space="preserve"> quarter of 202</w:t>
      </w:r>
      <w:r w:rsidR="007406E7">
        <w:t>6</w:t>
      </w:r>
      <w:r>
        <w:t xml:space="preserve"> and full buildout of the Development is anticipated </w:t>
      </w:r>
      <w:r w:rsidR="003572E6">
        <w:t>in the third quarter 2031</w:t>
      </w:r>
      <w:r>
        <w:t xml:space="preserve">. </w:t>
      </w:r>
    </w:p>
    <w:p w14:paraId="695156A9" w14:textId="4616A3B0" w:rsidR="00F07DEE" w:rsidRPr="00DA2177" w:rsidRDefault="00F07DEE" w:rsidP="001E1F9A">
      <w:pPr>
        <w:pStyle w:val="00BodyText5"/>
        <w:rPr>
          <w:bCs/>
        </w:rPr>
      </w:pPr>
      <w:r>
        <w:t xml:space="preserve">Notwithstanding any of the foregoing, neither the Developer nor any other owner of property within the Development is obligated to construct buildings thereon in any particular timeframe or at all. </w:t>
      </w:r>
      <w:r>
        <w:rPr>
          <w:bCs/>
        </w:rPr>
        <w:t>See “—Planned Development,” “—Land Ownership,” “—Zoning, Public Approvals, and Platting,” “—Plan of Finance for the Development” below and “</w:t>
      </w:r>
      <w:r>
        <w:t>RISK FACTORS—Development Not Assured.”</w:t>
      </w:r>
    </w:p>
    <w:p w14:paraId="5DEAF33B" w14:textId="77777777" w:rsidR="00950A9F" w:rsidRDefault="00F07DEE" w:rsidP="001E1F9A">
      <w:pPr>
        <w:pStyle w:val="00BodyText5"/>
      </w:pPr>
      <w:r>
        <w:t>The following table summarizes the existing and anticipated current land use plan within the Development as reflected herein and in the Market Study.</w:t>
      </w:r>
    </w:p>
    <w:p w14:paraId="6A12C2C3" w14:textId="77777777" w:rsidR="00E163E8" w:rsidRPr="00DA2177" w:rsidRDefault="00E163E8" w:rsidP="00E163E8">
      <w:pPr>
        <w:jc w:val="center"/>
        <w:rPr>
          <w:rFonts w:cs="Times New Roman"/>
          <w:sz w:val="22"/>
          <w:szCs w:val="22"/>
        </w:rPr>
      </w:pPr>
      <w:r>
        <w:rPr>
          <w:rFonts w:cs="Times New Roman"/>
          <w:sz w:val="22"/>
          <w:szCs w:val="22"/>
        </w:rPr>
        <w:t>(The remainder of this page intentionally left blank.)</w:t>
      </w:r>
    </w:p>
    <w:p w14:paraId="50071FE3" w14:textId="2C793538" w:rsidR="00E163E8" w:rsidRDefault="00E163E8" w:rsidP="00B45145">
      <w:pPr>
        <w:keepNext/>
        <w:keepLines/>
        <w:jc w:val="center"/>
        <w:rPr>
          <w:rStyle w:val="Heading2Char"/>
          <w:sz w:val="22"/>
        </w:rPr>
      </w:pPr>
      <w:r>
        <w:rPr>
          <w:rStyle w:val="Heading2Char"/>
          <w:sz w:val="22"/>
        </w:rPr>
        <w:br w:type="page"/>
      </w:r>
    </w:p>
    <w:p w14:paraId="40FB608A" w14:textId="77777777" w:rsidR="00805B31" w:rsidRDefault="00805B31" w:rsidP="00B45145">
      <w:pPr>
        <w:keepNext/>
        <w:keepLines/>
        <w:jc w:val="center"/>
        <w:rPr>
          <w:rStyle w:val="Heading2Char"/>
          <w:sz w:val="22"/>
        </w:rPr>
        <w:sectPr w:rsidR="00805B31" w:rsidSect="00685EE8">
          <w:footnotePr>
            <w:pos w:val="beneathText"/>
            <w:numFmt w:val="chicago"/>
            <w:numRestart w:val="eachPage"/>
          </w:footnotePr>
          <w:type w:val="continuous"/>
          <w:pgSz w:w="12240" w:h="15840" w:code="1"/>
          <w:pgMar w:top="1440" w:right="1440" w:bottom="1440" w:left="1440" w:header="720" w:footer="720" w:gutter="0"/>
          <w:cols w:space="720"/>
          <w:titlePg/>
          <w:docGrid w:linePitch="299"/>
        </w:sectPr>
      </w:pPr>
    </w:p>
    <w:p w14:paraId="7A4E5807" w14:textId="77777777" w:rsidR="00AB657C" w:rsidRPr="00DA2177" w:rsidRDefault="00AB657C" w:rsidP="00AB657C">
      <w:pPr>
        <w:keepNext/>
        <w:keepLines/>
        <w:spacing w:after="120"/>
        <w:jc w:val="center"/>
        <w:rPr>
          <w:rFonts w:ascii="Times New Roman Bold" w:hAnsi="Times New Roman Bold"/>
          <w:sz w:val="22"/>
        </w:rPr>
      </w:pPr>
      <w:bookmarkStart w:id="207" w:name="_Toc235521102"/>
      <w:r>
        <w:rPr>
          <w:rStyle w:val="Heading2Char"/>
          <w:sz w:val="22"/>
        </w:rPr>
        <w:t>Summary of Anticipated Development</w:t>
      </w:r>
      <w:bookmarkEnd w:id="207"/>
      <w:r w:rsidRPr="00AB657C">
        <w:rPr>
          <w:rFonts w:eastAsiaTheme="majorEastAsia" w:cs="Times New Roman"/>
          <w:b/>
          <w:bCs/>
          <w:color w:val="000000"/>
          <w:sz w:val="22"/>
          <w:szCs w:val="26"/>
          <w:vertAlign w:val="superscript"/>
        </w:rPr>
        <w:t>1</w:t>
      </w:r>
    </w:p>
    <w:tbl>
      <w:tblPr>
        <w:tblW w:w="9838" w:type="dxa"/>
        <w:jc w:val="center"/>
        <w:tblLook w:val="04A0" w:firstRow="1" w:lastRow="0" w:firstColumn="1" w:lastColumn="0" w:noHBand="0" w:noVBand="1"/>
      </w:tblPr>
      <w:tblGrid>
        <w:gridCol w:w="1324"/>
        <w:gridCol w:w="1599"/>
        <w:gridCol w:w="1166"/>
        <w:gridCol w:w="1170"/>
        <w:gridCol w:w="1000"/>
        <w:gridCol w:w="1190"/>
        <w:gridCol w:w="1191"/>
        <w:gridCol w:w="1198"/>
      </w:tblGrid>
      <w:tr w:rsidR="00AB657C" w:rsidRPr="00B104F6" w14:paraId="0E91C5A5" w14:textId="77777777" w:rsidTr="00377598">
        <w:trPr>
          <w:trHeight w:val="780"/>
          <w:jc w:val="center"/>
        </w:trPr>
        <w:tc>
          <w:tcPr>
            <w:tcW w:w="1324" w:type="dxa"/>
            <w:tcBorders>
              <w:top w:val="nil"/>
              <w:left w:val="nil"/>
              <w:bottom w:val="single" w:sz="8" w:space="0" w:color="auto"/>
              <w:right w:val="nil"/>
            </w:tcBorders>
            <w:vAlign w:val="center"/>
            <w:hideMark/>
          </w:tcPr>
          <w:p w14:paraId="2A93FEC1" w14:textId="77777777" w:rsidR="00AB657C" w:rsidRPr="00B104F6" w:rsidRDefault="00AB657C"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Area/Product Type</w:t>
            </w:r>
          </w:p>
        </w:tc>
        <w:tc>
          <w:tcPr>
            <w:tcW w:w="1599" w:type="dxa"/>
            <w:tcBorders>
              <w:top w:val="nil"/>
              <w:left w:val="nil"/>
              <w:bottom w:val="single" w:sz="8" w:space="0" w:color="auto"/>
              <w:right w:val="nil"/>
            </w:tcBorders>
            <w:vAlign w:val="center"/>
            <w:hideMark/>
          </w:tcPr>
          <w:p w14:paraId="0AA0EF7C" w14:textId="77777777" w:rsidR="00AB657C" w:rsidRPr="00B104F6" w:rsidRDefault="00AB657C" w:rsidP="00377598">
            <w:pPr>
              <w:jc w:val="center"/>
              <w:rPr>
                <w:rFonts w:eastAsia="Times New Roman" w:cs="Times New Roman"/>
                <w:b/>
                <w:bCs/>
                <w:color w:val="000000"/>
                <w:sz w:val="19"/>
                <w:szCs w:val="19"/>
              </w:rPr>
            </w:pPr>
            <w:hyperlink r:id="rId33" w:anchor="RANGE!#REF!" w:history="1">
              <w:r w:rsidRPr="00B104F6">
                <w:rPr>
                  <w:rFonts w:eastAsia="Times New Roman" w:cs="Times New Roman"/>
                  <w:b/>
                  <w:bCs/>
                  <w:color w:val="000000"/>
                  <w:sz w:val="19"/>
                  <w:szCs w:val="19"/>
                </w:rPr>
                <w:t>Property Owner</w:t>
              </w:r>
            </w:hyperlink>
            <w:r>
              <w:rPr>
                <w:rFonts w:eastAsia="Times New Roman" w:cs="Times New Roman"/>
                <w:b/>
                <w:bCs/>
                <w:color w:val="000000"/>
                <w:sz w:val="19"/>
                <w:szCs w:val="19"/>
                <w:vertAlign w:val="superscript"/>
              </w:rPr>
              <w:t>2</w:t>
            </w:r>
          </w:p>
        </w:tc>
        <w:tc>
          <w:tcPr>
            <w:tcW w:w="1166" w:type="dxa"/>
            <w:tcBorders>
              <w:top w:val="nil"/>
              <w:left w:val="nil"/>
              <w:bottom w:val="single" w:sz="8" w:space="0" w:color="auto"/>
              <w:right w:val="nil"/>
            </w:tcBorders>
            <w:vAlign w:val="center"/>
            <w:hideMark/>
          </w:tcPr>
          <w:p w14:paraId="5B101274" w14:textId="77777777" w:rsidR="00AB657C" w:rsidRPr="00B104F6" w:rsidRDefault="00AB657C"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Anticipated Builder</w:t>
            </w:r>
            <w:r w:rsidRPr="00B104F6">
              <w:rPr>
                <w:rFonts w:eastAsia="Times New Roman" w:cs="Times New Roman"/>
                <w:b/>
                <w:bCs/>
                <w:color w:val="000000"/>
                <w:sz w:val="19"/>
                <w:szCs w:val="19"/>
                <w:vertAlign w:val="superscript"/>
              </w:rPr>
              <w:t>2</w:t>
            </w:r>
          </w:p>
        </w:tc>
        <w:tc>
          <w:tcPr>
            <w:tcW w:w="1170" w:type="dxa"/>
            <w:tcBorders>
              <w:top w:val="nil"/>
              <w:left w:val="nil"/>
              <w:bottom w:val="single" w:sz="8" w:space="0" w:color="auto"/>
              <w:right w:val="nil"/>
            </w:tcBorders>
            <w:vAlign w:val="center"/>
            <w:hideMark/>
          </w:tcPr>
          <w:p w14:paraId="12A0E501" w14:textId="77777777" w:rsidR="00AB657C" w:rsidRPr="00B104F6" w:rsidRDefault="00AB657C"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Contract Status</w:t>
            </w:r>
            <w:r w:rsidRPr="00B104F6">
              <w:rPr>
                <w:rFonts w:eastAsia="Times New Roman" w:cs="Times New Roman"/>
                <w:b/>
                <w:bCs/>
                <w:color w:val="000000"/>
                <w:sz w:val="19"/>
                <w:szCs w:val="19"/>
                <w:vertAlign w:val="superscript"/>
              </w:rPr>
              <w:t>2</w:t>
            </w:r>
          </w:p>
        </w:tc>
        <w:tc>
          <w:tcPr>
            <w:tcW w:w="1000" w:type="dxa"/>
            <w:tcBorders>
              <w:top w:val="nil"/>
              <w:left w:val="nil"/>
              <w:bottom w:val="single" w:sz="8" w:space="0" w:color="auto"/>
              <w:right w:val="nil"/>
            </w:tcBorders>
            <w:vAlign w:val="center"/>
            <w:hideMark/>
          </w:tcPr>
          <w:p w14:paraId="417E0A51" w14:textId="77777777" w:rsidR="00AB657C" w:rsidRPr="00B104F6" w:rsidRDefault="00AB657C"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Total Planned Units</w:t>
            </w:r>
          </w:p>
        </w:tc>
        <w:tc>
          <w:tcPr>
            <w:tcW w:w="1190" w:type="dxa"/>
            <w:tcBorders>
              <w:top w:val="nil"/>
              <w:left w:val="nil"/>
              <w:bottom w:val="single" w:sz="8" w:space="0" w:color="auto"/>
              <w:right w:val="nil"/>
            </w:tcBorders>
            <w:vAlign w:val="center"/>
            <w:hideMark/>
          </w:tcPr>
          <w:p w14:paraId="1B5E8CAF" w14:textId="77777777" w:rsidR="00AB657C" w:rsidRPr="00B104F6" w:rsidRDefault="00AB657C"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Anticipated Completion Quarter</w:t>
            </w:r>
          </w:p>
        </w:tc>
        <w:tc>
          <w:tcPr>
            <w:tcW w:w="1191" w:type="dxa"/>
            <w:tcBorders>
              <w:top w:val="nil"/>
              <w:left w:val="nil"/>
              <w:bottom w:val="single" w:sz="8" w:space="0" w:color="auto"/>
              <w:right w:val="nil"/>
            </w:tcBorders>
            <w:vAlign w:val="center"/>
            <w:hideMark/>
          </w:tcPr>
          <w:p w14:paraId="1547E573" w14:textId="77777777" w:rsidR="00AB657C" w:rsidRPr="00B104F6" w:rsidRDefault="00AB657C" w:rsidP="00377598">
            <w:pPr>
              <w:jc w:val="center"/>
              <w:rPr>
                <w:rFonts w:eastAsia="Times New Roman" w:cs="Times New Roman"/>
                <w:b/>
                <w:bCs/>
                <w:color w:val="000000"/>
                <w:sz w:val="19"/>
                <w:szCs w:val="19"/>
              </w:rPr>
            </w:pPr>
            <w:hyperlink r:id="rId34" w:anchor="RANGE!#REF!" w:history="1">
              <w:r w:rsidRPr="00B104F6">
                <w:rPr>
                  <w:rFonts w:eastAsia="Times New Roman" w:cs="Times New Roman"/>
                  <w:b/>
                  <w:bCs/>
                  <w:color w:val="000000"/>
                  <w:sz w:val="19"/>
                  <w:szCs w:val="19"/>
                </w:rPr>
                <w:t>Zoning Status</w:t>
              </w:r>
              <w:r w:rsidRPr="00B104F6">
                <w:rPr>
                  <w:rFonts w:eastAsia="Times New Roman" w:cs="Times New Roman"/>
                  <w:b/>
                  <w:bCs/>
                  <w:color w:val="000000"/>
                  <w:sz w:val="19"/>
                  <w:szCs w:val="19"/>
                  <w:vertAlign w:val="superscript"/>
                </w:rPr>
                <w:t>3</w:t>
              </w:r>
            </w:hyperlink>
          </w:p>
        </w:tc>
        <w:tc>
          <w:tcPr>
            <w:tcW w:w="1198" w:type="dxa"/>
            <w:tcBorders>
              <w:top w:val="nil"/>
              <w:left w:val="nil"/>
              <w:bottom w:val="single" w:sz="8" w:space="0" w:color="auto"/>
              <w:right w:val="nil"/>
            </w:tcBorders>
            <w:vAlign w:val="center"/>
            <w:hideMark/>
          </w:tcPr>
          <w:p w14:paraId="023A3862" w14:textId="77777777" w:rsidR="00AB657C" w:rsidRPr="00B104F6" w:rsidRDefault="00AB657C"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Platting Status</w:t>
            </w:r>
            <w:r w:rsidRPr="00B104F6">
              <w:rPr>
                <w:rFonts w:eastAsia="Times New Roman" w:cs="Times New Roman"/>
                <w:b/>
                <w:bCs/>
                <w:color w:val="000000"/>
                <w:sz w:val="19"/>
                <w:szCs w:val="19"/>
                <w:vertAlign w:val="superscript"/>
              </w:rPr>
              <w:t>3</w:t>
            </w:r>
          </w:p>
        </w:tc>
      </w:tr>
      <w:tr w:rsidR="00AB657C" w:rsidRPr="00B104F6" w14:paraId="0BDD5CDD" w14:textId="77777777" w:rsidTr="00377598">
        <w:trPr>
          <w:trHeight w:val="300"/>
          <w:jc w:val="center"/>
        </w:trPr>
        <w:tc>
          <w:tcPr>
            <w:tcW w:w="2923" w:type="dxa"/>
            <w:gridSpan w:val="2"/>
            <w:tcBorders>
              <w:top w:val="single" w:sz="8" w:space="0" w:color="auto"/>
              <w:left w:val="nil"/>
              <w:bottom w:val="nil"/>
              <w:right w:val="nil"/>
            </w:tcBorders>
            <w:shd w:val="clear" w:color="000000" w:fill="F2F2F2"/>
            <w:vAlign w:val="center"/>
            <w:hideMark/>
          </w:tcPr>
          <w:p w14:paraId="09580DB5"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Sorrento</w:t>
            </w:r>
          </w:p>
        </w:tc>
        <w:tc>
          <w:tcPr>
            <w:tcW w:w="1166" w:type="dxa"/>
            <w:tcBorders>
              <w:top w:val="nil"/>
              <w:left w:val="nil"/>
              <w:bottom w:val="nil"/>
              <w:right w:val="nil"/>
            </w:tcBorders>
            <w:shd w:val="clear" w:color="000000" w:fill="F2F2F2"/>
            <w:vAlign w:val="center"/>
            <w:hideMark/>
          </w:tcPr>
          <w:p w14:paraId="12129D2B"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6F2427E0"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591AB17D"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7017DEA6"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5EC58921"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5B2A9685"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AB657C" w:rsidRPr="00B104F6" w14:paraId="55B05A68" w14:textId="77777777" w:rsidTr="00377598">
        <w:trPr>
          <w:trHeight w:val="300"/>
          <w:jc w:val="center"/>
        </w:trPr>
        <w:tc>
          <w:tcPr>
            <w:tcW w:w="1324" w:type="dxa"/>
            <w:tcBorders>
              <w:top w:val="nil"/>
              <w:left w:val="nil"/>
              <w:bottom w:val="nil"/>
              <w:right w:val="nil"/>
            </w:tcBorders>
            <w:vAlign w:val="center"/>
            <w:hideMark/>
          </w:tcPr>
          <w:p w14:paraId="4640370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40’ SFD</w:t>
            </w:r>
          </w:p>
        </w:tc>
        <w:tc>
          <w:tcPr>
            <w:tcW w:w="1599" w:type="dxa"/>
            <w:tcBorders>
              <w:top w:val="nil"/>
              <w:left w:val="nil"/>
              <w:bottom w:val="nil"/>
              <w:right w:val="nil"/>
            </w:tcBorders>
            <w:vAlign w:val="center"/>
            <w:hideMark/>
          </w:tcPr>
          <w:p w14:paraId="288B7F2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0A99C7D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4893962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60F478B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17</w:t>
            </w:r>
          </w:p>
        </w:tc>
        <w:tc>
          <w:tcPr>
            <w:tcW w:w="1190" w:type="dxa"/>
            <w:tcBorders>
              <w:top w:val="nil"/>
              <w:left w:val="nil"/>
              <w:bottom w:val="nil"/>
              <w:right w:val="nil"/>
            </w:tcBorders>
            <w:vAlign w:val="center"/>
            <w:hideMark/>
          </w:tcPr>
          <w:p w14:paraId="1DC6D0F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Q1 2030</w:t>
            </w:r>
          </w:p>
        </w:tc>
        <w:tc>
          <w:tcPr>
            <w:tcW w:w="1191" w:type="dxa"/>
            <w:tcBorders>
              <w:top w:val="nil"/>
              <w:left w:val="nil"/>
              <w:bottom w:val="nil"/>
              <w:right w:val="nil"/>
            </w:tcBorders>
            <w:vAlign w:val="center"/>
            <w:hideMark/>
          </w:tcPr>
          <w:p w14:paraId="6F4AF26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941A05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1F326E1E" w14:textId="77777777" w:rsidTr="00377598">
        <w:trPr>
          <w:trHeight w:val="300"/>
          <w:jc w:val="center"/>
        </w:trPr>
        <w:tc>
          <w:tcPr>
            <w:tcW w:w="1324" w:type="dxa"/>
            <w:tcBorders>
              <w:top w:val="nil"/>
              <w:left w:val="nil"/>
              <w:bottom w:val="nil"/>
              <w:right w:val="nil"/>
            </w:tcBorders>
            <w:vAlign w:val="center"/>
            <w:hideMark/>
          </w:tcPr>
          <w:p w14:paraId="698921D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45’ SFD</w:t>
            </w:r>
          </w:p>
        </w:tc>
        <w:tc>
          <w:tcPr>
            <w:tcW w:w="1599" w:type="dxa"/>
            <w:tcBorders>
              <w:top w:val="nil"/>
              <w:left w:val="nil"/>
              <w:bottom w:val="nil"/>
              <w:right w:val="nil"/>
            </w:tcBorders>
            <w:vAlign w:val="center"/>
            <w:hideMark/>
          </w:tcPr>
          <w:p w14:paraId="4CE4420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6BC69362"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3C110C51"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751240A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23</w:t>
            </w:r>
          </w:p>
        </w:tc>
        <w:tc>
          <w:tcPr>
            <w:tcW w:w="1190" w:type="dxa"/>
            <w:tcBorders>
              <w:top w:val="nil"/>
              <w:left w:val="nil"/>
              <w:bottom w:val="nil"/>
              <w:right w:val="nil"/>
            </w:tcBorders>
            <w:vAlign w:val="center"/>
            <w:hideMark/>
          </w:tcPr>
          <w:p w14:paraId="584881C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2030</w:t>
            </w:r>
          </w:p>
        </w:tc>
        <w:tc>
          <w:tcPr>
            <w:tcW w:w="1191" w:type="dxa"/>
            <w:tcBorders>
              <w:top w:val="nil"/>
              <w:left w:val="nil"/>
              <w:bottom w:val="nil"/>
              <w:right w:val="nil"/>
            </w:tcBorders>
            <w:vAlign w:val="center"/>
            <w:hideMark/>
          </w:tcPr>
          <w:p w14:paraId="70A82B4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7E91172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08611BA2" w14:textId="77777777" w:rsidTr="00377598">
        <w:trPr>
          <w:trHeight w:val="300"/>
          <w:jc w:val="center"/>
        </w:trPr>
        <w:tc>
          <w:tcPr>
            <w:tcW w:w="1324" w:type="dxa"/>
            <w:tcBorders>
              <w:top w:val="nil"/>
              <w:left w:val="nil"/>
              <w:bottom w:val="nil"/>
              <w:right w:val="nil"/>
            </w:tcBorders>
            <w:vAlign w:val="center"/>
            <w:hideMark/>
          </w:tcPr>
          <w:p w14:paraId="6CB72FD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48’ SFD</w:t>
            </w:r>
          </w:p>
        </w:tc>
        <w:tc>
          <w:tcPr>
            <w:tcW w:w="1599" w:type="dxa"/>
            <w:tcBorders>
              <w:top w:val="nil"/>
              <w:left w:val="nil"/>
              <w:bottom w:val="nil"/>
              <w:right w:val="nil"/>
            </w:tcBorders>
            <w:vAlign w:val="center"/>
            <w:hideMark/>
          </w:tcPr>
          <w:p w14:paraId="4AB42F9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7D937D7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1E41197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427BD9E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15</w:t>
            </w:r>
          </w:p>
        </w:tc>
        <w:tc>
          <w:tcPr>
            <w:tcW w:w="1190" w:type="dxa"/>
            <w:tcBorders>
              <w:top w:val="nil"/>
              <w:left w:val="nil"/>
              <w:bottom w:val="nil"/>
              <w:right w:val="nil"/>
            </w:tcBorders>
            <w:vAlign w:val="center"/>
            <w:hideMark/>
          </w:tcPr>
          <w:p w14:paraId="246358A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Q4 2029</w:t>
            </w:r>
          </w:p>
        </w:tc>
        <w:tc>
          <w:tcPr>
            <w:tcW w:w="1191" w:type="dxa"/>
            <w:tcBorders>
              <w:top w:val="nil"/>
              <w:left w:val="nil"/>
              <w:bottom w:val="nil"/>
              <w:right w:val="nil"/>
            </w:tcBorders>
            <w:vAlign w:val="center"/>
            <w:hideMark/>
          </w:tcPr>
          <w:p w14:paraId="124D8B9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3F0CFC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5E0E5069" w14:textId="77777777" w:rsidTr="00377598">
        <w:trPr>
          <w:trHeight w:val="300"/>
          <w:jc w:val="center"/>
        </w:trPr>
        <w:tc>
          <w:tcPr>
            <w:tcW w:w="1324" w:type="dxa"/>
            <w:tcBorders>
              <w:top w:val="nil"/>
              <w:left w:val="nil"/>
              <w:bottom w:val="nil"/>
              <w:right w:val="nil"/>
            </w:tcBorders>
            <w:vAlign w:val="center"/>
            <w:hideMark/>
          </w:tcPr>
          <w:p w14:paraId="106DCAC1"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50’ SFD</w:t>
            </w:r>
          </w:p>
        </w:tc>
        <w:tc>
          <w:tcPr>
            <w:tcW w:w="1599" w:type="dxa"/>
            <w:tcBorders>
              <w:top w:val="nil"/>
              <w:left w:val="nil"/>
              <w:bottom w:val="nil"/>
              <w:right w:val="nil"/>
            </w:tcBorders>
            <w:vAlign w:val="center"/>
            <w:hideMark/>
          </w:tcPr>
          <w:p w14:paraId="5F080AB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52907FC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0C81BE1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6866744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26</w:t>
            </w:r>
          </w:p>
        </w:tc>
        <w:tc>
          <w:tcPr>
            <w:tcW w:w="1190" w:type="dxa"/>
            <w:tcBorders>
              <w:top w:val="nil"/>
              <w:left w:val="nil"/>
              <w:bottom w:val="nil"/>
              <w:right w:val="nil"/>
            </w:tcBorders>
            <w:vAlign w:val="center"/>
            <w:hideMark/>
          </w:tcPr>
          <w:p w14:paraId="3D87FEF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2030</w:t>
            </w:r>
          </w:p>
        </w:tc>
        <w:tc>
          <w:tcPr>
            <w:tcW w:w="1191" w:type="dxa"/>
            <w:tcBorders>
              <w:top w:val="nil"/>
              <w:left w:val="nil"/>
              <w:bottom w:val="nil"/>
              <w:right w:val="nil"/>
            </w:tcBorders>
            <w:vAlign w:val="center"/>
            <w:hideMark/>
          </w:tcPr>
          <w:p w14:paraId="254E346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43C72D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64B9D28A" w14:textId="77777777" w:rsidTr="00377598">
        <w:trPr>
          <w:trHeight w:val="300"/>
          <w:jc w:val="center"/>
        </w:trPr>
        <w:tc>
          <w:tcPr>
            <w:tcW w:w="1324" w:type="dxa"/>
            <w:tcBorders>
              <w:top w:val="nil"/>
              <w:left w:val="nil"/>
              <w:bottom w:val="nil"/>
              <w:right w:val="nil"/>
            </w:tcBorders>
            <w:vAlign w:val="center"/>
            <w:hideMark/>
          </w:tcPr>
          <w:p w14:paraId="662FAFB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60’ SFD</w:t>
            </w:r>
          </w:p>
        </w:tc>
        <w:tc>
          <w:tcPr>
            <w:tcW w:w="1599" w:type="dxa"/>
            <w:tcBorders>
              <w:top w:val="nil"/>
              <w:left w:val="nil"/>
              <w:bottom w:val="nil"/>
              <w:right w:val="nil"/>
            </w:tcBorders>
            <w:vAlign w:val="center"/>
            <w:hideMark/>
          </w:tcPr>
          <w:p w14:paraId="4E75356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018EB18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5A3D13E1"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7430936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24</w:t>
            </w:r>
          </w:p>
        </w:tc>
        <w:tc>
          <w:tcPr>
            <w:tcW w:w="1190" w:type="dxa"/>
            <w:tcBorders>
              <w:top w:val="nil"/>
              <w:left w:val="nil"/>
              <w:bottom w:val="nil"/>
              <w:right w:val="nil"/>
            </w:tcBorders>
            <w:vAlign w:val="center"/>
            <w:hideMark/>
          </w:tcPr>
          <w:p w14:paraId="0693B49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Q4 2029</w:t>
            </w:r>
          </w:p>
        </w:tc>
        <w:tc>
          <w:tcPr>
            <w:tcW w:w="1191" w:type="dxa"/>
            <w:tcBorders>
              <w:top w:val="nil"/>
              <w:left w:val="nil"/>
              <w:bottom w:val="nil"/>
              <w:right w:val="nil"/>
            </w:tcBorders>
            <w:vAlign w:val="center"/>
            <w:hideMark/>
          </w:tcPr>
          <w:p w14:paraId="6B845E3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501F883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41FE3B11" w14:textId="77777777" w:rsidTr="00377598">
        <w:trPr>
          <w:trHeight w:val="300"/>
          <w:jc w:val="center"/>
        </w:trPr>
        <w:tc>
          <w:tcPr>
            <w:tcW w:w="1324" w:type="dxa"/>
            <w:tcBorders>
              <w:top w:val="nil"/>
              <w:left w:val="nil"/>
              <w:bottom w:val="nil"/>
              <w:right w:val="nil"/>
            </w:tcBorders>
            <w:vAlign w:val="center"/>
            <w:hideMark/>
          </w:tcPr>
          <w:p w14:paraId="47CEDE2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65’ SFD</w:t>
            </w:r>
          </w:p>
        </w:tc>
        <w:tc>
          <w:tcPr>
            <w:tcW w:w="1599" w:type="dxa"/>
            <w:tcBorders>
              <w:top w:val="nil"/>
              <w:left w:val="nil"/>
              <w:bottom w:val="nil"/>
              <w:right w:val="nil"/>
            </w:tcBorders>
            <w:vAlign w:val="center"/>
            <w:hideMark/>
          </w:tcPr>
          <w:p w14:paraId="662E9A0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Developer/Edge</w:t>
            </w:r>
          </w:p>
        </w:tc>
        <w:tc>
          <w:tcPr>
            <w:tcW w:w="1166" w:type="dxa"/>
            <w:tcBorders>
              <w:top w:val="nil"/>
              <w:left w:val="nil"/>
              <w:bottom w:val="nil"/>
              <w:right w:val="nil"/>
            </w:tcBorders>
            <w:vAlign w:val="center"/>
            <w:hideMark/>
          </w:tcPr>
          <w:p w14:paraId="24D8AA8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2713EE8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42B20B21"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8</w:t>
            </w:r>
          </w:p>
        </w:tc>
        <w:tc>
          <w:tcPr>
            <w:tcW w:w="1190" w:type="dxa"/>
            <w:tcBorders>
              <w:top w:val="nil"/>
              <w:left w:val="nil"/>
              <w:bottom w:val="nil"/>
              <w:right w:val="nil"/>
            </w:tcBorders>
            <w:vAlign w:val="center"/>
            <w:hideMark/>
          </w:tcPr>
          <w:p w14:paraId="4361CE4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Q1 2029</w:t>
            </w:r>
          </w:p>
        </w:tc>
        <w:tc>
          <w:tcPr>
            <w:tcW w:w="1191" w:type="dxa"/>
            <w:tcBorders>
              <w:top w:val="nil"/>
              <w:left w:val="nil"/>
              <w:bottom w:val="nil"/>
              <w:right w:val="nil"/>
            </w:tcBorders>
            <w:vAlign w:val="center"/>
            <w:hideMark/>
          </w:tcPr>
          <w:p w14:paraId="1A3332B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392E584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1135BC97" w14:textId="77777777" w:rsidTr="00377598">
        <w:trPr>
          <w:trHeight w:val="300"/>
          <w:jc w:val="center"/>
        </w:trPr>
        <w:tc>
          <w:tcPr>
            <w:tcW w:w="2923" w:type="dxa"/>
            <w:gridSpan w:val="2"/>
            <w:tcBorders>
              <w:top w:val="nil"/>
              <w:left w:val="nil"/>
              <w:bottom w:val="nil"/>
              <w:right w:val="nil"/>
            </w:tcBorders>
            <w:shd w:val="clear" w:color="000000" w:fill="F2F2F2"/>
            <w:vAlign w:val="center"/>
            <w:hideMark/>
          </w:tcPr>
          <w:p w14:paraId="512CE4C0"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Cascades</w:t>
            </w:r>
          </w:p>
        </w:tc>
        <w:tc>
          <w:tcPr>
            <w:tcW w:w="1166" w:type="dxa"/>
            <w:tcBorders>
              <w:top w:val="nil"/>
              <w:left w:val="nil"/>
              <w:bottom w:val="nil"/>
              <w:right w:val="nil"/>
            </w:tcBorders>
            <w:shd w:val="clear" w:color="000000" w:fill="F2F2F2"/>
            <w:vAlign w:val="center"/>
            <w:hideMark/>
          </w:tcPr>
          <w:p w14:paraId="425070F7"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230A9E0E"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695E4F42"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62137E73"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20E6FC10"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5860B612"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AB657C" w:rsidRPr="00B104F6" w14:paraId="300A3591" w14:textId="77777777" w:rsidTr="00377598">
        <w:trPr>
          <w:trHeight w:val="300"/>
          <w:jc w:val="center"/>
        </w:trPr>
        <w:tc>
          <w:tcPr>
            <w:tcW w:w="1324" w:type="dxa"/>
            <w:tcBorders>
              <w:top w:val="nil"/>
              <w:left w:val="nil"/>
              <w:bottom w:val="nil"/>
              <w:right w:val="nil"/>
            </w:tcBorders>
            <w:vAlign w:val="center"/>
            <w:hideMark/>
          </w:tcPr>
          <w:p w14:paraId="55909D7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50’ SFD</w:t>
            </w:r>
          </w:p>
        </w:tc>
        <w:tc>
          <w:tcPr>
            <w:tcW w:w="1599" w:type="dxa"/>
            <w:tcBorders>
              <w:top w:val="nil"/>
              <w:left w:val="nil"/>
              <w:bottom w:val="nil"/>
              <w:right w:val="nil"/>
            </w:tcBorders>
            <w:vAlign w:val="center"/>
            <w:hideMark/>
          </w:tcPr>
          <w:p w14:paraId="27F6737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Developer/Wright</w:t>
            </w:r>
          </w:p>
        </w:tc>
        <w:tc>
          <w:tcPr>
            <w:tcW w:w="1166" w:type="dxa"/>
            <w:tcBorders>
              <w:top w:val="nil"/>
              <w:left w:val="nil"/>
              <w:bottom w:val="nil"/>
              <w:right w:val="nil"/>
            </w:tcBorders>
            <w:vAlign w:val="center"/>
            <w:hideMark/>
          </w:tcPr>
          <w:p w14:paraId="34B878C5"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23FDDD8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PSA/Closed</w:t>
            </w:r>
          </w:p>
        </w:tc>
        <w:tc>
          <w:tcPr>
            <w:tcW w:w="1000" w:type="dxa"/>
            <w:tcBorders>
              <w:top w:val="nil"/>
              <w:left w:val="nil"/>
              <w:bottom w:val="nil"/>
              <w:right w:val="nil"/>
            </w:tcBorders>
            <w:vAlign w:val="center"/>
            <w:hideMark/>
          </w:tcPr>
          <w:p w14:paraId="5D296F12"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113</w:t>
            </w:r>
          </w:p>
        </w:tc>
        <w:tc>
          <w:tcPr>
            <w:tcW w:w="1190" w:type="dxa"/>
            <w:tcBorders>
              <w:top w:val="nil"/>
              <w:left w:val="nil"/>
              <w:bottom w:val="nil"/>
              <w:right w:val="nil"/>
            </w:tcBorders>
            <w:vAlign w:val="center"/>
            <w:hideMark/>
          </w:tcPr>
          <w:p w14:paraId="1996E141"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Q2 2031</w:t>
            </w:r>
          </w:p>
        </w:tc>
        <w:tc>
          <w:tcPr>
            <w:tcW w:w="1191" w:type="dxa"/>
            <w:tcBorders>
              <w:top w:val="nil"/>
              <w:left w:val="nil"/>
              <w:bottom w:val="nil"/>
              <w:right w:val="nil"/>
            </w:tcBorders>
            <w:vAlign w:val="center"/>
            <w:hideMark/>
          </w:tcPr>
          <w:p w14:paraId="4C4C3AA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373E44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w:t>
            </w:r>
          </w:p>
        </w:tc>
      </w:tr>
      <w:tr w:rsidR="00AB657C" w:rsidRPr="00B104F6" w14:paraId="7FFC7073" w14:textId="77777777" w:rsidTr="00377598">
        <w:trPr>
          <w:trHeight w:val="300"/>
          <w:jc w:val="center"/>
        </w:trPr>
        <w:tc>
          <w:tcPr>
            <w:tcW w:w="2923" w:type="dxa"/>
            <w:gridSpan w:val="2"/>
            <w:tcBorders>
              <w:top w:val="nil"/>
              <w:left w:val="nil"/>
              <w:bottom w:val="nil"/>
              <w:right w:val="nil"/>
            </w:tcBorders>
            <w:shd w:val="clear" w:color="000000" w:fill="F2F2F2"/>
            <w:vAlign w:val="center"/>
            <w:hideMark/>
          </w:tcPr>
          <w:p w14:paraId="12B5BC1E"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Yosemite</w:t>
            </w:r>
          </w:p>
        </w:tc>
        <w:tc>
          <w:tcPr>
            <w:tcW w:w="1166" w:type="dxa"/>
            <w:tcBorders>
              <w:top w:val="nil"/>
              <w:left w:val="nil"/>
              <w:bottom w:val="nil"/>
              <w:right w:val="nil"/>
            </w:tcBorders>
            <w:shd w:val="clear" w:color="000000" w:fill="F2F2F2"/>
            <w:vAlign w:val="center"/>
            <w:hideMark/>
          </w:tcPr>
          <w:p w14:paraId="60FE8677"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1F796C95"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10475272"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1B328960"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7CCCF6EC"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5E29ADC6"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AB657C" w:rsidRPr="00B104F6" w14:paraId="2C9A2CBA" w14:textId="77777777" w:rsidTr="00377598">
        <w:trPr>
          <w:trHeight w:val="300"/>
          <w:jc w:val="center"/>
        </w:trPr>
        <w:tc>
          <w:tcPr>
            <w:tcW w:w="1324" w:type="dxa"/>
            <w:tcBorders>
              <w:top w:val="nil"/>
              <w:left w:val="nil"/>
              <w:bottom w:val="nil"/>
              <w:right w:val="nil"/>
            </w:tcBorders>
            <w:vAlign w:val="center"/>
            <w:hideMark/>
          </w:tcPr>
          <w:p w14:paraId="1272DEB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5BD704E5"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62E3AD0A"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53724F65"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635CABB5"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120</w:t>
            </w:r>
          </w:p>
        </w:tc>
        <w:tc>
          <w:tcPr>
            <w:tcW w:w="1190" w:type="dxa"/>
            <w:tcBorders>
              <w:top w:val="nil"/>
              <w:left w:val="nil"/>
              <w:bottom w:val="nil"/>
              <w:right w:val="nil"/>
            </w:tcBorders>
            <w:vAlign w:val="center"/>
            <w:hideMark/>
          </w:tcPr>
          <w:p w14:paraId="75342CA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Q1 2031</w:t>
            </w:r>
          </w:p>
        </w:tc>
        <w:tc>
          <w:tcPr>
            <w:tcW w:w="1191" w:type="dxa"/>
            <w:tcBorders>
              <w:top w:val="nil"/>
              <w:left w:val="nil"/>
              <w:bottom w:val="nil"/>
              <w:right w:val="nil"/>
            </w:tcBorders>
            <w:vAlign w:val="center"/>
            <w:hideMark/>
          </w:tcPr>
          <w:p w14:paraId="6DA2AE3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1502EF11"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Design</w:t>
            </w:r>
          </w:p>
        </w:tc>
      </w:tr>
      <w:tr w:rsidR="00AB657C" w:rsidRPr="00B104F6" w14:paraId="28A38DAA" w14:textId="77777777" w:rsidTr="00377598">
        <w:trPr>
          <w:trHeight w:val="300"/>
          <w:jc w:val="center"/>
        </w:trPr>
        <w:tc>
          <w:tcPr>
            <w:tcW w:w="1324" w:type="dxa"/>
            <w:tcBorders>
              <w:top w:val="nil"/>
              <w:left w:val="nil"/>
              <w:bottom w:val="nil"/>
              <w:right w:val="nil"/>
            </w:tcBorders>
            <w:vAlign w:val="center"/>
            <w:hideMark/>
          </w:tcPr>
          <w:p w14:paraId="31B2B55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2FE36EF2"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4324176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5AA37E72"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4D36D10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82</w:t>
            </w:r>
          </w:p>
        </w:tc>
        <w:tc>
          <w:tcPr>
            <w:tcW w:w="1190" w:type="dxa"/>
            <w:tcBorders>
              <w:top w:val="nil"/>
              <w:left w:val="nil"/>
              <w:bottom w:val="nil"/>
              <w:right w:val="nil"/>
            </w:tcBorders>
            <w:vAlign w:val="center"/>
            <w:hideMark/>
          </w:tcPr>
          <w:p w14:paraId="4AFEC04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Q4 2029</w:t>
            </w:r>
          </w:p>
        </w:tc>
        <w:tc>
          <w:tcPr>
            <w:tcW w:w="1191" w:type="dxa"/>
            <w:tcBorders>
              <w:top w:val="nil"/>
              <w:left w:val="nil"/>
              <w:bottom w:val="nil"/>
              <w:right w:val="nil"/>
            </w:tcBorders>
            <w:vAlign w:val="center"/>
            <w:hideMark/>
          </w:tcPr>
          <w:p w14:paraId="2A244F5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E04C91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Design</w:t>
            </w:r>
          </w:p>
        </w:tc>
      </w:tr>
      <w:tr w:rsidR="00AB657C" w:rsidRPr="00B104F6" w14:paraId="651E4316" w14:textId="77777777" w:rsidTr="00377598">
        <w:trPr>
          <w:trHeight w:val="300"/>
          <w:jc w:val="center"/>
        </w:trPr>
        <w:tc>
          <w:tcPr>
            <w:tcW w:w="2923" w:type="dxa"/>
            <w:gridSpan w:val="2"/>
            <w:tcBorders>
              <w:top w:val="nil"/>
              <w:left w:val="nil"/>
              <w:bottom w:val="nil"/>
              <w:right w:val="nil"/>
            </w:tcBorders>
            <w:shd w:val="clear" w:color="000000" w:fill="F2F2F2"/>
            <w:vAlign w:val="center"/>
            <w:hideMark/>
          </w:tcPr>
          <w:p w14:paraId="257E7479"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Acadia</w:t>
            </w:r>
          </w:p>
        </w:tc>
        <w:tc>
          <w:tcPr>
            <w:tcW w:w="1166" w:type="dxa"/>
            <w:tcBorders>
              <w:top w:val="nil"/>
              <w:left w:val="nil"/>
              <w:bottom w:val="nil"/>
              <w:right w:val="nil"/>
            </w:tcBorders>
            <w:shd w:val="clear" w:color="000000" w:fill="F2F2F2"/>
            <w:vAlign w:val="center"/>
            <w:hideMark/>
          </w:tcPr>
          <w:p w14:paraId="7F4704E5"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6293B535"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579BA15F"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088AA1AA"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4968BCAA"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521AB1A7"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AB657C" w:rsidRPr="00B104F6" w14:paraId="583BC625" w14:textId="77777777" w:rsidTr="00377598">
        <w:trPr>
          <w:trHeight w:val="300"/>
          <w:jc w:val="center"/>
        </w:trPr>
        <w:tc>
          <w:tcPr>
            <w:tcW w:w="1324" w:type="dxa"/>
            <w:tcBorders>
              <w:top w:val="nil"/>
              <w:left w:val="nil"/>
              <w:bottom w:val="nil"/>
              <w:right w:val="nil"/>
            </w:tcBorders>
            <w:vAlign w:val="center"/>
            <w:hideMark/>
          </w:tcPr>
          <w:p w14:paraId="550080A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B2B TH</w:t>
            </w:r>
          </w:p>
        </w:tc>
        <w:tc>
          <w:tcPr>
            <w:tcW w:w="1599" w:type="dxa"/>
            <w:tcBorders>
              <w:top w:val="nil"/>
              <w:left w:val="nil"/>
              <w:bottom w:val="nil"/>
              <w:right w:val="nil"/>
            </w:tcBorders>
            <w:vAlign w:val="center"/>
            <w:hideMark/>
          </w:tcPr>
          <w:p w14:paraId="0F546275"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3351E98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68790E1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071ED36A"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92</w:t>
            </w:r>
          </w:p>
        </w:tc>
        <w:tc>
          <w:tcPr>
            <w:tcW w:w="1190" w:type="dxa"/>
            <w:tcBorders>
              <w:top w:val="nil"/>
              <w:left w:val="nil"/>
              <w:bottom w:val="nil"/>
              <w:right w:val="nil"/>
            </w:tcBorders>
            <w:vAlign w:val="center"/>
            <w:hideMark/>
          </w:tcPr>
          <w:p w14:paraId="44A1466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Q2 2030</w:t>
            </w:r>
          </w:p>
        </w:tc>
        <w:tc>
          <w:tcPr>
            <w:tcW w:w="1191" w:type="dxa"/>
            <w:tcBorders>
              <w:top w:val="nil"/>
              <w:left w:val="nil"/>
              <w:bottom w:val="nil"/>
              <w:right w:val="nil"/>
            </w:tcBorders>
            <w:vAlign w:val="center"/>
            <w:hideMark/>
          </w:tcPr>
          <w:p w14:paraId="7A1790E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751F98F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2B4BCAD4" w14:textId="77777777" w:rsidTr="00377598">
        <w:trPr>
          <w:trHeight w:val="300"/>
          <w:jc w:val="center"/>
        </w:trPr>
        <w:tc>
          <w:tcPr>
            <w:tcW w:w="1324" w:type="dxa"/>
            <w:tcBorders>
              <w:top w:val="nil"/>
              <w:left w:val="nil"/>
              <w:bottom w:val="nil"/>
              <w:right w:val="nil"/>
            </w:tcBorders>
            <w:vAlign w:val="center"/>
            <w:hideMark/>
          </w:tcPr>
          <w:p w14:paraId="082D5CE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4F50B24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65D40A6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12A035F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2742F3B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137</w:t>
            </w:r>
          </w:p>
        </w:tc>
        <w:tc>
          <w:tcPr>
            <w:tcW w:w="1190" w:type="dxa"/>
            <w:tcBorders>
              <w:top w:val="nil"/>
              <w:left w:val="nil"/>
              <w:bottom w:val="nil"/>
              <w:right w:val="nil"/>
            </w:tcBorders>
            <w:vAlign w:val="center"/>
            <w:hideMark/>
          </w:tcPr>
          <w:p w14:paraId="4E8C62A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Q2 2030</w:t>
            </w:r>
          </w:p>
        </w:tc>
        <w:tc>
          <w:tcPr>
            <w:tcW w:w="1191" w:type="dxa"/>
            <w:tcBorders>
              <w:top w:val="nil"/>
              <w:left w:val="nil"/>
              <w:bottom w:val="nil"/>
              <w:right w:val="nil"/>
            </w:tcBorders>
            <w:vAlign w:val="center"/>
            <w:hideMark/>
          </w:tcPr>
          <w:p w14:paraId="7AB2BE0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3631B07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2B2E261B" w14:textId="77777777" w:rsidTr="00377598">
        <w:trPr>
          <w:trHeight w:val="300"/>
          <w:jc w:val="center"/>
        </w:trPr>
        <w:tc>
          <w:tcPr>
            <w:tcW w:w="1324" w:type="dxa"/>
            <w:tcBorders>
              <w:top w:val="nil"/>
              <w:left w:val="nil"/>
              <w:bottom w:val="nil"/>
              <w:right w:val="nil"/>
            </w:tcBorders>
            <w:vAlign w:val="center"/>
            <w:hideMark/>
          </w:tcPr>
          <w:p w14:paraId="15B0FBB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41B44C2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3CDA5D5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203CB9E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54B4120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66</w:t>
            </w:r>
          </w:p>
        </w:tc>
        <w:tc>
          <w:tcPr>
            <w:tcW w:w="1190" w:type="dxa"/>
            <w:tcBorders>
              <w:top w:val="nil"/>
              <w:left w:val="nil"/>
              <w:bottom w:val="nil"/>
              <w:right w:val="nil"/>
            </w:tcBorders>
            <w:vAlign w:val="center"/>
            <w:hideMark/>
          </w:tcPr>
          <w:p w14:paraId="1B248B35"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2029</w:t>
            </w:r>
          </w:p>
        </w:tc>
        <w:tc>
          <w:tcPr>
            <w:tcW w:w="1191" w:type="dxa"/>
            <w:tcBorders>
              <w:top w:val="nil"/>
              <w:left w:val="nil"/>
              <w:bottom w:val="nil"/>
              <w:right w:val="nil"/>
            </w:tcBorders>
            <w:vAlign w:val="center"/>
            <w:hideMark/>
          </w:tcPr>
          <w:p w14:paraId="63FD42F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05FF38A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096BE3AF" w14:textId="77777777" w:rsidTr="00377598">
        <w:trPr>
          <w:trHeight w:val="300"/>
          <w:jc w:val="center"/>
        </w:trPr>
        <w:tc>
          <w:tcPr>
            <w:tcW w:w="1324" w:type="dxa"/>
            <w:tcBorders>
              <w:top w:val="nil"/>
              <w:left w:val="nil"/>
              <w:bottom w:val="nil"/>
              <w:right w:val="nil"/>
            </w:tcBorders>
            <w:vAlign w:val="center"/>
            <w:hideMark/>
          </w:tcPr>
          <w:p w14:paraId="2478AAC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32’ SFD</w:t>
            </w:r>
          </w:p>
        </w:tc>
        <w:tc>
          <w:tcPr>
            <w:tcW w:w="1599" w:type="dxa"/>
            <w:tcBorders>
              <w:top w:val="nil"/>
              <w:left w:val="nil"/>
              <w:bottom w:val="nil"/>
              <w:right w:val="nil"/>
            </w:tcBorders>
            <w:vAlign w:val="center"/>
            <w:hideMark/>
          </w:tcPr>
          <w:p w14:paraId="443D883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07A0591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2D8775E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40C37DA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46</w:t>
            </w:r>
          </w:p>
        </w:tc>
        <w:tc>
          <w:tcPr>
            <w:tcW w:w="1190" w:type="dxa"/>
            <w:tcBorders>
              <w:top w:val="nil"/>
              <w:left w:val="nil"/>
              <w:bottom w:val="nil"/>
              <w:right w:val="nil"/>
            </w:tcBorders>
            <w:vAlign w:val="center"/>
            <w:hideMark/>
          </w:tcPr>
          <w:p w14:paraId="26B956BA"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2029</w:t>
            </w:r>
          </w:p>
        </w:tc>
        <w:tc>
          <w:tcPr>
            <w:tcW w:w="1191" w:type="dxa"/>
            <w:tcBorders>
              <w:top w:val="nil"/>
              <w:left w:val="nil"/>
              <w:bottom w:val="nil"/>
              <w:right w:val="nil"/>
            </w:tcBorders>
            <w:vAlign w:val="center"/>
            <w:hideMark/>
          </w:tcPr>
          <w:p w14:paraId="2F40E13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670D6F1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20F60E79" w14:textId="77777777" w:rsidTr="00377598">
        <w:trPr>
          <w:trHeight w:val="300"/>
          <w:jc w:val="center"/>
        </w:trPr>
        <w:tc>
          <w:tcPr>
            <w:tcW w:w="1324" w:type="dxa"/>
            <w:tcBorders>
              <w:top w:val="nil"/>
              <w:left w:val="nil"/>
              <w:bottom w:val="nil"/>
              <w:right w:val="nil"/>
            </w:tcBorders>
            <w:vAlign w:val="center"/>
            <w:hideMark/>
          </w:tcPr>
          <w:p w14:paraId="0B0A5CA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37’ SFD</w:t>
            </w:r>
          </w:p>
        </w:tc>
        <w:tc>
          <w:tcPr>
            <w:tcW w:w="1599" w:type="dxa"/>
            <w:tcBorders>
              <w:top w:val="nil"/>
              <w:left w:val="nil"/>
              <w:bottom w:val="nil"/>
              <w:right w:val="nil"/>
            </w:tcBorders>
            <w:vAlign w:val="center"/>
            <w:hideMark/>
          </w:tcPr>
          <w:p w14:paraId="2790853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6E52C0E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77BF53C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01FDEED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6</w:t>
            </w:r>
          </w:p>
        </w:tc>
        <w:tc>
          <w:tcPr>
            <w:tcW w:w="1190" w:type="dxa"/>
            <w:tcBorders>
              <w:top w:val="nil"/>
              <w:left w:val="nil"/>
              <w:bottom w:val="nil"/>
              <w:right w:val="nil"/>
            </w:tcBorders>
            <w:vAlign w:val="center"/>
            <w:hideMark/>
          </w:tcPr>
          <w:p w14:paraId="05C1214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Q2 2029</w:t>
            </w:r>
          </w:p>
        </w:tc>
        <w:tc>
          <w:tcPr>
            <w:tcW w:w="1191" w:type="dxa"/>
            <w:tcBorders>
              <w:top w:val="nil"/>
              <w:left w:val="nil"/>
              <w:bottom w:val="nil"/>
              <w:right w:val="nil"/>
            </w:tcBorders>
            <w:vAlign w:val="center"/>
            <w:hideMark/>
          </w:tcPr>
          <w:p w14:paraId="5D2557F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7CAD572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317437D5" w14:textId="77777777" w:rsidTr="00377598">
        <w:trPr>
          <w:trHeight w:val="300"/>
          <w:jc w:val="center"/>
        </w:trPr>
        <w:tc>
          <w:tcPr>
            <w:tcW w:w="1324" w:type="dxa"/>
            <w:tcBorders>
              <w:top w:val="nil"/>
              <w:left w:val="nil"/>
              <w:bottom w:val="nil"/>
              <w:right w:val="nil"/>
            </w:tcBorders>
            <w:vAlign w:val="center"/>
            <w:hideMark/>
          </w:tcPr>
          <w:p w14:paraId="1A96098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50’ SFD</w:t>
            </w:r>
          </w:p>
        </w:tc>
        <w:tc>
          <w:tcPr>
            <w:tcW w:w="1599" w:type="dxa"/>
            <w:tcBorders>
              <w:top w:val="nil"/>
              <w:left w:val="nil"/>
              <w:bottom w:val="nil"/>
              <w:right w:val="nil"/>
            </w:tcBorders>
            <w:vAlign w:val="center"/>
            <w:hideMark/>
          </w:tcPr>
          <w:p w14:paraId="08F95F0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61BEA212"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Edge</w:t>
            </w:r>
          </w:p>
        </w:tc>
        <w:tc>
          <w:tcPr>
            <w:tcW w:w="1170" w:type="dxa"/>
            <w:tcBorders>
              <w:top w:val="nil"/>
              <w:left w:val="nil"/>
              <w:bottom w:val="nil"/>
              <w:right w:val="nil"/>
            </w:tcBorders>
            <w:vAlign w:val="center"/>
            <w:hideMark/>
          </w:tcPr>
          <w:p w14:paraId="695C7E4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PSA</w:t>
            </w:r>
          </w:p>
        </w:tc>
        <w:tc>
          <w:tcPr>
            <w:tcW w:w="1000" w:type="dxa"/>
            <w:tcBorders>
              <w:top w:val="nil"/>
              <w:left w:val="nil"/>
              <w:bottom w:val="nil"/>
              <w:right w:val="nil"/>
            </w:tcBorders>
            <w:vAlign w:val="center"/>
            <w:hideMark/>
          </w:tcPr>
          <w:p w14:paraId="1C655FA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34</w:t>
            </w:r>
          </w:p>
        </w:tc>
        <w:tc>
          <w:tcPr>
            <w:tcW w:w="1190" w:type="dxa"/>
            <w:tcBorders>
              <w:top w:val="nil"/>
              <w:left w:val="nil"/>
              <w:bottom w:val="nil"/>
              <w:right w:val="nil"/>
            </w:tcBorders>
            <w:vAlign w:val="center"/>
            <w:hideMark/>
          </w:tcPr>
          <w:p w14:paraId="78137F2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Q4 2030</w:t>
            </w:r>
          </w:p>
        </w:tc>
        <w:tc>
          <w:tcPr>
            <w:tcW w:w="1191" w:type="dxa"/>
            <w:tcBorders>
              <w:top w:val="nil"/>
              <w:left w:val="nil"/>
              <w:bottom w:val="nil"/>
              <w:right w:val="nil"/>
            </w:tcBorders>
            <w:vAlign w:val="center"/>
            <w:hideMark/>
          </w:tcPr>
          <w:p w14:paraId="1F01F42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90149AD"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Final/Design</w:t>
            </w:r>
          </w:p>
        </w:tc>
      </w:tr>
      <w:tr w:rsidR="00AB657C" w:rsidRPr="00B104F6" w14:paraId="1010FDB1" w14:textId="77777777" w:rsidTr="00377598">
        <w:trPr>
          <w:trHeight w:val="300"/>
          <w:jc w:val="center"/>
        </w:trPr>
        <w:tc>
          <w:tcPr>
            <w:tcW w:w="2923" w:type="dxa"/>
            <w:gridSpan w:val="2"/>
            <w:tcBorders>
              <w:top w:val="nil"/>
              <w:left w:val="nil"/>
              <w:bottom w:val="nil"/>
              <w:right w:val="nil"/>
            </w:tcBorders>
            <w:shd w:val="clear" w:color="000000" w:fill="F2F2F2"/>
            <w:vAlign w:val="center"/>
            <w:hideMark/>
          </w:tcPr>
          <w:p w14:paraId="528EB2E1"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Joshua Tree Phase 4</w:t>
            </w:r>
          </w:p>
        </w:tc>
        <w:tc>
          <w:tcPr>
            <w:tcW w:w="1166" w:type="dxa"/>
            <w:tcBorders>
              <w:top w:val="nil"/>
              <w:left w:val="nil"/>
              <w:bottom w:val="nil"/>
              <w:right w:val="nil"/>
            </w:tcBorders>
            <w:shd w:val="clear" w:color="000000" w:fill="F2F2F2"/>
            <w:vAlign w:val="center"/>
            <w:hideMark/>
          </w:tcPr>
          <w:p w14:paraId="47714D09"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70" w:type="dxa"/>
            <w:tcBorders>
              <w:top w:val="nil"/>
              <w:left w:val="nil"/>
              <w:bottom w:val="nil"/>
              <w:right w:val="nil"/>
            </w:tcBorders>
            <w:shd w:val="clear" w:color="000000" w:fill="F2F2F2"/>
            <w:vAlign w:val="center"/>
            <w:hideMark/>
          </w:tcPr>
          <w:p w14:paraId="60A5304E"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000" w:type="dxa"/>
            <w:tcBorders>
              <w:top w:val="nil"/>
              <w:left w:val="nil"/>
              <w:bottom w:val="nil"/>
              <w:right w:val="nil"/>
            </w:tcBorders>
            <w:shd w:val="clear" w:color="000000" w:fill="F2F2F2"/>
            <w:vAlign w:val="center"/>
            <w:hideMark/>
          </w:tcPr>
          <w:p w14:paraId="3C3AF89A"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90" w:type="dxa"/>
            <w:tcBorders>
              <w:top w:val="nil"/>
              <w:left w:val="nil"/>
              <w:bottom w:val="nil"/>
              <w:right w:val="nil"/>
            </w:tcBorders>
            <w:shd w:val="clear" w:color="000000" w:fill="F2F2F2"/>
            <w:vAlign w:val="center"/>
            <w:hideMark/>
          </w:tcPr>
          <w:p w14:paraId="3D6004BC"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91" w:type="dxa"/>
            <w:tcBorders>
              <w:top w:val="nil"/>
              <w:left w:val="nil"/>
              <w:bottom w:val="nil"/>
              <w:right w:val="nil"/>
            </w:tcBorders>
            <w:shd w:val="clear" w:color="000000" w:fill="F2F2F2"/>
            <w:vAlign w:val="center"/>
            <w:hideMark/>
          </w:tcPr>
          <w:p w14:paraId="27A28381"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c>
          <w:tcPr>
            <w:tcW w:w="1198" w:type="dxa"/>
            <w:tcBorders>
              <w:top w:val="nil"/>
              <w:left w:val="nil"/>
              <w:bottom w:val="nil"/>
              <w:right w:val="nil"/>
            </w:tcBorders>
            <w:shd w:val="clear" w:color="000000" w:fill="F2F2F2"/>
            <w:vAlign w:val="center"/>
            <w:hideMark/>
          </w:tcPr>
          <w:p w14:paraId="209BB239"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 </w:t>
            </w:r>
          </w:p>
        </w:tc>
      </w:tr>
      <w:tr w:rsidR="00AB657C" w:rsidRPr="00B104F6" w14:paraId="5B372845" w14:textId="77777777" w:rsidTr="00377598">
        <w:trPr>
          <w:trHeight w:val="300"/>
          <w:jc w:val="center"/>
        </w:trPr>
        <w:tc>
          <w:tcPr>
            <w:tcW w:w="1324" w:type="dxa"/>
            <w:tcBorders>
              <w:top w:val="nil"/>
              <w:left w:val="nil"/>
              <w:bottom w:val="nil"/>
              <w:right w:val="nil"/>
            </w:tcBorders>
            <w:vAlign w:val="center"/>
            <w:hideMark/>
          </w:tcPr>
          <w:p w14:paraId="76E11FA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3587436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66" w:type="dxa"/>
            <w:tcBorders>
              <w:top w:val="nil"/>
              <w:left w:val="nil"/>
              <w:bottom w:val="nil"/>
              <w:right w:val="nil"/>
            </w:tcBorders>
            <w:vAlign w:val="center"/>
            <w:hideMark/>
          </w:tcPr>
          <w:p w14:paraId="213166B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7F3E38F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[Closed]</w:t>
            </w:r>
          </w:p>
        </w:tc>
        <w:tc>
          <w:tcPr>
            <w:tcW w:w="1000" w:type="dxa"/>
            <w:tcBorders>
              <w:top w:val="nil"/>
              <w:left w:val="nil"/>
              <w:bottom w:val="nil"/>
              <w:right w:val="nil"/>
            </w:tcBorders>
            <w:vAlign w:val="center"/>
            <w:hideMark/>
          </w:tcPr>
          <w:p w14:paraId="111C6EA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8</w:t>
            </w:r>
          </w:p>
        </w:tc>
        <w:tc>
          <w:tcPr>
            <w:tcW w:w="1190" w:type="dxa"/>
            <w:tcBorders>
              <w:top w:val="nil"/>
              <w:left w:val="nil"/>
              <w:bottom w:val="nil"/>
              <w:right w:val="nil"/>
            </w:tcBorders>
            <w:vAlign w:val="center"/>
            <w:hideMark/>
          </w:tcPr>
          <w:p w14:paraId="0ACE513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Q2 2031</w:t>
            </w:r>
          </w:p>
        </w:tc>
        <w:tc>
          <w:tcPr>
            <w:tcW w:w="1191" w:type="dxa"/>
            <w:tcBorders>
              <w:top w:val="nil"/>
              <w:left w:val="nil"/>
              <w:bottom w:val="nil"/>
              <w:right w:val="nil"/>
            </w:tcBorders>
            <w:vAlign w:val="center"/>
            <w:hideMark/>
          </w:tcPr>
          <w:p w14:paraId="280F771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74577BD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w:t>
            </w:r>
          </w:p>
        </w:tc>
      </w:tr>
      <w:tr w:rsidR="00AB657C" w:rsidRPr="00B104F6" w14:paraId="6C31FA55" w14:textId="77777777" w:rsidTr="00377598">
        <w:trPr>
          <w:trHeight w:val="300"/>
          <w:jc w:val="center"/>
        </w:trPr>
        <w:tc>
          <w:tcPr>
            <w:tcW w:w="1324" w:type="dxa"/>
            <w:tcBorders>
              <w:top w:val="nil"/>
              <w:left w:val="nil"/>
              <w:bottom w:val="nil"/>
              <w:right w:val="nil"/>
            </w:tcBorders>
            <w:vAlign w:val="center"/>
            <w:hideMark/>
          </w:tcPr>
          <w:p w14:paraId="6E10C365"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1424DBDA"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66" w:type="dxa"/>
            <w:tcBorders>
              <w:top w:val="nil"/>
              <w:left w:val="nil"/>
              <w:bottom w:val="nil"/>
              <w:right w:val="nil"/>
            </w:tcBorders>
            <w:vAlign w:val="center"/>
            <w:hideMark/>
          </w:tcPr>
          <w:p w14:paraId="6512EBD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Wright</w:t>
            </w:r>
          </w:p>
        </w:tc>
        <w:tc>
          <w:tcPr>
            <w:tcW w:w="1170" w:type="dxa"/>
            <w:tcBorders>
              <w:top w:val="nil"/>
              <w:left w:val="nil"/>
              <w:bottom w:val="nil"/>
              <w:right w:val="nil"/>
            </w:tcBorders>
            <w:vAlign w:val="center"/>
            <w:hideMark/>
          </w:tcPr>
          <w:p w14:paraId="21EFB44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[Closed]</w:t>
            </w:r>
          </w:p>
        </w:tc>
        <w:tc>
          <w:tcPr>
            <w:tcW w:w="1000" w:type="dxa"/>
            <w:tcBorders>
              <w:top w:val="nil"/>
              <w:left w:val="nil"/>
              <w:bottom w:val="nil"/>
              <w:right w:val="nil"/>
            </w:tcBorders>
            <w:vAlign w:val="center"/>
            <w:hideMark/>
          </w:tcPr>
          <w:p w14:paraId="03E3378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32</w:t>
            </w:r>
          </w:p>
        </w:tc>
        <w:tc>
          <w:tcPr>
            <w:tcW w:w="1190" w:type="dxa"/>
            <w:tcBorders>
              <w:top w:val="nil"/>
              <w:left w:val="nil"/>
              <w:bottom w:val="nil"/>
              <w:right w:val="nil"/>
            </w:tcBorders>
            <w:vAlign w:val="center"/>
            <w:hideMark/>
          </w:tcPr>
          <w:p w14:paraId="3ED6BB1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2030</w:t>
            </w:r>
          </w:p>
        </w:tc>
        <w:tc>
          <w:tcPr>
            <w:tcW w:w="1191" w:type="dxa"/>
            <w:tcBorders>
              <w:top w:val="nil"/>
              <w:left w:val="nil"/>
              <w:bottom w:val="nil"/>
              <w:right w:val="nil"/>
            </w:tcBorders>
            <w:vAlign w:val="center"/>
            <w:hideMark/>
          </w:tcPr>
          <w:p w14:paraId="4ED45B4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3BE077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Final</w:t>
            </w:r>
          </w:p>
        </w:tc>
      </w:tr>
      <w:tr w:rsidR="00AB657C" w:rsidRPr="00B104F6" w14:paraId="1368D720" w14:textId="77777777" w:rsidTr="00377598">
        <w:trPr>
          <w:trHeight w:val="300"/>
          <w:jc w:val="center"/>
        </w:trPr>
        <w:tc>
          <w:tcPr>
            <w:tcW w:w="2923" w:type="dxa"/>
            <w:gridSpan w:val="2"/>
            <w:tcBorders>
              <w:top w:val="nil"/>
              <w:left w:val="nil"/>
              <w:bottom w:val="nil"/>
              <w:right w:val="nil"/>
            </w:tcBorders>
            <w:shd w:val="clear" w:color="000000" w:fill="F2F2F2"/>
            <w:vAlign w:val="center"/>
            <w:hideMark/>
          </w:tcPr>
          <w:p w14:paraId="545D8A5C" w14:textId="77777777" w:rsidR="00AB657C" w:rsidRPr="00B104F6" w:rsidRDefault="00AB657C" w:rsidP="00377598">
            <w:pPr>
              <w:rPr>
                <w:rFonts w:eastAsia="Times New Roman" w:cs="Times New Roman"/>
                <w:b/>
                <w:bCs/>
                <w:i/>
                <w:iCs/>
                <w:color w:val="000000"/>
                <w:sz w:val="19"/>
                <w:szCs w:val="19"/>
              </w:rPr>
            </w:pPr>
            <w:r w:rsidRPr="00B104F6">
              <w:rPr>
                <w:rFonts w:eastAsia="Times New Roman" w:cs="Times New Roman"/>
                <w:b/>
                <w:bCs/>
                <w:i/>
                <w:iCs/>
                <w:color w:val="000000"/>
                <w:sz w:val="19"/>
                <w:szCs w:val="19"/>
              </w:rPr>
              <w:t>Kenai</w:t>
            </w:r>
          </w:p>
        </w:tc>
        <w:tc>
          <w:tcPr>
            <w:tcW w:w="1166" w:type="dxa"/>
            <w:tcBorders>
              <w:top w:val="nil"/>
              <w:left w:val="nil"/>
              <w:bottom w:val="nil"/>
              <w:right w:val="nil"/>
            </w:tcBorders>
            <w:shd w:val="clear" w:color="000000" w:fill="F2F2F2"/>
            <w:vAlign w:val="center"/>
            <w:hideMark/>
          </w:tcPr>
          <w:p w14:paraId="2391D273"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70" w:type="dxa"/>
            <w:tcBorders>
              <w:top w:val="nil"/>
              <w:left w:val="nil"/>
              <w:bottom w:val="nil"/>
              <w:right w:val="nil"/>
            </w:tcBorders>
            <w:shd w:val="clear" w:color="000000" w:fill="F2F2F2"/>
            <w:vAlign w:val="center"/>
            <w:hideMark/>
          </w:tcPr>
          <w:p w14:paraId="2C435640"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000" w:type="dxa"/>
            <w:tcBorders>
              <w:top w:val="nil"/>
              <w:left w:val="nil"/>
              <w:bottom w:val="nil"/>
              <w:right w:val="nil"/>
            </w:tcBorders>
            <w:shd w:val="clear" w:color="000000" w:fill="F2F2F2"/>
            <w:vAlign w:val="center"/>
            <w:hideMark/>
          </w:tcPr>
          <w:p w14:paraId="2E50B23D"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0" w:type="dxa"/>
            <w:tcBorders>
              <w:top w:val="nil"/>
              <w:left w:val="nil"/>
              <w:bottom w:val="nil"/>
              <w:right w:val="nil"/>
            </w:tcBorders>
            <w:shd w:val="clear" w:color="000000" w:fill="F2F2F2"/>
            <w:vAlign w:val="center"/>
            <w:hideMark/>
          </w:tcPr>
          <w:p w14:paraId="68D29198"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1" w:type="dxa"/>
            <w:tcBorders>
              <w:top w:val="nil"/>
              <w:left w:val="nil"/>
              <w:bottom w:val="nil"/>
              <w:right w:val="nil"/>
            </w:tcBorders>
            <w:shd w:val="clear" w:color="000000" w:fill="F2F2F2"/>
            <w:vAlign w:val="center"/>
            <w:hideMark/>
          </w:tcPr>
          <w:p w14:paraId="71286056"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c>
          <w:tcPr>
            <w:tcW w:w="1198" w:type="dxa"/>
            <w:tcBorders>
              <w:top w:val="nil"/>
              <w:left w:val="nil"/>
              <w:bottom w:val="nil"/>
              <w:right w:val="nil"/>
            </w:tcBorders>
            <w:shd w:val="clear" w:color="000000" w:fill="F2F2F2"/>
            <w:vAlign w:val="center"/>
            <w:hideMark/>
          </w:tcPr>
          <w:p w14:paraId="3504C791" w14:textId="77777777" w:rsidR="00AB657C" w:rsidRPr="00B104F6" w:rsidRDefault="00AB657C" w:rsidP="00377598">
            <w:pPr>
              <w:rPr>
                <w:rFonts w:eastAsia="Times New Roman" w:cs="Times New Roman"/>
                <w:color w:val="000000"/>
                <w:sz w:val="19"/>
                <w:szCs w:val="19"/>
              </w:rPr>
            </w:pPr>
            <w:r w:rsidRPr="00B104F6">
              <w:rPr>
                <w:rFonts w:eastAsia="Times New Roman" w:cs="Times New Roman"/>
                <w:color w:val="000000"/>
                <w:sz w:val="19"/>
                <w:szCs w:val="19"/>
              </w:rPr>
              <w:t> </w:t>
            </w:r>
          </w:p>
        </w:tc>
      </w:tr>
      <w:tr w:rsidR="00AB657C" w:rsidRPr="00B104F6" w14:paraId="5E8C62E2" w14:textId="77777777" w:rsidTr="00377598">
        <w:trPr>
          <w:trHeight w:val="300"/>
          <w:jc w:val="center"/>
        </w:trPr>
        <w:tc>
          <w:tcPr>
            <w:tcW w:w="1324" w:type="dxa"/>
            <w:tcBorders>
              <w:top w:val="nil"/>
              <w:left w:val="nil"/>
              <w:bottom w:val="nil"/>
              <w:right w:val="nil"/>
            </w:tcBorders>
            <w:vAlign w:val="center"/>
            <w:hideMark/>
          </w:tcPr>
          <w:p w14:paraId="3811AB1C"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2-Story</w:t>
            </w:r>
          </w:p>
        </w:tc>
        <w:tc>
          <w:tcPr>
            <w:tcW w:w="1599" w:type="dxa"/>
            <w:tcBorders>
              <w:top w:val="nil"/>
              <w:left w:val="nil"/>
              <w:bottom w:val="nil"/>
              <w:right w:val="nil"/>
            </w:tcBorders>
            <w:vAlign w:val="center"/>
            <w:hideMark/>
          </w:tcPr>
          <w:p w14:paraId="18DE2BC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1E41A27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nil"/>
              <w:right w:val="nil"/>
            </w:tcBorders>
            <w:vAlign w:val="center"/>
            <w:hideMark/>
          </w:tcPr>
          <w:p w14:paraId="5702AC2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nil"/>
              <w:right w:val="nil"/>
            </w:tcBorders>
            <w:vAlign w:val="center"/>
            <w:hideMark/>
          </w:tcPr>
          <w:p w14:paraId="1C928CB0"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60</w:t>
            </w:r>
          </w:p>
        </w:tc>
        <w:tc>
          <w:tcPr>
            <w:tcW w:w="1190" w:type="dxa"/>
            <w:tcBorders>
              <w:top w:val="nil"/>
              <w:left w:val="nil"/>
              <w:bottom w:val="nil"/>
              <w:right w:val="nil"/>
            </w:tcBorders>
            <w:vAlign w:val="center"/>
            <w:hideMark/>
          </w:tcPr>
          <w:p w14:paraId="3D2C0AD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2031</w:t>
            </w:r>
          </w:p>
        </w:tc>
        <w:tc>
          <w:tcPr>
            <w:tcW w:w="1191" w:type="dxa"/>
            <w:tcBorders>
              <w:top w:val="nil"/>
              <w:left w:val="nil"/>
              <w:bottom w:val="nil"/>
              <w:right w:val="nil"/>
            </w:tcBorders>
            <w:vAlign w:val="center"/>
            <w:hideMark/>
          </w:tcPr>
          <w:p w14:paraId="5DA897D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27D62D1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AB657C" w:rsidRPr="00B104F6" w14:paraId="07F91D8F" w14:textId="77777777" w:rsidTr="00377598">
        <w:trPr>
          <w:trHeight w:val="300"/>
          <w:jc w:val="center"/>
        </w:trPr>
        <w:tc>
          <w:tcPr>
            <w:tcW w:w="1324" w:type="dxa"/>
            <w:tcBorders>
              <w:top w:val="nil"/>
              <w:left w:val="nil"/>
              <w:bottom w:val="nil"/>
              <w:right w:val="nil"/>
            </w:tcBorders>
            <w:vAlign w:val="center"/>
            <w:hideMark/>
          </w:tcPr>
          <w:p w14:paraId="4ABA534A"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TH 3-Story</w:t>
            </w:r>
          </w:p>
        </w:tc>
        <w:tc>
          <w:tcPr>
            <w:tcW w:w="1599" w:type="dxa"/>
            <w:tcBorders>
              <w:top w:val="nil"/>
              <w:left w:val="nil"/>
              <w:bottom w:val="nil"/>
              <w:right w:val="nil"/>
            </w:tcBorders>
            <w:vAlign w:val="center"/>
            <w:hideMark/>
          </w:tcPr>
          <w:p w14:paraId="691A19E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29604221"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nil"/>
              <w:right w:val="nil"/>
            </w:tcBorders>
            <w:vAlign w:val="center"/>
            <w:hideMark/>
          </w:tcPr>
          <w:p w14:paraId="6CD5C0F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nil"/>
              <w:right w:val="nil"/>
            </w:tcBorders>
            <w:vAlign w:val="center"/>
            <w:hideMark/>
          </w:tcPr>
          <w:p w14:paraId="5F58501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75</w:t>
            </w:r>
          </w:p>
        </w:tc>
        <w:tc>
          <w:tcPr>
            <w:tcW w:w="1190" w:type="dxa"/>
            <w:tcBorders>
              <w:top w:val="nil"/>
              <w:left w:val="nil"/>
              <w:bottom w:val="nil"/>
              <w:right w:val="nil"/>
            </w:tcBorders>
            <w:vAlign w:val="center"/>
            <w:hideMark/>
          </w:tcPr>
          <w:p w14:paraId="5A058182"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2031</w:t>
            </w:r>
          </w:p>
        </w:tc>
        <w:tc>
          <w:tcPr>
            <w:tcW w:w="1191" w:type="dxa"/>
            <w:tcBorders>
              <w:top w:val="nil"/>
              <w:left w:val="nil"/>
              <w:bottom w:val="nil"/>
              <w:right w:val="nil"/>
            </w:tcBorders>
            <w:vAlign w:val="center"/>
            <w:hideMark/>
          </w:tcPr>
          <w:p w14:paraId="20463B6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162D7A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AB657C" w:rsidRPr="00B104F6" w14:paraId="35EAE2B7" w14:textId="77777777" w:rsidTr="00377598">
        <w:trPr>
          <w:trHeight w:val="300"/>
          <w:jc w:val="center"/>
        </w:trPr>
        <w:tc>
          <w:tcPr>
            <w:tcW w:w="1324" w:type="dxa"/>
            <w:tcBorders>
              <w:top w:val="nil"/>
              <w:left w:val="nil"/>
              <w:bottom w:val="nil"/>
              <w:right w:val="nil"/>
            </w:tcBorders>
            <w:vAlign w:val="center"/>
            <w:hideMark/>
          </w:tcPr>
          <w:p w14:paraId="7AEFA74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B2B TH</w:t>
            </w:r>
          </w:p>
        </w:tc>
        <w:tc>
          <w:tcPr>
            <w:tcW w:w="1599" w:type="dxa"/>
            <w:tcBorders>
              <w:top w:val="nil"/>
              <w:left w:val="nil"/>
              <w:bottom w:val="nil"/>
              <w:right w:val="nil"/>
            </w:tcBorders>
            <w:vAlign w:val="center"/>
            <w:hideMark/>
          </w:tcPr>
          <w:p w14:paraId="56F12EB3"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nil"/>
              <w:right w:val="nil"/>
            </w:tcBorders>
            <w:vAlign w:val="center"/>
            <w:hideMark/>
          </w:tcPr>
          <w:p w14:paraId="7D99760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nil"/>
              <w:right w:val="nil"/>
            </w:tcBorders>
            <w:vAlign w:val="center"/>
            <w:hideMark/>
          </w:tcPr>
          <w:p w14:paraId="03528F3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nil"/>
              <w:right w:val="nil"/>
            </w:tcBorders>
            <w:vAlign w:val="center"/>
            <w:hideMark/>
          </w:tcPr>
          <w:p w14:paraId="114CF75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50</w:t>
            </w:r>
          </w:p>
        </w:tc>
        <w:tc>
          <w:tcPr>
            <w:tcW w:w="1190" w:type="dxa"/>
            <w:tcBorders>
              <w:top w:val="nil"/>
              <w:left w:val="nil"/>
              <w:bottom w:val="nil"/>
              <w:right w:val="nil"/>
            </w:tcBorders>
            <w:vAlign w:val="center"/>
            <w:hideMark/>
          </w:tcPr>
          <w:p w14:paraId="50B98D96"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Q3 2031</w:t>
            </w:r>
          </w:p>
        </w:tc>
        <w:tc>
          <w:tcPr>
            <w:tcW w:w="1191" w:type="dxa"/>
            <w:tcBorders>
              <w:top w:val="nil"/>
              <w:left w:val="nil"/>
              <w:bottom w:val="nil"/>
              <w:right w:val="nil"/>
            </w:tcBorders>
            <w:vAlign w:val="center"/>
            <w:hideMark/>
          </w:tcPr>
          <w:p w14:paraId="7979A12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nil"/>
              <w:right w:val="nil"/>
            </w:tcBorders>
            <w:vAlign w:val="center"/>
            <w:hideMark/>
          </w:tcPr>
          <w:p w14:paraId="4A29854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AB657C" w:rsidRPr="00B104F6" w14:paraId="63057930" w14:textId="77777777" w:rsidTr="00377598">
        <w:trPr>
          <w:trHeight w:val="315"/>
          <w:jc w:val="center"/>
        </w:trPr>
        <w:tc>
          <w:tcPr>
            <w:tcW w:w="1324" w:type="dxa"/>
            <w:tcBorders>
              <w:top w:val="nil"/>
              <w:left w:val="nil"/>
              <w:bottom w:val="single" w:sz="8" w:space="0" w:color="auto"/>
              <w:right w:val="nil"/>
            </w:tcBorders>
            <w:vAlign w:val="center"/>
            <w:hideMark/>
          </w:tcPr>
          <w:p w14:paraId="0F084BDE"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SFD</w:t>
            </w:r>
          </w:p>
        </w:tc>
        <w:tc>
          <w:tcPr>
            <w:tcW w:w="1599" w:type="dxa"/>
            <w:tcBorders>
              <w:top w:val="nil"/>
              <w:left w:val="nil"/>
              <w:bottom w:val="single" w:sz="8" w:space="0" w:color="auto"/>
              <w:right w:val="nil"/>
            </w:tcBorders>
            <w:vAlign w:val="center"/>
            <w:hideMark/>
          </w:tcPr>
          <w:p w14:paraId="4C533EC4"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Developer</w:t>
            </w:r>
          </w:p>
        </w:tc>
        <w:tc>
          <w:tcPr>
            <w:tcW w:w="1166" w:type="dxa"/>
            <w:tcBorders>
              <w:top w:val="nil"/>
              <w:left w:val="nil"/>
              <w:bottom w:val="single" w:sz="8" w:space="0" w:color="auto"/>
              <w:right w:val="nil"/>
            </w:tcBorders>
            <w:vAlign w:val="center"/>
            <w:hideMark/>
          </w:tcPr>
          <w:p w14:paraId="309BCB1B"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TBD</w:t>
            </w:r>
          </w:p>
        </w:tc>
        <w:tc>
          <w:tcPr>
            <w:tcW w:w="1170" w:type="dxa"/>
            <w:tcBorders>
              <w:top w:val="nil"/>
              <w:left w:val="nil"/>
              <w:bottom w:val="single" w:sz="8" w:space="0" w:color="auto"/>
              <w:right w:val="nil"/>
            </w:tcBorders>
            <w:vAlign w:val="center"/>
            <w:hideMark/>
          </w:tcPr>
          <w:p w14:paraId="63CBA5D8"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N/A</w:t>
            </w:r>
          </w:p>
        </w:tc>
        <w:tc>
          <w:tcPr>
            <w:tcW w:w="1000" w:type="dxa"/>
            <w:tcBorders>
              <w:top w:val="nil"/>
              <w:left w:val="nil"/>
              <w:bottom w:val="single" w:sz="8" w:space="0" w:color="auto"/>
              <w:right w:val="nil"/>
            </w:tcBorders>
            <w:vAlign w:val="center"/>
            <w:hideMark/>
          </w:tcPr>
          <w:p w14:paraId="16A643E9"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40</w:t>
            </w:r>
          </w:p>
        </w:tc>
        <w:tc>
          <w:tcPr>
            <w:tcW w:w="1190" w:type="dxa"/>
            <w:tcBorders>
              <w:top w:val="nil"/>
              <w:left w:val="nil"/>
              <w:bottom w:val="single" w:sz="8" w:space="0" w:color="auto"/>
              <w:right w:val="nil"/>
            </w:tcBorders>
            <w:vAlign w:val="center"/>
            <w:hideMark/>
          </w:tcPr>
          <w:p w14:paraId="0387FF7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Q1 2031</w:t>
            </w:r>
          </w:p>
        </w:tc>
        <w:tc>
          <w:tcPr>
            <w:tcW w:w="1191" w:type="dxa"/>
            <w:tcBorders>
              <w:top w:val="nil"/>
              <w:left w:val="nil"/>
              <w:bottom w:val="single" w:sz="8" w:space="0" w:color="auto"/>
              <w:right w:val="nil"/>
            </w:tcBorders>
            <w:vAlign w:val="center"/>
            <w:hideMark/>
          </w:tcPr>
          <w:p w14:paraId="13602617"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Fully Zoned</w:t>
            </w:r>
          </w:p>
        </w:tc>
        <w:tc>
          <w:tcPr>
            <w:tcW w:w="1198" w:type="dxa"/>
            <w:tcBorders>
              <w:top w:val="nil"/>
              <w:left w:val="nil"/>
              <w:bottom w:val="single" w:sz="8" w:space="0" w:color="auto"/>
              <w:right w:val="nil"/>
            </w:tcBorders>
            <w:vAlign w:val="center"/>
            <w:hideMark/>
          </w:tcPr>
          <w:p w14:paraId="6AA1FA1F" w14:textId="77777777" w:rsidR="00AB657C" w:rsidRPr="00B104F6" w:rsidRDefault="00AB657C" w:rsidP="00377598">
            <w:pPr>
              <w:jc w:val="center"/>
              <w:rPr>
                <w:rFonts w:eastAsia="Times New Roman" w:cs="Times New Roman"/>
                <w:color w:val="000000"/>
                <w:sz w:val="19"/>
                <w:szCs w:val="19"/>
              </w:rPr>
            </w:pPr>
            <w:r w:rsidRPr="00B104F6">
              <w:rPr>
                <w:rFonts w:eastAsia="Times New Roman" w:cs="Times New Roman"/>
                <w:color w:val="000000"/>
                <w:sz w:val="19"/>
                <w:szCs w:val="19"/>
              </w:rPr>
              <w:t>Concept</w:t>
            </w:r>
          </w:p>
        </w:tc>
      </w:tr>
      <w:tr w:rsidR="00AB657C" w:rsidRPr="00B104F6" w14:paraId="70815D83" w14:textId="77777777" w:rsidTr="00377598">
        <w:trPr>
          <w:trHeight w:val="288"/>
          <w:jc w:val="center"/>
        </w:trPr>
        <w:tc>
          <w:tcPr>
            <w:tcW w:w="1324" w:type="dxa"/>
            <w:tcBorders>
              <w:top w:val="nil"/>
              <w:left w:val="nil"/>
              <w:bottom w:val="nil"/>
              <w:right w:val="nil"/>
            </w:tcBorders>
            <w:vAlign w:val="center"/>
            <w:hideMark/>
          </w:tcPr>
          <w:p w14:paraId="6406FEED" w14:textId="77777777" w:rsidR="00AB657C" w:rsidRPr="00B104F6" w:rsidRDefault="00AB657C" w:rsidP="00377598">
            <w:pPr>
              <w:rPr>
                <w:rFonts w:eastAsia="Times New Roman" w:cs="Times New Roman"/>
                <w:b/>
                <w:bCs/>
                <w:color w:val="000000"/>
                <w:sz w:val="19"/>
                <w:szCs w:val="19"/>
              </w:rPr>
            </w:pPr>
            <w:r w:rsidRPr="00B104F6">
              <w:rPr>
                <w:rFonts w:eastAsia="Times New Roman" w:cs="Times New Roman"/>
                <w:b/>
                <w:bCs/>
                <w:color w:val="000000"/>
                <w:sz w:val="19"/>
                <w:szCs w:val="19"/>
              </w:rPr>
              <w:t>Total</w:t>
            </w:r>
          </w:p>
        </w:tc>
        <w:tc>
          <w:tcPr>
            <w:tcW w:w="1599" w:type="dxa"/>
            <w:tcBorders>
              <w:top w:val="nil"/>
              <w:left w:val="nil"/>
              <w:bottom w:val="nil"/>
              <w:right w:val="nil"/>
            </w:tcBorders>
            <w:vAlign w:val="center"/>
            <w:hideMark/>
          </w:tcPr>
          <w:p w14:paraId="7B6EB7CA" w14:textId="77777777" w:rsidR="00AB657C" w:rsidRPr="00B104F6" w:rsidRDefault="00AB657C" w:rsidP="00377598">
            <w:pPr>
              <w:rPr>
                <w:rFonts w:eastAsia="Times New Roman" w:cs="Times New Roman"/>
                <w:b/>
                <w:bCs/>
                <w:color w:val="000000"/>
                <w:sz w:val="19"/>
                <w:szCs w:val="19"/>
              </w:rPr>
            </w:pPr>
          </w:p>
        </w:tc>
        <w:tc>
          <w:tcPr>
            <w:tcW w:w="1166" w:type="dxa"/>
            <w:tcBorders>
              <w:top w:val="nil"/>
              <w:left w:val="nil"/>
              <w:bottom w:val="nil"/>
              <w:right w:val="nil"/>
            </w:tcBorders>
            <w:vAlign w:val="center"/>
            <w:hideMark/>
          </w:tcPr>
          <w:p w14:paraId="618DBD96" w14:textId="77777777" w:rsidR="00AB657C" w:rsidRPr="00B104F6" w:rsidRDefault="00AB657C" w:rsidP="00377598">
            <w:pPr>
              <w:rPr>
                <w:rFonts w:eastAsia="Times New Roman" w:cs="Times New Roman"/>
                <w:sz w:val="19"/>
                <w:szCs w:val="19"/>
              </w:rPr>
            </w:pPr>
          </w:p>
        </w:tc>
        <w:tc>
          <w:tcPr>
            <w:tcW w:w="1170" w:type="dxa"/>
            <w:tcBorders>
              <w:top w:val="nil"/>
              <w:left w:val="nil"/>
              <w:bottom w:val="nil"/>
              <w:right w:val="nil"/>
            </w:tcBorders>
            <w:vAlign w:val="center"/>
            <w:hideMark/>
          </w:tcPr>
          <w:p w14:paraId="15AF116A" w14:textId="77777777" w:rsidR="00AB657C" w:rsidRPr="00B104F6" w:rsidRDefault="00AB657C" w:rsidP="00377598">
            <w:pPr>
              <w:rPr>
                <w:rFonts w:eastAsia="Times New Roman" w:cs="Times New Roman"/>
                <w:sz w:val="19"/>
                <w:szCs w:val="19"/>
              </w:rPr>
            </w:pPr>
          </w:p>
        </w:tc>
        <w:tc>
          <w:tcPr>
            <w:tcW w:w="1000" w:type="dxa"/>
            <w:tcBorders>
              <w:top w:val="nil"/>
              <w:left w:val="nil"/>
              <w:bottom w:val="nil"/>
              <w:right w:val="nil"/>
            </w:tcBorders>
            <w:vAlign w:val="center"/>
            <w:hideMark/>
          </w:tcPr>
          <w:p w14:paraId="783BD4E3" w14:textId="77777777" w:rsidR="00AB657C" w:rsidRPr="00B104F6" w:rsidRDefault="00AB657C" w:rsidP="00377598">
            <w:pPr>
              <w:jc w:val="center"/>
              <w:rPr>
                <w:rFonts w:eastAsia="Times New Roman" w:cs="Times New Roman"/>
                <w:b/>
                <w:bCs/>
                <w:color w:val="000000"/>
                <w:sz w:val="19"/>
                <w:szCs w:val="19"/>
              </w:rPr>
            </w:pPr>
            <w:r w:rsidRPr="00B104F6">
              <w:rPr>
                <w:rFonts w:eastAsia="Times New Roman" w:cs="Times New Roman"/>
                <w:b/>
                <w:bCs/>
                <w:color w:val="000000"/>
                <w:sz w:val="19"/>
                <w:szCs w:val="19"/>
              </w:rPr>
              <w:t xml:space="preserve">1,074 </w:t>
            </w:r>
          </w:p>
        </w:tc>
        <w:tc>
          <w:tcPr>
            <w:tcW w:w="1190" w:type="dxa"/>
            <w:tcBorders>
              <w:top w:val="nil"/>
              <w:left w:val="nil"/>
              <w:bottom w:val="nil"/>
              <w:right w:val="nil"/>
            </w:tcBorders>
            <w:vAlign w:val="center"/>
            <w:hideMark/>
          </w:tcPr>
          <w:p w14:paraId="2A631050" w14:textId="77777777" w:rsidR="00AB657C" w:rsidRPr="00B104F6" w:rsidRDefault="00AB657C" w:rsidP="00377598">
            <w:pPr>
              <w:jc w:val="center"/>
              <w:rPr>
                <w:rFonts w:eastAsia="Times New Roman" w:cs="Times New Roman"/>
                <w:b/>
                <w:bCs/>
                <w:color w:val="000000"/>
                <w:sz w:val="19"/>
                <w:szCs w:val="19"/>
              </w:rPr>
            </w:pPr>
          </w:p>
        </w:tc>
        <w:tc>
          <w:tcPr>
            <w:tcW w:w="1191" w:type="dxa"/>
            <w:tcBorders>
              <w:top w:val="nil"/>
              <w:left w:val="nil"/>
              <w:bottom w:val="nil"/>
              <w:right w:val="nil"/>
            </w:tcBorders>
            <w:vAlign w:val="center"/>
            <w:hideMark/>
          </w:tcPr>
          <w:p w14:paraId="35758CAD" w14:textId="77777777" w:rsidR="00AB657C" w:rsidRPr="00B104F6" w:rsidRDefault="00AB657C" w:rsidP="00377598">
            <w:pPr>
              <w:rPr>
                <w:rFonts w:eastAsia="Times New Roman" w:cs="Times New Roman"/>
                <w:sz w:val="19"/>
                <w:szCs w:val="19"/>
              </w:rPr>
            </w:pPr>
          </w:p>
        </w:tc>
        <w:tc>
          <w:tcPr>
            <w:tcW w:w="1198" w:type="dxa"/>
            <w:tcBorders>
              <w:top w:val="nil"/>
              <w:left w:val="nil"/>
              <w:bottom w:val="nil"/>
              <w:right w:val="nil"/>
            </w:tcBorders>
            <w:vAlign w:val="center"/>
            <w:hideMark/>
          </w:tcPr>
          <w:p w14:paraId="79A2AADA" w14:textId="77777777" w:rsidR="00AB657C" w:rsidRPr="00B104F6" w:rsidRDefault="00AB657C" w:rsidP="00377598">
            <w:pPr>
              <w:rPr>
                <w:rFonts w:eastAsia="Times New Roman" w:cs="Times New Roman"/>
                <w:sz w:val="19"/>
                <w:szCs w:val="19"/>
              </w:rPr>
            </w:pPr>
          </w:p>
        </w:tc>
      </w:tr>
    </w:tbl>
    <w:p w14:paraId="2DED4F38" w14:textId="77777777" w:rsidR="00AB657C" w:rsidRDefault="00AB657C" w:rsidP="00AB657C">
      <w:pPr>
        <w:pStyle w:val="FootnoteText"/>
        <w:jc w:val="both"/>
        <w:rPr>
          <w:sz w:val="19"/>
          <w:szCs w:val="19"/>
        </w:rPr>
      </w:pPr>
      <w:r>
        <w:rPr>
          <w:sz w:val="19"/>
          <w:szCs w:val="19"/>
        </w:rPr>
        <w:t>___________________________</w:t>
      </w:r>
    </w:p>
    <w:p w14:paraId="0404EF17" w14:textId="77777777" w:rsidR="00AB657C" w:rsidRPr="00B104F6" w:rsidRDefault="00AB657C" w:rsidP="00AB657C">
      <w:pPr>
        <w:pStyle w:val="FootnoteText"/>
        <w:jc w:val="both"/>
        <w:rPr>
          <w:sz w:val="19"/>
          <w:szCs w:val="19"/>
        </w:rPr>
      </w:pPr>
      <w:r w:rsidRPr="00B104F6">
        <w:rPr>
          <w:rStyle w:val="FootnoteReference"/>
          <w:sz w:val="19"/>
          <w:szCs w:val="19"/>
        </w:rPr>
        <w:footnoteRef/>
      </w:r>
      <w:r w:rsidRPr="00B104F6">
        <w:rPr>
          <w:sz w:val="19"/>
          <w:szCs w:val="19"/>
        </w:rPr>
        <w:t xml:space="preserve"> As of July [__], 2026. Abbreviations are as follows: B2B – back-to-back; Edge – Edge Homes; [LOI – letter of intent]; PSA – purchase and sale agreement; SFD – single family detached; TH – townhome; TBD – to be determined; Wright – Wright Homes.</w:t>
      </w:r>
    </w:p>
    <w:p w14:paraId="4C54ED5E" w14:textId="77777777" w:rsidR="00AB657C" w:rsidRPr="00B104F6" w:rsidRDefault="00AB657C" w:rsidP="00AB657C">
      <w:pPr>
        <w:pStyle w:val="FootnoteText"/>
        <w:jc w:val="both"/>
        <w:rPr>
          <w:sz w:val="19"/>
          <w:szCs w:val="19"/>
        </w:rPr>
      </w:pPr>
      <w:r w:rsidRPr="00B104F6">
        <w:rPr>
          <w:rStyle w:val="FootnoteReference"/>
          <w:sz w:val="19"/>
          <w:szCs w:val="19"/>
        </w:rPr>
        <w:t>2</w:t>
      </w:r>
      <w:r w:rsidRPr="00B104F6">
        <w:rPr>
          <w:sz w:val="19"/>
          <w:szCs w:val="19"/>
        </w:rPr>
        <w:t xml:space="preserve"> All property within the Development is owned by the Developer, Edge Homes, or Wright Homes. Except for property within Kenai, all property owned by the Developer is under contract with Edge Homes or Wright Homes. [LOI IF APPLICABLE] It is anticipated that the Developer will enter into a binding contract with respect to Kenai closer to the anticipated buildout of such area. See “THE DEVELOPMENT—Planned Development; Land Ownership” below.</w:t>
      </w:r>
    </w:p>
    <w:p w14:paraId="712308D6" w14:textId="77777777" w:rsidR="00AB657C" w:rsidRDefault="00AB657C" w:rsidP="00AB657C">
      <w:pPr>
        <w:spacing w:after="240"/>
        <w:jc w:val="both"/>
        <w:rPr>
          <w:rFonts w:cs="Times New Roman"/>
          <w:i/>
          <w:sz w:val="22"/>
          <w:szCs w:val="20"/>
        </w:rPr>
      </w:pPr>
      <w:r w:rsidRPr="00B104F6">
        <w:rPr>
          <w:rStyle w:val="FootnoteReference"/>
          <w:sz w:val="19"/>
          <w:szCs w:val="19"/>
        </w:rPr>
        <w:t>3</w:t>
      </w:r>
      <w:r w:rsidRPr="00B104F6">
        <w:rPr>
          <w:sz w:val="19"/>
          <w:szCs w:val="19"/>
        </w:rPr>
        <w:t xml:space="preserve"> According to the Developer, all property within the Development is zoned for its intended use. Final plats have been approved with respect Sorrento Phase 1, all of Cascades, Acadia Phase 1, and Joshua Tree Phase 4. Draft plats have been prepared with respect to remaining Phases of Sorrento and Acadia and all of Yosemite. The Developer has prepared concept plans for Kenai, but does not anticipate preparing final plats until closer to the anticipated buildout of such area. See “THE DEVELOPMENT—Zoning, Public Approvals, and Platting</w:t>
      </w:r>
      <w:r w:rsidRPr="00B104F6">
        <w:rPr>
          <w:i/>
          <w:sz w:val="19"/>
          <w:szCs w:val="19"/>
        </w:rPr>
        <w:t>.</w:t>
      </w:r>
      <w:r w:rsidRPr="00B104F6">
        <w:rPr>
          <w:sz w:val="19"/>
          <w:szCs w:val="19"/>
        </w:rPr>
        <w:t>”</w:t>
      </w:r>
    </w:p>
    <w:p w14:paraId="584644F2" w14:textId="5B1A6822" w:rsidR="00F07DEE" w:rsidRDefault="00F07DEE" w:rsidP="00F07DEE">
      <w:pPr>
        <w:spacing w:before="240" w:after="240"/>
        <w:ind w:firstLine="720"/>
        <w:jc w:val="both"/>
        <w:rPr>
          <w:rFonts w:eastAsia="Calibri" w:cs="Times New Roman"/>
          <w:sz w:val="22"/>
          <w:szCs w:val="20"/>
        </w:rPr>
      </w:pPr>
      <w:r>
        <w:rPr>
          <w:rFonts w:cs="Times New Roman"/>
          <w:i/>
          <w:sz w:val="22"/>
          <w:szCs w:val="20"/>
        </w:rPr>
        <w:t xml:space="preserve">Notwithstanding any of the foregoing, neither the Developer nor any other property owner is contractually obligated to pursue the development of the property comprising the Development, and no assurance is given that development will occur in accordance with the present permitted land uses, modifications thereof, or at all. </w:t>
      </w:r>
      <w:r>
        <w:rPr>
          <w:rFonts w:eastAsia="Calibri" w:cs="Times New Roman"/>
          <w:sz w:val="22"/>
          <w:szCs w:val="20"/>
        </w:rPr>
        <w:t>No assurance is given that the Development will be completed in the manner and the timeframes, or will result in the anticipated values, described above and in the Market Study, in the Financial Forecasts, or at all. See “RISK FACTORS—Development Not Assured.”</w:t>
      </w:r>
    </w:p>
    <w:p w14:paraId="503EC06C" w14:textId="77777777" w:rsidR="00383356" w:rsidRPr="00795A5F" w:rsidRDefault="00383356" w:rsidP="00383356">
      <w:pPr>
        <w:pStyle w:val="Heading2"/>
        <w:numPr>
          <w:ilvl w:val="0"/>
          <w:numId w:val="0"/>
        </w:numPr>
        <w:rPr>
          <w:b w:val="0"/>
          <w:sz w:val="22"/>
          <w:szCs w:val="22"/>
        </w:rPr>
      </w:pPr>
      <w:bookmarkStart w:id="208" w:name="_Toc86152196"/>
      <w:bookmarkStart w:id="209" w:name="_Toc235521103"/>
      <w:r>
        <w:rPr>
          <w:rFonts w:eastAsia="Times New Roman"/>
          <w:sz w:val="22"/>
          <w:szCs w:val="22"/>
        </w:rPr>
        <w:t>Outdoor</w:t>
      </w:r>
      <w:r>
        <w:rPr>
          <w:sz w:val="22"/>
          <w:szCs w:val="22"/>
        </w:rPr>
        <w:t xml:space="preserve"> Recreation and Amenities</w:t>
      </w:r>
      <w:bookmarkEnd w:id="208"/>
      <w:bookmarkEnd w:id="209"/>
    </w:p>
    <w:p w14:paraId="1268BE96" w14:textId="2CF51891" w:rsidR="00383356" w:rsidRPr="00795A5F" w:rsidRDefault="00872649" w:rsidP="00383356">
      <w:pPr>
        <w:pStyle w:val="00BodyText5"/>
        <w:rPr>
          <w:rFonts w:cs="Times New Roman"/>
          <w:szCs w:val="22"/>
        </w:rPr>
      </w:pPr>
      <w:r>
        <w:rPr>
          <w:rFonts w:cs="Times New Roman"/>
          <w:szCs w:val="22"/>
        </w:rPr>
        <w:t>Pursuant to the Master Development Agreement, at least 20% of the Olympia Master Development is to be set aside as open space for usage as parks, plazas, greens, playgrounds, or community gardens. The Olympia Master Development is anticipated to include regional, community, and local parks, and at minimum a 7-acre neighborhood park intended for programmable uses that may include bleachers, fieldhouses and other structures or amenities for such uses along with fields for rugby, soccer, baseball/softball, and football. Local and regional parks and open space are anticipated to be located within at least one-half mile of each residential unit. The Olympia Master Development is also anticipated to include a trailhead park for pedestrian and equestrian use which would connect to existing trails in Butterfield Canyon west of the Olympia Master Development.</w:t>
      </w:r>
    </w:p>
    <w:p w14:paraId="403A2CAA" w14:textId="2C0C727C" w:rsidR="00F07DEE" w:rsidRPr="00FF6884" w:rsidRDefault="00E11B97" w:rsidP="00B471D8">
      <w:pPr>
        <w:pStyle w:val="Heading2"/>
        <w:numPr>
          <w:ilvl w:val="1"/>
          <w:numId w:val="2"/>
        </w:numPr>
        <w:rPr>
          <w:sz w:val="22"/>
          <w:szCs w:val="22"/>
        </w:rPr>
      </w:pPr>
      <w:bookmarkStart w:id="210" w:name="_Toc86152197"/>
      <w:bookmarkStart w:id="211" w:name="_Toc235521104"/>
      <w:r>
        <w:rPr>
          <w:sz w:val="22"/>
          <w:szCs w:val="22"/>
        </w:rPr>
        <w:t>Planned Development; Land Ownership</w:t>
      </w:r>
      <w:bookmarkEnd w:id="210"/>
      <w:bookmarkEnd w:id="211"/>
    </w:p>
    <w:p w14:paraId="11C80A8F" w14:textId="77179B43" w:rsidR="008C0683" w:rsidRPr="00DE62B0" w:rsidRDefault="00E11B97" w:rsidP="00DE62B0">
      <w:pPr>
        <w:pStyle w:val="00BodyText5"/>
        <w:rPr>
          <w:rFonts w:cs="Times New Roman"/>
          <w:szCs w:val="22"/>
        </w:rPr>
      </w:pPr>
      <w:r>
        <w:t>According to the Developer, at full buildout the Development is planned to contain 1,074 residential units, consisting of 722 townhomes</w:t>
      </w:r>
      <w:r w:rsidR="005965EB">
        <w:t xml:space="preserve"> and 352</w:t>
      </w:r>
      <w:r>
        <w:t xml:space="preserve"> single family detached homes. As of the date of this Official Statement, the Development contains approximately </w:t>
      </w:r>
      <w:r w:rsidR="00E97FDD">
        <w:t>135</w:t>
      </w:r>
      <w:r>
        <w:t xml:space="preserve"> acres,</w:t>
      </w:r>
      <w:r w:rsidR="00DE62B0">
        <w:t xml:space="preserve"> of which </w:t>
      </w:r>
      <w:r w:rsidR="00DE62B0">
        <w:rPr>
          <w:rFonts w:cs="Times New Roman"/>
          <w:szCs w:val="22"/>
        </w:rPr>
        <w:t>approximately [___]</w:t>
      </w:r>
      <w:r w:rsidR="006947E4">
        <w:rPr>
          <w:rFonts w:cs="Times New Roman"/>
          <w:szCs w:val="22"/>
        </w:rPr>
        <w:t xml:space="preserve"> </w:t>
      </w:r>
      <w:r w:rsidR="00DE62B0">
        <w:rPr>
          <w:rFonts w:cs="Times New Roman"/>
          <w:szCs w:val="22"/>
        </w:rPr>
        <w:t>are owned by the Developer, approximately [___]</w:t>
      </w:r>
      <w:r w:rsidR="004518F8">
        <w:rPr>
          <w:rFonts w:cs="Times New Roman"/>
          <w:szCs w:val="22"/>
        </w:rPr>
        <w:t xml:space="preserve"> </w:t>
      </w:r>
      <w:r w:rsidR="00DE62B0">
        <w:rPr>
          <w:rFonts w:cs="Times New Roman"/>
          <w:szCs w:val="22"/>
        </w:rPr>
        <w:t>are owned by Edge Homes, and approximately [___]</w:t>
      </w:r>
      <w:r w:rsidR="006947E4">
        <w:rPr>
          <w:rFonts w:cs="Times New Roman"/>
          <w:szCs w:val="22"/>
        </w:rPr>
        <w:t xml:space="preserve"> </w:t>
      </w:r>
      <w:r w:rsidR="00DE62B0">
        <w:rPr>
          <w:rFonts w:cs="Times New Roman"/>
          <w:szCs w:val="22"/>
        </w:rPr>
        <w:t>are owned by Wright Homes</w:t>
      </w:r>
      <w:r>
        <w:t>. The Developer has also entered into purchase and sale agreements with Edge Homes</w:t>
      </w:r>
      <w:r w:rsidR="00E51262">
        <w:t xml:space="preserve"> and</w:t>
      </w:r>
      <w:r>
        <w:t xml:space="preserve"> Wright Homes for approximately [__] acres of the Development. Of the planned 1,074 residential units within the Development, </w:t>
      </w:r>
      <w:r w:rsidR="00DE62B0">
        <w:t xml:space="preserve">property anticipated to contain [___] residential units ([__]%) is owned by a Homebuilder, </w:t>
      </w:r>
      <w:r>
        <w:t>property anticipated to contain [___] residential units ([__]%) is owned by the Developer and under contract with the anticipated Homebuilder, and property anticipated to contain [___] residential units ([__]%) is owned by the Developer, but not yet under contract with a Homebuilder</w:t>
      </w:r>
      <w:r w:rsidR="00DE62B0">
        <w:t xml:space="preserve"> [</w:t>
      </w:r>
      <w:r w:rsidR="00DE62B0" w:rsidRPr="00DE62B0">
        <w:rPr>
          <w:highlight w:val="yellow"/>
        </w:rPr>
        <w:t>LOI IF APPLICABLE</w:t>
      </w:r>
      <w:r w:rsidR="00DE62B0">
        <w:t>]</w:t>
      </w:r>
      <w:r>
        <w:t xml:space="preserve">. Summaries of planned development, land ownership and any applicable purchase and sale agreements are provided below. </w:t>
      </w:r>
    </w:p>
    <w:p w14:paraId="794BD10D" w14:textId="7CB546A3" w:rsidR="000A319E" w:rsidRPr="000A319E" w:rsidRDefault="000A319E" w:rsidP="000A319E">
      <w:pPr>
        <w:spacing w:after="240"/>
        <w:ind w:firstLine="720"/>
        <w:jc w:val="both"/>
        <w:rPr>
          <w:rFonts w:eastAsia="Aptos" w:cs="Times New Roman"/>
          <w:sz w:val="22"/>
        </w:rPr>
      </w:pPr>
      <w:r w:rsidRPr="000A319E">
        <w:rPr>
          <w:rFonts w:eastAsia="Aptos" w:cs="Times New Roman"/>
          <w:b/>
          <w:bCs/>
          <w:i/>
          <w:iCs/>
          <w:sz w:val="22"/>
        </w:rPr>
        <w:t>Edge Homes</w:t>
      </w:r>
      <w:r w:rsidRPr="000A319E">
        <w:rPr>
          <w:rFonts w:eastAsia="Aptos" w:cs="Times New Roman"/>
          <w:sz w:val="22"/>
        </w:rPr>
        <w:t>. On March 31, 2026, and June 17, 2026, respectively, the Developer entered into separate purchase and sale agreements (collectively, the “</w:t>
      </w:r>
      <w:r w:rsidRPr="000A319E">
        <w:rPr>
          <w:rFonts w:eastAsia="Aptos" w:cs="Times New Roman"/>
          <w:b/>
          <w:bCs/>
          <w:sz w:val="22"/>
        </w:rPr>
        <w:t>Edge Homes PSAs</w:t>
      </w:r>
      <w:r w:rsidRPr="000A319E">
        <w:rPr>
          <w:rFonts w:eastAsia="Aptos" w:cs="Times New Roman"/>
          <w:sz w:val="22"/>
        </w:rPr>
        <w:t>”) with Edge Homes for approximately 20 acres comprising the “</w:t>
      </w:r>
      <w:r w:rsidRPr="000A319E">
        <w:rPr>
          <w:rFonts w:eastAsia="Aptos" w:cs="Times New Roman"/>
          <w:b/>
          <w:bCs/>
          <w:sz w:val="22"/>
        </w:rPr>
        <w:t>Sorrento</w:t>
      </w:r>
      <w:r w:rsidRPr="000A319E">
        <w:rPr>
          <w:rFonts w:eastAsia="Aptos" w:cs="Times New Roman"/>
          <w:sz w:val="22"/>
        </w:rPr>
        <w:t>” portion of the Development and approximately 37 acres comprising the “</w:t>
      </w:r>
      <w:r w:rsidRPr="000A319E">
        <w:rPr>
          <w:rFonts w:eastAsia="Aptos" w:cs="Times New Roman"/>
          <w:b/>
          <w:bCs/>
          <w:sz w:val="22"/>
        </w:rPr>
        <w:t>Acadia</w:t>
      </w:r>
      <w:r w:rsidRPr="000A319E">
        <w:rPr>
          <w:rFonts w:eastAsia="Aptos" w:cs="Times New Roman"/>
          <w:sz w:val="22"/>
        </w:rPr>
        <w:t xml:space="preserve">” portion of the Development. Collectively, the Edge Homes PSAs provide for the phased acquisition and development of approximately 57 acres of the Development, ultimately consisting of 494 residential units, including 199 single-family detached homes and 295 townhomes. It is anticipated that Edge Homes will commence vertical construction of speculation homes within Acadia in the [______] quarter of 202[_], the first home closings will occur in the </w:t>
      </w:r>
      <w:r w:rsidR="00E066FC">
        <w:rPr>
          <w:rFonts w:eastAsia="Aptos" w:cs="Times New Roman"/>
          <w:sz w:val="22"/>
        </w:rPr>
        <w:t>fourth</w:t>
      </w:r>
      <w:r w:rsidRPr="000A319E">
        <w:rPr>
          <w:rFonts w:eastAsia="Aptos" w:cs="Times New Roman"/>
          <w:sz w:val="22"/>
        </w:rPr>
        <w:t xml:space="preserve"> quarter of 202</w:t>
      </w:r>
      <w:r w:rsidR="00E066FC">
        <w:rPr>
          <w:rFonts w:eastAsia="Aptos" w:cs="Times New Roman"/>
          <w:sz w:val="22"/>
        </w:rPr>
        <w:t>7</w:t>
      </w:r>
      <w:r w:rsidRPr="000A319E">
        <w:rPr>
          <w:rFonts w:eastAsia="Aptos" w:cs="Times New Roman"/>
          <w:sz w:val="22"/>
        </w:rPr>
        <w:t xml:space="preserve">, and full buildout will occur in the </w:t>
      </w:r>
      <w:r w:rsidR="00E066FC">
        <w:rPr>
          <w:rFonts w:eastAsia="Aptos" w:cs="Times New Roman"/>
          <w:sz w:val="22"/>
        </w:rPr>
        <w:t>fourth</w:t>
      </w:r>
      <w:r w:rsidRPr="000A319E">
        <w:rPr>
          <w:rFonts w:eastAsia="Aptos" w:cs="Times New Roman"/>
          <w:sz w:val="22"/>
        </w:rPr>
        <w:t xml:space="preserve"> quarter of 20</w:t>
      </w:r>
      <w:r w:rsidR="00E066FC">
        <w:rPr>
          <w:rFonts w:eastAsia="Aptos" w:cs="Times New Roman"/>
          <w:sz w:val="22"/>
        </w:rPr>
        <w:t>30</w:t>
      </w:r>
      <w:r w:rsidRPr="000A319E">
        <w:rPr>
          <w:rFonts w:eastAsia="Aptos" w:cs="Times New Roman"/>
          <w:sz w:val="22"/>
        </w:rPr>
        <w:t xml:space="preserve">. It is anticipated that Edge Homes will commence vertical construction of speculation homes within Sorrento in the [______] quarter of 202[_], the first home closings will occur in the </w:t>
      </w:r>
      <w:r w:rsidR="00E066FC">
        <w:rPr>
          <w:rFonts w:eastAsia="Aptos" w:cs="Times New Roman"/>
          <w:sz w:val="22"/>
        </w:rPr>
        <w:t>first</w:t>
      </w:r>
      <w:r w:rsidRPr="000A319E">
        <w:rPr>
          <w:rFonts w:eastAsia="Aptos" w:cs="Times New Roman"/>
          <w:sz w:val="22"/>
        </w:rPr>
        <w:t xml:space="preserve"> quarter of 202</w:t>
      </w:r>
      <w:r w:rsidR="00E066FC">
        <w:rPr>
          <w:rFonts w:eastAsia="Aptos" w:cs="Times New Roman"/>
          <w:sz w:val="22"/>
        </w:rPr>
        <w:t>8</w:t>
      </w:r>
      <w:r w:rsidRPr="000A319E">
        <w:rPr>
          <w:rFonts w:eastAsia="Aptos" w:cs="Times New Roman"/>
          <w:sz w:val="22"/>
        </w:rPr>
        <w:t xml:space="preserve">, and full buildout will occur in the </w:t>
      </w:r>
      <w:r w:rsidR="00E066FC">
        <w:rPr>
          <w:rFonts w:eastAsia="Aptos" w:cs="Times New Roman"/>
          <w:sz w:val="22"/>
        </w:rPr>
        <w:t>third</w:t>
      </w:r>
      <w:r w:rsidRPr="000A319E">
        <w:rPr>
          <w:rFonts w:eastAsia="Aptos" w:cs="Times New Roman"/>
          <w:sz w:val="22"/>
        </w:rPr>
        <w:t xml:space="preserve"> quarter of 20</w:t>
      </w:r>
      <w:r w:rsidR="00E066FC">
        <w:rPr>
          <w:rFonts w:eastAsia="Aptos" w:cs="Times New Roman"/>
          <w:sz w:val="22"/>
        </w:rPr>
        <w:t>30</w:t>
      </w:r>
      <w:r w:rsidRPr="000A319E">
        <w:rPr>
          <w:rFonts w:eastAsia="Aptos" w:cs="Times New Roman"/>
          <w:sz w:val="22"/>
        </w:rPr>
        <w:t>.</w:t>
      </w:r>
    </w:p>
    <w:p w14:paraId="6C9FDEF3" w14:textId="2AF94DE1" w:rsidR="000A319E" w:rsidRPr="000A319E" w:rsidRDefault="000A319E" w:rsidP="000A319E">
      <w:pPr>
        <w:spacing w:after="240"/>
        <w:ind w:firstLine="720"/>
        <w:jc w:val="both"/>
        <w:rPr>
          <w:rFonts w:eastAsia="Aptos" w:cs="Times New Roman"/>
          <w:sz w:val="22"/>
        </w:rPr>
      </w:pPr>
      <w:r w:rsidRPr="000A319E">
        <w:rPr>
          <w:rFonts w:eastAsia="Aptos" w:cs="Times New Roman"/>
          <w:sz w:val="22"/>
        </w:rPr>
        <w:t>Phase 1 of the Sorrento portion of the Development encompasses approximately 11 acres and plans to include 66 building lots for single family detached homes</w:t>
      </w:r>
      <w:r w:rsidR="0079119D">
        <w:rPr>
          <w:rFonts w:eastAsia="Aptos" w:cs="Times New Roman"/>
          <w:sz w:val="22"/>
        </w:rPr>
        <w:t xml:space="preserve"> and closed in July 2026</w:t>
      </w:r>
      <w:r w:rsidRPr="000A319E">
        <w:rPr>
          <w:rFonts w:eastAsia="Aptos" w:cs="Times New Roman"/>
          <w:sz w:val="22"/>
        </w:rPr>
        <w:t>. Phase 2 of the Sorrento portion of the Development encompasses approximately 10 acres and plans to include 47 building lots for single family detached homes</w:t>
      </w:r>
      <w:r w:rsidR="0079119D">
        <w:rPr>
          <w:rFonts w:eastAsia="Aptos" w:cs="Times New Roman"/>
          <w:sz w:val="22"/>
        </w:rPr>
        <w:t xml:space="preserve"> and is anticipated to close in or before July 2027</w:t>
      </w:r>
      <w:r w:rsidRPr="000A319E">
        <w:rPr>
          <w:rFonts w:eastAsia="Aptos" w:cs="Times New Roman"/>
          <w:sz w:val="22"/>
        </w:rPr>
        <w:t xml:space="preserve">. Edge Homes is committed to purchasing these phases sequentially, based on the Developer obtaining the required approvals and subdivisions from the City in line with a detailed phasing plan. </w:t>
      </w:r>
    </w:p>
    <w:p w14:paraId="4C38FA9A" w14:textId="69C39753" w:rsidR="000A319E" w:rsidRPr="000A319E" w:rsidRDefault="000A319E" w:rsidP="000A319E">
      <w:pPr>
        <w:spacing w:after="240"/>
        <w:ind w:firstLine="720"/>
        <w:jc w:val="both"/>
        <w:rPr>
          <w:rFonts w:eastAsia="Aptos" w:cs="Times New Roman"/>
          <w:sz w:val="22"/>
        </w:rPr>
      </w:pPr>
      <w:r w:rsidRPr="000A319E">
        <w:rPr>
          <w:rFonts w:eastAsia="Aptos" w:cs="Times New Roman"/>
          <w:sz w:val="22"/>
        </w:rPr>
        <w:t>Phase 1 of the Acadia portion of the Development encompasses approximately 9 acres and plans to include 87 townhomes and 19 building lots for single family detached homes</w:t>
      </w:r>
      <w:r w:rsidR="0079119D">
        <w:rPr>
          <w:rFonts w:eastAsia="Aptos" w:cs="Times New Roman"/>
          <w:sz w:val="22"/>
        </w:rPr>
        <w:t xml:space="preserve"> and closed in July 2026</w:t>
      </w:r>
      <w:r w:rsidRPr="000A319E">
        <w:rPr>
          <w:rFonts w:eastAsia="Aptos" w:cs="Times New Roman"/>
          <w:sz w:val="22"/>
        </w:rPr>
        <w:t xml:space="preserve">. Phase 2 of the Acadia portion of the Development encompasses approximately 10 acres and plans to include 99 townhomes and 9 building lots for single family detached homes. It is anticipated to close on or before May 31, 2027. Phase 3 of the Acadia portion of the Development encompasses approximately 11 acres and plans to include 73 townhomes and 27 building lots for single family detached homes. It is anticipated to close on or before June 30, 2027. Phase 4 of the Acadia portion of the Development encompasses approximately 7 acres and plans to include 36 townhomes and 31 building lots for single family detached homes. It is anticipated to close on or before February 29, 2028. Edge Homes is committed to purchasing these phases sequentially, based on the Developer obtaining the required approvals and subdivisions from the City in line with a detailed phasing plan. </w:t>
      </w:r>
    </w:p>
    <w:p w14:paraId="40F2B632" w14:textId="77777777" w:rsidR="000A319E" w:rsidRPr="000A319E" w:rsidRDefault="000A319E" w:rsidP="000A319E">
      <w:pPr>
        <w:spacing w:after="240"/>
        <w:ind w:firstLine="720"/>
        <w:jc w:val="both"/>
        <w:rPr>
          <w:rFonts w:eastAsia="Aptos" w:cs="Times New Roman"/>
          <w:sz w:val="22"/>
        </w:rPr>
      </w:pPr>
      <w:r w:rsidRPr="000A319E">
        <w:rPr>
          <w:rFonts w:eastAsia="Aptos" w:cs="Times New Roman"/>
          <w:sz w:val="22"/>
        </w:rPr>
        <w:t>The Edge Homes PSAs outline obligations for the construction of subdivision improvements, shared project improvements, and specific infrastructure contributions. This includes a cost-sharing arrangement for certain infrastructure components, including improvements related to roadways within the Development, and mandates for the establishment of homeowners’ associations, alongside architectural review requirements for Edge Homes to ensure compliance with the Development’s standards. The Edge Homes PSAs also acknowledge certain implications of the Olympia PIDs on the property. The Edge Homes PSAs outline Edge Homes’ acknowledgment of and agreement to certain disclosures, consent requirements, and the financial implications of Olympia PID-related taxes and contract fees on the development process.</w:t>
      </w:r>
    </w:p>
    <w:p w14:paraId="6CC694AF" w14:textId="62ADD0BA" w:rsidR="000A319E" w:rsidRPr="000A319E" w:rsidRDefault="000A319E" w:rsidP="000A319E">
      <w:pPr>
        <w:spacing w:after="240"/>
        <w:ind w:firstLine="720"/>
        <w:jc w:val="both"/>
        <w:rPr>
          <w:rFonts w:eastAsia="Aptos" w:cs="Times New Roman"/>
          <w:sz w:val="22"/>
        </w:rPr>
      </w:pPr>
      <w:r w:rsidRPr="000A319E">
        <w:rPr>
          <w:rFonts w:eastAsia="Aptos" w:cs="Times New Roman"/>
          <w:sz w:val="22"/>
        </w:rPr>
        <w:t xml:space="preserve">In accordance with the Edge Homes PSAs, </w:t>
      </w:r>
      <w:r w:rsidR="00404F7D">
        <w:rPr>
          <w:rFonts w:eastAsia="Aptos" w:cs="Times New Roman"/>
          <w:sz w:val="22"/>
        </w:rPr>
        <w:t xml:space="preserve">and at the option of the Developer, </w:t>
      </w:r>
      <w:r w:rsidRPr="000A319E">
        <w:rPr>
          <w:rFonts w:eastAsia="Aptos" w:cs="Times New Roman"/>
          <w:sz w:val="22"/>
        </w:rPr>
        <w:t xml:space="preserve">Edge Homes may pay all or part of the purchase price for each </w:t>
      </w:r>
      <w:r w:rsidR="0079119D">
        <w:rPr>
          <w:rFonts w:eastAsia="Aptos" w:cs="Times New Roman"/>
          <w:sz w:val="22"/>
        </w:rPr>
        <w:t>P</w:t>
      </w:r>
      <w:r w:rsidRPr="000A319E">
        <w:rPr>
          <w:rFonts w:eastAsia="Aptos" w:cs="Times New Roman"/>
          <w:sz w:val="22"/>
        </w:rPr>
        <w:t xml:space="preserve">hase of the Development by transferring completed townhome units in the Edge Homes Mount Rainier subdivision in Olympia Public Infrastructure District No. </w:t>
      </w:r>
      <w:r w:rsidR="00C5224B">
        <w:rPr>
          <w:rFonts w:eastAsia="Aptos" w:cs="Times New Roman"/>
          <w:sz w:val="22"/>
        </w:rPr>
        <w:t xml:space="preserve">1 </w:t>
      </w:r>
      <w:r w:rsidR="0079119D">
        <w:rPr>
          <w:rFonts w:eastAsia="Aptos" w:cs="Times New Roman"/>
          <w:sz w:val="22"/>
        </w:rPr>
        <w:t>or</w:t>
      </w:r>
      <w:r w:rsidRPr="000A319E">
        <w:rPr>
          <w:rFonts w:eastAsia="Aptos" w:cs="Times New Roman"/>
          <w:sz w:val="22"/>
        </w:rPr>
        <w:t xml:space="preserve"> in the Edge Homes Mountain Ridge subdivision in Riverton, Utah</w:t>
      </w:r>
      <w:r w:rsidR="0079119D">
        <w:rPr>
          <w:rFonts w:eastAsia="Aptos" w:cs="Times New Roman"/>
          <w:sz w:val="22"/>
        </w:rPr>
        <w:t xml:space="preserve">, provided such </w:t>
      </w:r>
      <w:r w:rsidRPr="000A319E">
        <w:rPr>
          <w:rFonts w:eastAsia="Aptos" w:cs="Times New Roman"/>
          <w:sz w:val="22"/>
        </w:rPr>
        <w:t>units must have certificates of occupancy and be conveyed at closing free of encumbrances other than unpaid property taxes. Any remaining unpaid purchase price at closing must be paid in cash.</w:t>
      </w:r>
      <w:r w:rsidR="0079119D">
        <w:rPr>
          <w:rFonts w:eastAsia="Aptos" w:cs="Times New Roman"/>
          <w:sz w:val="22"/>
        </w:rPr>
        <w:t xml:space="preserve"> </w:t>
      </w:r>
      <w:r w:rsidRPr="000A319E">
        <w:rPr>
          <w:rFonts w:eastAsia="Aptos" w:cs="Times New Roman"/>
          <w:sz w:val="22"/>
        </w:rPr>
        <w:t>The Edge Homes PSAs incorporates provisions for price escalation and adjustments based on the final approved plat. Edge Homes has made earnest money deposits of $400,000 with respect to Acadia and $250,000 with respect to Sorrento, both of which have become non-refundable, except under certain conditions such as developer default. The Edge Homes PSAs outline the Developer’s obligation to secure all necessary subdivisions and approvals for the projects, while Edge Homes agrees to purchase and subsequently develop the properties according to the agreed-upon phased plan.</w:t>
      </w:r>
    </w:p>
    <w:p w14:paraId="1942E893" w14:textId="77777777" w:rsidR="000A319E" w:rsidRPr="000A319E" w:rsidRDefault="000A319E" w:rsidP="000A319E">
      <w:pPr>
        <w:spacing w:after="240"/>
        <w:ind w:firstLine="720"/>
        <w:jc w:val="both"/>
        <w:rPr>
          <w:rFonts w:eastAsia="Aptos" w:cs="Times New Roman"/>
          <w:sz w:val="22"/>
        </w:rPr>
      </w:pPr>
      <w:r w:rsidRPr="000A319E">
        <w:rPr>
          <w:rFonts w:eastAsia="Aptos" w:cs="Times New Roman"/>
          <w:sz w:val="22"/>
        </w:rPr>
        <w:t>The Edge Homes PSAs delineate mutual covenants regarding the condition and use of the property, including the Developer’s commitments to not further encumber the property without Edge Homes’ consent and to comply with all applicable laws and regulations. Edge Homes, in turn, commits to developing the property in accordance with the City’s requirements and the agreed-upon plans. The Edge Homes PSAs also anticipate potential adjustments to the project based on the actual number of units approved in the final plats, with specific provisions for adjusting the purchase prices accordingly.</w:t>
      </w:r>
    </w:p>
    <w:p w14:paraId="36E11191" w14:textId="77777777" w:rsidR="000A319E" w:rsidRPr="000A319E" w:rsidRDefault="000A319E" w:rsidP="000A319E">
      <w:pPr>
        <w:spacing w:after="240"/>
        <w:ind w:firstLine="720"/>
        <w:jc w:val="both"/>
        <w:rPr>
          <w:rFonts w:eastAsia="Aptos" w:cs="Times New Roman"/>
          <w:sz w:val="22"/>
        </w:rPr>
      </w:pPr>
      <w:r w:rsidRPr="000A319E">
        <w:rPr>
          <w:rFonts w:eastAsia="Aptos" w:cs="Times New Roman"/>
          <w:sz w:val="22"/>
        </w:rPr>
        <w:t>Closings under the Edge Homes PSAs are conditioned upon final plat approval having been obtained with respect to the applicable phase. According to the Developer, final plats for Phases 2-5 of Acadia are anticipated to be between [________] and [________]. According to the Developer, final plats for Phase 2 of Sorrento are anticipated to be approved in [_____] 202[_]. In addition, the Developer is responsible for the reasonable costs of any soil remediation necessary to clean up and remediate contamination, whether discovered before or after the applicable closing.</w:t>
      </w:r>
    </w:p>
    <w:p w14:paraId="736BAA0F" w14:textId="0B10A476" w:rsidR="000A319E" w:rsidRPr="000A319E" w:rsidRDefault="000A319E" w:rsidP="000A319E">
      <w:pPr>
        <w:spacing w:after="240"/>
        <w:ind w:firstLine="720"/>
        <w:jc w:val="both"/>
        <w:rPr>
          <w:rFonts w:eastAsia="Times New Roman" w:cs="Times New Roman"/>
          <w:sz w:val="22"/>
          <w:szCs w:val="22"/>
        </w:rPr>
      </w:pPr>
      <w:r w:rsidRPr="000A319E">
        <w:rPr>
          <w:rFonts w:eastAsia="Aptos" w:cs="Times New Roman"/>
          <w:b/>
          <w:bCs/>
          <w:i/>
          <w:iCs/>
          <w:sz w:val="22"/>
        </w:rPr>
        <w:t>Wright Homes</w:t>
      </w:r>
      <w:r w:rsidRPr="000A319E">
        <w:rPr>
          <w:rFonts w:eastAsia="Aptos" w:cs="Times New Roman"/>
          <w:sz w:val="22"/>
        </w:rPr>
        <w:t xml:space="preserve">. </w:t>
      </w:r>
      <w:bookmarkStart w:id="212" w:name="_Hlk161157132"/>
      <w:r w:rsidRPr="000A319E">
        <w:rPr>
          <w:rFonts w:eastAsia="Aptos" w:cs="Times New Roman"/>
          <w:sz w:val="22"/>
        </w:rPr>
        <w:t>It is anticipated that Wright Homes will construct 60 single family detached homes comprising the “</w:t>
      </w:r>
      <w:r w:rsidRPr="000A319E">
        <w:rPr>
          <w:rFonts w:eastAsia="Aptos" w:cs="Times New Roman"/>
          <w:b/>
          <w:bCs/>
          <w:sz w:val="22"/>
        </w:rPr>
        <w:t>Cascades</w:t>
      </w:r>
      <w:r w:rsidRPr="000A319E">
        <w:rPr>
          <w:rFonts w:eastAsia="Aptos" w:cs="Times New Roman"/>
          <w:sz w:val="22"/>
        </w:rPr>
        <w:t xml:space="preserve">” portion of the Development. It is anticipated that Wright Homes will commence vertical construction of speculation homes within Cascades in the [______] quarter of 202[_], the first home closings will occur in the </w:t>
      </w:r>
      <w:r w:rsidR="004518F8">
        <w:rPr>
          <w:rFonts w:eastAsia="Aptos" w:cs="Times New Roman"/>
          <w:sz w:val="22"/>
        </w:rPr>
        <w:t>second</w:t>
      </w:r>
      <w:r w:rsidRPr="000A319E">
        <w:rPr>
          <w:rFonts w:eastAsia="Aptos" w:cs="Times New Roman"/>
          <w:sz w:val="22"/>
        </w:rPr>
        <w:t xml:space="preserve"> quarter of 202</w:t>
      </w:r>
      <w:r w:rsidR="004518F8">
        <w:rPr>
          <w:rFonts w:eastAsia="Aptos" w:cs="Times New Roman"/>
          <w:sz w:val="22"/>
        </w:rPr>
        <w:t>8</w:t>
      </w:r>
      <w:r w:rsidRPr="000A319E">
        <w:rPr>
          <w:rFonts w:eastAsia="Aptos" w:cs="Times New Roman"/>
          <w:sz w:val="22"/>
        </w:rPr>
        <w:t xml:space="preserve">, and full buildout will occur in the </w:t>
      </w:r>
      <w:r w:rsidR="004518F8">
        <w:rPr>
          <w:rFonts w:eastAsia="Aptos" w:cs="Times New Roman"/>
          <w:sz w:val="22"/>
        </w:rPr>
        <w:t>second</w:t>
      </w:r>
      <w:r w:rsidRPr="000A319E">
        <w:rPr>
          <w:rFonts w:eastAsia="Aptos" w:cs="Times New Roman"/>
          <w:sz w:val="22"/>
        </w:rPr>
        <w:t xml:space="preserve"> quarter of 20</w:t>
      </w:r>
      <w:r w:rsidR="004518F8">
        <w:rPr>
          <w:rFonts w:eastAsia="Aptos" w:cs="Times New Roman"/>
          <w:sz w:val="22"/>
        </w:rPr>
        <w:t>31</w:t>
      </w:r>
      <w:r w:rsidRPr="000A319E">
        <w:rPr>
          <w:rFonts w:eastAsia="Aptos" w:cs="Times New Roman"/>
          <w:sz w:val="22"/>
        </w:rPr>
        <w:t>. Wright Homes closed on approximately 13 acres of the Development in July 2026, consisting of 60 single-family lots pursuant to a purchase and sale agreement (the “</w:t>
      </w:r>
      <w:r w:rsidRPr="000A319E">
        <w:rPr>
          <w:rFonts w:eastAsia="Aptos" w:cs="Times New Roman"/>
          <w:b/>
          <w:bCs/>
          <w:sz w:val="22"/>
        </w:rPr>
        <w:t>Wright Homes PSA</w:t>
      </w:r>
      <w:r w:rsidRPr="000A319E">
        <w:rPr>
          <w:rFonts w:eastAsia="Aptos" w:cs="Times New Roman"/>
          <w:sz w:val="22"/>
        </w:rPr>
        <w:t>”) between the Developer and Wright Homes dated June 30, 2026.</w:t>
      </w:r>
      <w:r w:rsidRPr="000A319E">
        <w:rPr>
          <w:rFonts w:eastAsia="Times New Roman" w:cs="Times New Roman"/>
          <w:sz w:val="22"/>
          <w:szCs w:val="22"/>
        </w:rPr>
        <w:t xml:space="preserve"> It is anticipated that the Developer and Wright Homes enter into a purchase agreement whereby Wright Homes will purchase an additional 53 single-family lots known as Phase 2 of the Cascades portion of the Development.</w:t>
      </w:r>
    </w:p>
    <w:bookmarkEnd w:id="212"/>
    <w:p w14:paraId="0467FF1C" w14:textId="77777777" w:rsidR="000A319E" w:rsidRPr="000A319E" w:rsidRDefault="000A319E" w:rsidP="000A319E">
      <w:pPr>
        <w:suppressAutoHyphens/>
        <w:spacing w:after="240"/>
        <w:ind w:firstLine="720"/>
        <w:jc w:val="both"/>
        <w:rPr>
          <w:rFonts w:eastAsia="Times New Roman" w:cs="Times New Roman"/>
          <w:sz w:val="22"/>
          <w:szCs w:val="22"/>
        </w:rPr>
      </w:pPr>
      <w:r w:rsidRPr="000A319E">
        <w:rPr>
          <w:rFonts w:eastAsia="Times New Roman" w:cs="Times New Roman"/>
          <w:sz w:val="22"/>
          <w:szCs w:val="22"/>
        </w:rPr>
        <w:t xml:space="preserve">Wright Homes acknowledged in the Wright Homes PSA that it will be bound by the Master Development Agreement as a subdeveloper and that the Master Development Agreement will govern development. The Wright Homes PSA also acknowledges the establishment of a homeowners’ association that will have the right to, among other things, levy assessments on lots developed on the purchased land and that the Declaration (defined herein) may contain rental restrictions prohibiting the rental of more than 5% of the residences. In addition, the Wright Homes PSA acknowledges the establishment of an architectural review committee who will have the right to, among other things, approve the elevation and outward appearance of any building, structure, or improvement constructed within the Development. Wright Homes acknowledges that the purchased land will be encumbered with an easement allowing the Developer or the homeowners’ association the right to install technology infrastructure and charge assessments related thereto. </w:t>
      </w:r>
    </w:p>
    <w:p w14:paraId="24B279D0" w14:textId="77777777" w:rsidR="000A319E" w:rsidRPr="000A319E" w:rsidRDefault="000A319E" w:rsidP="000A319E">
      <w:pPr>
        <w:suppressAutoHyphens/>
        <w:spacing w:after="240"/>
        <w:ind w:firstLine="720"/>
        <w:jc w:val="both"/>
        <w:rPr>
          <w:rFonts w:eastAsia="Times New Roman" w:cs="Times New Roman"/>
          <w:sz w:val="22"/>
          <w:szCs w:val="22"/>
        </w:rPr>
      </w:pPr>
      <w:r w:rsidRPr="000A319E">
        <w:rPr>
          <w:rFonts w:eastAsia="Times New Roman" w:cs="Times New Roman"/>
          <w:sz w:val="22"/>
          <w:szCs w:val="22"/>
        </w:rPr>
        <w:t>In addition, Wright Homes has acknowledged that it will, at its own expense, construct the right-of-way improvements, including paving for a street to the north of the purchased land known as Silver Sky Drive and agrees to complete this improvement no later than 210 days after closing, provided no unusual conditions occur outside of Wright Homes’ control. Upon completion, Wright Homes is to be reimbursed for the costs of Silver Sky Drive from the Developer. Wright Homes is also responsible to complete subdivision improvements and utility lines within the boundaries of the Development.</w:t>
      </w:r>
    </w:p>
    <w:p w14:paraId="6DF7F395" w14:textId="77777777" w:rsidR="000A319E" w:rsidRPr="000A319E" w:rsidRDefault="000A319E" w:rsidP="000A319E">
      <w:pPr>
        <w:spacing w:after="240"/>
        <w:ind w:firstLine="720"/>
        <w:jc w:val="both"/>
        <w:rPr>
          <w:rFonts w:eastAsia="Aptos" w:cs="Times New Roman"/>
          <w:sz w:val="22"/>
        </w:rPr>
      </w:pPr>
      <w:r w:rsidRPr="000A319E">
        <w:rPr>
          <w:rFonts w:eastAsia="Aptos" w:cs="Times New Roman"/>
          <w:sz w:val="22"/>
        </w:rPr>
        <w:t>The Wright Homes PSA also acknowledges certain implications of the Olympia PIDs on the property. The Wright Homes PSA outline Wright Homes’ acknowledgment of and agreement to certain disclosures, consent requirements, and the financial implications of Olympia PID-related taxes and contract fees on the development process.</w:t>
      </w:r>
    </w:p>
    <w:p w14:paraId="5C487EDB" w14:textId="77777777" w:rsidR="000A319E" w:rsidRPr="000A319E" w:rsidRDefault="000A319E" w:rsidP="000A319E">
      <w:pPr>
        <w:suppressAutoHyphens/>
        <w:spacing w:after="240"/>
        <w:ind w:firstLine="720"/>
        <w:jc w:val="both"/>
        <w:rPr>
          <w:rFonts w:eastAsia="Times New Roman" w:cs="Times New Roman"/>
          <w:sz w:val="22"/>
          <w:szCs w:val="22"/>
        </w:rPr>
      </w:pPr>
      <w:r w:rsidRPr="000A319E">
        <w:rPr>
          <w:rFonts w:eastAsia="Times New Roman" w:cs="Times New Roman"/>
          <w:sz w:val="22"/>
          <w:szCs w:val="22"/>
        </w:rPr>
        <w:t>In accordance with the closing conditions under the Wright Homes PSA, the Developer has obtained final platting for Cascades Phase 1 and delivered a letter from Kleinfelder certifying that the required environmental remediation work has been completed for all property within the Cascades portion of the Development.</w:t>
      </w:r>
    </w:p>
    <w:p w14:paraId="64378EC5" w14:textId="77777777" w:rsidR="000A319E" w:rsidRPr="000A319E" w:rsidRDefault="000A319E" w:rsidP="000A319E">
      <w:pPr>
        <w:suppressAutoHyphens/>
        <w:spacing w:after="240"/>
        <w:jc w:val="both"/>
        <w:rPr>
          <w:rFonts w:eastAsia="Times New Roman" w:cs="Times New Roman"/>
          <w:sz w:val="22"/>
          <w:szCs w:val="22"/>
        </w:rPr>
      </w:pPr>
      <w:r w:rsidRPr="000A319E">
        <w:rPr>
          <w:rFonts w:eastAsia="Times New Roman" w:cs="Times New Roman"/>
          <w:sz w:val="22"/>
          <w:szCs w:val="22"/>
        </w:rPr>
        <w:t>[</w:t>
      </w:r>
      <w:r w:rsidRPr="000A319E">
        <w:rPr>
          <w:rFonts w:eastAsia="Times New Roman" w:cs="Times New Roman"/>
          <w:sz w:val="22"/>
          <w:szCs w:val="22"/>
          <w:highlight w:val="yellow"/>
        </w:rPr>
        <w:t>CLOSED? -</w:t>
      </w:r>
      <w:r w:rsidRPr="000A319E">
        <w:rPr>
          <w:rFonts w:eastAsia="Times New Roman" w:cs="Times New Roman"/>
          <w:sz w:val="22"/>
          <w:szCs w:val="22"/>
        </w:rPr>
        <w:t xml:space="preserve"> </w:t>
      </w:r>
      <w:r w:rsidRPr="000A319E">
        <w:rPr>
          <w:rFonts w:eastAsia="Times New Roman" w:cs="Times New Roman"/>
          <w:sz w:val="22"/>
          <w:szCs w:val="22"/>
          <w:highlight w:val="yellow"/>
        </w:rPr>
        <w:t>PSA/LOI FOR REMAINDER</w:t>
      </w:r>
      <w:r w:rsidRPr="000A319E">
        <w:rPr>
          <w:rFonts w:eastAsia="Times New Roman" w:cs="Times New Roman"/>
          <w:sz w:val="22"/>
          <w:szCs w:val="22"/>
        </w:rPr>
        <w:t>?]</w:t>
      </w:r>
    </w:p>
    <w:p w14:paraId="426CF508" w14:textId="77777777" w:rsidR="000A319E" w:rsidRPr="000A319E" w:rsidRDefault="000A319E" w:rsidP="000A319E">
      <w:pPr>
        <w:spacing w:after="240"/>
        <w:jc w:val="both"/>
        <w:rPr>
          <w:rFonts w:eastAsia="Aptos" w:cs="Times New Roman"/>
          <w:sz w:val="22"/>
        </w:rPr>
      </w:pPr>
      <w:r w:rsidRPr="000A319E">
        <w:rPr>
          <w:rFonts w:eastAsia="Aptos" w:cs="Times New Roman"/>
          <w:sz w:val="22"/>
        </w:rPr>
        <w:t>[</w:t>
      </w:r>
      <w:r w:rsidRPr="000A319E">
        <w:rPr>
          <w:rFonts w:eastAsia="Aptos" w:cs="Times New Roman"/>
          <w:sz w:val="22"/>
          <w:highlight w:val="cyan"/>
        </w:rPr>
        <w:t>ADD JOSHUA TREE AND YOSEMITE ONCE RECEIVED</w:t>
      </w:r>
      <w:r w:rsidRPr="000A319E">
        <w:rPr>
          <w:rFonts w:eastAsia="Aptos" w:cs="Times New Roman"/>
          <w:sz w:val="22"/>
        </w:rPr>
        <w:t>]</w:t>
      </w:r>
    </w:p>
    <w:p w14:paraId="4793E7B3" w14:textId="5229668A" w:rsidR="00A12EF9" w:rsidRPr="00A12EF9" w:rsidRDefault="00A12EF9" w:rsidP="00A12EF9">
      <w:pPr>
        <w:pStyle w:val="00BodyText5"/>
        <w:rPr>
          <w:b/>
          <w:i/>
        </w:rPr>
      </w:pPr>
      <w:r>
        <w:rPr>
          <w:b/>
          <w:i/>
        </w:rPr>
        <w:t xml:space="preserve">No assurance is provided that buildout of the Development as described herein will occur in the timeframes contemplated herein, or at all, or that the foregoing real estate purchase contracts will close in the timelines contemplated herein, or at all. See “RISK FACTORS—Development Not Assured.” </w:t>
      </w:r>
    </w:p>
    <w:p w14:paraId="76628AB1" w14:textId="14AFBA4A" w:rsidR="00E374C4" w:rsidRPr="00DA2177" w:rsidRDefault="00E374C4" w:rsidP="00B471D8">
      <w:pPr>
        <w:pStyle w:val="Heading2"/>
        <w:numPr>
          <w:ilvl w:val="1"/>
          <w:numId w:val="2"/>
        </w:numPr>
        <w:rPr>
          <w:rFonts w:eastAsia="Times New Roman"/>
          <w:bCs w:val="0"/>
          <w:sz w:val="22"/>
          <w:szCs w:val="22"/>
        </w:rPr>
      </w:pPr>
      <w:bookmarkStart w:id="213" w:name="_Toc235521105"/>
      <w:r>
        <w:rPr>
          <w:rFonts w:eastAsia="Times New Roman"/>
          <w:bCs w:val="0"/>
          <w:sz w:val="22"/>
          <w:szCs w:val="22"/>
        </w:rPr>
        <w:t>Plan of Finance for the Development</w:t>
      </w:r>
      <w:bookmarkEnd w:id="213"/>
    </w:p>
    <w:p w14:paraId="13CE47E6" w14:textId="1A28A99E" w:rsidR="00E374C4" w:rsidRDefault="00476F13" w:rsidP="00E374C4">
      <w:pPr>
        <w:pStyle w:val="00BodyText5"/>
        <w:rPr>
          <w:rFonts w:cs="Times New Roman"/>
          <w:szCs w:val="22"/>
        </w:rPr>
      </w:pPr>
      <w:r>
        <w:rPr>
          <w:rFonts w:cs="Times New Roman"/>
          <w:i/>
          <w:szCs w:val="22"/>
        </w:rPr>
        <w:t>Improvements</w:t>
      </w:r>
      <w:r w:rsidR="00E374C4">
        <w:rPr>
          <w:rFonts w:cs="Times New Roman"/>
          <w:szCs w:val="22"/>
        </w:rPr>
        <w:t xml:space="preserve">. According to the Developer, the total cost of the </w:t>
      </w:r>
      <w:r>
        <w:rPr>
          <w:rFonts w:cs="Times New Roman"/>
          <w:szCs w:val="22"/>
        </w:rPr>
        <w:t>Improvements</w:t>
      </w:r>
      <w:r w:rsidR="00E374C4">
        <w:rPr>
          <w:rFonts w:cs="Times New Roman"/>
          <w:szCs w:val="22"/>
        </w:rPr>
        <w:t xml:space="preserve"> required to serve the Development is estimated to be approximately $</w:t>
      </w:r>
      <w:r w:rsidR="00EC5B5F">
        <w:rPr>
          <w:rFonts w:cs="Times New Roman"/>
          <w:szCs w:val="22"/>
        </w:rPr>
        <w:t>130,088,548</w:t>
      </w:r>
      <w:r w:rsidR="00E374C4">
        <w:rPr>
          <w:rFonts w:cs="Times New Roman"/>
          <w:szCs w:val="22"/>
        </w:rPr>
        <w:t>, of which approximately</w:t>
      </w:r>
      <w:r w:rsidR="00C153D9">
        <w:rPr>
          <w:rFonts w:cs="Times New Roman"/>
          <w:szCs w:val="22"/>
        </w:rPr>
        <w:t xml:space="preserve"> $71,088,548 constitute </w:t>
      </w:r>
      <w:r w:rsidR="00205FE0">
        <w:rPr>
          <w:rFonts w:cs="Times New Roman"/>
          <w:szCs w:val="22"/>
        </w:rPr>
        <w:t>Developer Improvements</w:t>
      </w:r>
      <w:r w:rsidR="00C153D9">
        <w:rPr>
          <w:rFonts w:cs="Times New Roman"/>
          <w:szCs w:val="22"/>
        </w:rPr>
        <w:t xml:space="preserve"> and approximately $59,000,000 constitute Homebuilder</w:t>
      </w:r>
      <w:r w:rsidR="00205FE0">
        <w:rPr>
          <w:rFonts w:cs="Times New Roman"/>
          <w:szCs w:val="22"/>
        </w:rPr>
        <w:t xml:space="preserve"> Improvement</w:t>
      </w:r>
      <w:r w:rsidR="00C153D9">
        <w:rPr>
          <w:rFonts w:cs="Times New Roman"/>
          <w:szCs w:val="22"/>
        </w:rPr>
        <w:t>s.</w:t>
      </w:r>
      <w:r w:rsidR="00E374C4">
        <w:rPr>
          <w:rFonts w:cs="Times New Roman"/>
          <w:szCs w:val="22"/>
        </w:rPr>
        <w:t xml:space="preserve"> </w:t>
      </w:r>
      <w:r w:rsidR="00C153D9">
        <w:rPr>
          <w:rFonts w:cs="Times New Roman"/>
          <w:szCs w:val="22"/>
        </w:rPr>
        <w:t xml:space="preserve">It is anticipated that a portion of the Developer Improvements in the amount of </w:t>
      </w:r>
      <w:r w:rsidR="00E374C4">
        <w:rPr>
          <w:rFonts w:cs="Times New Roman"/>
          <w:szCs w:val="22"/>
        </w:rPr>
        <w:t>$[NET PROCEEDS]</w:t>
      </w:r>
      <w:r w:rsidR="00E374C4">
        <w:rPr>
          <w:rStyle w:val="FootnoteReference"/>
          <w:rFonts w:eastAsia="Calibri" w:cs="Times New Roman"/>
          <w:szCs w:val="22"/>
        </w:rPr>
        <w:footnoteReference w:customMarkFollows="1" w:id="21"/>
        <w:t>*</w:t>
      </w:r>
      <w:r w:rsidR="00E374C4">
        <w:rPr>
          <w:rFonts w:cs="Times New Roman"/>
          <w:szCs w:val="22"/>
        </w:rPr>
        <w:t xml:space="preserve"> </w:t>
      </w:r>
      <w:r w:rsidR="00C153D9">
        <w:rPr>
          <w:rFonts w:cs="Times New Roman"/>
          <w:szCs w:val="22"/>
        </w:rPr>
        <w:t>will be</w:t>
      </w:r>
      <w:r w:rsidR="00E374C4">
        <w:rPr>
          <w:rFonts w:cs="Times New Roman"/>
          <w:szCs w:val="22"/>
        </w:rPr>
        <w:t xml:space="preserve"> financed by the District and </w:t>
      </w:r>
      <w:r w:rsidR="00C153D9">
        <w:rPr>
          <w:rFonts w:cs="Times New Roman"/>
          <w:szCs w:val="22"/>
        </w:rPr>
        <w:t xml:space="preserve">the remaining </w:t>
      </w:r>
      <w:r w:rsidR="00E374C4">
        <w:rPr>
          <w:rFonts w:cs="Times New Roman"/>
          <w:szCs w:val="22"/>
        </w:rPr>
        <w:t>$[</w:t>
      </w:r>
      <w:r w:rsidR="00892B42">
        <w:rPr>
          <w:rFonts w:cs="Times New Roman"/>
          <w:szCs w:val="22"/>
        </w:rPr>
        <w:t>________</w:t>
      </w:r>
      <w:r w:rsidR="00E374C4">
        <w:rPr>
          <w:rFonts w:cs="Times New Roman"/>
          <w:szCs w:val="22"/>
        </w:rPr>
        <w:t>]</w:t>
      </w:r>
      <w:r w:rsidR="00E374C4">
        <w:rPr>
          <w:rFonts w:cs="Times New Roman"/>
          <w:szCs w:val="22"/>
          <w:vertAlign w:val="superscript"/>
        </w:rPr>
        <w:t>*</w:t>
      </w:r>
      <w:r w:rsidR="00E374C4">
        <w:rPr>
          <w:rFonts w:cs="Times New Roman"/>
          <w:szCs w:val="22"/>
        </w:rPr>
        <w:t xml:space="preserve"> </w:t>
      </w:r>
      <w:r w:rsidR="00C153D9">
        <w:rPr>
          <w:rFonts w:cs="Times New Roman"/>
          <w:szCs w:val="22"/>
        </w:rPr>
        <w:t xml:space="preserve">Developer Improvements are </w:t>
      </w:r>
      <w:r w:rsidR="00E374C4">
        <w:rPr>
          <w:rFonts w:cs="Times New Roman"/>
          <w:szCs w:val="22"/>
        </w:rPr>
        <w:t>anticipated to be financed by the Developer</w:t>
      </w:r>
      <w:r w:rsidR="0080211B">
        <w:rPr>
          <w:rFonts w:cs="Times New Roman"/>
          <w:szCs w:val="22"/>
        </w:rPr>
        <w:t>, with all of the Homebuilder Improvements to be financed by the Homebuilders</w:t>
      </w:r>
      <w:r w:rsidR="00E374C4">
        <w:rPr>
          <w:rFonts w:cs="Times New Roman"/>
          <w:szCs w:val="22"/>
        </w:rPr>
        <w:t xml:space="preserve">. </w:t>
      </w:r>
      <w:r w:rsidR="00892B42">
        <w:rPr>
          <w:rFonts w:cs="Times New Roman"/>
          <w:szCs w:val="22"/>
        </w:rPr>
        <w:t>[</w:t>
      </w:r>
      <w:r w:rsidR="00E374C4">
        <w:rPr>
          <w:rFonts w:cs="Times New Roman"/>
          <w:szCs w:val="22"/>
        </w:rPr>
        <w:t>The foregoing estimates do not include costs of improvements relating to relocation of U-111 and construction of 6400 West (other than segment one, which is included) and related road improvements, which are anticipated to be funded or reimbursed from funds appropriated by the Utah legislature and the County, as further described below.</w:t>
      </w:r>
      <w:r w:rsidR="00892B42">
        <w:rPr>
          <w:rFonts w:cs="Times New Roman"/>
          <w:szCs w:val="22"/>
        </w:rPr>
        <w:t>]</w:t>
      </w:r>
      <w:r w:rsidR="00E374C4">
        <w:rPr>
          <w:rFonts w:cs="Times New Roman"/>
          <w:szCs w:val="22"/>
        </w:rPr>
        <w:t xml:space="preserve"> Construction of </w:t>
      </w:r>
      <w:r w:rsidR="00C153D9">
        <w:rPr>
          <w:rFonts w:cs="Times New Roman"/>
          <w:szCs w:val="22"/>
        </w:rPr>
        <w:t>the Developer</w:t>
      </w:r>
      <w:r w:rsidR="00E374C4">
        <w:rPr>
          <w:rFonts w:cs="Times New Roman"/>
          <w:szCs w:val="22"/>
        </w:rPr>
        <w:t xml:space="preserve"> Improvements </w:t>
      </w:r>
      <w:r w:rsidR="00C153D9">
        <w:rPr>
          <w:rFonts w:cs="Times New Roman"/>
          <w:szCs w:val="22"/>
        </w:rPr>
        <w:t>commenced</w:t>
      </w:r>
      <w:r w:rsidR="00E374C4">
        <w:rPr>
          <w:rFonts w:cs="Times New Roman"/>
          <w:szCs w:val="22"/>
        </w:rPr>
        <w:t xml:space="preserve"> in the </w:t>
      </w:r>
      <w:r w:rsidR="00C153D9">
        <w:rPr>
          <w:rFonts w:cs="Times New Roman"/>
          <w:szCs w:val="22"/>
        </w:rPr>
        <w:t xml:space="preserve">third </w:t>
      </w:r>
      <w:r w:rsidR="00E374C4">
        <w:rPr>
          <w:rFonts w:cs="Times New Roman"/>
          <w:szCs w:val="22"/>
        </w:rPr>
        <w:t>quarter</w:t>
      </w:r>
      <w:r w:rsidR="00C153D9">
        <w:rPr>
          <w:rFonts w:cs="Times New Roman"/>
          <w:szCs w:val="22"/>
        </w:rPr>
        <w:t xml:space="preserve"> of</w:t>
      </w:r>
      <w:r w:rsidR="00E374C4">
        <w:rPr>
          <w:rFonts w:cs="Times New Roman"/>
          <w:szCs w:val="22"/>
        </w:rPr>
        <w:t xml:space="preserve"> 202</w:t>
      </w:r>
      <w:r w:rsidR="00C153D9">
        <w:rPr>
          <w:rFonts w:cs="Times New Roman"/>
          <w:szCs w:val="22"/>
        </w:rPr>
        <w:t>6</w:t>
      </w:r>
      <w:r w:rsidR="00E374C4">
        <w:rPr>
          <w:rFonts w:cs="Times New Roman"/>
          <w:szCs w:val="22"/>
        </w:rPr>
        <w:t>, with approximately $</w:t>
      </w:r>
      <w:r w:rsidR="00C153D9">
        <w:rPr>
          <w:rFonts w:cs="Times New Roman"/>
          <w:szCs w:val="22"/>
        </w:rPr>
        <w:t>16,750,930</w:t>
      </w:r>
      <w:r w:rsidR="00E374C4">
        <w:rPr>
          <w:rFonts w:cs="Times New Roman"/>
          <w:szCs w:val="22"/>
        </w:rPr>
        <w:t xml:space="preserve"> completed </w:t>
      </w:r>
      <w:r w:rsidR="006E1A6A">
        <w:rPr>
          <w:rFonts w:cs="Times New Roman"/>
          <w:szCs w:val="22"/>
        </w:rPr>
        <w:t>as of July 1, 2026</w:t>
      </w:r>
      <w:r w:rsidR="00E374C4">
        <w:rPr>
          <w:rFonts w:cs="Times New Roman"/>
          <w:szCs w:val="22"/>
        </w:rPr>
        <w:t xml:space="preserve">, consisting of </w:t>
      </w:r>
      <w:r w:rsidR="00C153D9">
        <w:rPr>
          <w:rFonts w:cs="Times New Roman"/>
          <w:szCs w:val="22"/>
        </w:rPr>
        <w:t>road, water tank</w:t>
      </w:r>
      <w:r w:rsidR="00E32E5C">
        <w:rPr>
          <w:rFonts w:cs="Times New Roman"/>
          <w:szCs w:val="22"/>
        </w:rPr>
        <w:t>,</w:t>
      </w:r>
      <w:r w:rsidR="00C153D9">
        <w:rPr>
          <w:rFonts w:cs="Times New Roman"/>
          <w:szCs w:val="22"/>
        </w:rPr>
        <w:t xml:space="preserve"> and utility improvements</w:t>
      </w:r>
      <w:r w:rsidR="00E374C4">
        <w:rPr>
          <w:rFonts w:cs="Times New Roman"/>
          <w:szCs w:val="22"/>
        </w:rPr>
        <w:t xml:space="preserve">, and related improvements. Construction of the </w:t>
      </w:r>
      <w:r>
        <w:rPr>
          <w:rFonts w:cs="Times New Roman"/>
          <w:szCs w:val="22"/>
        </w:rPr>
        <w:t>Improvements</w:t>
      </w:r>
      <w:r w:rsidR="00E374C4">
        <w:rPr>
          <w:rFonts w:cs="Times New Roman"/>
          <w:szCs w:val="22"/>
        </w:rPr>
        <w:t xml:space="preserve"> serving the Development are anticipated to completed by the </w:t>
      </w:r>
      <w:r w:rsidR="00E32E5C">
        <w:rPr>
          <w:rFonts w:cs="Times New Roman"/>
          <w:szCs w:val="22"/>
        </w:rPr>
        <w:t>third</w:t>
      </w:r>
      <w:r w:rsidR="00E374C4">
        <w:rPr>
          <w:rFonts w:cs="Times New Roman"/>
          <w:szCs w:val="22"/>
        </w:rPr>
        <w:t xml:space="preserve"> quarter 20</w:t>
      </w:r>
      <w:r w:rsidR="00E32E5C">
        <w:rPr>
          <w:rFonts w:cs="Times New Roman"/>
          <w:szCs w:val="22"/>
        </w:rPr>
        <w:t>31</w:t>
      </w:r>
      <w:r w:rsidR="00E374C4">
        <w:rPr>
          <w:rFonts w:cs="Times New Roman"/>
          <w:szCs w:val="22"/>
        </w:rPr>
        <w:t>.</w:t>
      </w:r>
    </w:p>
    <w:p w14:paraId="3F0E8CF4" w14:textId="694C76AF" w:rsidR="008C659B" w:rsidRPr="00D61C00" w:rsidRDefault="008C659B" w:rsidP="00D61C00">
      <w:pPr>
        <w:pStyle w:val="00BodyText5"/>
        <w:rPr>
          <w:rFonts w:cs="Times New Roman"/>
          <w:szCs w:val="22"/>
        </w:rPr>
      </w:pPr>
      <w:r>
        <w:rPr>
          <w:rFonts w:cs="Times New Roman"/>
          <w:szCs w:val="22"/>
        </w:rPr>
        <w:t>In 2023, the Utah legislature appropriated $14 million to the Utah Department of Transportation (“</w:t>
      </w:r>
      <w:r>
        <w:rPr>
          <w:rFonts w:cs="Times New Roman"/>
          <w:b/>
          <w:bCs/>
          <w:szCs w:val="22"/>
        </w:rPr>
        <w:t>UDOT</w:t>
      </w:r>
      <w:r>
        <w:rPr>
          <w:rFonts w:cs="Times New Roman"/>
          <w:szCs w:val="22"/>
        </w:rPr>
        <w:t xml:space="preserve">”) to build a new roadway within the Development that connects 12600 South to 6400 West at approximately 13000 South. </w:t>
      </w:r>
      <w:r w:rsidR="00D61C00">
        <w:rPr>
          <w:rFonts w:cs="Times New Roman"/>
          <w:szCs w:val="22"/>
        </w:rPr>
        <w:t>According to the Developer, t</w:t>
      </w:r>
      <w:r>
        <w:rPr>
          <w:rFonts w:cs="Times New Roman"/>
          <w:szCs w:val="22"/>
        </w:rPr>
        <w:t xml:space="preserve">he $14 million in appropriations </w:t>
      </w:r>
      <w:r w:rsidR="00D61C00">
        <w:rPr>
          <w:rFonts w:cs="Times New Roman"/>
          <w:szCs w:val="22"/>
        </w:rPr>
        <w:t>have all been received by the City.</w:t>
      </w:r>
      <w:r>
        <w:rPr>
          <w:rFonts w:cs="Times New Roman"/>
          <w:szCs w:val="22"/>
        </w:rPr>
        <w:t xml:space="preserve"> According to the Developer, it is anticipated that the City and the District will enter into an interlocal agreement whereby the City would allocate these funds to the District who would then be responsible for the construction or reimbursement of costs of the roadway</w:t>
      </w:r>
      <w:r w:rsidR="00D61C00">
        <w:rPr>
          <w:rFonts w:cs="Times New Roman"/>
          <w:szCs w:val="22"/>
        </w:rPr>
        <w:t xml:space="preserve"> [</w:t>
      </w:r>
      <w:r w:rsidR="00D61C00" w:rsidRPr="00D61C00">
        <w:rPr>
          <w:rFonts w:cs="Times New Roman"/>
          <w:szCs w:val="22"/>
          <w:highlight w:val="yellow"/>
        </w:rPr>
        <w:t>STATUS/COPY</w:t>
      </w:r>
      <w:r w:rsidR="00D61C00">
        <w:rPr>
          <w:rFonts w:cs="Times New Roman"/>
          <w:szCs w:val="22"/>
        </w:rPr>
        <w:t>]</w:t>
      </w:r>
      <w:r>
        <w:rPr>
          <w:rFonts w:cs="Times New Roman"/>
          <w:szCs w:val="22"/>
        </w:rPr>
        <w:t>. The Utah legislature also appropriated an additional $75 million to the City in 2023 to construct a realignment of U-111, which runs north-south across the west side of the Salt Lake Valley in the County, which currently runs along the western edge of the Olympia Master Development, but upon realignment will bisect the Olympia Master Development, as shown in the image below</w:t>
      </w:r>
      <w:r w:rsidR="00D61C00">
        <w:rPr>
          <w:rFonts w:cs="Times New Roman"/>
          <w:szCs w:val="22"/>
        </w:rPr>
        <w:t xml:space="preserve">. Realignment of U-111 is underway by UDOT and anticipated to be completed in October 2026. </w:t>
      </w:r>
      <w:r w:rsidR="006A5B3D">
        <w:rPr>
          <w:rFonts w:cs="Times New Roman"/>
          <w:szCs w:val="22"/>
        </w:rPr>
        <w:t>[HERRIMAN BLVD – UDOT FUNDING AND DEVELOPER BUILDING]</w:t>
      </w:r>
      <w:r>
        <w:rPr>
          <w:rFonts w:cs="Times New Roman"/>
          <w:szCs w:val="22"/>
        </w:rPr>
        <w:t>. Additionally, the Developer anticipates that the County will appropriate a $4 million grant to the City for the construction of 7300 West within the Development</w:t>
      </w:r>
      <w:r w:rsidR="006A5B3D">
        <w:rPr>
          <w:rFonts w:cs="Times New Roman"/>
          <w:szCs w:val="22"/>
        </w:rPr>
        <w:t xml:space="preserve"> [NOT TAPPED YET]</w:t>
      </w:r>
      <w:r>
        <w:rPr>
          <w:rFonts w:cs="Times New Roman"/>
          <w:szCs w:val="22"/>
        </w:rPr>
        <w:t xml:space="preserve">. According to the Developer, it is also anticipated that the City and one or more of the Olympia PIDs would enter into an interlocal agreement whereby the City would allocate these funds to such District would then be responsible for construction. According to the Developer, the City </w:t>
      </w:r>
      <w:r w:rsidR="00D61C00">
        <w:rPr>
          <w:rFonts w:cs="Times New Roman"/>
          <w:szCs w:val="22"/>
        </w:rPr>
        <w:t xml:space="preserve">received an additional $10.5 in funding from the State </w:t>
      </w:r>
      <w:r>
        <w:rPr>
          <w:rFonts w:cs="Times New Roman"/>
          <w:szCs w:val="22"/>
        </w:rPr>
        <w:t>to construct a portion of 7300 West that is offsite of the Development, but would connect the Development to existing arterial roads in the City</w:t>
      </w:r>
      <w:r w:rsidR="00D61C00">
        <w:rPr>
          <w:rFonts w:cs="Times New Roman"/>
          <w:szCs w:val="22"/>
        </w:rPr>
        <w:t>, and such construction is underway</w:t>
      </w:r>
      <w:r>
        <w:rPr>
          <w:rFonts w:cs="Times New Roman"/>
          <w:szCs w:val="22"/>
        </w:rPr>
        <w:t>.</w:t>
      </w:r>
      <w:r w:rsidR="00D61C00">
        <w:rPr>
          <w:rFonts w:cs="Times New Roman"/>
          <w:szCs w:val="22"/>
        </w:rPr>
        <w:t xml:space="preserve"> </w:t>
      </w:r>
      <w:r>
        <w:rPr>
          <w:rFonts w:cs="Times New Roman"/>
          <w:i/>
          <w:iCs/>
          <w:szCs w:val="22"/>
        </w:rPr>
        <w:t>While the foregoing funds have been appropriated by the legislature of the State and the County, as applicable, no assurance is given that any interlocal agreement will be entered into between the City and the District or that such funds will be available to the District for construction of the road improvements described above.</w:t>
      </w:r>
    </w:p>
    <w:p w14:paraId="3281938E" w14:textId="77777777" w:rsidR="002D70BB" w:rsidRPr="00DA2177" w:rsidRDefault="002D70BB" w:rsidP="002D70BB">
      <w:pPr>
        <w:jc w:val="center"/>
        <w:rPr>
          <w:rFonts w:cs="Times New Roman"/>
          <w:sz w:val="22"/>
          <w:szCs w:val="22"/>
        </w:rPr>
      </w:pPr>
      <w:r>
        <w:rPr>
          <w:rFonts w:cs="Times New Roman"/>
          <w:sz w:val="22"/>
          <w:szCs w:val="22"/>
        </w:rPr>
        <w:t>(The remainder of this page intentionally left blank.)</w:t>
      </w:r>
    </w:p>
    <w:p w14:paraId="4B51615A" w14:textId="77777777" w:rsidR="002D70BB" w:rsidRDefault="002D70BB" w:rsidP="00E374C4">
      <w:pPr>
        <w:pStyle w:val="00BodyText5"/>
        <w:rPr>
          <w:rFonts w:cs="Times New Roman"/>
          <w:szCs w:val="22"/>
        </w:rPr>
      </w:pPr>
    </w:p>
    <w:p w14:paraId="0A0D4C58" w14:textId="196976AD" w:rsidR="00D230F7" w:rsidRPr="00D230F7" w:rsidRDefault="00D230F7" w:rsidP="002D70BB">
      <w:pPr>
        <w:pStyle w:val="00BodyText5"/>
        <w:keepNext/>
        <w:ind w:firstLine="0"/>
        <w:jc w:val="center"/>
        <w:rPr>
          <w:rFonts w:cs="Times New Roman"/>
          <w:b/>
          <w:bCs/>
          <w:szCs w:val="22"/>
        </w:rPr>
      </w:pPr>
      <w:r>
        <w:rPr>
          <w:rFonts w:cs="Times New Roman"/>
          <w:b/>
          <w:bCs/>
          <w:szCs w:val="22"/>
        </w:rPr>
        <w:t>U-111 Realignment and Related Road Improvements with Anticipated Funding Sources</w:t>
      </w:r>
    </w:p>
    <w:p w14:paraId="469D6E2D" w14:textId="66359931" w:rsidR="000D3870" w:rsidRPr="00DA2177" w:rsidRDefault="000D3870" w:rsidP="002D70BB">
      <w:pPr>
        <w:pStyle w:val="00BodyText5"/>
        <w:keepNext/>
        <w:ind w:firstLine="0"/>
        <w:rPr>
          <w:rFonts w:cs="Times New Roman"/>
          <w:szCs w:val="22"/>
        </w:rPr>
      </w:pPr>
      <w:r>
        <w:rPr>
          <w:noProof/>
        </w:rPr>
        <w:drawing>
          <wp:inline distT="0" distB="0" distL="0" distR="0" wp14:anchorId="3142D94C" wp14:editId="324BAB36">
            <wp:extent cx="5943600" cy="39414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941445"/>
                    </a:xfrm>
                    <a:prstGeom prst="rect">
                      <a:avLst/>
                    </a:prstGeom>
                  </pic:spPr>
                </pic:pic>
              </a:graphicData>
            </a:graphic>
          </wp:inline>
        </w:drawing>
      </w:r>
    </w:p>
    <w:p w14:paraId="37532744" w14:textId="260890C2" w:rsidR="002D70BB" w:rsidRDefault="00E374C4" w:rsidP="00E374C4">
      <w:pPr>
        <w:pStyle w:val="00BodyText5"/>
        <w:spacing w:after="120"/>
        <w:rPr>
          <w:rFonts w:cs="Times New Roman"/>
          <w:szCs w:val="22"/>
        </w:rPr>
      </w:pPr>
      <w:r>
        <w:rPr>
          <w:rFonts w:cs="Times New Roman"/>
          <w:szCs w:val="22"/>
        </w:rPr>
        <w:t>The following table summarizes the foregoing information concerning the total estimated costs of Public Improvements and private infrastructure required for the Development, and anticipated funding sources for the same.</w:t>
      </w:r>
      <w:r w:rsidR="00892B42">
        <w:rPr>
          <w:rFonts w:cs="Times New Roman"/>
          <w:szCs w:val="22"/>
        </w:rPr>
        <w:t xml:space="preserve"> [</w:t>
      </w:r>
      <w:r w:rsidR="00892B42" w:rsidRPr="00892B42">
        <w:rPr>
          <w:rFonts w:cs="Times New Roman"/>
          <w:szCs w:val="22"/>
          <w:highlight w:val="yellow"/>
        </w:rPr>
        <w:t>CONFIRM/UPDATE</w:t>
      </w:r>
      <w:r w:rsidR="00892B42">
        <w:rPr>
          <w:rFonts w:cs="Times New Roman"/>
          <w:szCs w:val="22"/>
        </w:rPr>
        <w:t>]</w:t>
      </w:r>
    </w:p>
    <w:p w14:paraId="4AA96BD3" w14:textId="77777777" w:rsidR="002D70BB" w:rsidRDefault="002D70BB" w:rsidP="00E374C4">
      <w:pPr>
        <w:pStyle w:val="00BodyText5"/>
        <w:spacing w:after="120"/>
        <w:rPr>
          <w:rFonts w:cs="Times New Roman"/>
          <w:szCs w:val="22"/>
        </w:rPr>
      </w:pPr>
    </w:p>
    <w:p w14:paraId="28A9E0D7" w14:textId="77777777" w:rsidR="002D70BB" w:rsidRPr="00DA2177" w:rsidRDefault="002D70BB" w:rsidP="002D70BB">
      <w:pPr>
        <w:jc w:val="center"/>
        <w:rPr>
          <w:rFonts w:cs="Times New Roman"/>
          <w:sz w:val="22"/>
          <w:szCs w:val="22"/>
        </w:rPr>
      </w:pPr>
      <w:r>
        <w:rPr>
          <w:rFonts w:cs="Times New Roman"/>
          <w:sz w:val="22"/>
          <w:szCs w:val="22"/>
        </w:rPr>
        <w:t>(The remainder of this page intentionally left blank.)</w:t>
      </w:r>
    </w:p>
    <w:p w14:paraId="6BA90D2E" w14:textId="0C1632D9" w:rsidR="002D70BB" w:rsidRDefault="002D70BB" w:rsidP="00E374C4">
      <w:pPr>
        <w:pStyle w:val="00BodyText5"/>
        <w:spacing w:after="120"/>
        <w:rPr>
          <w:rFonts w:cs="Times New Roman"/>
          <w:szCs w:val="22"/>
        </w:rPr>
      </w:pPr>
      <w:r>
        <w:rPr>
          <w:rFonts w:cs="Times New Roman"/>
          <w:szCs w:val="22"/>
        </w:rPr>
        <w:br w:type="page"/>
      </w:r>
    </w:p>
    <w:p w14:paraId="4084B04F" w14:textId="0353CA4D" w:rsidR="00E374C4" w:rsidRPr="00DA2177" w:rsidRDefault="00E374C4" w:rsidP="00E374C4">
      <w:pPr>
        <w:pStyle w:val="00BodyText5"/>
        <w:spacing w:after="120"/>
        <w:rPr>
          <w:rFonts w:cs="Times New Roman"/>
          <w:szCs w:val="22"/>
        </w:rPr>
      </w:pPr>
    </w:p>
    <w:p w14:paraId="1F53AA8E" w14:textId="77777777" w:rsidR="00B90E36" w:rsidRDefault="00B90E36" w:rsidP="00B90E36">
      <w:pPr>
        <w:pStyle w:val="00Center"/>
        <w:rPr>
          <w:rFonts w:ascii="Times New Roman" w:hAnsi="Times New Roman" w:cs="Times New Roman"/>
          <w:caps w:val="0"/>
          <w:sz w:val="22"/>
          <w:szCs w:val="22"/>
          <w:vertAlign w:val="superscript"/>
        </w:rPr>
      </w:pPr>
      <w:r>
        <w:rPr>
          <w:rFonts w:ascii="Times New Roman" w:hAnsi="Times New Roman" w:cs="Times New Roman"/>
          <w:caps w:val="0"/>
          <w:sz w:val="22"/>
          <w:szCs w:val="22"/>
        </w:rPr>
        <w:t>Public Improvement and Private Improvement – Funding Sources and Uses</w:t>
      </w:r>
      <w:r>
        <w:rPr>
          <w:rFonts w:ascii="Times New Roman" w:hAnsi="Times New Roman" w:cs="Times New Roman"/>
          <w:caps w:val="0"/>
          <w:sz w:val="22"/>
          <w:szCs w:val="22"/>
          <w:vertAlign w:val="superscript"/>
        </w:rPr>
        <w:t>*, 1</w:t>
      </w:r>
    </w:p>
    <w:tbl>
      <w:tblPr>
        <w:tblW w:w="5751" w:type="dxa"/>
        <w:jc w:val="center"/>
        <w:tblLook w:val="04A0" w:firstRow="1" w:lastRow="0" w:firstColumn="1" w:lastColumn="0" w:noHBand="0" w:noVBand="1"/>
      </w:tblPr>
      <w:tblGrid>
        <w:gridCol w:w="4050"/>
        <w:gridCol w:w="1701"/>
      </w:tblGrid>
      <w:tr w:rsidR="00B90E36" w:rsidRPr="00891A37" w14:paraId="0950B96C" w14:textId="77777777" w:rsidTr="00971D4D">
        <w:trPr>
          <w:trHeight w:val="300"/>
          <w:jc w:val="center"/>
        </w:trPr>
        <w:tc>
          <w:tcPr>
            <w:tcW w:w="4050" w:type="dxa"/>
            <w:tcBorders>
              <w:top w:val="nil"/>
              <w:left w:val="nil"/>
              <w:bottom w:val="nil"/>
              <w:right w:val="nil"/>
            </w:tcBorders>
            <w:vAlign w:val="center"/>
            <w:hideMark/>
          </w:tcPr>
          <w:p w14:paraId="67C2D3B0" w14:textId="77777777" w:rsidR="00B90E36" w:rsidRPr="00891A37" w:rsidRDefault="00B90E36" w:rsidP="00876689">
            <w:pPr>
              <w:rPr>
                <w:rFonts w:eastAsia="Times New Roman" w:cs="Times New Roman"/>
                <w:i/>
                <w:iCs/>
                <w:color w:val="000000"/>
                <w:sz w:val="22"/>
                <w:szCs w:val="22"/>
              </w:rPr>
            </w:pPr>
            <w:r>
              <w:rPr>
                <w:rFonts w:eastAsia="Times New Roman" w:cs="Times New Roman"/>
                <w:i/>
                <w:iCs/>
                <w:color w:val="000000"/>
                <w:sz w:val="22"/>
                <w:szCs w:val="22"/>
              </w:rPr>
              <w:t>Funding Sources</w:t>
            </w:r>
          </w:p>
        </w:tc>
        <w:tc>
          <w:tcPr>
            <w:tcW w:w="1701" w:type="dxa"/>
            <w:tcBorders>
              <w:top w:val="nil"/>
              <w:left w:val="nil"/>
              <w:bottom w:val="nil"/>
              <w:right w:val="nil"/>
            </w:tcBorders>
            <w:vAlign w:val="center"/>
            <w:hideMark/>
          </w:tcPr>
          <w:p w14:paraId="383FF96E" w14:textId="77777777" w:rsidR="00B90E36" w:rsidRPr="00891A37" w:rsidRDefault="00B90E36" w:rsidP="00876689">
            <w:pPr>
              <w:rPr>
                <w:rFonts w:eastAsia="Times New Roman" w:cs="Times New Roman"/>
                <w:i/>
                <w:iCs/>
                <w:color w:val="000000"/>
                <w:sz w:val="22"/>
                <w:szCs w:val="22"/>
              </w:rPr>
            </w:pPr>
          </w:p>
        </w:tc>
      </w:tr>
      <w:tr w:rsidR="00B90E36" w:rsidRPr="00891A37" w14:paraId="68FFAAA3" w14:textId="77777777" w:rsidTr="00971D4D">
        <w:trPr>
          <w:trHeight w:val="300"/>
          <w:jc w:val="center"/>
        </w:trPr>
        <w:tc>
          <w:tcPr>
            <w:tcW w:w="4050" w:type="dxa"/>
            <w:tcBorders>
              <w:top w:val="nil"/>
              <w:left w:val="nil"/>
              <w:bottom w:val="nil"/>
              <w:right w:val="nil"/>
            </w:tcBorders>
            <w:vAlign w:val="center"/>
            <w:hideMark/>
          </w:tcPr>
          <w:p w14:paraId="78E60A25" w14:textId="4212FFFA"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w:t>
            </w:r>
            <w:r w:rsidR="00787226">
              <w:rPr>
                <w:rFonts w:eastAsia="Times New Roman" w:cs="Times New Roman"/>
                <w:color w:val="000000"/>
                <w:sz w:val="22"/>
                <w:szCs w:val="22"/>
              </w:rPr>
              <w:t>2026A-1 Senior LT Bond</w:t>
            </w:r>
            <w:r>
              <w:rPr>
                <w:rFonts w:eastAsia="Times New Roman" w:cs="Times New Roman"/>
                <w:color w:val="000000"/>
                <w:sz w:val="22"/>
                <w:szCs w:val="22"/>
              </w:rPr>
              <w:t xml:space="preserve"> Proceeds</w:t>
            </w:r>
          </w:p>
        </w:tc>
        <w:tc>
          <w:tcPr>
            <w:tcW w:w="1701" w:type="dxa"/>
            <w:tcBorders>
              <w:top w:val="nil"/>
              <w:left w:val="nil"/>
              <w:bottom w:val="nil"/>
              <w:right w:val="nil"/>
            </w:tcBorders>
            <w:vAlign w:val="center"/>
            <w:hideMark/>
          </w:tcPr>
          <w:p w14:paraId="2C202A33" w14:textId="6FC8E831" w:rsidR="00B90E36" w:rsidRPr="00891A37" w:rsidRDefault="00B90E36" w:rsidP="00876689">
            <w:pPr>
              <w:jc w:val="right"/>
              <w:rPr>
                <w:rFonts w:eastAsia="Times New Roman" w:cs="Times New Roman"/>
                <w:color w:val="000000"/>
                <w:sz w:val="22"/>
                <w:szCs w:val="22"/>
              </w:rPr>
            </w:pPr>
            <w:r>
              <w:rPr>
                <w:rFonts w:eastAsia="Times New Roman" w:cs="Times New Roman"/>
                <w:color w:val="000000"/>
                <w:sz w:val="22"/>
                <w:szCs w:val="22"/>
              </w:rPr>
              <w:t xml:space="preserve">$[_______] </w:t>
            </w:r>
          </w:p>
        </w:tc>
      </w:tr>
      <w:tr w:rsidR="00B90E36" w:rsidRPr="00891A37" w14:paraId="6A7C92A2" w14:textId="77777777" w:rsidTr="00971D4D">
        <w:trPr>
          <w:trHeight w:val="300"/>
          <w:jc w:val="center"/>
        </w:trPr>
        <w:tc>
          <w:tcPr>
            <w:tcW w:w="4050" w:type="dxa"/>
            <w:tcBorders>
              <w:top w:val="nil"/>
              <w:left w:val="nil"/>
              <w:bottom w:val="nil"/>
              <w:right w:val="nil"/>
            </w:tcBorders>
            <w:vAlign w:val="center"/>
            <w:hideMark/>
          </w:tcPr>
          <w:p w14:paraId="33420D53" w14:textId="68EF410B"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2026A-2 SR Bond Proceeds</w:t>
            </w:r>
          </w:p>
        </w:tc>
        <w:tc>
          <w:tcPr>
            <w:tcW w:w="1701" w:type="dxa"/>
            <w:tcBorders>
              <w:top w:val="nil"/>
              <w:left w:val="nil"/>
              <w:bottom w:val="nil"/>
              <w:right w:val="nil"/>
            </w:tcBorders>
            <w:vAlign w:val="center"/>
            <w:hideMark/>
          </w:tcPr>
          <w:p w14:paraId="08060864" w14:textId="0559E53A" w:rsidR="00B90E36" w:rsidRPr="00891A37" w:rsidRDefault="00E85922" w:rsidP="00876689">
            <w:pPr>
              <w:jc w:val="right"/>
              <w:rPr>
                <w:rFonts w:eastAsia="Times New Roman" w:cs="Times New Roman"/>
                <w:color w:val="000000"/>
                <w:sz w:val="22"/>
                <w:szCs w:val="22"/>
              </w:rPr>
            </w:pPr>
            <w:r>
              <w:rPr>
                <w:rFonts w:eastAsia="Times New Roman" w:cs="Times New Roman"/>
                <w:color w:val="000000"/>
                <w:sz w:val="22"/>
                <w:szCs w:val="22"/>
              </w:rPr>
              <w:t>[_______]</w:t>
            </w:r>
          </w:p>
        </w:tc>
      </w:tr>
      <w:tr w:rsidR="00B90E36" w:rsidRPr="00891A37" w14:paraId="246D84A2" w14:textId="77777777" w:rsidTr="00971D4D">
        <w:trPr>
          <w:trHeight w:val="300"/>
          <w:jc w:val="center"/>
        </w:trPr>
        <w:tc>
          <w:tcPr>
            <w:tcW w:w="4050" w:type="dxa"/>
            <w:tcBorders>
              <w:top w:val="nil"/>
              <w:left w:val="nil"/>
              <w:bottom w:val="nil"/>
              <w:right w:val="nil"/>
            </w:tcBorders>
            <w:vAlign w:val="center"/>
            <w:hideMark/>
          </w:tcPr>
          <w:p w14:paraId="4812346E"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State and County Appropriations</w:t>
            </w:r>
          </w:p>
        </w:tc>
        <w:tc>
          <w:tcPr>
            <w:tcW w:w="1701" w:type="dxa"/>
            <w:tcBorders>
              <w:top w:val="nil"/>
              <w:left w:val="nil"/>
              <w:bottom w:val="nil"/>
              <w:right w:val="nil"/>
            </w:tcBorders>
            <w:vAlign w:val="center"/>
          </w:tcPr>
          <w:p w14:paraId="7D724928" w14:textId="619C60C1" w:rsidR="00B90E36" w:rsidRPr="00891A37" w:rsidRDefault="00B90E36" w:rsidP="00876689">
            <w:pPr>
              <w:jc w:val="right"/>
              <w:rPr>
                <w:rFonts w:eastAsia="Times New Roman" w:cs="Times New Roman"/>
                <w:color w:val="000000"/>
                <w:sz w:val="22"/>
                <w:szCs w:val="22"/>
              </w:rPr>
            </w:pPr>
          </w:p>
        </w:tc>
      </w:tr>
      <w:tr w:rsidR="00B90E36" w:rsidRPr="00891A37" w14:paraId="1509DA99" w14:textId="77777777" w:rsidTr="00971D4D">
        <w:trPr>
          <w:trHeight w:val="300"/>
          <w:jc w:val="center"/>
        </w:trPr>
        <w:tc>
          <w:tcPr>
            <w:tcW w:w="4050" w:type="dxa"/>
            <w:tcBorders>
              <w:top w:val="nil"/>
              <w:left w:val="nil"/>
              <w:bottom w:val="nil"/>
              <w:right w:val="nil"/>
            </w:tcBorders>
            <w:vAlign w:val="center"/>
            <w:hideMark/>
          </w:tcPr>
          <w:p w14:paraId="1886137F"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Property Owner Funds</w:t>
            </w:r>
          </w:p>
        </w:tc>
        <w:tc>
          <w:tcPr>
            <w:tcW w:w="1701" w:type="dxa"/>
            <w:tcBorders>
              <w:top w:val="nil"/>
              <w:left w:val="nil"/>
              <w:bottom w:val="nil"/>
              <w:right w:val="nil"/>
            </w:tcBorders>
            <w:vAlign w:val="center"/>
          </w:tcPr>
          <w:p w14:paraId="6AA69E0A" w14:textId="4738BD41" w:rsidR="00B90E36" w:rsidRPr="00882150" w:rsidRDefault="00B90E36" w:rsidP="00876689">
            <w:pPr>
              <w:jc w:val="right"/>
              <w:rPr>
                <w:color w:val="000000"/>
                <w:sz w:val="22"/>
                <w:szCs w:val="22"/>
                <w:u w:val="single"/>
              </w:rPr>
            </w:pPr>
          </w:p>
        </w:tc>
      </w:tr>
      <w:tr w:rsidR="00B90E36" w:rsidRPr="00891A37" w14:paraId="0398EA5E" w14:textId="77777777" w:rsidTr="00971D4D">
        <w:trPr>
          <w:trHeight w:val="300"/>
          <w:jc w:val="center"/>
        </w:trPr>
        <w:tc>
          <w:tcPr>
            <w:tcW w:w="4050" w:type="dxa"/>
            <w:tcBorders>
              <w:top w:val="nil"/>
              <w:left w:val="nil"/>
              <w:bottom w:val="nil"/>
              <w:right w:val="nil"/>
            </w:tcBorders>
            <w:vAlign w:val="center"/>
            <w:hideMark/>
          </w:tcPr>
          <w:p w14:paraId="3613E7D0"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Total</w:t>
            </w:r>
          </w:p>
        </w:tc>
        <w:tc>
          <w:tcPr>
            <w:tcW w:w="1701" w:type="dxa"/>
            <w:tcBorders>
              <w:top w:val="nil"/>
              <w:left w:val="nil"/>
              <w:bottom w:val="nil"/>
              <w:right w:val="nil"/>
            </w:tcBorders>
            <w:vAlign w:val="center"/>
            <w:hideMark/>
          </w:tcPr>
          <w:p w14:paraId="34B0F44C" w14:textId="66C14B17" w:rsidR="00B90E36" w:rsidRPr="00891A37" w:rsidRDefault="00B90E36" w:rsidP="00876689">
            <w:pPr>
              <w:jc w:val="right"/>
              <w:rPr>
                <w:rFonts w:eastAsia="Times New Roman" w:cs="Times New Roman"/>
                <w:color w:val="000000"/>
                <w:sz w:val="22"/>
                <w:szCs w:val="22"/>
                <w:u w:val="double"/>
              </w:rPr>
            </w:pPr>
          </w:p>
        </w:tc>
      </w:tr>
      <w:tr w:rsidR="00B90E36" w:rsidRPr="00891A37" w14:paraId="168DC2FA" w14:textId="77777777" w:rsidTr="00971D4D">
        <w:trPr>
          <w:trHeight w:val="300"/>
          <w:jc w:val="center"/>
        </w:trPr>
        <w:tc>
          <w:tcPr>
            <w:tcW w:w="4050" w:type="dxa"/>
            <w:tcBorders>
              <w:top w:val="nil"/>
              <w:left w:val="nil"/>
              <w:bottom w:val="nil"/>
              <w:right w:val="nil"/>
            </w:tcBorders>
            <w:vAlign w:val="center"/>
            <w:hideMark/>
          </w:tcPr>
          <w:p w14:paraId="1C63DB10" w14:textId="77777777" w:rsidR="00B90E36" w:rsidRPr="00891A37" w:rsidRDefault="00B90E36" w:rsidP="00876689">
            <w:pPr>
              <w:jc w:val="right"/>
              <w:rPr>
                <w:rFonts w:eastAsia="Times New Roman" w:cs="Times New Roman"/>
                <w:color w:val="000000"/>
                <w:sz w:val="22"/>
                <w:szCs w:val="22"/>
              </w:rPr>
            </w:pPr>
          </w:p>
        </w:tc>
        <w:tc>
          <w:tcPr>
            <w:tcW w:w="1701" w:type="dxa"/>
            <w:tcBorders>
              <w:top w:val="nil"/>
              <w:left w:val="nil"/>
              <w:bottom w:val="nil"/>
              <w:right w:val="nil"/>
            </w:tcBorders>
            <w:vAlign w:val="center"/>
            <w:hideMark/>
          </w:tcPr>
          <w:p w14:paraId="3DD7B028" w14:textId="77777777" w:rsidR="00B90E36" w:rsidRPr="00891A37" w:rsidRDefault="00B90E36" w:rsidP="00876689">
            <w:pPr>
              <w:rPr>
                <w:rFonts w:eastAsia="Times New Roman" w:cs="Times New Roman"/>
                <w:szCs w:val="20"/>
              </w:rPr>
            </w:pPr>
          </w:p>
        </w:tc>
      </w:tr>
      <w:tr w:rsidR="00B90E36" w:rsidRPr="00891A37" w14:paraId="3852CEDB" w14:textId="77777777" w:rsidTr="00971D4D">
        <w:trPr>
          <w:trHeight w:val="300"/>
          <w:jc w:val="center"/>
        </w:trPr>
        <w:tc>
          <w:tcPr>
            <w:tcW w:w="4050" w:type="dxa"/>
            <w:tcBorders>
              <w:top w:val="nil"/>
              <w:left w:val="nil"/>
              <w:bottom w:val="nil"/>
              <w:right w:val="nil"/>
            </w:tcBorders>
            <w:vAlign w:val="center"/>
            <w:hideMark/>
          </w:tcPr>
          <w:p w14:paraId="577DBF7E" w14:textId="77777777" w:rsidR="00B90E36" w:rsidRPr="00891A37" w:rsidRDefault="00B90E36" w:rsidP="00876689">
            <w:pPr>
              <w:rPr>
                <w:rFonts w:eastAsia="Times New Roman" w:cs="Times New Roman"/>
                <w:i/>
                <w:iCs/>
                <w:color w:val="000000"/>
                <w:sz w:val="22"/>
                <w:szCs w:val="22"/>
              </w:rPr>
            </w:pPr>
            <w:r>
              <w:rPr>
                <w:rFonts w:eastAsia="Times New Roman" w:cs="Times New Roman"/>
                <w:i/>
                <w:iCs/>
                <w:color w:val="000000"/>
                <w:sz w:val="22"/>
                <w:szCs w:val="22"/>
              </w:rPr>
              <w:t>Public Improvements</w:t>
            </w:r>
          </w:p>
        </w:tc>
        <w:tc>
          <w:tcPr>
            <w:tcW w:w="1701" w:type="dxa"/>
            <w:tcBorders>
              <w:top w:val="nil"/>
              <w:left w:val="nil"/>
              <w:bottom w:val="nil"/>
              <w:right w:val="nil"/>
            </w:tcBorders>
            <w:vAlign w:val="center"/>
            <w:hideMark/>
          </w:tcPr>
          <w:p w14:paraId="0E283A57" w14:textId="77777777" w:rsidR="00B90E36" w:rsidRPr="00891A37" w:rsidRDefault="00B90E36" w:rsidP="00876689">
            <w:pPr>
              <w:rPr>
                <w:rFonts w:eastAsia="Times New Roman" w:cs="Times New Roman"/>
                <w:i/>
                <w:iCs/>
                <w:color w:val="000000"/>
                <w:sz w:val="22"/>
                <w:szCs w:val="22"/>
              </w:rPr>
            </w:pPr>
          </w:p>
        </w:tc>
      </w:tr>
      <w:tr w:rsidR="00B90E36" w:rsidRPr="00891A37" w14:paraId="41FDBE67" w14:textId="77777777" w:rsidTr="00971D4D">
        <w:trPr>
          <w:trHeight w:val="300"/>
          <w:jc w:val="center"/>
        </w:trPr>
        <w:tc>
          <w:tcPr>
            <w:tcW w:w="4050" w:type="dxa"/>
            <w:tcBorders>
              <w:top w:val="nil"/>
              <w:left w:val="nil"/>
              <w:bottom w:val="nil"/>
              <w:right w:val="nil"/>
            </w:tcBorders>
            <w:vAlign w:val="center"/>
            <w:hideMark/>
          </w:tcPr>
          <w:p w14:paraId="5BD68AB0"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Road Improvements</w:t>
            </w:r>
            <w:r>
              <w:rPr>
                <w:rFonts w:eastAsia="Times New Roman" w:cs="Times New Roman"/>
                <w:color w:val="000000"/>
                <w:sz w:val="22"/>
                <w:szCs w:val="22"/>
                <w:vertAlign w:val="superscript"/>
              </w:rPr>
              <w:t>2</w:t>
            </w:r>
          </w:p>
        </w:tc>
        <w:tc>
          <w:tcPr>
            <w:tcW w:w="1701" w:type="dxa"/>
            <w:tcBorders>
              <w:top w:val="nil"/>
              <w:left w:val="nil"/>
              <w:bottom w:val="nil"/>
              <w:right w:val="nil"/>
            </w:tcBorders>
            <w:vAlign w:val="center"/>
          </w:tcPr>
          <w:p w14:paraId="509367B0" w14:textId="206AA173" w:rsidR="00B90E36" w:rsidRPr="00882150" w:rsidRDefault="00B90E36" w:rsidP="00876689">
            <w:pPr>
              <w:jc w:val="right"/>
              <w:rPr>
                <w:color w:val="000000"/>
                <w:sz w:val="22"/>
                <w:szCs w:val="22"/>
              </w:rPr>
            </w:pPr>
          </w:p>
        </w:tc>
      </w:tr>
      <w:tr w:rsidR="00B90E36" w:rsidRPr="00891A37" w14:paraId="54D510D5" w14:textId="77777777" w:rsidTr="00971D4D">
        <w:trPr>
          <w:trHeight w:val="300"/>
          <w:jc w:val="center"/>
        </w:trPr>
        <w:tc>
          <w:tcPr>
            <w:tcW w:w="4050" w:type="dxa"/>
            <w:tcBorders>
              <w:top w:val="nil"/>
              <w:left w:val="nil"/>
              <w:bottom w:val="nil"/>
              <w:right w:val="nil"/>
            </w:tcBorders>
            <w:vAlign w:val="center"/>
            <w:hideMark/>
          </w:tcPr>
          <w:p w14:paraId="3E7E4BBC"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Water Improvements</w:t>
            </w:r>
          </w:p>
        </w:tc>
        <w:tc>
          <w:tcPr>
            <w:tcW w:w="1701" w:type="dxa"/>
            <w:tcBorders>
              <w:top w:val="nil"/>
              <w:left w:val="nil"/>
              <w:bottom w:val="nil"/>
              <w:right w:val="nil"/>
            </w:tcBorders>
            <w:vAlign w:val="center"/>
          </w:tcPr>
          <w:p w14:paraId="0E2C4EBB" w14:textId="35C0886D" w:rsidR="00B90E36" w:rsidRPr="00891A37" w:rsidRDefault="00B90E36" w:rsidP="00876689">
            <w:pPr>
              <w:jc w:val="right"/>
              <w:rPr>
                <w:rFonts w:eastAsia="Times New Roman" w:cs="Times New Roman"/>
                <w:color w:val="000000"/>
                <w:sz w:val="22"/>
                <w:szCs w:val="22"/>
              </w:rPr>
            </w:pPr>
          </w:p>
        </w:tc>
      </w:tr>
      <w:tr w:rsidR="00B90E36" w:rsidRPr="00891A37" w14:paraId="50958481" w14:textId="77777777" w:rsidTr="00971D4D">
        <w:trPr>
          <w:trHeight w:val="300"/>
          <w:jc w:val="center"/>
        </w:trPr>
        <w:tc>
          <w:tcPr>
            <w:tcW w:w="4050" w:type="dxa"/>
            <w:tcBorders>
              <w:top w:val="nil"/>
              <w:left w:val="nil"/>
              <w:bottom w:val="nil"/>
              <w:right w:val="nil"/>
            </w:tcBorders>
            <w:vAlign w:val="center"/>
            <w:hideMark/>
          </w:tcPr>
          <w:p w14:paraId="0CF39E5D"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Park Improvements</w:t>
            </w:r>
          </w:p>
        </w:tc>
        <w:tc>
          <w:tcPr>
            <w:tcW w:w="1701" w:type="dxa"/>
            <w:tcBorders>
              <w:top w:val="nil"/>
              <w:left w:val="nil"/>
              <w:bottom w:val="nil"/>
              <w:right w:val="nil"/>
            </w:tcBorders>
            <w:vAlign w:val="center"/>
          </w:tcPr>
          <w:p w14:paraId="790F073C" w14:textId="363E9AA9" w:rsidR="00B90E36" w:rsidRPr="00891A37" w:rsidRDefault="00B90E36" w:rsidP="00876689">
            <w:pPr>
              <w:jc w:val="right"/>
              <w:rPr>
                <w:rFonts w:eastAsia="Times New Roman" w:cs="Times New Roman"/>
                <w:color w:val="000000"/>
                <w:sz w:val="22"/>
                <w:szCs w:val="22"/>
              </w:rPr>
            </w:pPr>
          </w:p>
        </w:tc>
      </w:tr>
      <w:tr w:rsidR="00B90E36" w:rsidRPr="00891A37" w14:paraId="4F848653" w14:textId="77777777" w:rsidTr="00971D4D">
        <w:trPr>
          <w:trHeight w:val="300"/>
          <w:jc w:val="center"/>
        </w:trPr>
        <w:tc>
          <w:tcPr>
            <w:tcW w:w="4050" w:type="dxa"/>
            <w:tcBorders>
              <w:top w:val="nil"/>
              <w:left w:val="nil"/>
              <w:bottom w:val="nil"/>
              <w:right w:val="nil"/>
            </w:tcBorders>
            <w:vAlign w:val="center"/>
            <w:hideMark/>
          </w:tcPr>
          <w:p w14:paraId="13091E82" w14:textId="77777777" w:rsidR="00B90E36" w:rsidRPr="00891A37" w:rsidRDefault="00B90E36" w:rsidP="00876689">
            <w:pPr>
              <w:rPr>
                <w:rFonts w:eastAsia="Times New Roman" w:cs="Times New Roman"/>
                <w:color w:val="000000"/>
                <w:sz w:val="22"/>
                <w:szCs w:val="22"/>
                <w:vertAlign w:val="superscript"/>
              </w:rPr>
            </w:pPr>
            <w:r>
              <w:rPr>
                <w:rFonts w:eastAsia="Times New Roman" w:cs="Times New Roman"/>
                <w:color w:val="000000"/>
                <w:sz w:val="22"/>
                <w:szCs w:val="22"/>
              </w:rPr>
              <w:t xml:space="preserve">  Subdivision Improvements</w:t>
            </w:r>
            <w:r>
              <w:rPr>
                <w:rFonts w:eastAsia="Times New Roman" w:cs="Times New Roman"/>
                <w:color w:val="000000"/>
                <w:sz w:val="22"/>
                <w:szCs w:val="22"/>
                <w:vertAlign w:val="superscript"/>
              </w:rPr>
              <w:t>3</w:t>
            </w:r>
          </w:p>
        </w:tc>
        <w:tc>
          <w:tcPr>
            <w:tcW w:w="1701" w:type="dxa"/>
            <w:tcBorders>
              <w:top w:val="nil"/>
              <w:left w:val="nil"/>
              <w:bottom w:val="nil"/>
              <w:right w:val="nil"/>
            </w:tcBorders>
            <w:vAlign w:val="center"/>
          </w:tcPr>
          <w:p w14:paraId="5FE42C4E" w14:textId="77777777" w:rsidR="00B90E36" w:rsidRPr="00891A37" w:rsidRDefault="00B90E36" w:rsidP="00876689">
            <w:pPr>
              <w:rPr>
                <w:rFonts w:eastAsia="Times New Roman" w:cs="Times New Roman"/>
                <w:color w:val="000000"/>
                <w:sz w:val="22"/>
                <w:szCs w:val="22"/>
              </w:rPr>
            </w:pPr>
          </w:p>
        </w:tc>
      </w:tr>
      <w:tr w:rsidR="00B90E36" w:rsidRPr="00891A37" w14:paraId="760B60EA" w14:textId="77777777" w:rsidTr="00971D4D">
        <w:trPr>
          <w:trHeight w:val="300"/>
          <w:jc w:val="center"/>
        </w:trPr>
        <w:tc>
          <w:tcPr>
            <w:tcW w:w="4050" w:type="dxa"/>
            <w:tcBorders>
              <w:top w:val="nil"/>
              <w:left w:val="nil"/>
              <w:bottom w:val="nil"/>
              <w:right w:val="nil"/>
            </w:tcBorders>
            <w:vAlign w:val="center"/>
            <w:hideMark/>
          </w:tcPr>
          <w:p w14:paraId="13021F9D" w14:textId="6E1EEE20"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[U-111 and Related Road Improvements]</w:t>
            </w:r>
          </w:p>
        </w:tc>
        <w:tc>
          <w:tcPr>
            <w:tcW w:w="1701" w:type="dxa"/>
            <w:tcBorders>
              <w:top w:val="nil"/>
              <w:left w:val="nil"/>
              <w:bottom w:val="nil"/>
              <w:right w:val="nil"/>
            </w:tcBorders>
            <w:vAlign w:val="center"/>
          </w:tcPr>
          <w:p w14:paraId="53837AD0" w14:textId="6CACD890" w:rsidR="00B90E36" w:rsidRPr="00891A37" w:rsidRDefault="00B90E36" w:rsidP="00876689">
            <w:pPr>
              <w:jc w:val="right"/>
              <w:rPr>
                <w:rFonts w:eastAsia="Times New Roman" w:cs="Times New Roman"/>
                <w:color w:val="000000"/>
                <w:sz w:val="22"/>
                <w:szCs w:val="22"/>
              </w:rPr>
            </w:pPr>
          </w:p>
        </w:tc>
      </w:tr>
      <w:tr w:rsidR="00B90E36" w:rsidRPr="00891A37" w14:paraId="0172123D" w14:textId="77777777" w:rsidTr="00971D4D">
        <w:trPr>
          <w:trHeight w:val="300"/>
          <w:jc w:val="center"/>
        </w:trPr>
        <w:tc>
          <w:tcPr>
            <w:tcW w:w="4050" w:type="dxa"/>
            <w:tcBorders>
              <w:top w:val="nil"/>
              <w:left w:val="nil"/>
              <w:bottom w:val="nil"/>
              <w:right w:val="nil"/>
            </w:tcBorders>
            <w:vAlign w:val="center"/>
            <w:hideMark/>
          </w:tcPr>
          <w:p w14:paraId="2D91EBAB" w14:textId="77777777" w:rsidR="00B90E36" w:rsidRPr="00891A37" w:rsidRDefault="00B90E36" w:rsidP="00876689">
            <w:pPr>
              <w:rPr>
                <w:rFonts w:eastAsia="Times New Roman" w:cs="Times New Roman"/>
                <w:i/>
                <w:iCs/>
                <w:color w:val="000000"/>
                <w:sz w:val="22"/>
                <w:szCs w:val="22"/>
              </w:rPr>
            </w:pPr>
            <w:r>
              <w:rPr>
                <w:rFonts w:eastAsia="Times New Roman" w:cs="Times New Roman"/>
                <w:i/>
                <w:iCs/>
                <w:color w:val="000000"/>
                <w:sz w:val="22"/>
                <w:szCs w:val="22"/>
              </w:rPr>
              <w:t>Private Improvements</w:t>
            </w:r>
          </w:p>
        </w:tc>
        <w:tc>
          <w:tcPr>
            <w:tcW w:w="1701" w:type="dxa"/>
            <w:tcBorders>
              <w:top w:val="nil"/>
              <w:left w:val="nil"/>
              <w:bottom w:val="nil"/>
              <w:right w:val="nil"/>
            </w:tcBorders>
            <w:vAlign w:val="center"/>
          </w:tcPr>
          <w:p w14:paraId="520ABFEF" w14:textId="77777777" w:rsidR="00B90E36" w:rsidRPr="00891A37" w:rsidRDefault="00B90E36" w:rsidP="00876689">
            <w:pPr>
              <w:rPr>
                <w:rFonts w:eastAsia="Times New Roman" w:cs="Times New Roman"/>
                <w:i/>
                <w:iCs/>
                <w:color w:val="000000"/>
                <w:sz w:val="22"/>
                <w:szCs w:val="22"/>
              </w:rPr>
            </w:pPr>
          </w:p>
        </w:tc>
      </w:tr>
      <w:tr w:rsidR="00B90E36" w:rsidRPr="00891A37" w14:paraId="7C6177CA" w14:textId="77777777" w:rsidTr="00971D4D">
        <w:trPr>
          <w:trHeight w:val="300"/>
          <w:jc w:val="center"/>
        </w:trPr>
        <w:tc>
          <w:tcPr>
            <w:tcW w:w="4050" w:type="dxa"/>
            <w:tcBorders>
              <w:top w:val="nil"/>
              <w:left w:val="nil"/>
              <w:bottom w:val="nil"/>
              <w:right w:val="nil"/>
            </w:tcBorders>
            <w:vAlign w:val="center"/>
            <w:hideMark/>
          </w:tcPr>
          <w:p w14:paraId="10325C8B"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Subdivision Improvements</w:t>
            </w:r>
            <w:r>
              <w:rPr>
                <w:rFonts w:eastAsia="Times New Roman" w:cs="Times New Roman"/>
                <w:color w:val="000000"/>
                <w:sz w:val="22"/>
                <w:szCs w:val="22"/>
                <w:vertAlign w:val="superscript"/>
              </w:rPr>
              <w:t>4</w:t>
            </w:r>
          </w:p>
        </w:tc>
        <w:tc>
          <w:tcPr>
            <w:tcW w:w="1701" w:type="dxa"/>
            <w:tcBorders>
              <w:top w:val="nil"/>
              <w:left w:val="nil"/>
              <w:bottom w:val="nil"/>
              <w:right w:val="nil"/>
            </w:tcBorders>
            <w:vAlign w:val="center"/>
          </w:tcPr>
          <w:p w14:paraId="771504AE" w14:textId="77777777" w:rsidR="00B90E36" w:rsidRPr="00891A37" w:rsidRDefault="00B90E36" w:rsidP="00876689">
            <w:pPr>
              <w:rPr>
                <w:rFonts w:eastAsia="Times New Roman" w:cs="Times New Roman"/>
                <w:color w:val="000000"/>
                <w:sz w:val="22"/>
                <w:szCs w:val="22"/>
              </w:rPr>
            </w:pPr>
          </w:p>
        </w:tc>
      </w:tr>
      <w:tr w:rsidR="00B90E36" w:rsidRPr="00891A37" w14:paraId="2EB3EA35" w14:textId="77777777" w:rsidTr="00971D4D">
        <w:trPr>
          <w:trHeight w:val="300"/>
          <w:jc w:val="center"/>
        </w:trPr>
        <w:tc>
          <w:tcPr>
            <w:tcW w:w="4050" w:type="dxa"/>
            <w:tcBorders>
              <w:top w:val="nil"/>
              <w:left w:val="nil"/>
              <w:bottom w:val="nil"/>
              <w:right w:val="nil"/>
            </w:tcBorders>
            <w:noWrap/>
            <w:vAlign w:val="center"/>
            <w:hideMark/>
          </w:tcPr>
          <w:p w14:paraId="79C08996" w14:textId="77777777" w:rsidR="00B90E36" w:rsidRPr="00891A37" w:rsidRDefault="00B90E36" w:rsidP="00876689">
            <w:pPr>
              <w:rPr>
                <w:rFonts w:eastAsia="Times New Roman" w:cs="Times New Roman"/>
                <w:color w:val="000000"/>
                <w:sz w:val="22"/>
                <w:szCs w:val="22"/>
              </w:rPr>
            </w:pPr>
            <w:r>
              <w:rPr>
                <w:rFonts w:eastAsia="Times New Roman" w:cs="Times New Roman"/>
                <w:color w:val="000000"/>
                <w:sz w:val="22"/>
                <w:szCs w:val="22"/>
              </w:rPr>
              <w:t xml:space="preserve">      Total</w:t>
            </w:r>
          </w:p>
        </w:tc>
        <w:tc>
          <w:tcPr>
            <w:tcW w:w="1701" w:type="dxa"/>
            <w:tcBorders>
              <w:top w:val="nil"/>
              <w:left w:val="nil"/>
              <w:bottom w:val="nil"/>
              <w:right w:val="nil"/>
            </w:tcBorders>
            <w:noWrap/>
            <w:vAlign w:val="center"/>
          </w:tcPr>
          <w:p w14:paraId="6A6B3A99" w14:textId="1FCD2CC1" w:rsidR="00B90E36" w:rsidRPr="00891A37" w:rsidRDefault="00B90E36" w:rsidP="00876689">
            <w:pPr>
              <w:jc w:val="right"/>
              <w:rPr>
                <w:rFonts w:eastAsia="Times New Roman" w:cs="Times New Roman"/>
                <w:color w:val="000000"/>
                <w:sz w:val="22"/>
                <w:szCs w:val="22"/>
                <w:u w:val="double"/>
              </w:rPr>
            </w:pPr>
          </w:p>
        </w:tc>
      </w:tr>
    </w:tbl>
    <w:p w14:paraId="472CB8F0" w14:textId="77777777" w:rsidR="00B90E36" w:rsidRPr="00DA2177" w:rsidRDefault="00B90E36" w:rsidP="00B90E36">
      <w:pPr>
        <w:tabs>
          <w:tab w:val="right" w:pos="2880"/>
        </w:tabs>
        <w:rPr>
          <w:rFonts w:cs="Times New Roman"/>
          <w:sz w:val="22"/>
          <w:szCs w:val="22"/>
          <w:u w:val="single"/>
        </w:rPr>
      </w:pPr>
      <w:r>
        <w:rPr>
          <w:rFonts w:cs="Times New Roman"/>
          <w:sz w:val="22"/>
          <w:szCs w:val="22"/>
          <w:u w:val="single"/>
        </w:rPr>
        <w:tab/>
      </w:r>
    </w:p>
    <w:p w14:paraId="19BFA62F" w14:textId="77777777" w:rsidR="00B90E36" w:rsidRDefault="00B90E36" w:rsidP="00B90E36">
      <w:pPr>
        <w:ind w:left="720" w:hanging="720"/>
        <w:jc w:val="both"/>
        <w:rPr>
          <w:rFonts w:cs="Times New Roman"/>
          <w:szCs w:val="20"/>
        </w:rPr>
      </w:pPr>
      <w:r>
        <w:rPr>
          <w:rFonts w:cs="Times New Roman"/>
          <w:szCs w:val="20"/>
          <w:vertAlign w:val="superscript"/>
        </w:rPr>
        <w:t>*</w:t>
      </w:r>
      <w:r>
        <w:rPr>
          <w:rFonts w:cs="Times New Roman"/>
          <w:szCs w:val="20"/>
        </w:rPr>
        <w:tab/>
        <w:t xml:space="preserve">Preliminary; subject to change. </w:t>
      </w:r>
    </w:p>
    <w:p w14:paraId="68570821" w14:textId="402EC5D7" w:rsidR="00B90E36" w:rsidRPr="00891A37" w:rsidRDefault="00B90E36" w:rsidP="00B90E36">
      <w:pPr>
        <w:ind w:left="720" w:hanging="720"/>
        <w:jc w:val="both"/>
        <w:rPr>
          <w:rFonts w:cs="Times New Roman"/>
          <w:szCs w:val="20"/>
        </w:rPr>
      </w:pPr>
      <w:r>
        <w:rPr>
          <w:rFonts w:cs="Times New Roman"/>
          <w:szCs w:val="20"/>
          <w:vertAlign w:val="superscript"/>
        </w:rPr>
        <w:t>1</w:t>
      </w:r>
      <w:r>
        <w:rPr>
          <w:rFonts w:cs="Times New Roman"/>
          <w:szCs w:val="20"/>
        </w:rPr>
        <w:tab/>
        <w:t>Costs include engineering, construction management, testing, and contingency costs. Figures have been rounded elsewhere in this Official Statement.</w:t>
      </w:r>
    </w:p>
    <w:p w14:paraId="6DDFB686" w14:textId="0650AD39" w:rsidR="00B90E36" w:rsidRPr="00891A37" w:rsidRDefault="00B90E36" w:rsidP="00B90E36">
      <w:pPr>
        <w:ind w:left="720" w:hanging="720"/>
        <w:jc w:val="both"/>
        <w:rPr>
          <w:rFonts w:cs="Times New Roman"/>
          <w:szCs w:val="20"/>
        </w:rPr>
      </w:pPr>
      <w:r>
        <w:rPr>
          <w:rFonts w:cs="Times New Roman"/>
          <w:szCs w:val="20"/>
          <w:vertAlign w:val="superscript"/>
        </w:rPr>
        <w:t>2</w:t>
      </w:r>
      <w:r>
        <w:rPr>
          <w:rFonts w:cs="Times New Roman"/>
          <w:szCs w:val="20"/>
        </w:rPr>
        <w:tab/>
        <w:t>[Excludes costs related to U-111 and 6400 West (other than segment one, which is included), and related road improvements, which are shown under U-111 and Related Road Improvements.]</w:t>
      </w:r>
    </w:p>
    <w:p w14:paraId="3A6A1908" w14:textId="77777777" w:rsidR="00B90E36" w:rsidRPr="00891A37" w:rsidRDefault="00B90E36" w:rsidP="00B90E36">
      <w:pPr>
        <w:jc w:val="both"/>
        <w:rPr>
          <w:rFonts w:cs="Times New Roman"/>
          <w:szCs w:val="20"/>
        </w:rPr>
      </w:pPr>
      <w:r>
        <w:rPr>
          <w:rFonts w:cs="Times New Roman"/>
          <w:szCs w:val="20"/>
          <w:vertAlign w:val="superscript"/>
        </w:rPr>
        <w:t>3</w:t>
      </w:r>
      <w:r>
        <w:rPr>
          <w:rFonts w:cs="Times New Roman"/>
          <w:szCs w:val="20"/>
        </w:rPr>
        <w:tab/>
        <w:t>Includes public subdivision roads and water, sewer, and storm drain improvements.</w:t>
      </w:r>
    </w:p>
    <w:p w14:paraId="134F268B" w14:textId="77777777" w:rsidR="00B90E36" w:rsidRDefault="00B90E36" w:rsidP="00B90E36">
      <w:pPr>
        <w:jc w:val="both"/>
        <w:rPr>
          <w:rFonts w:cs="Times New Roman"/>
          <w:szCs w:val="20"/>
        </w:rPr>
      </w:pPr>
      <w:r>
        <w:rPr>
          <w:rFonts w:cs="Times New Roman"/>
          <w:szCs w:val="20"/>
          <w:vertAlign w:val="superscript"/>
        </w:rPr>
        <w:t>4</w:t>
      </w:r>
      <w:r>
        <w:rPr>
          <w:rFonts w:cs="Times New Roman"/>
          <w:szCs w:val="20"/>
        </w:rPr>
        <w:tab/>
        <w:t xml:space="preserve">Includes private subdivision roads, power improvements, and gas improvements. </w:t>
      </w:r>
    </w:p>
    <w:p w14:paraId="75B56849" w14:textId="77777777" w:rsidR="00891A37" w:rsidRPr="00DA2177" w:rsidRDefault="00891A37" w:rsidP="00891A37">
      <w:pPr>
        <w:rPr>
          <w:rFonts w:cs="Times New Roman"/>
          <w:sz w:val="22"/>
          <w:szCs w:val="22"/>
        </w:rPr>
      </w:pPr>
    </w:p>
    <w:p w14:paraId="7E9CD304" w14:textId="4B2B015F" w:rsidR="00E374C4" w:rsidRPr="00DA2177" w:rsidRDefault="00E374C4" w:rsidP="00E374C4">
      <w:pPr>
        <w:pStyle w:val="00BodyText5"/>
        <w:rPr>
          <w:rFonts w:cs="Times New Roman"/>
          <w:szCs w:val="22"/>
        </w:rPr>
      </w:pPr>
      <w:r>
        <w:rPr>
          <w:rFonts w:cs="Times New Roman"/>
          <w:szCs w:val="22"/>
        </w:rPr>
        <w:t>It is anticipated that the District will have $[</w:t>
      </w:r>
      <w:r>
        <w:rPr>
          <w:rFonts w:eastAsia="Calibri" w:cs="Times New Roman"/>
          <w:bCs/>
          <w:iCs/>
          <w:szCs w:val="22"/>
        </w:rPr>
        <w:t>NET PROCEEDS]</w:t>
      </w:r>
      <w:r w:rsidR="00691E9F">
        <w:rPr>
          <w:rStyle w:val="FootnoteReference"/>
          <w:rFonts w:cs="Times New Roman"/>
          <w:szCs w:val="22"/>
        </w:rPr>
        <w:footnoteReference w:customMarkFollows="1" w:id="22"/>
        <w:t>*</w:t>
      </w:r>
      <w:r>
        <w:rPr>
          <w:rFonts w:cs="Times New Roman"/>
          <w:szCs w:val="22"/>
        </w:rPr>
        <w:t xml:space="preserve"> in Bond proceeds immediately available for costs of the Public Improvements. See “RISK FACTORS—Development Not Assured” and “USE OF PROCEEDS AND DEBT SERVICE REQUIREMENTS.”</w:t>
      </w:r>
    </w:p>
    <w:p w14:paraId="5B3BEF72" w14:textId="61EB2480" w:rsidR="00E374C4" w:rsidRPr="00DA2177" w:rsidRDefault="00625871" w:rsidP="00625871">
      <w:pPr>
        <w:pStyle w:val="00BodyText5"/>
        <w:rPr>
          <w:rFonts w:cs="Times New Roman"/>
          <w:szCs w:val="22"/>
        </w:rPr>
      </w:pPr>
      <w:r>
        <w:rPr>
          <w:rFonts w:cs="Times New Roman"/>
          <w:szCs w:val="22"/>
        </w:rPr>
        <w:t xml:space="preserve">It is anticipated that all Public Improvements with the exception of U-111 and sewer improvements will be dedicated to the City. U-111 is anticipated to be dedicated to UDOT and sewer improvements are anticipated to be dedicated to South Valley Special Service District. See “—Water and Sewer” below. </w:t>
      </w:r>
    </w:p>
    <w:p w14:paraId="198F049C" w14:textId="42B49806" w:rsidR="00AD4074" w:rsidRPr="00AD4074" w:rsidRDefault="00E374C4" w:rsidP="00AD4074">
      <w:pPr>
        <w:pStyle w:val="BodyText"/>
        <w:ind w:firstLine="720"/>
        <w:rPr>
          <w:rFonts w:cs="Times New Roman"/>
          <w:szCs w:val="22"/>
        </w:rPr>
      </w:pPr>
      <w:r>
        <w:rPr>
          <w:rFonts w:cs="Times New Roman"/>
          <w:i/>
          <w:szCs w:val="22"/>
        </w:rPr>
        <w:t>Vertical Construction</w:t>
      </w:r>
      <w:r>
        <w:rPr>
          <w:rFonts w:cs="Times New Roman"/>
          <w:szCs w:val="22"/>
        </w:rPr>
        <w:t>. It is not anticipated that the Developer will undertake any vertical construction within the Development. Each Homebuilder will be responsible to pay their respective costs of all vertical construction within the Development. No information is provided with respect to any financing that may be necessary in connection with vertical construction of the Development. No assurance is provided that any such financing will be obtained by the Homebuilders or third-party developers in the amounts or timing needed in order to construct buildings within the Development.</w:t>
      </w:r>
    </w:p>
    <w:p w14:paraId="47E692DC" w14:textId="7E64BD29" w:rsidR="009215DD" w:rsidRDefault="00AD4074" w:rsidP="00AD4074">
      <w:pPr>
        <w:pStyle w:val="BodyText"/>
        <w:ind w:firstLine="720"/>
        <w:rPr>
          <w:rFonts w:cs="Times New Roman"/>
          <w:szCs w:val="22"/>
        </w:rPr>
      </w:pPr>
      <w:r>
        <w:rPr>
          <w:rFonts w:cs="Times New Roman"/>
          <w:szCs w:val="22"/>
        </w:rPr>
        <w:t xml:space="preserve">There can be no assurance that the Homebuilders or any other owners of property will fund the costs of the vertical construction required for the Development or will have adequate financial resources to do so. No independent investigation has been made of the financial resources of the Developer, the Homebuilders, or any property owner or developer presently owning, or anticipated to own, property in the Development. There can be no assurance that the construction of the planned vertical construction within the Development will occur in any particular time or manner presently anticipated, or at all. </w:t>
      </w:r>
    </w:p>
    <w:p w14:paraId="600E357B" w14:textId="0D5803D1" w:rsidR="00E374C4" w:rsidRPr="00DA2177" w:rsidRDefault="00E374C4" w:rsidP="00E374C4">
      <w:pPr>
        <w:pStyle w:val="00BodyText5"/>
        <w:rPr>
          <w:rFonts w:cs="Times New Roman"/>
          <w:szCs w:val="22"/>
        </w:rPr>
      </w:pPr>
      <w:r>
        <w:rPr>
          <w:rFonts w:cs="Times New Roman"/>
          <w:szCs w:val="22"/>
        </w:rPr>
        <w:t>No independent investigation has been made of the financial resources of the Developer, the Homebuilders, or any property owner or developer anticipated to own, property in the Development. There can be no assurance that the construction of the planned vertical construction within the Development will occur in any particular time or manner presently, or at all. See “RISK FACTORS—Development Not Assured.”</w:t>
      </w:r>
    </w:p>
    <w:p w14:paraId="18194C19" w14:textId="77777777" w:rsidR="00421E58" w:rsidRPr="00DA2177" w:rsidRDefault="00421E58" w:rsidP="00903937">
      <w:pPr>
        <w:pStyle w:val="Heading2"/>
        <w:rPr>
          <w:rFonts w:eastAsia="Times New Roman"/>
          <w:bCs w:val="0"/>
          <w:sz w:val="22"/>
          <w:szCs w:val="22"/>
        </w:rPr>
      </w:pPr>
      <w:bookmarkStart w:id="214" w:name="_Toc235521106"/>
      <w:r>
        <w:rPr>
          <w:rFonts w:eastAsia="Times New Roman"/>
          <w:bCs w:val="0"/>
          <w:sz w:val="22"/>
          <w:szCs w:val="22"/>
        </w:rPr>
        <w:t>Zoning, Public Approvals, and Platting</w:t>
      </w:r>
      <w:bookmarkEnd w:id="214"/>
    </w:p>
    <w:p w14:paraId="2FD4E08B" w14:textId="654A4AD3" w:rsidR="00421E58" w:rsidRDefault="00421E58" w:rsidP="0082608C">
      <w:pPr>
        <w:pStyle w:val="00BodyText5"/>
        <w:rPr>
          <w:rFonts w:cs="Times New Roman"/>
          <w:szCs w:val="22"/>
        </w:rPr>
      </w:pPr>
      <w:r>
        <w:rPr>
          <w:rFonts w:cs="Times New Roman"/>
          <w:szCs w:val="22"/>
        </w:rPr>
        <w:t xml:space="preserve">The Development is subject to, and is being undertaken, in accordance with the limitations on land uses provided in the applicable zoning documentation in accordance with the City’s municipal code and as more particularly described herein. </w:t>
      </w:r>
    </w:p>
    <w:p w14:paraId="29051D81" w14:textId="5E5CD3A8" w:rsidR="00AB24BE" w:rsidRPr="00AB24BE" w:rsidRDefault="00AB24BE" w:rsidP="00AB24BE">
      <w:pPr>
        <w:spacing w:after="240"/>
        <w:ind w:firstLine="720"/>
        <w:jc w:val="both"/>
        <w:rPr>
          <w:rFonts w:eastAsia="Calibri" w:cs="Times New Roman"/>
          <w:bCs/>
          <w:iCs/>
          <w:sz w:val="22"/>
          <w:szCs w:val="22"/>
        </w:rPr>
      </w:pPr>
      <w:r>
        <w:rPr>
          <w:rFonts w:eastAsia="Calibri" w:cs="Times New Roman"/>
          <w:b/>
          <w:bCs/>
          <w:i/>
          <w:iCs/>
          <w:sz w:val="22"/>
          <w:szCs w:val="22"/>
        </w:rPr>
        <w:t>Zoning</w:t>
      </w:r>
      <w:r>
        <w:rPr>
          <w:rFonts w:eastAsia="Calibri" w:cs="Times New Roman"/>
          <w:bCs/>
          <w:iCs/>
          <w:sz w:val="22"/>
          <w:szCs w:val="22"/>
        </w:rPr>
        <w:t>. All of the Development is zoned as Large Project Master Planned Community (as previously defined, “</w:t>
      </w:r>
      <w:r>
        <w:rPr>
          <w:rFonts w:eastAsia="Calibri" w:cs="Times New Roman"/>
          <w:b/>
          <w:iCs/>
          <w:sz w:val="22"/>
          <w:szCs w:val="22"/>
        </w:rPr>
        <w:t>LPMPC Zone</w:t>
      </w:r>
      <w:r>
        <w:rPr>
          <w:rFonts w:eastAsia="Calibri" w:cs="Times New Roman"/>
          <w:bCs/>
          <w:iCs/>
          <w:sz w:val="22"/>
          <w:szCs w:val="22"/>
        </w:rPr>
        <w:t>”). LPMPC Zone creates zoning and other land use requirements on a property-by-property basis with the development of the property agreed to by the City and the property owner, pursuant to the terms of a development agreement. Pursuant to the terms of the Master Development Agreement, permitted uses within the LPMPC Zone include, but are not limited to, residential and lodging facilities, civic buildings, general retail, office space, and accessory uses. Conditional uses within the LPMPC Zone include, but are not limited to, assembly halls, hospitals and clinics, utility lots, and home occupational uses that are principally non-residential.</w:t>
      </w:r>
      <w:r w:rsidR="00230899">
        <w:rPr>
          <w:rFonts w:eastAsia="Calibri" w:cs="Times New Roman"/>
          <w:bCs/>
          <w:iCs/>
          <w:sz w:val="22"/>
          <w:szCs w:val="22"/>
        </w:rPr>
        <w:t xml:space="preserve"> [</w:t>
      </w:r>
      <w:r w:rsidR="00230899" w:rsidRPr="00230899">
        <w:rPr>
          <w:rFonts w:eastAsia="Calibri" w:cs="Times New Roman"/>
          <w:bCs/>
          <w:iCs/>
          <w:sz w:val="22"/>
          <w:szCs w:val="22"/>
          <w:highlight w:val="yellow"/>
        </w:rPr>
        <w:t>ZONING FOR SORRENTO – SHOWS AG ON CITY MAP</w:t>
      </w:r>
      <w:r w:rsidR="00230899">
        <w:rPr>
          <w:rFonts w:eastAsia="Calibri" w:cs="Times New Roman"/>
          <w:bCs/>
          <w:iCs/>
          <w:sz w:val="22"/>
          <w:szCs w:val="22"/>
        </w:rPr>
        <w:t>]</w:t>
      </w:r>
    </w:p>
    <w:p w14:paraId="4449A186" w14:textId="77DB6B7E" w:rsidR="00AB24BE" w:rsidRDefault="00AB24BE" w:rsidP="00AB24BE">
      <w:pPr>
        <w:spacing w:after="240"/>
        <w:ind w:firstLine="720"/>
        <w:jc w:val="both"/>
        <w:rPr>
          <w:rFonts w:eastAsia="Calibri" w:cs="Times New Roman"/>
          <w:bCs/>
          <w:iCs/>
          <w:sz w:val="22"/>
          <w:szCs w:val="22"/>
        </w:rPr>
      </w:pPr>
      <w:r>
        <w:rPr>
          <w:rFonts w:eastAsia="Calibri" w:cs="Times New Roman"/>
          <w:bCs/>
          <w:iCs/>
          <w:sz w:val="22"/>
          <w:szCs w:val="22"/>
        </w:rPr>
        <w:t>According to the Developer, all property within the Development is zoned for its anticipated uses. See also “—Planned Development” above.</w:t>
      </w:r>
    </w:p>
    <w:p w14:paraId="4BD5C7A1" w14:textId="5EF5F0A6" w:rsidR="00E163E8" w:rsidRPr="00E163E8" w:rsidRDefault="00471C87" w:rsidP="00E163E8">
      <w:pPr>
        <w:spacing w:after="240"/>
        <w:ind w:firstLine="720"/>
        <w:jc w:val="both"/>
        <w:rPr>
          <w:rFonts w:eastAsia="Calibri" w:cs="Times New Roman"/>
          <w:bCs/>
          <w:iCs/>
          <w:sz w:val="22"/>
          <w:szCs w:val="22"/>
        </w:rPr>
      </w:pPr>
      <w:r>
        <w:rPr>
          <w:rFonts w:eastAsia="Calibri" w:cs="Times New Roman"/>
          <w:b/>
          <w:i/>
          <w:sz w:val="22"/>
          <w:szCs w:val="22"/>
        </w:rPr>
        <w:t>Platting and Site Plan Approval</w:t>
      </w:r>
      <w:r>
        <w:rPr>
          <w:rFonts w:eastAsia="Calibri" w:cs="Times New Roman"/>
          <w:sz w:val="22"/>
          <w:szCs w:val="22"/>
        </w:rPr>
        <w:t xml:space="preserve">. </w:t>
      </w:r>
      <w:bookmarkStart w:id="215" w:name="_Toc130909904"/>
      <w:bookmarkStart w:id="216" w:name="_Hlk146884658"/>
      <w:r>
        <w:rPr>
          <w:rFonts w:eastAsia="Calibri" w:cs="Times New Roman"/>
          <w:bCs/>
          <w:iCs/>
          <w:sz w:val="22"/>
          <w:szCs w:val="22"/>
        </w:rPr>
        <w:t>Pursuant to the Master Development Agreement, Planning Commission review and public hearing requirements in the City’s Municipal Code (the “</w:t>
      </w:r>
      <w:r>
        <w:rPr>
          <w:rFonts w:eastAsia="Calibri" w:cs="Times New Roman"/>
          <w:b/>
          <w:iCs/>
          <w:sz w:val="22"/>
          <w:szCs w:val="22"/>
        </w:rPr>
        <w:t>City Code</w:t>
      </w:r>
      <w:r>
        <w:rPr>
          <w:rFonts w:eastAsia="Calibri" w:cs="Times New Roman"/>
          <w:bCs/>
          <w:iCs/>
          <w:sz w:val="22"/>
          <w:szCs w:val="22"/>
        </w:rPr>
        <w:t>”) are not applicable to development within the Olympia Master Development, provided the Development Application (defined herein) is consistent with the Master Development Agreement. Site plans within the Olympia Master Development may be approved by City staff and with certification of compliance by the architectural review committee created by the homeowners association of the HOA ARC. Approval standards for a site plan require the entire site be developed at one time unless a phased development plan is approved, the site plan must conform to applicable standards of the City Code, and the applicant must enter into an improvement completion assurance and warranty agreement. See “—Master Development Agreement—</w:t>
      </w:r>
      <w:r>
        <w:rPr>
          <w:rFonts w:eastAsia="Calibri" w:cs="Times New Roman"/>
          <w:bCs/>
          <w:i/>
          <w:sz w:val="22"/>
          <w:szCs w:val="22"/>
        </w:rPr>
        <w:t>Development Applications</w:t>
      </w:r>
      <w:r>
        <w:rPr>
          <w:rFonts w:eastAsia="Calibri" w:cs="Times New Roman"/>
          <w:bCs/>
          <w:iCs/>
          <w:sz w:val="22"/>
          <w:szCs w:val="22"/>
        </w:rPr>
        <w:t>” below.</w:t>
      </w:r>
    </w:p>
    <w:p w14:paraId="635850DD" w14:textId="77777777" w:rsidR="00E163E8" w:rsidRPr="00E163E8" w:rsidRDefault="00E163E8" w:rsidP="00E163E8">
      <w:pPr>
        <w:spacing w:after="240"/>
        <w:ind w:firstLine="720"/>
        <w:jc w:val="both"/>
        <w:rPr>
          <w:rFonts w:eastAsia="Calibri" w:cs="Times New Roman"/>
          <w:bCs/>
          <w:iCs/>
          <w:sz w:val="22"/>
          <w:szCs w:val="22"/>
        </w:rPr>
      </w:pPr>
      <w:r>
        <w:rPr>
          <w:rFonts w:eastAsia="Calibri" w:cs="Times New Roman"/>
          <w:bCs/>
          <w:iCs/>
          <w:sz w:val="22"/>
          <w:szCs w:val="22"/>
        </w:rPr>
        <w:t xml:space="preserve">Pursuant to the Master Development Agreement, any Planning Commission review and public hearing requirements set forth in the City Code are not applicable to preliminary plats for individually platted residential dwelling units within the Olympia Master Development, provided the Development Application (defined herein) is consistent with the Master Development Agreement. Instead, such preliminary plats may be approved by City staff and with certification of compliance by the HOA ARC. An application for final plat approval may be submitted following preliminary plat approval and is required to be approved before a final plat may be recorded. Following the submission of an application for final plat approval, department heads must </w:t>
      </w:r>
      <w:r>
        <w:rPr>
          <w:rFonts w:eastAsia="Calibri" w:cs="Times New Roman"/>
          <w:sz w:val="22"/>
          <w:szCs w:val="22"/>
        </w:rPr>
        <w:t>review the application within 20 days for compliance with requirements of such department, identify modifications needed to comply with requirements, and submit any comments or recommendations to the Community Development Director. The Community Development Director and department heads then meet to review the application and comments, may meet with the applicant, and, within 20 days of the submission of the application, prepare a staff report and recommendation that the final plat be approved, approved with conditions, or disapproved based on compliance with approval requirements, and include written findings and recommendations that show the basis for the recommendation.</w:t>
      </w:r>
      <w:r>
        <w:rPr>
          <w:rFonts w:eastAsia="Calibri" w:cs="Times New Roman"/>
          <w:bCs/>
          <w:iCs/>
          <w:sz w:val="22"/>
          <w:szCs w:val="22"/>
        </w:rPr>
        <w:t xml:space="preserve"> City staff are ultimately authorized to review and approve final plats. See “—Master Development Agreement—</w:t>
      </w:r>
      <w:r>
        <w:rPr>
          <w:rFonts w:eastAsia="Calibri" w:cs="Times New Roman"/>
          <w:bCs/>
          <w:i/>
          <w:iCs/>
          <w:sz w:val="22"/>
          <w:szCs w:val="22"/>
        </w:rPr>
        <w:t>Development Applications</w:t>
      </w:r>
      <w:r>
        <w:rPr>
          <w:rFonts w:eastAsia="Calibri" w:cs="Times New Roman"/>
          <w:bCs/>
          <w:iCs/>
          <w:sz w:val="22"/>
          <w:szCs w:val="22"/>
        </w:rPr>
        <w:t>” below.</w:t>
      </w:r>
    </w:p>
    <w:p w14:paraId="4E232545" w14:textId="4D3B51CE" w:rsidR="00E163E8" w:rsidRPr="00E163E8" w:rsidRDefault="00E163E8" w:rsidP="00B26215">
      <w:pPr>
        <w:spacing w:after="240"/>
        <w:ind w:firstLine="720"/>
        <w:jc w:val="both"/>
        <w:rPr>
          <w:rFonts w:eastAsia="Calibri" w:cs="Times New Roman"/>
          <w:bCs/>
          <w:iCs/>
          <w:sz w:val="22"/>
          <w:szCs w:val="22"/>
        </w:rPr>
      </w:pPr>
      <w:r>
        <w:rPr>
          <w:rFonts w:eastAsia="Calibri" w:cs="Times New Roman"/>
          <w:bCs/>
          <w:iCs/>
          <w:sz w:val="22"/>
          <w:szCs w:val="22"/>
        </w:rPr>
        <w:t xml:space="preserve">Final plats and site plans have been approved with respect to </w:t>
      </w:r>
      <w:r w:rsidR="00B26215">
        <w:rPr>
          <w:rFonts w:eastAsia="Calibri" w:cs="Times New Roman"/>
          <w:bCs/>
          <w:iCs/>
          <w:sz w:val="22"/>
          <w:szCs w:val="22"/>
        </w:rPr>
        <w:t>Cascades, Sorrento Phase 1, Acadia Phase 1, and Joshua Tree Phase 4</w:t>
      </w:r>
      <w:r>
        <w:rPr>
          <w:rFonts w:eastAsia="Calibri" w:cs="Times New Roman"/>
          <w:bCs/>
          <w:iCs/>
          <w:sz w:val="22"/>
          <w:szCs w:val="22"/>
        </w:rPr>
        <w:t xml:space="preserve">, provided such final plats are not anticipated to be recorded until after completion of horizontal improvements by the applicable Homebuilder. Draft final plats and site plans have been prepared </w:t>
      </w:r>
      <w:r w:rsidR="00B26215">
        <w:rPr>
          <w:rFonts w:eastAsia="Calibri" w:cs="Times New Roman"/>
          <w:bCs/>
          <w:iCs/>
          <w:sz w:val="22"/>
          <w:szCs w:val="22"/>
        </w:rPr>
        <w:t>and submitted to the City for Sorrento Phase 2 and Yosemite and are anticipated to be approved in [________], 20[__]. Preliminary plats are being prepared for submittal for Acadia Phases 2-4 and are anticipated to be approved in [________], 20[__].</w:t>
      </w:r>
      <w:r>
        <w:rPr>
          <w:rFonts w:eastAsia="Calibri" w:cs="Times New Roman"/>
          <w:bCs/>
          <w:iCs/>
          <w:sz w:val="22"/>
          <w:szCs w:val="22"/>
        </w:rPr>
        <w:t xml:space="preserve"> The Developer has prepared concept plans for </w:t>
      </w:r>
      <w:r w:rsidR="00B26215">
        <w:rPr>
          <w:rFonts w:eastAsia="Calibri" w:cs="Times New Roman"/>
          <w:bCs/>
          <w:iCs/>
          <w:sz w:val="22"/>
          <w:szCs w:val="22"/>
        </w:rPr>
        <w:t>Kenai</w:t>
      </w:r>
      <w:r>
        <w:rPr>
          <w:rFonts w:eastAsia="Calibri" w:cs="Times New Roman"/>
          <w:bCs/>
          <w:iCs/>
          <w:sz w:val="22"/>
          <w:szCs w:val="22"/>
        </w:rPr>
        <w:t>, but does not anticipate preparing final plats until closer to the anticipated buildout of such area.</w:t>
      </w:r>
    </w:p>
    <w:p w14:paraId="2B70A40F" w14:textId="3559B2FD" w:rsidR="00E35300" w:rsidRPr="000F78B1" w:rsidRDefault="00E35300" w:rsidP="000F78B1">
      <w:pPr>
        <w:pStyle w:val="Heading2"/>
        <w:rPr>
          <w:rFonts w:eastAsia="Times New Roman"/>
          <w:bCs w:val="0"/>
          <w:sz w:val="22"/>
          <w:szCs w:val="22"/>
        </w:rPr>
      </w:pPr>
      <w:bookmarkStart w:id="217" w:name="_Toc235521107"/>
      <w:r w:rsidRPr="000F78B1">
        <w:rPr>
          <w:rFonts w:eastAsia="Times New Roman"/>
          <w:bCs w:val="0"/>
          <w:sz w:val="22"/>
          <w:szCs w:val="22"/>
        </w:rPr>
        <w:t>Master Development Agreement</w:t>
      </w:r>
      <w:bookmarkEnd w:id="215"/>
      <w:bookmarkEnd w:id="217"/>
    </w:p>
    <w:p w14:paraId="3101FE80" w14:textId="40B7AAF2" w:rsidR="00173EF7" w:rsidRPr="00637285" w:rsidRDefault="00173EF7" w:rsidP="00173EF7">
      <w:pPr>
        <w:spacing w:after="240"/>
        <w:ind w:firstLine="720"/>
        <w:jc w:val="both"/>
        <w:rPr>
          <w:rFonts w:eastAsia="Calibri" w:cs="Times New Roman"/>
          <w:bCs/>
          <w:iCs/>
          <w:sz w:val="22"/>
          <w:szCs w:val="22"/>
        </w:rPr>
      </w:pPr>
      <w:bookmarkStart w:id="218" w:name="_Toc86152200"/>
      <w:bookmarkEnd w:id="216"/>
      <w:r w:rsidRPr="00637285">
        <w:rPr>
          <w:rFonts w:eastAsia="Calibri" w:cs="Times New Roman"/>
          <w:b/>
          <w:i/>
          <w:sz w:val="22"/>
          <w:szCs w:val="22"/>
        </w:rPr>
        <w:t>General</w:t>
      </w:r>
      <w:r w:rsidRPr="00637285">
        <w:rPr>
          <w:rFonts w:eastAsia="Calibri" w:cs="Times New Roman"/>
          <w:bCs/>
          <w:iCs/>
          <w:sz w:val="22"/>
          <w:szCs w:val="22"/>
        </w:rPr>
        <w:t>. The City, the Developer, the Original Landowner, and the Jordan School District entered into a Master Development Agreement for Olympia dated September 29, 2021 (as previously defined</w:t>
      </w:r>
      <w:r>
        <w:rPr>
          <w:rFonts w:eastAsia="Calibri" w:cs="Times New Roman"/>
          <w:bCs/>
          <w:iCs/>
          <w:sz w:val="22"/>
          <w:szCs w:val="22"/>
        </w:rPr>
        <w:t>, and as subsequently amended</w:t>
      </w:r>
      <w:r w:rsidRPr="00637285">
        <w:rPr>
          <w:rFonts w:eastAsia="Calibri" w:cs="Times New Roman"/>
          <w:bCs/>
          <w:iCs/>
          <w:sz w:val="22"/>
          <w:szCs w:val="22"/>
        </w:rPr>
        <w:t>, the “</w:t>
      </w:r>
      <w:r w:rsidRPr="00637285">
        <w:rPr>
          <w:rFonts w:eastAsia="Calibri" w:cs="Times New Roman"/>
          <w:b/>
          <w:iCs/>
          <w:sz w:val="22"/>
          <w:szCs w:val="22"/>
        </w:rPr>
        <w:t>Master Development Agreement</w:t>
      </w:r>
      <w:r w:rsidRPr="00637285">
        <w:rPr>
          <w:rFonts w:eastAsia="Calibri" w:cs="Times New Roman"/>
          <w:bCs/>
          <w:iCs/>
          <w:sz w:val="22"/>
          <w:szCs w:val="22"/>
        </w:rPr>
        <w:t xml:space="preserve">”) relating to property within the Olympia Master Development. As used in this section, Developer includes any sub-developer or assignee of the Developer, in accordance with the terms of the Master Development Agreement. </w:t>
      </w:r>
    </w:p>
    <w:p w14:paraId="348D3876" w14:textId="77777777" w:rsidR="00173EF7" w:rsidRPr="00637285" w:rsidRDefault="00173EF7" w:rsidP="00173EF7">
      <w:pPr>
        <w:spacing w:after="240"/>
        <w:ind w:firstLine="720"/>
        <w:jc w:val="both"/>
        <w:rPr>
          <w:rFonts w:eastAsia="Calibri" w:cs="Times New Roman"/>
          <w:sz w:val="22"/>
          <w:szCs w:val="22"/>
        </w:rPr>
      </w:pPr>
      <w:r w:rsidRPr="00637285">
        <w:rPr>
          <w:rFonts w:eastAsia="Calibri" w:cs="Times New Roman"/>
          <w:sz w:val="22"/>
          <w:szCs w:val="22"/>
        </w:rPr>
        <w:t xml:space="preserve">The Master Development Agreement specifies the rights and responsibilities of the Developer to develop such property. The Master Development Agreement further vests the Developer with the right to develop and construct on the respective property in accordance with the terms of the Master Development Agreement, subject to the following exceptions: agreement by the City and the Developer; compliance with City laws required to comply with State and Federal laws; updates to safety related codes; taxes, fees, and impact fees and charged uniformly by the City; generally applicable laws not in conflict with the Master Development Agreement; and changes by the City to its planning principals and design standards so long as such changes are generally applicable across the City and do not materially and unreasonably increase the costs of the project. The Master Development Agreement runs with the land and continues in full force and effect until all obligations thereunder have been fully performed and all rights fully exercised; provided that unless the City and the Developer mutually agree to extend the term, the term of the Master Development Agreement does not extend further than a period of fifteen years. </w:t>
      </w:r>
    </w:p>
    <w:p w14:paraId="28BBD70B" w14:textId="77777777" w:rsidR="00173EF7" w:rsidRPr="00637285" w:rsidRDefault="00173EF7" w:rsidP="00173EF7">
      <w:pPr>
        <w:spacing w:after="240"/>
        <w:ind w:firstLine="720"/>
        <w:jc w:val="both"/>
        <w:rPr>
          <w:rFonts w:eastAsia="Calibri" w:cs="Times New Roman"/>
          <w:sz w:val="22"/>
          <w:szCs w:val="22"/>
        </w:rPr>
      </w:pPr>
      <w:r w:rsidRPr="00637285">
        <w:rPr>
          <w:rFonts w:eastAsia="Calibri" w:cs="Times New Roman"/>
          <w:b/>
          <w:bCs/>
          <w:i/>
          <w:iCs/>
          <w:sz w:val="22"/>
          <w:szCs w:val="22"/>
        </w:rPr>
        <w:t>Development Applications</w:t>
      </w:r>
      <w:r w:rsidRPr="00637285">
        <w:rPr>
          <w:rFonts w:eastAsia="Calibri" w:cs="Times New Roman"/>
          <w:sz w:val="22"/>
          <w:szCs w:val="22"/>
        </w:rPr>
        <w:t>. The Master Development Agreement defines “</w:t>
      </w:r>
      <w:r w:rsidRPr="00637285">
        <w:rPr>
          <w:rFonts w:eastAsia="Calibri" w:cs="Times New Roman"/>
          <w:b/>
          <w:bCs/>
          <w:sz w:val="22"/>
          <w:szCs w:val="22"/>
        </w:rPr>
        <w:t>Development Application</w:t>
      </w:r>
      <w:r w:rsidRPr="00637285">
        <w:rPr>
          <w:rFonts w:eastAsia="Calibri" w:cs="Times New Roman"/>
          <w:sz w:val="22"/>
          <w:szCs w:val="22"/>
        </w:rPr>
        <w:t xml:space="preserve">” as an application to the City for development of a portion of the Olympia Master Development, including a preliminary plat, final plat, a building permit, or any other permit, certificate or other authorization from the City for development of the Olympia Master Development. No improvements may be constructed on any parcel without the Developer first obtaining approval of a Development Application. The Master Development Agreement establishes the review process and approval bodies for Development Applications in order to limit the number of submittals and reviews required for development of the Olympia Master Development, to ensure each Development Application complies with the Master Development Agreement, and to make implementation of the Master Development Agreement an administrative function, except to the extent the Master Development Agreement requires approval of the Planning Commission and/or the City Council. Approval processes for Development Applications are as provided in vested laws of the City and shall be approved by the City if such applications comply with the vested laws of the City and the Master Development Agreement. The City is required to cooperate reasonably and in good faith in promptly processing and reviewing all Development Applications any denial of any Development Application requires the denying body to provide a written determination advising the Developer of the reasons for denial. Under the Master Development Agreement, Development Applications are reviewed as follows: (a) single family home building permits, subdivisions for individually platted residential dwelling units, apartment dwelling unit site plans, commercial site plans, and vertical mixed-use site plans by City staff and with certification of compliance by the HOA ARC; (b) initial conditional use permits by the person, board, commission, agency or other body designated by City ordinance to decide an appeal of a decision of a land use application or variance; (c) modifications to initial conditional use permits and home occupation permits by the Planning Commission; and (d) open space design by City staff. </w:t>
      </w:r>
    </w:p>
    <w:p w14:paraId="4935821C" w14:textId="77777777" w:rsidR="00173EF7" w:rsidRPr="00637285" w:rsidRDefault="00173EF7" w:rsidP="00173EF7">
      <w:pPr>
        <w:spacing w:after="240"/>
        <w:ind w:firstLine="720"/>
        <w:jc w:val="both"/>
        <w:rPr>
          <w:rFonts w:eastAsia="Calibri" w:cs="Times New Roman"/>
          <w:sz w:val="22"/>
          <w:szCs w:val="22"/>
        </w:rPr>
      </w:pPr>
      <w:r w:rsidRPr="00637285">
        <w:rPr>
          <w:rFonts w:eastAsia="Calibri" w:cs="Times New Roman"/>
          <w:b/>
          <w:bCs/>
          <w:i/>
          <w:iCs/>
          <w:sz w:val="22"/>
          <w:szCs w:val="22"/>
        </w:rPr>
        <w:t>Residential Development</w:t>
      </w:r>
      <w:r w:rsidRPr="00637285">
        <w:rPr>
          <w:rFonts w:eastAsia="Calibri" w:cs="Times New Roman"/>
          <w:sz w:val="22"/>
          <w:szCs w:val="22"/>
        </w:rPr>
        <w:t>. The Master Development Agreement approves a maximum of 6,</w:t>
      </w:r>
      <w:r>
        <w:rPr>
          <w:rFonts w:eastAsia="Calibri" w:cs="Times New Roman"/>
          <w:sz w:val="22"/>
          <w:szCs w:val="22"/>
        </w:rPr>
        <w:t>480</w:t>
      </w:r>
      <w:r w:rsidRPr="00637285">
        <w:rPr>
          <w:rFonts w:eastAsia="Calibri" w:cs="Times New Roman"/>
          <w:sz w:val="22"/>
          <w:szCs w:val="22"/>
        </w:rPr>
        <w:t xml:space="preserve"> residential dwelling units within the Olympia Master Development as generally described in the land use plan attached to the Master Development Agreement, provided that each Development Application must comply with the Master Development Agreement and vested laws of the City. Under the Master Development Agreement, at least 30% shall be detached single family dwelling units, at least 63% shall be individually platted dwelling units, and no more than 37% may be apartment dwelling units. With each Development Application, the Developer must provide the City a report showing the number and type of residential units, acres, amount of open space, and other items governed by the Master Development Agreement that are used within the phase, subdivision, or proposed Development Application and the number and type of maximum residential units remaining with the Developer for the remainder of the Olympia Master Development. In addition, each Development Application must demonstrate that such application substantially complies with the assumptions and projections of the traffic impact study for the applicable proposed phase. If a Development Application does not comply with the traffic impact study, a new study must be conducted at the Developer’s cost and the Developer must pay its proportionate share of the cost of recommended improvements in the updated traffic impact study. </w:t>
      </w:r>
    </w:p>
    <w:p w14:paraId="24CD4018" w14:textId="77777777" w:rsidR="00173EF7" w:rsidRPr="00637285" w:rsidRDefault="00173EF7" w:rsidP="00173EF7">
      <w:pPr>
        <w:spacing w:after="240"/>
        <w:ind w:firstLine="720"/>
        <w:jc w:val="both"/>
        <w:rPr>
          <w:rFonts w:eastAsia="Calibri" w:cs="Times New Roman"/>
          <w:sz w:val="22"/>
          <w:szCs w:val="22"/>
        </w:rPr>
      </w:pPr>
      <w:r w:rsidRPr="00637285">
        <w:rPr>
          <w:rFonts w:eastAsia="Calibri" w:cs="Times New Roman"/>
          <w:b/>
          <w:bCs/>
          <w:i/>
          <w:iCs/>
          <w:sz w:val="22"/>
          <w:szCs w:val="22"/>
        </w:rPr>
        <w:t>Public Infrastructure</w:t>
      </w:r>
      <w:r w:rsidRPr="00637285">
        <w:rPr>
          <w:rFonts w:eastAsia="Calibri" w:cs="Times New Roman"/>
          <w:sz w:val="22"/>
          <w:szCs w:val="22"/>
        </w:rPr>
        <w:t>. The Master Development Agreement mandates that the Developer must construct and install all necessary Public Infrastructure within the Olympia Master Development as stipulated by a Development Application’s conditions of approval. This includes compliance with the vested laws of the City and other relevant regulations, and does not oblige the Developer to construct roads beyond those specified, unless additional financing is secured. Security for any required Public Infrastructure is to be provided by the Developer if needed. They are also obliged to warrant all trees planted along specified transportation corridors within the Olympia Master Development for two years. Additionally, the Developer is required to pay their proportionate share of impacts to existing Public Infrastructure within the City boundaries but outside the Olympia Master Development. The City has approved the Olympia PIDs to fund these, but the Developer’s obligations are not contingent upon the financing obtained through these districts. The Master Development Agreement provides for compensation mechanisms for any required upsizing of Public Infrastructure, and specifies the Developer’s responsibilities for improvements along 6400 West, with reimbursement from the City under agreed terms. The parties may also offset any upsizing, buy-in, or other Public Infrastructure related costs against other payments owed/due by/from the Developer.</w:t>
      </w:r>
    </w:p>
    <w:p w14:paraId="71209CFA" w14:textId="77777777" w:rsidR="00173EF7" w:rsidRPr="00637285" w:rsidRDefault="00173EF7" w:rsidP="00173EF7">
      <w:pPr>
        <w:spacing w:after="240"/>
        <w:ind w:firstLine="720"/>
        <w:jc w:val="both"/>
        <w:rPr>
          <w:rFonts w:eastAsia="Calibri" w:cs="Times New Roman"/>
          <w:sz w:val="22"/>
          <w:szCs w:val="22"/>
        </w:rPr>
      </w:pPr>
      <w:r w:rsidRPr="00637285">
        <w:rPr>
          <w:rFonts w:eastAsia="Calibri" w:cs="Times New Roman"/>
          <w:b/>
          <w:bCs/>
          <w:i/>
          <w:iCs/>
          <w:sz w:val="22"/>
          <w:szCs w:val="22"/>
        </w:rPr>
        <w:t>Open Space</w:t>
      </w:r>
      <w:r w:rsidRPr="00637285">
        <w:rPr>
          <w:rFonts w:eastAsia="Calibri" w:cs="Times New Roman"/>
          <w:sz w:val="22"/>
          <w:szCs w:val="22"/>
        </w:rPr>
        <w:t>. Under the Master Development Agreement, a minimum of 20% of the Olympia Master Development is designated as open space, including parks, trails, and detention/retention areas, as outlined in the design standards and parks master plan. The allocation of open space is subject to a pro rata system, ensuring that spaces are practical and usable. While each Development Application is expected to contribute to the overall open space, allowances are made for delayed dedications, ensuring larger, more functional open spaces are developed. There are restrictions if the Developer falls behind by more than 10% in open space allocation, and provisions for mediation in case of denial of a Development Application due to open space issues. Specific areas, including school district property and capital roads, are exempt from open space requirements, while institutional property can contribute to open space under certain conditions. The City is responsible for maintaining dedicated open spaces, with a one-year contractor’s warranty on installed improvements.</w:t>
      </w:r>
    </w:p>
    <w:p w14:paraId="0B330EDF" w14:textId="77777777" w:rsidR="00173EF7" w:rsidRPr="00637285" w:rsidRDefault="00173EF7" w:rsidP="00173EF7">
      <w:pPr>
        <w:spacing w:after="240"/>
        <w:ind w:firstLine="720"/>
        <w:jc w:val="both"/>
        <w:rPr>
          <w:rFonts w:eastAsia="Calibri" w:cs="Times New Roman"/>
          <w:sz w:val="22"/>
          <w:szCs w:val="22"/>
        </w:rPr>
      </w:pPr>
      <w:r w:rsidRPr="00637285">
        <w:rPr>
          <w:rFonts w:eastAsia="Calibri" w:cs="Times New Roman"/>
          <w:b/>
          <w:bCs/>
          <w:i/>
          <w:iCs/>
          <w:sz w:val="22"/>
          <w:szCs w:val="22"/>
        </w:rPr>
        <w:t>Amendments</w:t>
      </w:r>
      <w:r w:rsidRPr="00637285">
        <w:rPr>
          <w:rFonts w:eastAsia="Calibri" w:cs="Times New Roman"/>
          <w:sz w:val="22"/>
          <w:szCs w:val="22"/>
        </w:rPr>
        <w:t>. The Master Development Agreement outlines the procedures for making amendments. Administrative modifications can be made for minor changes without City Council approval, while more significant alterations require a legislative amendment process, involving detailed review and approval by the City Council. Furthermore, amendments that do not impact property owned by the Jordan School District do not necessitate the approval of the Jordan School District.</w:t>
      </w:r>
    </w:p>
    <w:p w14:paraId="40CE31CA" w14:textId="77777777" w:rsidR="00173EF7" w:rsidRDefault="00173EF7" w:rsidP="00173EF7">
      <w:pPr>
        <w:spacing w:after="240"/>
        <w:ind w:firstLine="720"/>
        <w:jc w:val="both"/>
        <w:rPr>
          <w:rFonts w:eastAsia="Calibri" w:cs="Times New Roman"/>
          <w:sz w:val="22"/>
          <w:szCs w:val="22"/>
        </w:rPr>
      </w:pPr>
      <w:r w:rsidRPr="00637285">
        <w:rPr>
          <w:rFonts w:eastAsia="Calibri" w:cs="Times New Roman"/>
          <w:b/>
          <w:bCs/>
          <w:i/>
          <w:iCs/>
          <w:sz w:val="22"/>
          <w:szCs w:val="22"/>
        </w:rPr>
        <w:t>Assignment</w:t>
      </w:r>
      <w:r w:rsidRPr="00637285">
        <w:rPr>
          <w:rFonts w:eastAsia="Calibri" w:cs="Times New Roman"/>
          <w:sz w:val="22"/>
          <w:szCs w:val="22"/>
        </w:rPr>
        <w:t xml:space="preserve">. The Master Development Agreement may be assigned in whole or in part with the consent of the City, provided that the selling or conveying of lots to builders or end-users is not deemed to be an assignment subject to approval of the City. Additionally, the Developer may transfer all or any part of the property to a related entity, enter into a joint venture with respect to the property, or pledge part of all of the property as security without being deemed an assignment, provided the Developer is required to give notice to the City of the foregoing events. Unless the City objects in writing within five business days of notice, the City is deemed to have consented to an assignment and the City may only withhold consent to an assignment if the City is not reasonably satisfied of the assignee’s financial ability to perform the obligations proposed to be assigned or there is an existing breach of a development obligation owed to the City by the proposed assignee that has not been cured or in the process of being cured. </w:t>
      </w:r>
    </w:p>
    <w:p w14:paraId="4D088FD9" w14:textId="77777777" w:rsidR="000F78B1" w:rsidRPr="000F78B1" w:rsidRDefault="000F78B1" w:rsidP="000F78B1">
      <w:pPr>
        <w:pStyle w:val="Heading2"/>
        <w:rPr>
          <w:rFonts w:eastAsia="Times New Roman"/>
          <w:bCs w:val="0"/>
          <w:sz w:val="22"/>
          <w:szCs w:val="22"/>
        </w:rPr>
      </w:pPr>
      <w:bookmarkStart w:id="219" w:name="_Toc235521108"/>
      <w:r w:rsidRPr="000F78B1">
        <w:rPr>
          <w:rFonts w:eastAsia="Times New Roman"/>
          <w:bCs w:val="0"/>
          <w:sz w:val="22"/>
          <w:szCs w:val="22"/>
        </w:rPr>
        <w:t>Water Infrastructure Reimbursement Agreement</w:t>
      </w:r>
      <w:bookmarkEnd w:id="219"/>
    </w:p>
    <w:p w14:paraId="5C835DF5" w14:textId="77777777" w:rsidR="000F78B1" w:rsidRPr="00CC0719" w:rsidRDefault="000F78B1" w:rsidP="000F78B1">
      <w:pPr>
        <w:spacing w:after="240"/>
        <w:jc w:val="both"/>
        <w:rPr>
          <w:rFonts w:eastAsia="Calibri" w:cs="Times New Roman"/>
          <w:sz w:val="22"/>
          <w:szCs w:val="22"/>
        </w:rPr>
      </w:pPr>
      <w:r>
        <w:rPr>
          <w:rFonts w:eastAsia="Calibri" w:cs="Times New Roman"/>
          <w:b/>
          <w:bCs/>
          <w:sz w:val="22"/>
          <w:szCs w:val="22"/>
        </w:rPr>
        <w:tab/>
      </w:r>
      <w:r>
        <w:rPr>
          <w:rFonts w:eastAsia="Calibri" w:cs="Times New Roman"/>
          <w:sz w:val="22"/>
          <w:szCs w:val="22"/>
        </w:rPr>
        <w:t>The City and the Developer entered into a Water Infrastructure Reimbursement Agreement for Olympia dated June 12, 2026 (the “</w:t>
      </w:r>
      <w:r>
        <w:rPr>
          <w:rFonts w:eastAsia="Calibri" w:cs="Times New Roman"/>
          <w:b/>
          <w:bCs/>
          <w:sz w:val="22"/>
          <w:szCs w:val="22"/>
        </w:rPr>
        <w:t>Water Reimbursement Agreement</w:t>
      </w:r>
      <w:r>
        <w:rPr>
          <w:rFonts w:eastAsia="Calibri" w:cs="Times New Roman"/>
          <w:sz w:val="22"/>
          <w:szCs w:val="22"/>
        </w:rPr>
        <w:t>”) relating to water tank and waterline improvements within the Olympia Master Development (the “</w:t>
      </w:r>
      <w:r w:rsidRPr="00A37755">
        <w:rPr>
          <w:rFonts w:eastAsia="Calibri" w:cs="Times New Roman"/>
          <w:b/>
          <w:bCs/>
          <w:sz w:val="22"/>
          <w:szCs w:val="22"/>
        </w:rPr>
        <w:t>City Water Improvements</w:t>
      </w:r>
      <w:r>
        <w:rPr>
          <w:rFonts w:eastAsia="Calibri" w:cs="Times New Roman"/>
          <w:sz w:val="22"/>
          <w:szCs w:val="22"/>
        </w:rPr>
        <w:t>”) which</w:t>
      </w:r>
      <w:r w:rsidRPr="00CC0719">
        <w:rPr>
          <w:rFonts w:eastAsia="Calibri" w:cs="Times New Roman"/>
          <w:sz w:val="22"/>
          <w:szCs w:val="22"/>
        </w:rPr>
        <w:t xml:space="preserve"> will have greater capacity than are needed for the </w:t>
      </w:r>
      <w:r>
        <w:rPr>
          <w:rFonts w:eastAsia="Calibri" w:cs="Times New Roman"/>
          <w:sz w:val="22"/>
          <w:szCs w:val="22"/>
        </w:rPr>
        <w:t>Olympia Master Development and</w:t>
      </w:r>
      <w:r w:rsidRPr="00CC0719">
        <w:rPr>
          <w:rFonts w:eastAsia="Calibri" w:cs="Times New Roman"/>
          <w:sz w:val="22"/>
          <w:szCs w:val="22"/>
        </w:rPr>
        <w:t xml:space="preserve"> will be upsized at the City</w:t>
      </w:r>
      <w:r>
        <w:rPr>
          <w:rFonts w:eastAsia="Calibri" w:cs="Times New Roman"/>
          <w:sz w:val="22"/>
          <w:szCs w:val="22"/>
        </w:rPr>
        <w:t>’</w:t>
      </w:r>
      <w:r w:rsidRPr="00CC0719">
        <w:rPr>
          <w:rFonts w:eastAsia="Calibri" w:cs="Times New Roman"/>
          <w:sz w:val="22"/>
          <w:szCs w:val="22"/>
        </w:rPr>
        <w:t>s request</w:t>
      </w:r>
      <w:r>
        <w:rPr>
          <w:rFonts w:eastAsia="Calibri" w:cs="Times New Roman"/>
          <w:sz w:val="22"/>
          <w:szCs w:val="22"/>
        </w:rPr>
        <w:t xml:space="preserve"> to </w:t>
      </w:r>
      <w:r w:rsidRPr="00CC0719">
        <w:rPr>
          <w:rFonts w:eastAsia="Calibri" w:cs="Times New Roman"/>
          <w:sz w:val="22"/>
          <w:szCs w:val="22"/>
        </w:rPr>
        <w:t>serve other developments. Accordingly, the City has agreed to reimburse the Developer for the City</w:t>
      </w:r>
      <w:r>
        <w:rPr>
          <w:rFonts w:eastAsia="Calibri" w:cs="Times New Roman"/>
          <w:sz w:val="22"/>
          <w:szCs w:val="22"/>
        </w:rPr>
        <w:t>’</w:t>
      </w:r>
      <w:r w:rsidRPr="00CC0719">
        <w:rPr>
          <w:rFonts w:eastAsia="Calibri" w:cs="Times New Roman"/>
          <w:sz w:val="22"/>
          <w:szCs w:val="22"/>
        </w:rPr>
        <w:t xml:space="preserve">s proportionate share of the actual costs attributable to </w:t>
      </w:r>
      <w:r>
        <w:rPr>
          <w:rFonts w:eastAsia="Calibri" w:cs="Times New Roman"/>
          <w:sz w:val="22"/>
          <w:szCs w:val="22"/>
        </w:rPr>
        <w:t>the City Water Improvements</w:t>
      </w:r>
      <w:r w:rsidRPr="00CC0719">
        <w:rPr>
          <w:rFonts w:eastAsia="Calibri" w:cs="Times New Roman"/>
          <w:sz w:val="22"/>
          <w:szCs w:val="22"/>
        </w:rPr>
        <w:t xml:space="preserve">. </w:t>
      </w:r>
    </w:p>
    <w:p w14:paraId="36B86FF3" w14:textId="77777777" w:rsidR="000F78B1" w:rsidRDefault="000F78B1" w:rsidP="000F78B1">
      <w:pPr>
        <w:spacing w:after="240"/>
        <w:ind w:firstLine="720"/>
        <w:jc w:val="both"/>
        <w:rPr>
          <w:rFonts w:eastAsia="Calibri" w:cs="Times New Roman"/>
          <w:sz w:val="22"/>
          <w:szCs w:val="22"/>
        </w:rPr>
      </w:pPr>
      <w:r w:rsidRPr="00CC0719">
        <w:rPr>
          <w:rFonts w:eastAsia="Calibri" w:cs="Times New Roman"/>
          <w:sz w:val="22"/>
          <w:szCs w:val="22"/>
        </w:rPr>
        <w:t xml:space="preserve">The parties acknowledge that, upon completion and dedication of the </w:t>
      </w:r>
      <w:r>
        <w:rPr>
          <w:rFonts w:eastAsia="Calibri" w:cs="Times New Roman"/>
          <w:sz w:val="22"/>
          <w:szCs w:val="22"/>
        </w:rPr>
        <w:t>City Water Improvements</w:t>
      </w:r>
      <w:r w:rsidRPr="00CC0719">
        <w:rPr>
          <w:rFonts w:eastAsia="Calibri" w:cs="Times New Roman"/>
          <w:sz w:val="22"/>
          <w:szCs w:val="22"/>
        </w:rPr>
        <w:t>, the City will have storage and source capacity within its existing infrastructure to serve an additional 650 equivalent residential connections (</w:t>
      </w:r>
      <w:r>
        <w:rPr>
          <w:rFonts w:eastAsia="Calibri" w:cs="Times New Roman"/>
          <w:sz w:val="22"/>
          <w:szCs w:val="22"/>
        </w:rPr>
        <w:t>“</w:t>
      </w:r>
      <w:r w:rsidRPr="004C7284">
        <w:rPr>
          <w:rFonts w:eastAsia="Calibri" w:cs="Times New Roman"/>
          <w:b/>
          <w:bCs/>
          <w:sz w:val="22"/>
          <w:szCs w:val="22"/>
        </w:rPr>
        <w:t>ERCs</w:t>
      </w:r>
      <w:r>
        <w:rPr>
          <w:rFonts w:eastAsia="Calibri" w:cs="Times New Roman"/>
          <w:sz w:val="22"/>
          <w:szCs w:val="22"/>
        </w:rPr>
        <w:t>”</w:t>
      </w:r>
      <w:r w:rsidRPr="00CC0719">
        <w:rPr>
          <w:rFonts w:eastAsia="Calibri" w:cs="Times New Roman"/>
          <w:sz w:val="22"/>
          <w:szCs w:val="22"/>
        </w:rPr>
        <w:t>), or approximately 860 residential units, within the applicable service area, in addition to previously approved capacity. As part of the agreement, the Developer will pay the City a buy-in amount of $1,808,679.01 for the City</w:t>
      </w:r>
      <w:r>
        <w:rPr>
          <w:rFonts w:eastAsia="Calibri" w:cs="Times New Roman"/>
          <w:sz w:val="22"/>
          <w:szCs w:val="22"/>
        </w:rPr>
        <w:t>’</w:t>
      </w:r>
      <w:r w:rsidRPr="00CC0719">
        <w:rPr>
          <w:rFonts w:eastAsia="Calibri" w:cs="Times New Roman"/>
          <w:sz w:val="22"/>
          <w:szCs w:val="22"/>
        </w:rPr>
        <w:t>s existing water storage, source, and distribution infrastructure. The agreement further provides that a future pump station must be completed before development exceeding the specified ERC thresholds may proceed, with the parties agreeing that the future cost share for the pump station will be determined based upon each party</w:t>
      </w:r>
      <w:r>
        <w:rPr>
          <w:rFonts w:eastAsia="Calibri" w:cs="Times New Roman"/>
          <w:sz w:val="22"/>
          <w:szCs w:val="22"/>
        </w:rPr>
        <w:t>’</w:t>
      </w:r>
      <w:r w:rsidRPr="00CC0719">
        <w:rPr>
          <w:rFonts w:eastAsia="Calibri" w:cs="Times New Roman"/>
          <w:sz w:val="22"/>
          <w:szCs w:val="22"/>
        </w:rPr>
        <w:t>s proportionate share and documented in a separate reimbursement agreement.</w:t>
      </w:r>
      <w:r>
        <w:rPr>
          <w:rFonts w:eastAsia="Calibri" w:cs="Times New Roman"/>
          <w:sz w:val="22"/>
          <w:szCs w:val="22"/>
        </w:rPr>
        <w:t xml:space="preserve"> </w:t>
      </w:r>
      <w:r w:rsidRPr="00CC0719">
        <w:rPr>
          <w:rFonts w:eastAsia="Calibri" w:cs="Times New Roman"/>
          <w:sz w:val="22"/>
          <w:szCs w:val="22"/>
        </w:rPr>
        <w:t xml:space="preserve">The </w:t>
      </w:r>
      <w:r>
        <w:rPr>
          <w:rFonts w:eastAsia="Calibri" w:cs="Times New Roman"/>
          <w:sz w:val="22"/>
          <w:szCs w:val="22"/>
        </w:rPr>
        <w:t>Water Reimbursement Agreement</w:t>
      </w:r>
      <w:r w:rsidRPr="00CC0719">
        <w:rPr>
          <w:rFonts w:eastAsia="Calibri" w:cs="Times New Roman"/>
          <w:sz w:val="22"/>
          <w:szCs w:val="22"/>
        </w:rPr>
        <w:t xml:space="preserve"> also acknowledges that the City has been awarded a $1,000,000 grant for </w:t>
      </w:r>
      <w:r>
        <w:rPr>
          <w:rFonts w:eastAsia="Calibri" w:cs="Times New Roman"/>
          <w:sz w:val="22"/>
          <w:szCs w:val="22"/>
        </w:rPr>
        <w:t>a</w:t>
      </w:r>
      <w:r w:rsidRPr="00CC0719">
        <w:rPr>
          <w:rFonts w:eastAsia="Calibri" w:cs="Times New Roman"/>
          <w:sz w:val="22"/>
          <w:szCs w:val="22"/>
        </w:rPr>
        <w:t xml:space="preserve"> water tank, which will be applied first toward eligible water tank construction costs.</w:t>
      </w:r>
      <w:r>
        <w:rPr>
          <w:rFonts w:eastAsia="Calibri" w:cs="Times New Roman"/>
          <w:sz w:val="22"/>
          <w:szCs w:val="22"/>
        </w:rPr>
        <w:t xml:space="preserve"> In connection with the construction of the improvements, </w:t>
      </w:r>
      <w:r w:rsidRPr="00C804FF">
        <w:rPr>
          <w:rFonts w:eastAsia="Calibri" w:cs="Times New Roman"/>
          <w:sz w:val="22"/>
          <w:szCs w:val="22"/>
        </w:rPr>
        <w:t xml:space="preserve">the City </w:t>
      </w:r>
      <w:r>
        <w:rPr>
          <w:rFonts w:eastAsia="Calibri" w:cs="Times New Roman"/>
          <w:sz w:val="22"/>
          <w:szCs w:val="22"/>
        </w:rPr>
        <w:t>wi</w:t>
      </w:r>
      <w:r w:rsidRPr="00C804FF">
        <w:rPr>
          <w:rFonts w:eastAsia="Calibri" w:cs="Times New Roman"/>
          <w:sz w:val="22"/>
          <w:szCs w:val="22"/>
        </w:rPr>
        <w:t xml:space="preserve">ll design the </w:t>
      </w:r>
      <w:r>
        <w:rPr>
          <w:rFonts w:eastAsia="Calibri" w:cs="Times New Roman"/>
          <w:sz w:val="22"/>
          <w:szCs w:val="22"/>
        </w:rPr>
        <w:t>Z</w:t>
      </w:r>
      <w:r w:rsidRPr="00C804FF">
        <w:rPr>
          <w:rFonts w:eastAsia="Calibri" w:cs="Times New Roman"/>
          <w:sz w:val="22"/>
          <w:szCs w:val="22"/>
        </w:rPr>
        <w:t>one 4 booster pump station by December 31, 2026</w:t>
      </w:r>
      <w:r>
        <w:rPr>
          <w:rFonts w:eastAsia="Calibri" w:cs="Times New Roman"/>
          <w:sz w:val="22"/>
          <w:szCs w:val="22"/>
        </w:rPr>
        <w:t xml:space="preserve">. </w:t>
      </w:r>
      <w:r w:rsidRPr="004C7284">
        <w:rPr>
          <w:rFonts w:eastAsia="Calibri" w:cs="Times New Roman"/>
          <w:sz w:val="22"/>
          <w:szCs w:val="22"/>
        </w:rPr>
        <w:t xml:space="preserve">Once the </w:t>
      </w:r>
      <w:r>
        <w:rPr>
          <w:rFonts w:eastAsia="Calibri" w:cs="Times New Roman"/>
          <w:sz w:val="22"/>
          <w:szCs w:val="22"/>
        </w:rPr>
        <w:t>b</w:t>
      </w:r>
      <w:r w:rsidRPr="004C7284">
        <w:rPr>
          <w:rFonts w:eastAsia="Calibri" w:cs="Times New Roman"/>
          <w:sz w:val="22"/>
          <w:szCs w:val="22"/>
        </w:rPr>
        <w:t xml:space="preserve">ooster </w:t>
      </w:r>
      <w:r>
        <w:rPr>
          <w:rFonts w:eastAsia="Calibri" w:cs="Times New Roman"/>
          <w:sz w:val="22"/>
          <w:szCs w:val="22"/>
        </w:rPr>
        <w:t>p</w:t>
      </w:r>
      <w:r w:rsidRPr="004C7284">
        <w:rPr>
          <w:rFonts w:eastAsia="Calibri" w:cs="Times New Roman"/>
          <w:sz w:val="22"/>
          <w:szCs w:val="22"/>
        </w:rPr>
        <w:t xml:space="preserve">ump </w:t>
      </w:r>
      <w:r>
        <w:rPr>
          <w:rFonts w:eastAsia="Calibri" w:cs="Times New Roman"/>
          <w:sz w:val="22"/>
          <w:szCs w:val="22"/>
        </w:rPr>
        <w:t xml:space="preserve">station </w:t>
      </w:r>
      <w:r w:rsidRPr="004C7284">
        <w:rPr>
          <w:rFonts w:eastAsia="Calibri" w:cs="Times New Roman"/>
          <w:sz w:val="22"/>
          <w:szCs w:val="22"/>
        </w:rPr>
        <w:t>is designed and engineered,</w:t>
      </w:r>
      <w:r>
        <w:rPr>
          <w:rFonts w:eastAsia="Calibri" w:cs="Times New Roman"/>
          <w:sz w:val="22"/>
          <w:szCs w:val="22"/>
        </w:rPr>
        <w:t xml:space="preserve"> the</w:t>
      </w:r>
      <w:r w:rsidRPr="004C7284">
        <w:rPr>
          <w:rFonts w:eastAsia="Calibri" w:cs="Times New Roman"/>
          <w:sz w:val="22"/>
          <w:szCs w:val="22"/>
        </w:rPr>
        <w:t xml:space="preserve"> Developer </w:t>
      </w:r>
      <w:r>
        <w:rPr>
          <w:rFonts w:eastAsia="Calibri" w:cs="Times New Roman"/>
          <w:sz w:val="22"/>
          <w:szCs w:val="22"/>
        </w:rPr>
        <w:t>must</w:t>
      </w:r>
      <w:r w:rsidRPr="004C7284">
        <w:rPr>
          <w:rFonts w:eastAsia="Calibri" w:cs="Times New Roman"/>
          <w:sz w:val="22"/>
          <w:szCs w:val="22"/>
        </w:rPr>
        <w:t xml:space="preserve"> construct </w:t>
      </w:r>
      <w:r>
        <w:rPr>
          <w:rFonts w:eastAsia="Calibri" w:cs="Times New Roman"/>
          <w:sz w:val="22"/>
          <w:szCs w:val="22"/>
        </w:rPr>
        <w:t>it</w:t>
      </w:r>
      <w:r w:rsidRPr="004C7284">
        <w:rPr>
          <w:rFonts w:eastAsia="Calibri" w:cs="Times New Roman"/>
          <w:sz w:val="22"/>
          <w:szCs w:val="22"/>
        </w:rPr>
        <w:t xml:space="preserve"> as soon as reasonably possible</w:t>
      </w:r>
      <w:r>
        <w:rPr>
          <w:rFonts w:eastAsia="Calibri" w:cs="Times New Roman"/>
          <w:sz w:val="22"/>
          <w:szCs w:val="22"/>
        </w:rPr>
        <w:t xml:space="preserve">, and upon completion, no further water constraints to capacity will exist for the Developer for the Development under currently anticipated densities. </w:t>
      </w:r>
    </w:p>
    <w:p w14:paraId="792CF6E4" w14:textId="68977F83" w:rsidR="000F78B1" w:rsidRDefault="000F78B1" w:rsidP="000F78B1">
      <w:pPr>
        <w:spacing w:after="240"/>
        <w:ind w:firstLine="720"/>
        <w:jc w:val="both"/>
        <w:rPr>
          <w:rFonts w:eastAsia="Calibri" w:cs="Times New Roman"/>
          <w:sz w:val="22"/>
          <w:szCs w:val="22"/>
        </w:rPr>
      </w:pPr>
      <w:r w:rsidRPr="00CC0719">
        <w:rPr>
          <w:rFonts w:eastAsia="Calibri" w:cs="Times New Roman"/>
          <w:sz w:val="22"/>
          <w:szCs w:val="22"/>
        </w:rPr>
        <w:t xml:space="preserve">The Developer will initially bear the costs of constructing the </w:t>
      </w:r>
      <w:r>
        <w:rPr>
          <w:rFonts w:eastAsia="Calibri" w:cs="Times New Roman"/>
          <w:sz w:val="22"/>
          <w:szCs w:val="22"/>
        </w:rPr>
        <w:t>City Water Improvements</w:t>
      </w:r>
      <w:r w:rsidRPr="00CC0719">
        <w:rPr>
          <w:rFonts w:eastAsia="Calibri" w:cs="Times New Roman"/>
          <w:sz w:val="22"/>
          <w:szCs w:val="22"/>
        </w:rPr>
        <w:t>, subject to</w:t>
      </w:r>
      <w:r>
        <w:rPr>
          <w:rFonts w:eastAsia="Calibri" w:cs="Times New Roman"/>
          <w:sz w:val="22"/>
          <w:szCs w:val="22"/>
        </w:rPr>
        <w:t xml:space="preserve"> reimbursement from</w:t>
      </w:r>
      <w:r w:rsidRPr="00CC0719">
        <w:rPr>
          <w:rFonts w:eastAsia="Calibri" w:cs="Times New Roman"/>
          <w:sz w:val="22"/>
          <w:szCs w:val="22"/>
        </w:rPr>
        <w:t xml:space="preserve"> the City</w:t>
      </w:r>
      <w:r>
        <w:rPr>
          <w:rFonts w:eastAsia="Calibri" w:cs="Times New Roman"/>
          <w:sz w:val="22"/>
          <w:szCs w:val="22"/>
        </w:rPr>
        <w:t xml:space="preserve"> for its proportionate share of costs</w:t>
      </w:r>
      <w:r w:rsidRPr="00CC0719">
        <w:rPr>
          <w:rFonts w:eastAsia="Calibri" w:cs="Times New Roman"/>
          <w:sz w:val="22"/>
          <w:szCs w:val="22"/>
        </w:rPr>
        <w:t xml:space="preserve">. </w:t>
      </w:r>
      <w:r>
        <w:rPr>
          <w:rFonts w:eastAsia="Calibri" w:cs="Times New Roman"/>
          <w:sz w:val="22"/>
          <w:szCs w:val="22"/>
        </w:rPr>
        <w:t xml:space="preserve">The Water Reimbursement Agreement estimates the total cost of the City Water Improvements to be $18,459,753, of which $10,144,500 is anticipated to be the Olympia Master Development’s share and $8,315,252 is anticipated to be the City’s share. </w:t>
      </w:r>
      <w:r w:rsidRPr="00CC0719">
        <w:rPr>
          <w:rFonts w:eastAsia="Calibri" w:cs="Times New Roman"/>
          <w:sz w:val="22"/>
          <w:szCs w:val="22"/>
        </w:rPr>
        <w:t>The parties jointly approved the contractor</w:t>
      </w:r>
      <w:r>
        <w:rPr>
          <w:rFonts w:eastAsia="Calibri" w:cs="Times New Roman"/>
          <w:sz w:val="22"/>
          <w:szCs w:val="22"/>
        </w:rPr>
        <w:t xml:space="preserve"> and</w:t>
      </w:r>
      <w:r w:rsidRPr="00CC0719">
        <w:rPr>
          <w:rFonts w:eastAsia="Calibri" w:cs="Times New Roman"/>
          <w:sz w:val="22"/>
          <w:szCs w:val="22"/>
        </w:rPr>
        <w:t xml:space="preserve"> the Developer will provide third-party special inspection services for the water tank</w:t>
      </w:r>
      <w:r>
        <w:rPr>
          <w:rFonts w:eastAsia="Calibri" w:cs="Times New Roman"/>
          <w:sz w:val="22"/>
          <w:szCs w:val="22"/>
        </w:rPr>
        <w:t xml:space="preserve"> while </w:t>
      </w:r>
      <w:r w:rsidRPr="00CC0719">
        <w:rPr>
          <w:rFonts w:eastAsia="Calibri" w:cs="Times New Roman"/>
          <w:sz w:val="22"/>
          <w:szCs w:val="22"/>
        </w:rPr>
        <w:t xml:space="preserve">the City will provide inspection services for the waterline infrastructure. The parties have granted each other access and construction easements necessary to perform their respective obligations. </w:t>
      </w:r>
      <w:r w:rsidRPr="00145633">
        <w:rPr>
          <w:rFonts w:eastAsia="Calibri" w:cs="Times New Roman"/>
          <w:sz w:val="22"/>
          <w:szCs w:val="22"/>
        </w:rPr>
        <w:t xml:space="preserve">Within 90 days of completion of the </w:t>
      </w:r>
      <w:r>
        <w:rPr>
          <w:rFonts w:eastAsia="Calibri" w:cs="Times New Roman"/>
          <w:sz w:val="22"/>
          <w:szCs w:val="22"/>
        </w:rPr>
        <w:t>City Water Improvements</w:t>
      </w:r>
      <w:r w:rsidRPr="00145633">
        <w:rPr>
          <w:rFonts w:eastAsia="Calibri" w:cs="Times New Roman"/>
          <w:sz w:val="22"/>
          <w:szCs w:val="22"/>
        </w:rPr>
        <w:t xml:space="preserve">, and upon the inspection and acceptance of the </w:t>
      </w:r>
      <w:r>
        <w:rPr>
          <w:rFonts w:eastAsia="Calibri" w:cs="Times New Roman"/>
          <w:sz w:val="22"/>
          <w:szCs w:val="22"/>
        </w:rPr>
        <w:t>City Water Improvements</w:t>
      </w:r>
      <w:r w:rsidRPr="00145633">
        <w:rPr>
          <w:rFonts w:eastAsia="Calibri" w:cs="Times New Roman"/>
          <w:sz w:val="22"/>
          <w:szCs w:val="22"/>
        </w:rPr>
        <w:t xml:space="preserve"> by the City, </w:t>
      </w:r>
      <w:r>
        <w:rPr>
          <w:rFonts w:eastAsia="Calibri" w:cs="Times New Roman"/>
          <w:sz w:val="22"/>
          <w:szCs w:val="22"/>
        </w:rPr>
        <w:t xml:space="preserve">the </w:t>
      </w:r>
      <w:r w:rsidRPr="00145633">
        <w:rPr>
          <w:rFonts w:eastAsia="Calibri" w:cs="Times New Roman"/>
          <w:sz w:val="22"/>
          <w:szCs w:val="22"/>
        </w:rPr>
        <w:t xml:space="preserve">Developer will convey the </w:t>
      </w:r>
      <w:r>
        <w:rPr>
          <w:rFonts w:eastAsia="Calibri" w:cs="Times New Roman"/>
          <w:sz w:val="22"/>
          <w:szCs w:val="22"/>
        </w:rPr>
        <w:t>City Water Improvements to the City</w:t>
      </w:r>
      <w:r w:rsidRPr="00145633">
        <w:rPr>
          <w:rFonts w:eastAsia="Calibri" w:cs="Times New Roman"/>
          <w:sz w:val="22"/>
          <w:szCs w:val="22"/>
        </w:rPr>
        <w:t xml:space="preserve">, </w:t>
      </w:r>
      <w:r>
        <w:rPr>
          <w:rFonts w:eastAsia="Calibri" w:cs="Times New Roman"/>
          <w:sz w:val="22"/>
          <w:szCs w:val="22"/>
        </w:rPr>
        <w:t xml:space="preserve">who will then </w:t>
      </w:r>
      <w:r w:rsidRPr="00145633">
        <w:rPr>
          <w:rFonts w:eastAsia="Calibri" w:cs="Times New Roman"/>
          <w:sz w:val="22"/>
          <w:szCs w:val="22"/>
        </w:rPr>
        <w:t xml:space="preserve">own and maintain the </w:t>
      </w:r>
      <w:r>
        <w:rPr>
          <w:rFonts w:eastAsia="Calibri" w:cs="Times New Roman"/>
          <w:sz w:val="22"/>
          <w:szCs w:val="22"/>
        </w:rPr>
        <w:t>City Water Improvements</w:t>
      </w:r>
      <w:r w:rsidRPr="00CC0719">
        <w:rPr>
          <w:rFonts w:eastAsia="Calibri" w:cs="Times New Roman"/>
          <w:sz w:val="22"/>
          <w:szCs w:val="22"/>
        </w:rPr>
        <w:t xml:space="preserve">. </w:t>
      </w:r>
      <w:r>
        <w:rPr>
          <w:rFonts w:eastAsia="Calibri" w:cs="Times New Roman"/>
          <w:sz w:val="22"/>
          <w:szCs w:val="22"/>
        </w:rPr>
        <w:t xml:space="preserve">The </w:t>
      </w:r>
      <w:r w:rsidRPr="00145633">
        <w:rPr>
          <w:rFonts w:eastAsia="Calibri" w:cs="Times New Roman"/>
          <w:sz w:val="22"/>
          <w:szCs w:val="22"/>
        </w:rPr>
        <w:t xml:space="preserve">Developer </w:t>
      </w:r>
      <w:r>
        <w:rPr>
          <w:rFonts w:eastAsia="Calibri" w:cs="Times New Roman"/>
          <w:sz w:val="22"/>
          <w:szCs w:val="22"/>
        </w:rPr>
        <w:t xml:space="preserve">is </w:t>
      </w:r>
      <w:r w:rsidRPr="00145633">
        <w:rPr>
          <w:rFonts w:eastAsia="Calibri" w:cs="Times New Roman"/>
          <w:sz w:val="22"/>
          <w:szCs w:val="22"/>
        </w:rPr>
        <w:t xml:space="preserve">to complete the </w:t>
      </w:r>
      <w:r>
        <w:rPr>
          <w:rFonts w:eastAsia="Calibri" w:cs="Times New Roman"/>
          <w:sz w:val="22"/>
          <w:szCs w:val="22"/>
        </w:rPr>
        <w:t>improvements to the Zone 3 water tank</w:t>
      </w:r>
      <w:r w:rsidRPr="00145633">
        <w:rPr>
          <w:rFonts w:eastAsia="Calibri" w:cs="Times New Roman"/>
          <w:sz w:val="22"/>
          <w:szCs w:val="22"/>
        </w:rPr>
        <w:t xml:space="preserve"> on or before April 30, 2027, and the </w:t>
      </w:r>
      <w:r>
        <w:rPr>
          <w:rFonts w:eastAsia="Calibri" w:cs="Times New Roman"/>
          <w:sz w:val="22"/>
          <w:szCs w:val="22"/>
        </w:rPr>
        <w:t>SR-111 waterline improvements</w:t>
      </w:r>
      <w:r w:rsidRPr="00145633">
        <w:rPr>
          <w:rFonts w:eastAsia="Calibri" w:cs="Times New Roman"/>
          <w:sz w:val="22"/>
          <w:szCs w:val="22"/>
        </w:rPr>
        <w:t xml:space="preserve"> on or before August 31, 2027</w:t>
      </w:r>
      <w:r>
        <w:rPr>
          <w:rFonts w:eastAsia="Calibri" w:cs="Times New Roman"/>
          <w:sz w:val="22"/>
          <w:szCs w:val="22"/>
        </w:rPr>
        <w:t>.</w:t>
      </w:r>
      <w:r w:rsidRPr="00CC0719">
        <w:rPr>
          <w:rFonts w:eastAsia="Calibri" w:cs="Times New Roman"/>
          <w:sz w:val="22"/>
          <w:szCs w:val="22"/>
        </w:rPr>
        <w:t xml:space="preserve"> </w:t>
      </w:r>
      <w:r>
        <w:rPr>
          <w:rFonts w:eastAsia="Calibri" w:cs="Times New Roman"/>
          <w:sz w:val="22"/>
          <w:szCs w:val="22"/>
        </w:rPr>
        <w:t>The Water Reimbursement Agreement outlines insurance requirements for the Developer as well as a one-year warranty period from completion of the City Water Improvements.</w:t>
      </w:r>
    </w:p>
    <w:p w14:paraId="674C8513" w14:textId="0FA403D4" w:rsidR="000F78B1" w:rsidRPr="000F78B1" w:rsidRDefault="000F78B1" w:rsidP="000F78B1">
      <w:pPr>
        <w:spacing w:after="240"/>
        <w:ind w:firstLine="720"/>
        <w:jc w:val="both"/>
        <w:rPr>
          <w:rFonts w:eastAsia="Calibri" w:cs="Times New Roman"/>
          <w:b/>
          <w:bCs/>
          <w:sz w:val="22"/>
          <w:szCs w:val="22"/>
        </w:rPr>
      </w:pPr>
      <w:r w:rsidRPr="000F78B1">
        <w:rPr>
          <w:rFonts w:eastAsia="Calibri" w:cs="Times New Roman"/>
          <w:b/>
          <w:bCs/>
          <w:sz w:val="22"/>
          <w:szCs w:val="22"/>
        </w:rPr>
        <w:t xml:space="preserve">It is anticipated that the costs of the City Water Improvements will be paid by the Developer, and as a result, the Developer, and not the District will be eligible for reimbursement under the Water Reimbursement Agreement. </w:t>
      </w:r>
      <w:r w:rsidRPr="000F78B1">
        <w:rPr>
          <w:rFonts w:eastAsia="Calibri" w:cs="Times New Roman"/>
          <w:sz w:val="22"/>
          <w:szCs w:val="22"/>
        </w:rPr>
        <w:t>[</w:t>
      </w:r>
      <w:r w:rsidRPr="000F78B1">
        <w:rPr>
          <w:rFonts w:eastAsia="Calibri" w:cs="Times New Roman"/>
          <w:sz w:val="22"/>
          <w:szCs w:val="22"/>
          <w:highlight w:val="cyan"/>
        </w:rPr>
        <w:t>CONFIRM/DISCUSS</w:t>
      </w:r>
      <w:r w:rsidRPr="000F78B1">
        <w:rPr>
          <w:rFonts w:eastAsia="Calibri" w:cs="Times New Roman"/>
          <w:sz w:val="22"/>
          <w:szCs w:val="22"/>
        </w:rPr>
        <w:t>]</w:t>
      </w:r>
    </w:p>
    <w:p w14:paraId="2C661400" w14:textId="77777777" w:rsidR="002D3D41" w:rsidRPr="00FF6884" w:rsidRDefault="002D3D41" w:rsidP="00FF6884">
      <w:pPr>
        <w:pStyle w:val="Heading2"/>
        <w:rPr>
          <w:rFonts w:eastAsia="Times New Roman"/>
          <w:bCs w:val="0"/>
          <w:sz w:val="22"/>
          <w:szCs w:val="22"/>
        </w:rPr>
      </w:pPr>
      <w:bookmarkStart w:id="220" w:name="_Toc235521109"/>
      <w:r>
        <w:rPr>
          <w:rFonts w:eastAsia="Times New Roman"/>
          <w:bCs w:val="0"/>
          <w:sz w:val="22"/>
          <w:szCs w:val="22"/>
        </w:rPr>
        <w:t>Water and Sewer</w:t>
      </w:r>
      <w:bookmarkEnd w:id="218"/>
      <w:bookmarkEnd w:id="220"/>
    </w:p>
    <w:p w14:paraId="631A196B" w14:textId="7B644D61" w:rsidR="002D3D41" w:rsidRPr="005B34A8" w:rsidRDefault="005B34A8" w:rsidP="005B34A8">
      <w:pPr>
        <w:pStyle w:val="00BodyText5"/>
        <w:rPr>
          <w:rFonts w:cs="Times New Roman"/>
          <w:szCs w:val="22"/>
        </w:rPr>
      </w:pPr>
      <w:bookmarkStart w:id="221" w:name="_Hlk147152778"/>
      <w:r>
        <w:rPr>
          <w:rFonts w:cs="Times New Roman"/>
          <w:szCs w:val="22"/>
        </w:rPr>
        <w:t xml:space="preserve">Culinary water and secondary (irrigation) water service for the Development will be provided by the City and sewer service is provided by </w:t>
      </w:r>
      <w:r w:rsidR="008804B0">
        <w:rPr>
          <w:rFonts w:cs="Times New Roman"/>
          <w:szCs w:val="22"/>
        </w:rPr>
        <w:t>Jordan Basin Improvement District</w:t>
      </w:r>
      <w:r>
        <w:rPr>
          <w:rFonts w:cs="Times New Roman"/>
          <w:szCs w:val="22"/>
        </w:rPr>
        <w:t xml:space="preserve">. According to the Developer, the City has sufficient water rights and </w:t>
      </w:r>
      <w:r w:rsidR="008804B0">
        <w:rPr>
          <w:rFonts w:cs="Times New Roman"/>
          <w:szCs w:val="22"/>
        </w:rPr>
        <w:t>Jordan Basin Improvement District</w:t>
      </w:r>
      <w:r>
        <w:rPr>
          <w:rFonts w:cs="Times New Roman"/>
          <w:szCs w:val="22"/>
        </w:rPr>
        <w:t xml:space="preserve"> has sufficient sewer capacity to serve the Development at full build out and the Developer will obtain necessary water rights through the payment of impact fees at the time of recording of a final plat.</w:t>
      </w:r>
      <w:bookmarkEnd w:id="221"/>
    </w:p>
    <w:p w14:paraId="7B06C41E" w14:textId="657872D5" w:rsidR="00421E58" w:rsidRPr="00DA2177" w:rsidRDefault="00421E58" w:rsidP="00903937">
      <w:pPr>
        <w:pStyle w:val="Heading2"/>
        <w:rPr>
          <w:rFonts w:eastAsia="Times New Roman"/>
          <w:bCs w:val="0"/>
          <w:sz w:val="22"/>
          <w:szCs w:val="22"/>
        </w:rPr>
      </w:pPr>
      <w:bookmarkStart w:id="222" w:name="_Toc14261020"/>
      <w:bookmarkStart w:id="223" w:name="_Toc235521110"/>
      <w:r>
        <w:rPr>
          <w:rFonts w:eastAsia="Times New Roman"/>
          <w:bCs w:val="0"/>
          <w:sz w:val="22"/>
          <w:szCs w:val="22"/>
        </w:rPr>
        <w:t>Encumbrances on Property</w:t>
      </w:r>
      <w:bookmarkEnd w:id="222"/>
      <w:bookmarkEnd w:id="223"/>
    </w:p>
    <w:p w14:paraId="10EAB952" w14:textId="34D8BF30" w:rsidR="00E53601" w:rsidRDefault="00E53601" w:rsidP="008A2915">
      <w:pPr>
        <w:pStyle w:val="00BodyText5"/>
        <w:rPr>
          <w:rFonts w:cs="Times New Roman"/>
          <w:szCs w:val="22"/>
        </w:rPr>
      </w:pPr>
      <w:r>
        <w:rPr>
          <w:rFonts w:cs="Times New Roman"/>
          <w:b/>
          <w:i/>
          <w:szCs w:val="22"/>
        </w:rPr>
        <w:t>Deeds of Trust</w:t>
      </w:r>
      <w:r>
        <w:rPr>
          <w:rFonts w:cs="Times New Roman"/>
          <w:szCs w:val="22"/>
        </w:rPr>
        <w:t xml:space="preserve">. The Developer, as trustor, has entered into </w:t>
      </w:r>
      <w:r w:rsidR="00D673C4">
        <w:rPr>
          <w:rFonts w:cs="Times New Roman"/>
          <w:szCs w:val="22"/>
        </w:rPr>
        <w:t>a</w:t>
      </w:r>
      <w:r>
        <w:rPr>
          <w:rFonts w:cs="Times New Roman"/>
          <w:szCs w:val="22"/>
        </w:rPr>
        <w:t xml:space="preserve"> deed of trust, dated March 22, 2024 (the “</w:t>
      </w:r>
      <w:r>
        <w:rPr>
          <w:rFonts w:cs="Times New Roman"/>
          <w:b/>
          <w:bCs/>
          <w:szCs w:val="22"/>
        </w:rPr>
        <w:t>Deed of Trust</w:t>
      </w:r>
      <w:r>
        <w:rPr>
          <w:rFonts w:cs="Times New Roman"/>
          <w:szCs w:val="22"/>
        </w:rPr>
        <w:t xml:space="preserve">”), in favor of </w:t>
      </w:r>
      <w:r w:rsidR="008A2915" w:rsidRPr="008A2915">
        <w:rPr>
          <w:rFonts w:cs="Times New Roman"/>
          <w:szCs w:val="22"/>
        </w:rPr>
        <w:t>The Last Holdout, L.L.C</w:t>
      </w:r>
      <w:r w:rsidR="008A2915">
        <w:rPr>
          <w:rFonts w:cs="Times New Roman"/>
          <w:szCs w:val="22"/>
        </w:rPr>
        <w:t>,</w:t>
      </w:r>
      <w:r w:rsidR="008A2915" w:rsidRPr="008A2915">
        <w:rPr>
          <w:rFonts w:cs="Times New Roman"/>
          <w:szCs w:val="22"/>
        </w:rPr>
        <w:t xml:space="preserve"> Last Holdout Properties, L.L.C</w:t>
      </w:r>
      <w:r w:rsidR="008A2915">
        <w:rPr>
          <w:rFonts w:cs="Times New Roman"/>
          <w:szCs w:val="22"/>
        </w:rPr>
        <w:t xml:space="preserve">, and </w:t>
      </w:r>
      <w:r>
        <w:rPr>
          <w:rFonts w:cs="Times New Roman"/>
          <w:szCs w:val="22"/>
        </w:rPr>
        <w:t>the Bastian Family Foundation, a nonprofit corporation (together, the “</w:t>
      </w:r>
      <w:r>
        <w:rPr>
          <w:rFonts w:cs="Times New Roman"/>
          <w:b/>
          <w:bCs/>
          <w:szCs w:val="22"/>
        </w:rPr>
        <w:t>DOT Beneficiaries</w:t>
      </w:r>
      <w:r>
        <w:rPr>
          <w:rFonts w:cs="Times New Roman"/>
          <w:szCs w:val="22"/>
        </w:rPr>
        <w:t>”), as beneficiaries. The Deed of Trust secure</w:t>
      </w:r>
      <w:r w:rsidR="00D673C4">
        <w:rPr>
          <w:rFonts w:cs="Times New Roman"/>
          <w:szCs w:val="22"/>
        </w:rPr>
        <w:t>s</w:t>
      </w:r>
      <w:r>
        <w:rPr>
          <w:rFonts w:cs="Times New Roman"/>
          <w:szCs w:val="22"/>
        </w:rPr>
        <w:t xml:space="preserve"> payment of </w:t>
      </w:r>
      <w:r w:rsidR="008A2915">
        <w:rPr>
          <w:rFonts w:cs="Times New Roman"/>
          <w:szCs w:val="22"/>
        </w:rPr>
        <w:t>four</w:t>
      </w:r>
      <w:r>
        <w:rPr>
          <w:rFonts w:cs="Times New Roman"/>
          <w:szCs w:val="22"/>
        </w:rPr>
        <w:t xml:space="preserve"> promissory notes</w:t>
      </w:r>
      <w:r w:rsidR="008A2915">
        <w:rPr>
          <w:rFonts w:cs="Times New Roman"/>
          <w:szCs w:val="22"/>
        </w:rPr>
        <w:t xml:space="preserve"> currently outstanding in the aggregate amount of $4,330,900, each maturing on March 21, 2029 and secured by property within the Development and the Olympia Master Development owned by the Developer. </w:t>
      </w:r>
      <w:r>
        <w:rPr>
          <w:rFonts w:cs="Times New Roman"/>
          <w:szCs w:val="22"/>
        </w:rPr>
        <w:t>Upon a material default under the Deed of Trust, the DOT Beneficiaries may take possession of the property in their own names and sue for or otherwise collect rents, issues, and profits. Additionally, upon a default, the DOT Beneficiaries may accelerate amounts due under the promissory notes and may execute a written notice of default and of election to cause the property to be sold and may sell the underlying property.</w:t>
      </w:r>
    </w:p>
    <w:p w14:paraId="705288CC" w14:textId="1530B271" w:rsidR="00471BE7" w:rsidRDefault="00471BE7" w:rsidP="00B67BED">
      <w:pPr>
        <w:spacing w:after="160"/>
        <w:jc w:val="both"/>
        <w:rPr>
          <w:rFonts w:cs="Times New Roman"/>
          <w:sz w:val="22"/>
          <w:szCs w:val="22"/>
        </w:rPr>
      </w:pPr>
      <w:r>
        <w:rPr>
          <w:rFonts w:eastAsia="Calibri" w:cs="Times New Roman"/>
          <w:b/>
          <w:bCs/>
          <w:i/>
          <w:iCs/>
          <w:sz w:val="22"/>
          <w:szCs w:val="22"/>
        </w:rPr>
        <w:tab/>
        <w:t>Declaration</w:t>
      </w:r>
      <w:r>
        <w:rPr>
          <w:rFonts w:eastAsia="Calibri" w:cs="Times New Roman"/>
          <w:sz w:val="22"/>
          <w:szCs w:val="22"/>
        </w:rPr>
        <w:t>. The real property located within the Joshua Tree and Kings Canyon portions of the Development is governed by a Declaration of Covenants, Conditions, Restrictions, and Reservation of Easements (the “</w:t>
      </w:r>
      <w:r>
        <w:rPr>
          <w:rFonts w:eastAsia="Calibri" w:cs="Times New Roman"/>
          <w:b/>
          <w:bCs/>
          <w:sz w:val="22"/>
          <w:szCs w:val="22"/>
        </w:rPr>
        <w:t>Declaration</w:t>
      </w:r>
      <w:r>
        <w:rPr>
          <w:rFonts w:eastAsia="Calibri" w:cs="Times New Roman"/>
          <w:sz w:val="22"/>
          <w:szCs w:val="22"/>
        </w:rPr>
        <w:t>”), implemented by Olympia Utah, LLC, a Utah limited liability corporation, acting in its capacity as the declarant. The Declaration establishes a governance framework and sets forth standards for the development, administration, maintenance, and preservation of the Development as a part of a larger master-planned residential community. The Declaration delineates the responsibilities and benefits associated with the Olympia Master Association, a Utah nonprofit corporation (the “</w:t>
      </w:r>
      <w:r>
        <w:rPr>
          <w:rFonts w:eastAsia="Calibri" w:cs="Times New Roman"/>
          <w:b/>
          <w:bCs/>
          <w:sz w:val="22"/>
          <w:szCs w:val="22"/>
        </w:rPr>
        <w:t>Master HOA</w:t>
      </w:r>
      <w:r>
        <w:rPr>
          <w:rFonts w:eastAsia="Calibri" w:cs="Times New Roman"/>
          <w:sz w:val="22"/>
          <w:szCs w:val="22"/>
        </w:rPr>
        <w:t>”), which is tasked with managing common areas, enforcing the community’s governing documents, and overseeing the general maintenance of the project. Additionally, a separate community council is created under the Declaration to manage certain facilities not overseen by the Master HOA. The Declaration includes design guidelines and a design review committee responsible for approving architectural and landscaping plans, ensuring consistency with the project’s standards.</w:t>
      </w:r>
    </w:p>
    <w:p w14:paraId="0A220810" w14:textId="093F2A3A" w:rsidR="0042248B" w:rsidRPr="00471BE7" w:rsidRDefault="0042248B" w:rsidP="00B67BED">
      <w:pPr>
        <w:spacing w:after="160"/>
        <w:ind w:firstLine="720"/>
        <w:jc w:val="both"/>
        <w:rPr>
          <w:rFonts w:eastAsia="Calibri" w:cs="Times New Roman"/>
          <w:sz w:val="22"/>
          <w:szCs w:val="22"/>
        </w:rPr>
      </w:pPr>
      <w:r>
        <w:rPr>
          <w:rFonts w:eastAsia="Calibri" w:cs="Times New Roman"/>
          <w:sz w:val="22"/>
          <w:szCs w:val="22"/>
        </w:rPr>
        <w:t xml:space="preserve">According to the Developer, it is anticipated that the Declaration will subsequently be recorded against remaining portions of the Development and portions of the Master Development. It is also anticipated that neighborhood specific homeowners’ associations will also be created to operate and maintain private roads and landscaping elements within the Development. </w:t>
      </w:r>
      <w:r w:rsidR="00892B42">
        <w:rPr>
          <w:rFonts w:eastAsia="Calibri" w:cs="Times New Roman"/>
          <w:sz w:val="22"/>
          <w:szCs w:val="22"/>
        </w:rPr>
        <w:t>[</w:t>
      </w:r>
      <w:r w:rsidR="00892B42" w:rsidRPr="00892B42">
        <w:rPr>
          <w:rFonts w:eastAsia="Calibri" w:cs="Times New Roman"/>
          <w:sz w:val="22"/>
          <w:szCs w:val="22"/>
          <w:highlight w:val="cyan"/>
        </w:rPr>
        <w:t>UPDATE UPON RECEIPT</w:t>
      </w:r>
      <w:r w:rsidR="00892B42">
        <w:rPr>
          <w:rFonts w:eastAsia="Calibri" w:cs="Times New Roman"/>
          <w:sz w:val="22"/>
          <w:szCs w:val="22"/>
        </w:rPr>
        <w:t>]</w:t>
      </w:r>
    </w:p>
    <w:p w14:paraId="64D5825D" w14:textId="1996CD69" w:rsidR="00421E58" w:rsidRDefault="00DA7538" w:rsidP="00C401C8">
      <w:pPr>
        <w:pStyle w:val="00BodyText5"/>
        <w:rPr>
          <w:rFonts w:cs="Times New Roman"/>
          <w:szCs w:val="22"/>
        </w:rPr>
      </w:pPr>
      <w:r>
        <w:rPr>
          <w:rFonts w:cs="Times New Roman"/>
          <w:b/>
          <w:i/>
          <w:szCs w:val="22"/>
        </w:rPr>
        <w:t>Other Encumbrances</w:t>
      </w:r>
      <w:r>
        <w:rPr>
          <w:rFonts w:cs="Times New Roman"/>
          <w:bCs/>
          <w:iCs/>
          <w:szCs w:val="22"/>
        </w:rPr>
        <w:t>.</w:t>
      </w:r>
      <w:r>
        <w:rPr>
          <w:rFonts w:cs="Times New Roman"/>
          <w:szCs w:val="22"/>
        </w:rPr>
        <w:t xml:space="preserve"> Property within the Development is subject to various easements and rights of way of record. Further, property within the Development may be subject to additional encumbrances, including, but not limited to, liens securing financial obligations of the various developers of such property. No assurance is given that such encumbrances recorded by other owners of property in the Development, or future encumbrances that may be recorded against portions of the Development, will not impact the ability of the Development to be carried out as presently planned.</w:t>
      </w:r>
    </w:p>
    <w:p w14:paraId="6DF71741" w14:textId="7EFEFC86" w:rsidR="00421E58" w:rsidRPr="00DA2177" w:rsidRDefault="00421E58" w:rsidP="00903937">
      <w:pPr>
        <w:pStyle w:val="Heading2"/>
        <w:rPr>
          <w:rFonts w:eastAsia="Times New Roman"/>
          <w:bCs w:val="0"/>
          <w:sz w:val="22"/>
          <w:szCs w:val="22"/>
        </w:rPr>
      </w:pPr>
      <w:bookmarkStart w:id="224" w:name="_Toc14261021"/>
      <w:bookmarkStart w:id="225" w:name="_Toc235521111"/>
      <w:r>
        <w:rPr>
          <w:rFonts w:eastAsia="Times New Roman"/>
          <w:bCs w:val="0"/>
          <w:sz w:val="22"/>
          <w:szCs w:val="22"/>
        </w:rPr>
        <w:t>Environmental Matters</w:t>
      </w:r>
      <w:bookmarkEnd w:id="224"/>
      <w:bookmarkEnd w:id="225"/>
    </w:p>
    <w:p w14:paraId="6FF5AF50" w14:textId="59F1DEBF" w:rsidR="00910B04" w:rsidRDefault="00910B04" w:rsidP="00140B3A">
      <w:pPr>
        <w:pStyle w:val="00BodyText5"/>
        <w:rPr>
          <w:rFonts w:cs="Times New Roman"/>
          <w:bCs/>
          <w:iCs/>
          <w:szCs w:val="22"/>
        </w:rPr>
      </w:pPr>
      <w:r>
        <w:rPr>
          <w:rFonts w:cs="Times New Roman"/>
          <w:b/>
          <w:i/>
          <w:szCs w:val="22"/>
        </w:rPr>
        <w:t>Contaminated Properties Procedures</w:t>
      </w:r>
      <w:r>
        <w:rPr>
          <w:rFonts w:cs="Times New Roman"/>
          <w:bCs/>
          <w:iCs/>
          <w:szCs w:val="22"/>
        </w:rPr>
        <w:t>. Approximately 40 acres of the Olympia Master Development, including portions of Joshua Tree and Capitol Reef of the Development as a result of irrigation from creeks impacted by decades of mining operations at the Bingham Copper Mine. Studies completed by the United States Environmental Protection Agency (as previously defined, “</w:t>
      </w:r>
      <w:r>
        <w:rPr>
          <w:rFonts w:cs="Times New Roman"/>
          <w:b/>
          <w:iCs/>
          <w:szCs w:val="22"/>
        </w:rPr>
        <w:t>EPA</w:t>
      </w:r>
      <w:r>
        <w:rPr>
          <w:rFonts w:cs="Times New Roman"/>
          <w:bCs/>
          <w:iCs/>
          <w:szCs w:val="22"/>
        </w:rPr>
        <w:t>”) in the early 2000s provide regulation guidance for development on areas where contaminated soil is present. Portions of the Development are located within the area designated as the Kennecott South Zone, Operable Unit 5 (as previously defined, “</w:t>
      </w:r>
      <w:r>
        <w:rPr>
          <w:rFonts w:cs="Times New Roman"/>
          <w:b/>
          <w:iCs/>
          <w:szCs w:val="22"/>
        </w:rPr>
        <w:t>OU-5</w:t>
      </w:r>
      <w:r>
        <w:rPr>
          <w:rFonts w:cs="Times New Roman"/>
          <w:bCs/>
          <w:iCs/>
          <w:szCs w:val="22"/>
        </w:rPr>
        <w:t>”). The EPA granted the City institutional controls in the OU-5, designating the City with jurisdictional control over soil remediation for new development. All development must follow the procedures as outlined in the Development of Contaminated Properties Procedures of the City (as previously defined, “</w:t>
      </w:r>
      <w:r>
        <w:rPr>
          <w:rFonts w:cs="Times New Roman"/>
          <w:b/>
          <w:iCs/>
          <w:szCs w:val="22"/>
        </w:rPr>
        <w:t>DCPP</w:t>
      </w:r>
      <w:r>
        <w:rPr>
          <w:rFonts w:cs="Times New Roman"/>
          <w:bCs/>
          <w:iCs/>
          <w:szCs w:val="22"/>
        </w:rPr>
        <w:t>”).</w:t>
      </w:r>
    </w:p>
    <w:p w14:paraId="363A26F7" w14:textId="386B6DC8" w:rsidR="00910B04" w:rsidRDefault="00910B04" w:rsidP="00910B04">
      <w:pPr>
        <w:pStyle w:val="00BodyText5"/>
        <w:rPr>
          <w:rFonts w:cs="Times New Roman"/>
          <w:bCs/>
          <w:iCs/>
          <w:szCs w:val="22"/>
        </w:rPr>
      </w:pPr>
      <w:r>
        <w:rPr>
          <w:rFonts w:cs="Times New Roman"/>
          <w:bCs/>
          <w:iCs/>
          <w:szCs w:val="22"/>
        </w:rPr>
        <w:t>According to the DCPP, environmental studies conducted by the U.S. Bureau of Reclamation and the Utah Department of Environmental Quality (“</w:t>
      </w:r>
      <w:r>
        <w:rPr>
          <w:rFonts w:cs="Times New Roman"/>
          <w:b/>
          <w:iCs/>
          <w:szCs w:val="22"/>
        </w:rPr>
        <w:t>DEQ</w:t>
      </w:r>
      <w:r>
        <w:rPr>
          <w:rFonts w:cs="Times New Roman"/>
          <w:bCs/>
          <w:iCs/>
          <w:szCs w:val="22"/>
        </w:rPr>
        <w:t>”) in 1998 and 1999 indicated a potential for lead and arsenic contamination in soils on some agricultural properties generally north of Main Street in and around the City, including portions of the Development. As a result, prior to application for a building permit, new homes and subdivisions within such areas require a review of the environmental status of such property. Under the DCPP, requests are to be filed with the City’s planning and zoning office (the “</w:t>
      </w:r>
      <w:r>
        <w:rPr>
          <w:rFonts w:cs="Times New Roman"/>
          <w:b/>
          <w:iCs/>
          <w:szCs w:val="22"/>
        </w:rPr>
        <w:t>PZO</w:t>
      </w:r>
      <w:r>
        <w:rPr>
          <w:rFonts w:cs="Times New Roman"/>
          <w:bCs/>
          <w:iCs/>
          <w:szCs w:val="22"/>
        </w:rPr>
        <w:t>”) who then reviews the soil data provided by the agencies to determine if such property requires an in-dept environmental site assessment (“</w:t>
      </w:r>
      <w:r>
        <w:rPr>
          <w:rFonts w:cs="Times New Roman"/>
          <w:b/>
          <w:iCs/>
          <w:szCs w:val="22"/>
        </w:rPr>
        <w:t>ESA</w:t>
      </w:r>
      <w:r>
        <w:rPr>
          <w:rFonts w:cs="Times New Roman"/>
          <w:bCs/>
          <w:iCs/>
          <w:szCs w:val="22"/>
        </w:rPr>
        <w:t>”). If an ESA is required, a sampling and analysis plan must be submitted to the PZO for review prior to any sampling. Next, detailed results of the sampling must be submitted to the PZO along with a plan detailing how contaminated areas are to be remediated. Once remediation has been completed, a final report must be submitted to the PZO presenting results of samples during remediation, demonstrating that contamination has been mitigated as specified in the remediation plan. Such report must be certified by a registered professional engineer, indicating that the remedial plan was effectively implemented. Once the PZO has approved the final report, steps for a building permit can be initiated. If led and arsenic concentrations are less than 1,600 ppm and 100 ppm, respectively, for residential uses or 4,000 ppm and 850 ppm, respectively, for commercial (except day care) and industrial uses, no remediation is required and a building permit may be issued.</w:t>
      </w:r>
    </w:p>
    <w:p w14:paraId="414A543A" w14:textId="3C1B2845" w:rsidR="00A5074D" w:rsidRPr="0064499A" w:rsidRDefault="00A5074D" w:rsidP="00A5074D">
      <w:pPr>
        <w:pStyle w:val="00BodyText5"/>
        <w:rPr>
          <w:szCs w:val="22"/>
        </w:rPr>
      </w:pPr>
      <w:r>
        <w:rPr>
          <w:b/>
          <w:i/>
          <w:szCs w:val="22"/>
        </w:rPr>
        <w:t>Phase I Environmental Site Assessment</w:t>
      </w:r>
      <w:r>
        <w:rPr>
          <w:szCs w:val="22"/>
        </w:rPr>
        <w:t>. On November 13, 2017, Wasatch Environmental, Inc. (“</w:t>
      </w:r>
      <w:r>
        <w:rPr>
          <w:b/>
          <w:bCs/>
          <w:szCs w:val="22"/>
        </w:rPr>
        <w:t>Wasatch Environmental</w:t>
      </w:r>
      <w:r>
        <w:rPr>
          <w:szCs w:val="22"/>
        </w:rPr>
        <w:t>”) prepared a Phase I Environmental Site Assessment (the “</w:t>
      </w:r>
      <w:r>
        <w:rPr>
          <w:b/>
          <w:szCs w:val="22"/>
        </w:rPr>
        <w:t>Phase I ESA</w:t>
      </w:r>
      <w:r>
        <w:rPr>
          <w:szCs w:val="22"/>
        </w:rPr>
        <w:t>”) for property approximately 900 acres comprising the Olympia Master Development. The Phase I ESA consisted of a historical review, visual inspection of the site, interviews, and a review of the pertinent records of standard federal, state, and tribal environmental agencies. According to the Phase I ESA, the property has a history of mining impacts and farming. The Phase I ESA reported that evidence was found indicating that groundwater beneath the subject property is impacted with sulfate, moderate oil staining in the vicinity of used oil drums, a likely presence of elevated lead and arsenic along the Butterfield and Bastian Ditches, and a potential for impacts to the subject property from future Butterfield Creek flood events. Wasatch Environmental provided general recommendations for consideration to address the recognized environmental conditions. Uses within the Development have not changed significantly since the Phase I ESA was prepared.</w:t>
      </w:r>
    </w:p>
    <w:p w14:paraId="0C5F5B9D" w14:textId="2309BE2F" w:rsidR="00A5074D" w:rsidRPr="00A5074D" w:rsidRDefault="00A5074D" w:rsidP="00A5074D">
      <w:pPr>
        <w:pStyle w:val="00BodyText5"/>
        <w:rPr>
          <w:szCs w:val="22"/>
        </w:rPr>
      </w:pPr>
      <w:r>
        <w:rPr>
          <w:b/>
          <w:i/>
          <w:szCs w:val="22"/>
        </w:rPr>
        <w:t>Phase II Site Characterization</w:t>
      </w:r>
      <w:r>
        <w:rPr>
          <w:szCs w:val="22"/>
        </w:rPr>
        <w:t>. On March 15, 2023, Kleinfelder (“</w:t>
      </w:r>
      <w:r>
        <w:rPr>
          <w:b/>
          <w:bCs/>
          <w:szCs w:val="22"/>
        </w:rPr>
        <w:t>Kleinfelder</w:t>
      </w:r>
      <w:r>
        <w:rPr>
          <w:szCs w:val="22"/>
        </w:rPr>
        <w:t>”) prepared a Phase II Site Characterization (the “</w:t>
      </w:r>
      <w:r>
        <w:rPr>
          <w:b/>
          <w:bCs/>
          <w:szCs w:val="22"/>
        </w:rPr>
        <w:t>Phase II Characterization</w:t>
      </w:r>
      <w:r>
        <w:rPr>
          <w:szCs w:val="22"/>
        </w:rPr>
        <w:t>”) for property approximately 900 acres comprising the Olympia Master Development. The purpose of the investigation was to assess for potential lead and arsenic impacts to soils from historical waterways identified in the Phase I ESA. The Phase II Characterization consisted of a review of historical aerial photographs, identifying approximate locations of historical waterways, excavation of trenches and test pits in the areas of potential concern. The Phase II Site Characterization reported that metals-impacted soils were detected in excessive concentrations and provides details of methodology used to explore the potential areas of concern. Kleinfelder reported that a Soil Management Plan must be developed to direct the mitigation of the metals-impacted soils in compliance with the proposed land uses.</w:t>
      </w:r>
    </w:p>
    <w:p w14:paraId="090016B7" w14:textId="6359A28C" w:rsidR="00112F34" w:rsidRDefault="00910B04" w:rsidP="00112F34">
      <w:pPr>
        <w:pStyle w:val="00BodyText5"/>
        <w:rPr>
          <w:rFonts w:cs="Times New Roman"/>
          <w:bCs/>
          <w:iCs/>
          <w:szCs w:val="22"/>
        </w:rPr>
      </w:pPr>
      <w:r>
        <w:rPr>
          <w:rFonts w:cs="Times New Roman"/>
          <w:b/>
          <w:bCs/>
          <w:i/>
          <w:iCs/>
          <w:szCs w:val="22"/>
        </w:rPr>
        <w:t>Soil Management Plan</w:t>
      </w:r>
      <w:r>
        <w:rPr>
          <w:rFonts w:cs="Times New Roman"/>
          <w:bCs/>
          <w:iCs/>
          <w:szCs w:val="22"/>
        </w:rPr>
        <w:t>. Kleinfelder prepared a Soil Management Plan for the Development on June 5, 2023 (the “</w:t>
      </w:r>
      <w:r>
        <w:rPr>
          <w:rFonts w:cs="Times New Roman"/>
          <w:b/>
          <w:bCs/>
          <w:iCs/>
          <w:szCs w:val="22"/>
        </w:rPr>
        <w:t>SMP</w:t>
      </w:r>
      <w:r>
        <w:rPr>
          <w:rFonts w:cs="Times New Roman"/>
          <w:bCs/>
          <w:iCs/>
          <w:szCs w:val="22"/>
        </w:rPr>
        <w:t>”) to present the actions to be taken to remediate approximately 40 acres of metals-impacted shallow soils to unrestricted land use standards of less than 500 ppm of lead and 50 ppm of arsenic. Impacted soils resulted from surface-water overflow east of the Bastian Ditch bisects the Development. Prior investigation revealed elevated lead and arsenic concentrations in soil associated with natural and manmade waterways in the Development. The SMP references direction by the EPA in 2002 to agricultural landowners in the City that mechanically mixing impacted soil layers is acceptable by the EPA to remediate impacted soils. Kleinfelder proposes specific soil mixing techniques in the SMP to reduce concentration of metals along with screening and sampling to confirm removal of the impacted soil. The SMP also provides Standard Operating Procedures for equipment decontamination, sample collection, documentation, and sample handling. According to the Developer, remediation under the SMP is underway and is anticipated to be complete in the [_______] quarter of 202[_].</w:t>
      </w:r>
    </w:p>
    <w:p w14:paraId="224FC958" w14:textId="109E61ED" w:rsidR="00D6366C" w:rsidRDefault="00D6366C" w:rsidP="00112F34">
      <w:pPr>
        <w:pStyle w:val="00BodyText5"/>
        <w:rPr>
          <w:rFonts w:cs="Times New Roman"/>
          <w:bCs/>
          <w:iCs/>
          <w:szCs w:val="22"/>
        </w:rPr>
      </w:pPr>
      <w:r>
        <w:rPr>
          <w:rFonts w:cs="Times New Roman"/>
          <w:b/>
          <w:i/>
          <w:szCs w:val="22"/>
        </w:rPr>
        <w:t>Remediation Efforts</w:t>
      </w:r>
      <w:r>
        <w:rPr>
          <w:rFonts w:cs="Times New Roman"/>
          <w:bCs/>
          <w:iCs/>
          <w:szCs w:val="22"/>
        </w:rPr>
        <w:t>. The Developer has completed all necessary remediation within Joshua Tree. On April 15, 2024, the Utah Division of Environmental Response and Remediation (“</w:t>
      </w:r>
      <w:r>
        <w:rPr>
          <w:rFonts w:cs="Times New Roman"/>
          <w:b/>
          <w:iCs/>
          <w:szCs w:val="22"/>
        </w:rPr>
        <w:t>DERR</w:t>
      </w:r>
      <w:r>
        <w:rPr>
          <w:rFonts w:cs="Times New Roman"/>
          <w:bCs/>
          <w:iCs/>
          <w:szCs w:val="22"/>
        </w:rPr>
        <w:t>”) issued a letter of completion for work performed, certifying that no additional sampling or removal are required within Joshua Tree. The Developer also believes that all necessary remediation within Capitol Reef has been completed in conjunction with ongoing remediation efforts for areas outside of the Development, and the Developer anticipates that it will request DERR issue a letter of completion of work performed upon completion of remediation for areas outside of the Development.</w:t>
      </w:r>
    </w:p>
    <w:p w14:paraId="7AF51A8F" w14:textId="432858ED" w:rsidR="00910B04" w:rsidRDefault="00910B04" w:rsidP="00910B04">
      <w:pPr>
        <w:spacing w:after="240"/>
        <w:ind w:firstLine="720"/>
        <w:jc w:val="both"/>
        <w:rPr>
          <w:rFonts w:eastAsia="Calibri" w:cs="Times New Roman"/>
          <w:sz w:val="22"/>
          <w:szCs w:val="22"/>
        </w:rPr>
      </w:pPr>
      <w:bookmarkStart w:id="226" w:name="_Toc14261022"/>
      <w:r>
        <w:rPr>
          <w:rFonts w:eastAsia="Calibri" w:cs="Times New Roman"/>
          <w:b/>
          <w:i/>
          <w:sz w:val="22"/>
          <w:szCs w:val="22"/>
        </w:rPr>
        <w:t>Geotechnical Reports</w:t>
      </w:r>
      <w:r>
        <w:rPr>
          <w:rFonts w:eastAsia="Calibri" w:cs="Times New Roman"/>
          <w:sz w:val="22"/>
          <w:szCs w:val="22"/>
        </w:rPr>
        <w:t>. At least five geotechnical evaluation reports were performed within the Development between December 2022 and February 2023 by Western Technologies Inc. (“</w:t>
      </w:r>
      <w:r>
        <w:rPr>
          <w:rFonts w:eastAsia="Calibri" w:cs="Times New Roman"/>
          <w:b/>
          <w:bCs/>
          <w:sz w:val="22"/>
          <w:szCs w:val="22"/>
        </w:rPr>
        <w:t>WT</w:t>
      </w:r>
      <w:r>
        <w:rPr>
          <w:rFonts w:eastAsia="Calibri" w:cs="Times New Roman"/>
          <w:sz w:val="22"/>
          <w:szCs w:val="22"/>
        </w:rPr>
        <w:t xml:space="preserve">”) to provide information and recommendations regarding, but not limited to, subsurface conditions, foundation design parameters, and earthwork guidelines. According to the reports, the site was essentially undeveloped and contained a moderate growth of weeds and grasses. The reports revealed concerns with some of the surficial on-site soils, indicating that these soils, where encountered, are not suitable for support of foundations in their present state and should be over-excavated and recompacted. Recommendations were made for providing positive drainage during construction and maintaining drainage throughout the life of the subdivision and each residential structure. An additional geotechnical report was performed on February 23, 2023 by WT for roadways within the Development to provide information and recommendations regarding subsurface conditions, earthwork guidelines, and pavement sections. Total mixed traffic volumes were determined for each section of roadway based on the traffic study by Hales Engineering. Recommendations were given for materials and pavement preparation. The Developer intends to follow the guidelines of the geotechnical reports. </w:t>
      </w:r>
    </w:p>
    <w:p w14:paraId="5B5CD362" w14:textId="77777777" w:rsidR="00421E58" w:rsidRPr="00DA2177" w:rsidRDefault="00421E58" w:rsidP="00903937">
      <w:pPr>
        <w:pStyle w:val="Heading2"/>
        <w:rPr>
          <w:rFonts w:eastAsia="Times New Roman"/>
          <w:bCs w:val="0"/>
          <w:sz w:val="22"/>
          <w:szCs w:val="22"/>
        </w:rPr>
      </w:pPr>
      <w:bookmarkStart w:id="227" w:name="_Toc235521112"/>
      <w:r>
        <w:rPr>
          <w:rFonts w:eastAsia="Times New Roman"/>
          <w:bCs w:val="0"/>
          <w:sz w:val="22"/>
          <w:szCs w:val="22"/>
        </w:rPr>
        <w:t>Market Study</w:t>
      </w:r>
      <w:bookmarkEnd w:id="226"/>
      <w:bookmarkEnd w:id="227"/>
    </w:p>
    <w:p w14:paraId="08F6BFAE" w14:textId="5A95D976" w:rsidR="00E374C4" w:rsidRPr="00DA2177" w:rsidRDefault="00480E39" w:rsidP="00B44FB7">
      <w:pPr>
        <w:pStyle w:val="00BodyText5"/>
        <w:rPr>
          <w:rFonts w:cs="Times New Roman"/>
          <w:szCs w:val="22"/>
        </w:rPr>
      </w:pPr>
      <w:r>
        <w:rPr>
          <w:rFonts w:cs="Times New Roman"/>
          <w:szCs w:val="22"/>
        </w:rPr>
        <w:t xml:space="preserve">The District has engaged Zonda Advisory for the purpose of assessing the value of contemplated planned uses of the Development, the results of which are set forth in the report entitled “Olympia” dated </w:t>
      </w:r>
      <w:r w:rsidR="000B50C8">
        <w:rPr>
          <w:rFonts w:cs="Times New Roman"/>
          <w:szCs w:val="22"/>
        </w:rPr>
        <w:t>[June</w:t>
      </w:r>
      <w:r>
        <w:rPr>
          <w:rFonts w:cs="Times New Roman"/>
          <w:szCs w:val="22"/>
        </w:rPr>
        <w:t xml:space="preserve"> 202</w:t>
      </w:r>
      <w:r w:rsidR="00892B42">
        <w:rPr>
          <w:rFonts w:cs="Times New Roman"/>
          <w:szCs w:val="22"/>
        </w:rPr>
        <w:t>6</w:t>
      </w:r>
      <w:r>
        <w:rPr>
          <w:rFonts w:cs="Times New Roman"/>
          <w:szCs w:val="22"/>
        </w:rPr>
        <w:t>] (as previously defined, the “</w:t>
      </w:r>
      <w:r>
        <w:rPr>
          <w:rFonts w:cs="Times New Roman"/>
          <w:b/>
          <w:szCs w:val="22"/>
        </w:rPr>
        <w:t>Market Study</w:t>
      </w:r>
      <w:r>
        <w:rPr>
          <w:rFonts w:cs="Times New Roman"/>
          <w:szCs w:val="22"/>
        </w:rPr>
        <w:t xml:space="preserve">”), attached hereto as APPENDIX B. The Market Study’s product program recommendations, including per product absorption rates and price and value estimates are assumed in the Market Study attached as APPENDIX B hereto. The Market Study supersedes prior market studies prepared for the Developer with respect to the Development. </w:t>
      </w:r>
      <w:r>
        <w:rPr>
          <w:rFonts w:cs="Times New Roman"/>
          <w:i/>
          <w:szCs w:val="22"/>
        </w:rPr>
        <w:t xml:space="preserve">The recommendations and estimates provided by the Market Study are based upon the assumptions, and subject to the qualifications and limitations, set forth therein. See APPENDIX B attached hereto. </w:t>
      </w:r>
      <w:r>
        <w:rPr>
          <w:rFonts w:cs="Times New Roman"/>
          <w:szCs w:val="22"/>
        </w:rPr>
        <w:t>See “RISK FACTORS—Risks Inherent in Market Study and Financial Forecasts.”</w:t>
      </w:r>
    </w:p>
    <w:p w14:paraId="3F564AAD" w14:textId="06DD9D5E" w:rsidR="00421E58" w:rsidRPr="00DA2177" w:rsidRDefault="00421E58" w:rsidP="00903937">
      <w:pPr>
        <w:pStyle w:val="Heading2"/>
        <w:rPr>
          <w:rFonts w:eastAsia="Times New Roman"/>
          <w:bCs w:val="0"/>
          <w:sz w:val="22"/>
          <w:szCs w:val="22"/>
        </w:rPr>
      </w:pPr>
      <w:bookmarkStart w:id="228" w:name="_Toc14261024"/>
      <w:bookmarkStart w:id="229" w:name="_Toc235521113"/>
      <w:r>
        <w:rPr>
          <w:rFonts w:eastAsia="Times New Roman"/>
          <w:bCs w:val="0"/>
          <w:sz w:val="22"/>
          <w:szCs w:val="22"/>
        </w:rPr>
        <w:t>Competition</w:t>
      </w:r>
      <w:bookmarkEnd w:id="228"/>
      <w:bookmarkEnd w:id="229"/>
    </w:p>
    <w:p w14:paraId="6C7BB63F" w14:textId="0C03F7E2" w:rsidR="00421E58" w:rsidRPr="00DA2177" w:rsidRDefault="00A741A8" w:rsidP="00A741A8">
      <w:pPr>
        <w:pStyle w:val="00BodyText5"/>
        <w:rPr>
          <w:rFonts w:cs="Times New Roman"/>
          <w:szCs w:val="22"/>
        </w:rPr>
      </w:pPr>
      <w:r>
        <w:rPr>
          <w:rFonts w:cs="Times New Roman"/>
          <w:szCs w:val="22"/>
        </w:rPr>
        <w:t>The Market Study sets forth information with respect to certain recent developments that could compete with the Development. For information regarding competition as well as existing and potential developments in the area that may compete with the Development see the Market Study attached as APPENDIX B hereto.</w:t>
      </w:r>
    </w:p>
    <w:p w14:paraId="610B8233" w14:textId="3E8EA2B6" w:rsidR="00421E58" w:rsidRPr="00195425" w:rsidRDefault="00421E58" w:rsidP="00903937">
      <w:pPr>
        <w:pStyle w:val="Heading2"/>
        <w:rPr>
          <w:rFonts w:eastAsia="Times New Roman"/>
          <w:bCs w:val="0"/>
          <w:sz w:val="22"/>
          <w:szCs w:val="22"/>
        </w:rPr>
      </w:pPr>
      <w:bookmarkStart w:id="230" w:name="_Toc14261026"/>
      <w:bookmarkStart w:id="231" w:name="_Toc235521114"/>
      <w:r>
        <w:rPr>
          <w:rFonts w:eastAsia="Times New Roman"/>
          <w:bCs w:val="0"/>
          <w:sz w:val="22"/>
          <w:szCs w:val="22"/>
        </w:rPr>
        <w:t>Public Schools</w:t>
      </w:r>
      <w:bookmarkEnd w:id="230"/>
      <w:bookmarkEnd w:id="231"/>
    </w:p>
    <w:p w14:paraId="3300EDE6" w14:textId="77777777" w:rsidR="00807BB5" w:rsidRPr="00795A5F" w:rsidRDefault="00807BB5" w:rsidP="00807BB5">
      <w:pPr>
        <w:pStyle w:val="00BodyText5"/>
        <w:keepNext/>
        <w:rPr>
          <w:rFonts w:cs="Times New Roman"/>
          <w:szCs w:val="22"/>
        </w:rPr>
      </w:pPr>
      <w:bookmarkStart w:id="232" w:name="_Toc14261028"/>
      <w:r>
        <w:rPr>
          <w:rFonts w:cs="Times New Roman"/>
          <w:szCs w:val="22"/>
        </w:rPr>
        <w:t xml:space="preserve">The Development will be </w:t>
      </w:r>
      <w:r>
        <w:rPr>
          <w:rFonts w:eastAsia="Calibri" w:cs="Times New Roman"/>
          <w:szCs w:val="22"/>
        </w:rPr>
        <w:t>served</w:t>
      </w:r>
      <w:r>
        <w:rPr>
          <w:rFonts w:cs="Times New Roman"/>
          <w:szCs w:val="22"/>
        </w:rPr>
        <w:t xml:space="preserve"> by Jordan School District, including the following schools:</w:t>
      </w:r>
    </w:p>
    <w:tbl>
      <w:tblPr>
        <w:tblStyle w:val="TableGrid"/>
        <w:tblW w:w="81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980"/>
        <w:gridCol w:w="2947"/>
      </w:tblGrid>
      <w:tr w:rsidR="00807BB5" w:rsidRPr="00795A5F" w14:paraId="6665626D" w14:textId="77777777" w:rsidTr="00807BB5">
        <w:trPr>
          <w:jc w:val="center"/>
        </w:trPr>
        <w:tc>
          <w:tcPr>
            <w:tcW w:w="3240" w:type="dxa"/>
            <w:vAlign w:val="bottom"/>
          </w:tcPr>
          <w:p w14:paraId="45B350D8" w14:textId="77777777" w:rsidR="00807BB5" w:rsidRPr="00795A5F" w:rsidRDefault="00807BB5" w:rsidP="00807BB5">
            <w:pPr>
              <w:pStyle w:val="00BodyText1"/>
              <w:keepNext/>
              <w:spacing w:after="0"/>
              <w:ind w:firstLine="0"/>
              <w:jc w:val="center"/>
              <w:rPr>
                <w:rFonts w:cs="Times New Roman"/>
                <w:b/>
                <w:bCs/>
                <w:sz w:val="22"/>
                <w:szCs w:val="22"/>
              </w:rPr>
            </w:pPr>
            <w:r>
              <w:rPr>
                <w:rFonts w:cs="Times New Roman"/>
                <w:b/>
                <w:bCs/>
                <w:sz w:val="22"/>
                <w:szCs w:val="22"/>
              </w:rPr>
              <w:t>Name of School</w:t>
            </w:r>
          </w:p>
        </w:tc>
        <w:tc>
          <w:tcPr>
            <w:tcW w:w="1980" w:type="dxa"/>
            <w:vAlign w:val="bottom"/>
          </w:tcPr>
          <w:p w14:paraId="0B314278" w14:textId="77777777" w:rsidR="00807BB5" w:rsidRPr="00795A5F" w:rsidRDefault="00807BB5" w:rsidP="00807BB5">
            <w:pPr>
              <w:pStyle w:val="00BodyText1"/>
              <w:keepNext/>
              <w:spacing w:after="0"/>
              <w:ind w:firstLine="0"/>
              <w:jc w:val="center"/>
              <w:rPr>
                <w:rFonts w:cs="Times New Roman"/>
                <w:b/>
                <w:bCs/>
                <w:sz w:val="22"/>
                <w:szCs w:val="22"/>
              </w:rPr>
            </w:pPr>
            <w:r>
              <w:rPr>
                <w:rFonts w:cs="Times New Roman"/>
                <w:b/>
                <w:bCs/>
                <w:sz w:val="22"/>
                <w:szCs w:val="22"/>
              </w:rPr>
              <w:t>Grades Served</w:t>
            </w:r>
          </w:p>
        </w:tc>
        <w:tc>
          <w:tcPr>
            <w:tcW w:w="2947" w:type="dxa"/>
            <w:vAlign w:val="bottom"/>
          </w:tcPr>
          <w:p w14:paraId="7BCF9A75" w14:textId="77777777" w:rsidR="00807BB5" w:rsidRPr="00795A5F" w:rsidRDefault="00807BB5" w:rsidP="00807BB5">
            <w:pPr>
              <w:pStyle w:val="00BodyText1"/>
              <w:keepNext/>
              <w:spacing w:after="0"/>
              <w:ind w:firstLine="0"/>
              <w:jc w:val="center"/>
              <w:rPr>
                <w:rFonts w:cs="Times New Roman"/>
                <w:b/>
                <w:bCs/>
                <w:sz w:val="22"/>
                <w:szCs w:val="22"/>
              </w:rPr>
            </w:pPr>
            <w:r>
              <w:rPr>
                <w:rFonts w:cs="Times New Roman"/>
                <w:b/>
                <w:bCs/>
                <w:sz w:val="22"/>
                <w:szCs w:val="22"/>
              </w:rPr>
              <w:t>Distance from the Development</w:t>
            </w:r>
          </w:p>
        </w:tc>
      </w:tr>
      <w:tr w:rsidR="00807BB5" w:rsidRPr="00795A5F" w14:paraId="56680C1D" w14:textId="77777777" w:rsidTr="00684E85">
        <w:trPr>
          <w:jc w:val="center"/>
        </w:trPr>
        <w:tc>
          <w:tcPr>
            <w:tcW w:w="3240" w:type="dxa"/>
          </w:tcPr>
          <w:p w14:paraId="5A7DED67" w14:textId="2DB393B3" w:rsidR="00807BB5" w:rsidRPr="00795A5F" w:rsidRDefault="004678B2" w:rsidP="00684E85">
            <w:pPr>
              <w:pStyle w:val="00BodyText1"/>
              <w:keepNext/>
              <w:spacing w:after="0"/>
              <w:ind w:firstLine="0"/>
              <w:jc w:val="center"/>
              <w:rPr>
                <w:rFonts w:cs="Times New Roman"/>
                <w:sz w:val="22"/>
                <w:szCs w:val="22"/>
              </w:rPr>
            </w:pPr>
            <w:r>
              <w:rPr>
                <w:rFonts w:cs="Times New Roman"/>
                <w:sz w:val="22"/>
                <w:szCs w:val="22"/>
              </w:rPr>
              <w:t>Oak Leaf Elementary School</w:t>
            </w:r>
          </w:p>
        </w:tc>
        <w:tc>
          <w:tcPr>
            <w:tcW w:w="1980" w:type="dxa"/>
          </w:tcPr>
          <w:p w14:paraId="2C096149" w14:textId="77777777" w:rsidR="00807BB5" w:rsidRPr="00795A5F" w:rsidRDefault="00807BB5" w:rsidP="00684E85">
            <w:pPr>
              <w:pStyle w:val="00BodyText1"/>
              <w:keepNext/>
              <w:spacing w:after="0"/>
              <w:ind w:firstLine="0"/>
              <w:jc w:val="center"/>
              <w:rPr>
                <w:rFonts w:cs="Times New Roman"/>
                <w:sz w:val="22"/>
                <w:szCs w:val="22"/>
              </w:rPr>
            </w:pPr>
            <w:r>
              <w:rPr>
                <w:rFonts w:cs="Times New Roman"/>
                <w:sz w:val="22"/>
                <w:szCs w:val="22"/>
              </w:rPr>
              <w:t>K-6</w:t>
            </w:r>
          </w:p>
        </w:tc>
        <w:tc>
          <w:tcPr>
            <w:tcW w:w="2947" w:type="dxa"/>
          </w:tcPr>
          <w:p w14:paraId="7EE5F153" w14:textId="66697DE9" w:rsidR="00807BB5" w:rsidRPr="00795A5F" w:rsidRDefault="004678B2" w:rsidP="00684E85">
            <w:pPr>
              <w:pStyle w:val="00BodyText1"/>
              <w:keepNext/>
              <w:spacing w:after="0"/>
              <w:ind w:firstLine="0"/>
              <w:jc w:val="center"/>
              <w:rPr>
                <w:rFonts w:cs="Times New Roman"/>
                <w:sz w:val="22"/>
                <w:szCs w:val="22"/>
              </w:rPr>
            </w:pPr>
            <w:r>
              <w:rPr>
                <w:rFonts w:cs="Times New Roman"/>
                <w:sz w:val="22"/>
                <w:szCs w:val="22"/>
              </w:rPr>
              <w:t>Adjacent</w:t>
            </w:r>
          </w:p>
        </w:tc>
      </w:tr>
      <w:tr w:rsidR="00807BB5" w:rsidRPr="00795A5F" w14:paraId="7CD53E6C" w14:textId="77777777" w:rsidTr="00684E85">
        <w:trPr>
          <w:jc w:val="center"/>
        </w:trPr>
        <w:tc>
          <w:tcPr>
            <w:tcW w:w="3240" w:type="dxa"/>
          </w:tcPr>
          <w:p w14:paraId="70A5A440" w14:textId="77777777" w:rsidR="00807BB5" w:rsidRPr="00795A5F" w:rsidRDefault="00807BB5" w:rsidP="00684E85">
            <w:pPr>
              <w:pStyle w:val="00BodyText1"/>
              <w:keepNext/>
              <w:spacing w:after="0"/>
              <w:ind w:firstLine="0"/>
              <w:jc w:val="center"/>
              <w:rPr>
                <w:rFonts w:cs="Times New Roman"/>
                <w:sz w:val="22"/>
                <w:szCs w:val="22"/>
              </w:rPr>
            </w:pPr>
            <w:r>
              <w:rPr>
                <w:rFonts w:cs="Times New Roman"/>
                <w:sz w:val="22"/>
                <w:szCs w:val="22"/>
              </w:rPr>
              <w:t>Copper Mountain Middle School</w:t>
            </w:r>
          </w:p>
        </w:tc>
        <w:tc>
          <w:tcPr>
            <w:tcW w:w="1980" w:type="dxa"/>
          </w:tcPr>
          <w:p w14:paraId="1D9B24C9" w14:textId="77777777" w:rsidR="00807BB5" w:rsidRPr="00795A5F" w:rsidRDefault="00807BB5" w:rsidP="00684E85">
            <w:pPr>
              <w:pStyle w:val="00BodyText1"/>
              <w:keepNext/>
              <w:spacing w:after="0"/>
              <w:ind w:firstLine="0"/>
              <w:jc w:val="center"/>
              <w:rPr>
                <w:rFonts w:cs="Times New Roman"/>
                <w:sz w:val="22"/>
                <w:szCs w:val="22"/>
              </w:rPr>
            </w:pPr>
            <w:r>
              <w:rPr>
                <w:rFonts w:cs="Times New Roman"/>
                <w:sz w:val="22"/>
                <w:szCs w:val="22"/>
              </w:rPr>
              <w:t>7-9</w:t>
            </w:r>
          </w:p>
        </w:tc>
        <w:tc>
          <w:tcPr>
            <w:tcW w:w="2947" w:type="dxa"/>
          </w:tcPr>
          <w:p w14:paraId="63DEFE78" w14:textId="77777777" w:rsidR="00807BB5" w:rsidRPr="00795A5F" w:rsidRDefault="00807BB5" w:rsidP="00684E85">
            <w:pPr>
              <w:pStyle w:val="00BodyText1"/>
              <w:keepNext/>
              <w:spacing w:after="0"/>
              <w:ind w:firstLine="0"/>
              <w:jc w:val="center"/>
              <w:rPr>
                <w:rFonts w:cs="Times New Roman"/>
                <w:sz w:val="22"/>
                <w:szCs w:val="22"/>
              </w:rPr>
            </w:pPr>
            <w:r>
              <w:rPr>
                <w:rFonts w:cs="Times New Roman"/>
                <w:sz w:val="22"/>
                <w:szCs w:val="22"/>
              </w:rPr>
              <w:t>Approximately 3 miles</w:t>
            </w:r>
          </w:p>
        </w:tc>
      </w:tr>
      <w:tr w:rsidR="00807BB5" w:rsidRPr="00795A5F" w14:paraId="5B68A887" w14:textId="77777777" w:rsidTr="00684E85">
        <w:trPr>
          <w:jc w:val="center"/>
        </w:trPr>
        <w:tc>
          <w:tcPr>
            <w:tcW w:w="3240" w:type="dxa"/>
          </w:tcPr>
          <w:p w14:paraId="1BC8A69A" w14:textId="77777777" w:rsidR="00807BB5" w:rsidRPr="00795A5F" w:rsidRDefault="00807BB5" w:rsidP="00684E85">
            <w:pPr>
              <w:pStyle w:val="00BodyText1"/>
              <w:keepNext/>
              <w:spacing w:after="0"/>
              <w:ind w:firstLine="0"/>
              <w:jc w:val="center"/>
              <w:rPr>
                <w:rFonts w:cs="Times New Roman"/>
                <w:sz w:val="22"/>
                <w:szCs w:val="22"/>
              </w:rPr>
            </w:pPr>
            <w:r>
              <w:rPr>
                <w:rFonts w:cs="Times New Roman"/>
                <w:sz w:val="22"/>
                <w:szCs w:val="22"/>
              </w:rPr>
              <w:t>Herriman High School</w:t>
            </w:r>
          </w:p>
        </w:tc>
        <w:tc>
          <w:tcPr>
            <w:tcW w:w="1980" w:type="dxa"/>
          </w:tcPr>
          <w:p w14:paraId="7BAC350A" w14:textId="77777777" w:rsidR="00807BB5" w:rsidRPr="00795A5F" w:rsidRDefault="00807BB5" w:rsidP="00684E85">
            <w:pPr>
              <w:pStyle w:val="00BodyText1"/>
              <w:keepNext/>
              <w:spacing w:after="0"/>
              <w:ind w:firstLine="0"/>
              <w:jc w:val="center"/>
              <w:rPr>
                <w:rFonts w:cs="Times New Roman"/>
                <w:sz w:val="22"/>
                <w:szCs w:val="22"/>
              </w:rPr>
            </w:pPr>
            <w:r>
              <w:rPr>
                <w:rFonts w:cs="Times New Roman"/>
                <w:sz w:val="22"/>
                <w:szCs w:val="22"/>
              </w:rPr>
              <w:t>10-12</w:t>
            </w:r>
          </w:p>
        </w:tc>
        <w:tc>
          <w:tcPr>
            <w:tcW w:w="2947" w:type="dxa"/>
          </w:tcPr>
          <w:p w14:paraId="187BAB55" w14:textId="77777777" w:rsidR="00807BB5" w:rsidRPr="00795A5F" w:rsidRDefault="00807BB5" w:rsidP="00684E85">
            <w:pPr>
              <w:pStyle w:val="00BodyText1"/>
              <w:keepNext/>
              <w:spacing w:after="0"/>
              <w:ind w:firstLine="0"/>
              <w:jc w:val="center"/>
              <w:rPr>
                <w:rFonts w:cs="Times New Roman"/>
                <w:sz w:val="22"/>
                <w:szCs w:val="22"/>
              </w:rPr>
            </w:pPr>
            <w:r>
              <w:rPr>
                <w:rFonts w:cs="Times New Roman"/>
                <w:sz w:val="22"/>
                <w:szCs w:val="22"/>
              </w:rPr>
              <w:t>Approximately 2 miles</w:t>
            </w:r>
          </w:p>
        </w:tc>
      </w:tr>
    </w:tbl>
    <w:p w14:paraId="1A45A4E2" w14:textId="77777777" w:rsidR="00E61946" w:rsidRPr="00DA2177" w:rsidRDefault="00E61946" w:rsidP="00E61946">
      <w:pPr>
        <w:rPr>
          <w:rFonts w:cs="Times New Roman"/>
          <w:sz w:val="22"/>
          <w:szCs w:val="22"/>
        </w:rPr>
      </w:pPr>
    </w:p>
    <w:p w14:paraId="118ECD59" w14:textId="2D9C9106" w:rsidR="00421E58" w:rsidRPr="00DA2177" w:rsidRDefault="00421E58" w:rsidP="00903937">
      <w:pPr>
        <w:pStyle w:val="Heading2"/>
        <w:rPr>
          <w:rFonts w:eastAsia="Times New Roman"/>
          <w:bCs w:val="0"/>
          <w:sz w:val="22"/>
          <w:szCs w:val="22"/>
        </w:rPr>
      </w:pPr>
      <w:bookmarkStart w:id="233" w:name="_Toc235521115"/>
      <w:r>
        <w:rPr>
          <w:rFonts w:eastAsia="Times New Roman"/>
          <w:bCs w:val="0"/>
          <w:sz w:val="22"/>
          <w:szCs w:val="22"/>
        </w:rPr>
        <w:t>The Developer</w:t>
      </w:r>
      <w:bookmarkEnd w:id="232"/>
      <w:bookmarkEnd w:id="233"/>
    </w:p>
    <w:p w14:paraId="6A745A22" w14:textId="6D15F15F" w:rsidR="00806D8E" w:rsidRPr="00DA2177" w:rsidRDefault="00DA35CA" w:rsidP="00923CB1">
      <w:pPr>
        <w:pStyle w:val="00BodyText5"/>
        <w:rPr>
          <w:rFonts w:cs="Times New Roman"/>
          <w:b/>
          <w:szCs w:val="22"/>
        </w:rPr>
      </w:pPr>
      <w:r>
        <w:rPr>
          <w:rFonts w:cs="Times New Roman"/>
          <w:szCs w:val="22"/>
        </w:rPr>
        <w:t>Development of the Development is being undertaken by Olympia Land, LLC (as previously defined, the “</w:t>
      </w:r>
      <w:r>
        <w:rPr>
          <w:rFonts w:cs="Times New Roman"/>
          <w:b/>
          <w:szCs w:val="22"/>
        </w:rPr>
        <w:t>Developer</w:t>
      </w:r>
      <w:r>
        <w:rPr>
          <w:rFonts w:cs="Times New Roman"/>
          <w:szCs w:val="22"/>
        </w:rPr>
        <w:t>”). The Developer is owned and managed by Doug Young, Ryan Button, and Kirk Young.</w:t>
      </w:r>
    </w:p>
    <w:p w14:paraId="11BCD781" w14:textId="663511B5" w:rsidR="005E0EF0" w:rsidRDefault="005E0EF0" w:rsidP="00CF072A">
      <w:pPr>
        <w:pStyle w:val="00BodyText5"/>
        <w:keepNext/>
        <w:rPr>
          <w:rFonts w:cs="Times New Roman"/>
          <w:szCs w:val="22"/>
        </w:rPr>
      </w:pPr>
      <w:r>
        <w:rPr>
          <w:rFonts w:cs="Times New Roman"/>
          <w:b/>
          <w:i/>
          <w:szCs w:val="22"/>
        </w:rPr>
        <w:t>Development Team</w:t>
      </w:r>
      <w:r>
        <w:rPr>
          <w:rFonts w:cs="Times New Roman"/>
          <w:szCs w:val="22"/>
        </w:rPr>
        <w:t xml:space="preserve">. </w:t>
      </w:r>
    </w:p>
    <w:p w14:paraId="719729DF" w14:textId="77D2531D" w:rsidR="00FD6706" w:rsidRDefault="00B25AA1" w:rsidP="00FD6706">
      <w:pPr>
        <w:pStyle w:val="00BodyText5"/>
        <w:keepNext/>
        <w:rPr>
          <w:rFonts w:cs="Times New Roman"/>
          <w:szCs w:val="22"/>
        </w:rPr>
      </w:pPr>
      <w:r>
        <w:rPr>
          <w:rFonts w:cs="Times New Roman"/>
          <w:szCs w:val="22"/>
          <w:u w:val="single"/>
        </w:rPr>
        <w:t>Doug Young</w:t>
      </w:r>
      <w:r>
        <w:rPr>
          <w:rFonts w:cs="Times New Roman"/>
          <w:szCs w:val="22"/>
        </w:rPr>
        <w:t>. Doug Young has been working in real estate and land investments since 1990. Doug has been a part of creating many communities over the years. Doug has helped in creating over 10,000 residential units, including single family homes, multifamily town homes, apartment complexes, multiple commercial districts, and many storage facilities. He has also done a lot of charitable work with local school districts to help locate and acquire school sites along with many church sites within the communities he works on. Most recently Doug has worked on two master planned communities, the Olympia Master Development, and Shoreline. These projects consist of approximately 1,100 acres, 7,800 units, and two commercial centers.</w:t>
      </w:r>
    </w:p>
    <w:p w14:paraId="235702D5" w14:textId="7CB340BE" w:rsidR="00B25AA1" w:rsidRPr="00B25AA1" w:rsidRDefault="00B25AA1" w:rsidP="00B25AA1">
      <w:pPr>
        <w:pStyle w:val="00BodyText5"/>
        <w:keepNext/>
        <w:rPr>
          <w:rFonts w:cs="Times New Roman"/>
          <w:szCs w:val="22"/>
        </w:rPr>
      </w:pPr>
      <w:r>
        <w:rPr>
          <w:rFonts w:cs="Times New Roman"/>
          <w:szCs w:val="22"/>
          <w:u w:val="single"/>
        </w:rPr>
        <w:t>Ryan Button</w:t>
      </w:r>
      <w:r>
        <w:rPr>
          <w:rFonts w:cs="Times New Roman"/>
          <w:szCs w:val="22"/>
        </w:rPr>
        <w:t xml:space="preserve">. Ryan has been working in the land development/investment business since 2003. His primary focus has been on residential subdivisions of all sizes. Ryan has been involved in the entitlement and development of over 10,000 residential units as well as numerous commercial centers and uses. Most of Ryan’s work has been focused along the Wasatch Front and in Southern Utah with many real estate investment assets held in the Southwest United States. Ryan specializes in acquiring real estate, working through issues on tough real estate properties, obtaining entitlements, and either selling to home builders or retaining ownership or investments in select assets for long term cash flow benefits. </w:t>
      </w:r>
    </w:p>
    <w:p w14:paraId="37DED0D5" w14:textId="092F97F8" w:rsidR="00B25AA1" w:rsidRPr="00DA2177" w:rsidRDefault="00B25AA1" w:rsidP="00D451A0">
      <w:pPr>
        <w:pStyle w:val="00BodyText5"/>
        <w:keepNext/>
        <w:rPr>
          <w:rFonts w:cs="Times New Roman"/>
          <w:szCs w:val="22"/>
        </w:rPr>
      </w:pPr>
      <w:r>
        <w:rPr>
          <w:rFonts w:cs="Times New Roman"/>
          <w:szCs w:val="22"/>
          <w:u w:val="single"/>
        </w:rPr>
        <w:t>Kirk Young</w:t>
      </w:r>
      <w:r>
        <w:rPr>
          <w:rFonts w:cs="Times New Roman"/>
          <w:szCs w:val="22"/>
        </w:rPr>
        <w:t>. Kirk Young has been working in real estate and land investments since 2010. He is one of the managers of many real estate investment companies that create plans for development. Kirk has helped create many different types of developments including single family homes, high density housing communities, and commercial centers. Kirk has helped create over 10,000 housing units, multiple commercial centers, and many storage unit projects. Kirk works with municipalities for planning and development approvals and manages the company’s books. Most recently, he has helped design and get approval for two planned communities, the Olympia Master Development and Shoreline, containing approximately 1,100 acres, 7,800 units, and two commercial centers.</w:t>
      </w:r>
    </w:p>
    <w:p w14:paraId="264AAD2F" w14:textId="617625F9" w:rsidR="0075493D" w:rsidRPr="00DA2177" w:rsidRDefault="004E4A25" w:rsidP="002E23F5">
      <w:pPr>
        <w:pStyle w:val="Heading1"/>
        <w:rPr>
          <w:rFonts w:eastAsia="Times New Roman" w:cs="Times New Roman"/>
          <w:sz w:val="22"/>
          <w:szCs w:val="22"/>
        </w:rPr>
      </w:pPr>
      <w:bookmarkStart w:id="234" w:name="_Toc235521116"/>
      <w:r>
        <w:rPr>
          <w:rFonts w:eastAsia="Times New Roman" w:cs="Times New Roman"/>
          <w:sz w:val="22"/>
          <w:szCs w:val="22"/>
        </w:rPr>
        <w:t>FINANCIAL INFORMATION</w:t>
      </w:r>
      <w:bookmarkEnd w:id="234"/>
    </w:p>
    <w:p w14:paraId="0B1E069C" w14:textId="77777777" w:rsidR="005F6B23" w:rsidRDefault="005F6B23" w:rsidP="005F6B23">
      <w:pPr>
        <w:pStyle w:val="00BodyText5"/>
        <w:rPr>
          <w:rFonts w:cs="Times New Roman"/>
          <w:szCs w:val="22"/>
        </w:rPr>
      </w:pPr>
      <w:r w:rsidRPr="00DA2177">
        <w:rPr>
          <w:rFonts w:cs="Times New Roman"/>
          <w:szCs w:val="22"/>
        </w:rPr>
        <w:t xml:space="preserve">The LT Bonds are payable from, among other sources, revenues resulting from certain ad valorem property taxes imposed by the District. Certain information pertaining to such ad valorem property taxes and other Senior LT Pledged Revenue (with respect to the </w:t>
      </w:r>
      <w:r>
        <w:rPr>
          <w:rFonts w:cs="Times New Roman"/>
          <w:szCs w:val="22"/>
        </w:rPr>
        <w:t>2026A-1 Senior LT Bonds</w:t>
      </w:r>
      <w:r w:rsidRPr="00DA2177">
        <w:rPr>
          <w:rFonts w:cs="Times New Roman"/>
          <w:szCs w:val="22"/>
        </w:rPr>
        <w:t xml:space="preserve">) and Subordinate LT Pledged Revenue (with respect to the </w:t>
      </w:r>
      <w:r>
        <w:rPr>
          <w:rFonts w:cs="Times New Roman"/>
          <w:szCs w:val="22"/>
        </w:rPr>
        <w:t>2026B Subordinate LT Bonds</w:t>
      </w:r>
      <w:r w:rsidRPr="00DA2177">
        <w:rPr>
          <w:rFonts w:cs="Times New Roman"/>
          <w:szCs w:val="22"/>
        </w:rPr>
        <w:t>), as well as other financial information of the District is set forth below.</w:t>
      </w:r>
    </w:p>
    <w:p w14:paraId="6655DB94" w14:textId="26726B99" w:rsidR="00FE1642" w:rsidRPr="00DA2177" w:rsidRDefault="00FE1642" w:rsidP="00B66D35">
      <w:pPr>
        <w:pStyle w:val="00BodyText5"/>
        <w:rPr>
          <w:rFonts w:cs="Times New Roman"/>
          <w:szCs w:val="22"/>
        </w:rPr>
      </w:pPr>
      <w:r>
        <w:rPr>
          <w:rFonts w:cs="Times New Roman"/>
          <w:szCs w:val="22"/>
        </w:rPr>
        <w:t>The 2026A-2 SR Bonds are not secured by ad valorem property taxes. Instead, the 2026A-2 SR Bonds are secured by the Contract Fees imposed and collected from within the District.</w:t>
      </w:r>
    </w:p>
    <w:p w14:paraId="2732B2FF" w14:textId="0826DDFE" w:rsidR="0075493D" w:rsidRPr="00DA2177" w:rsidRDefault="003904FF" w:rsidP="002E23F5">
      <w:pPr>
        <w:pStyle w:val="Heading2"/>
        <w:rPr>
          <w:rFonts w:eastAsia="Times New Roman"/>
          <w:sz w:val="22"/>
          <w:szCs w:val="22"/>
        </w:rPr>
      </w:pPr>
      <w:bookmarkStart w:id="235" w:name="_Toc235521117"/>
      <w:r>
        <w:rPr>
          <w:rFonts w:eastAsia="Times New Roman"/>
          <w:sz w:val="22"/>
          <w:szCs w:val="22"/>
        </w:rPr>
        <w:t>Ad Valorem Property Taxes</w:t>
      </w:r>
      <w:bookmarkEnd w:id="235"/>
    </w:p>
    <w:p w14:paraId="5F09ACD6" w14:textId="77777777" w:rsidR="0075493D" w:rsidRPr="00DA2177" w:rsidRDefault="003904FF" w:rsidP="002E23F5">
      <w:pPr>
        <w:pStyle w:val="00BodyText5"/>
        <w:rPr>
          <w:rFonts w:cs="Times New Roman"/>
          <w:szCs w:val="22"/>
        </w:rPr>
      </w:pPr>
      <w:r>
        <w:rPr>
          <w:rFonts w:cs="Times New Roman"/>
          <w:szCs w:val="22"/>
        </w:rPr>
        <w:t>The Board has the power, subject to constitutional and statutory guidelines, to certify a levy for collection of ad valorem taxes against all taxable property of the District. Property taxes are uniformly levied against the assessed valuation of all taxable property of the District. The property subject to taxation, the assessment of such property, and the property tax procedure and collections are discussed below.</w:t>
      </w:r>
    </w:p>
    <w:p w14:paraId="4F9BFA50" w14:textId="1862184B" w:rsidR="008E5187" w:rsidRPr="00DA2177" w:rsidRDefault="008E5187" w:rsidP="008E5187">
      <w:pPr>
        <w:pStyle w:val="00BodyText5"/>
        <w:rPr>
          <w:rFonts w:cs="Times New Roman"/>
          <w:szCs w:val="22"/>
        </w:rPr>
      </w:pPr>
      <w:r>
        <w:rPr>
          <w:rFonts w:cs="Times New Roman"/>
          <w:szCs w:val="22"/>
        </w:rPr>
        <w:t>The Property Tax Act, Title 59, Chapter 2, Utah Code (the “</w:t>
      </w:r>
      <w:r>
        <w:rPr>
          <w:rFonts w:cs="Times New Roman"/>
          <w:b/>
          <w:bCs/>
          <w:szCs w:val="22"/>
        </w:rPr>
        <w:t>Property Tax Act</w:t>
      </w:r>
      <w:r>
        <w:rPr>
          <w:rFonts w:cs="Times New Roman"/>
          <w:szCs w:val="22"/>
        </w:rPr>
        <w:t>”), provides that the Utah State Tax Commission (the “</w:t>
      </w:r>
      <w:r>
        <w:rPr>
          <w:rFonts w:cs="Times New Roman"/>
          <w:b/>
          <w:bCs/>
          <w:szCs w:val="22"/>
        </w:rPr>
        <w:t>State Tax Commission</w:t>
      </w:r>
      <w:r>
        <w:rPr>
          <w:rFonts w:cs="Times New Roman"/>
          <w:szCs w:val="22"/>
        </w:rPr>
        <w:t>”) shall assess certain types of property (“</w:t>
      </w:r>
      <w:r>
        <w:rPr>
          <w:rFonts w:cs="Times New Roman"/>
          <w:b/>
          <w:bCs/>
          <w:szCs w:val="22"/>
        </w:rPr>
        <w:t>Centrally Assessed Property</w:t>
      </w:r>
      <w:r>
        <w:rPr>
          <w:rFonts w:cs="Times New Roman"/>
          <w:szCs w:val="22"/>
        </w:rPr>
        <w:t>”), including (i) properties that operate as a unit across county lines that must be apportioned among more than one county or state, (ii) public utility (including railroad) properties, (iii) airline operating properties, (iv) geothermal resources, and (v) mines, mining claims and appurtenant machinery, facilities and improvements. All other taxable property (“</w:t>
      </w:r>
      <w:r>
        <w:rPr>
          <w:rFonts w:cs="Times New Roman"/>
          <w:b/>
          <w:bCs/>
          <w:szCs w:val="22"/>
        </w:rPr>
        <w:t>Locally Assessed Property</w:t>
      </w:r>
      <w:r>
        <w:rPr>
          <w:rFonts w:cs="Times New Roman"/>
          <w:szCs w:val="22"/>
        </w:rPr>
        <w:t>”) is required to be assessed by the county assessor of the county in which such Locally Assessed Property is located. Each county assessor must update property values annually based upon a systematic review of current market data and must also complete a detailed review of property characteristics for each parcel of property at least once every five years. The Property Tax Act requires that the State Tax Commission conduct an annual investigation in each county to determine whether all property subject to taxation is on the assessment rolls and whether the property is being assessed at its “fair market value.”</w:t>
      </w:r>
    </w:p>
    <w:p w14:paraId="2DDEB950" w14:textId="62553D6C" w:rsidR="008E5187" w:rsidRPr="00DA2177" w:rsidRDefault="008E5187" w:rsidP="008E5187">
      <w:pPr>
        <w:pStyle w:val="00BodyText5"/>
        <w:rPr>
          <w:rFonts w:cs="Times New Roman"/>
          <w:szCs w:val="22"/>
        </w:rPr>
      </w:pPr>
      <w:r>
        <w:rPr>
          <w:rFonts w:cs="Times New Roman"/>
          <w:szCs w:val="22"/>
        </w:rPr>
        <w:t>The State Tax Commission and the county assessors utilize various valuation methods, as determined by statute, administrative regulation or accepted practice, to determine the “fair market value” of taxable property.</w:t>
      </w:r>
    </w:p>
    <w:p w14:paraId="0A10A7B0" w14:textId="39C2BF08" w:rsidR="00D8130F" w:rsidRPr="00DA2177" w:rsidRDefault="00D8130F" w:rsidP="008E5187">
      <w:pPr>
        <w:pStyle w:val="00BodyText5"/>
        <w:rPr>
          <w:rFonts w:cs="Times New Roman"/>
          <w:szCs w:val="22"/>
        </w:rPr>
      </w:pPr>
      <w:r>
        <w:rPr>
          <w:rFonts w:cs="Times New Roman"/>
          <w:b/>
          <w:bCs/>
          <w:i/>
          <w:iCs/>
          <w:szCs w:val="22"/>
        </w:rPr>
        <w:t>Property Subject to Taxation</w:t>
      </w:r>
      <w:r>
        <w:rPr>
          <w:rFonts w:cs="Times New Roman"/>
          <w:szCs w:val="22"/>
        </w:rPr>
        <w:t xml:space="preserve">. Both real and personal property located within the boundaries of the District, unless exempt, are subject to taxation by the District. Exempt property generally includes property exempt under the laws of the United States; property of the State and its political subdivisions; school districts; public libraries; property owned by a nonprofit entity used exclusively for religious, charitable, or educational purposes; places of burial not held or used for private or corporate benefit; farm machinery and equipment; high tunnels; intangible property; and the ownership interest of an out-of-state public agency that is providing additional project capacity and for which a fee in lieu of ad valorem property tax is payable. </w:t>
      </w:r>
    </w:p>
    <w:p w14:paraId="7B225549" w14:textId="22DFB755" w:rsidR="00D8130F" w:rsidRDefault="00C720E5" w:rsidP="00C720E5">
      <w:pPr>
        <w:pStyle w:val="00BodyText5"/>
        <w:rPr>
          <w:rFonts w:cs="Times New Roman"/>
          <w:szCs w:val="22"/>
        </w:rPr>
      </w:pPr>
      <w:r>
        <w:rPr>
          <w:rFonts w:cs="Times New Roman"/>
          <w:b/>
          <w:bCs/>
          <w:i/>
          <w:iCs/>
          <w:szCs w:val="22"/>
        </w:rPr>
        <w:t>Residential Exemption</w:t>
      </w:r>
      <w:r>
        <w:rPr>
          <w:rFonts w:cs="Times New Roman"/>
          <w:szCs w:val="22"/>
        </w:rPr>
        <w:t>. The fair market value of primary residence residential property located within the State is allowed an exemption equal to a 45% reduction in the value of the property for up to one acre of land (the “</w:t>
      </w:r>
      <w:r>
        <w:rPr>
          <w:rFonts w:cs="Times New Roman"/>
          <w:b/>
          <w:bCs/>
          <w:szCs w:val="22"/>
        </w:rPr>
        <w:t>Residential Exemption</w:t>
      </w:r>
      <w:r>
        <w:rPr>
          <w:rFonts w:cs="Times New Roman"/>
          <w:szCs w:val="22"/>
        </w:rPr>
        <w:t xml:space="preserve">”). Part-year residential property within the State qualifies for the Residential Exemption if it is used as a residential property for 183 or more consecutive calendar days during the calendar year for which the owner seeks to obtain the Residential Exemption. The Residential Exemption is limited to one primary residence per household, except that an owner of multiple primary residences within the State is allowed a Residential Exemption for the primary residence of the owner and each residential property that is the primary residence of a tenant. </w:t>
      </w:r>
    </w:p>
    <w:p w14:paraId="6764F23B" w14:textId="77777777" w:rsidR="00556BBC" w:rsidRPr="000E5D4E" w:rsidRDefault="00556BBC" w:rsidP="00556BBC">
      <w:pPr>
        <w:pStyle w:val="00BodyText5"/>
        <w:rPr>
          <w:szCs w:val="20"/>
        </w:rPr>
      </w:pPr>
      <w:r w:rsidRPr="000E5D4E">
        <w:rPr>
          <w:b/>
          <w:bCs/>
          <w:i/>
          <w:iCs/>
          <w:szCs w:val="20"/>
        </w:rPr>
        <w:t>Greenbelt Reduction</w:t>
      </w:r>
      <w:r w:rsidRPr="000E5D4E">
        <w:rPr>
          <w:szCs w:val="20"/>
        </w:rPr>
        <w:t>. Property located within the State that consists of five or more contiguous acres of land that are actively devoted to agricultural use may be assessed at the value of the land for agricultural use, instead of the fair market value (the “</w:t>
      </w:r>
      <w:r w:rsidRPr="000E5D4E">
        <w:rPr>
          <w:b/>
          <w:szCs w:val="20"/>
        </w:rPr>
        <w:t>Greenbelt Reduction</w:t>
      </w:r>
      <w:r w:rsidRPr="000E5D4E">
        <w:rPr>
          <w:szCs w:val="20"/>
        </w:rPr>
        <w:t xml:space="preserve">”). When a change to the property, such as a change in ownership or use, results in a loss of eligibility for the Greenbelt Reduction, the owner of such property must notify the county assessor by recording a withdrawal application. Any portion of the land that continues to meet the requirements of the Greenbelt Reduction will continue to be assessed according to the Greenbelt Reduction, while any portion of the land that no longer qualifies for the </w:t>
      </w:r>
      <w:r>
        <w:rPr>
          <w:szCs w:val="20"/>
        </w:rPr>
        <w:t>Greenbelt</w:t>
      </w:r>
      <w:r w:rsidRPr="000E5D4E">
        <w:rPr>
          <w:szCs w:val="20"/>
        </w:rPr>
        <w:t xml:space="preserve"> Reduction will be assessed according to the appropriate change in assessment. </w:t>
      </w:r>
    </w:p>
    <w:p w14:paraId="26ADBC51" w14:textId="77777777" w:rsidR="00556BBC" w:rsidRPr="000E5D4E" w:rsidRDefault="00556BBC" w:rsidP="00556BBC">
      <w:pPr>
        <w:pStyle w:val="00BodyText5"/>
        <w:rPr>
          <w:szCs w:val="20"/>
        </w:rPr>
      </w:pPr>
      <w:r w:rsidRPr="000E5D4E">
        <w:rPr>
          <w:szCs w:val="20"/>
        </w:rPr>
        <w:t>Upon ineligibility for the Greenbelt Reduction, the property becomes subject to a rollback tax, which is calculated as the difference between the tax that was paid while the property was assessed for agricultural use and the tax that would have been paid had the property been assessed at the applicable non-agricultural use value. The rollback tax may be due for a period of up to five years. Failure to record a withdrawal application with the county assessor within 120 days after ineligibility may result in penalties of up to 2% of the rollback tax that was due in the last year of the rollback period.</w:t>
      </w:r>
    </w:p>
    <w:p w14:paraId="055D4D23" w14:textId="6B4350B0" w:rsidR="00556BBC" w:rsidRPr="00556BBC" w:rsidRDefault="00556BBC" w:rsidP="00556BBC">
      <w:pPr>
        <w:pStyle w:val="00BodyText5"/>
        <w:rPr>
          <w:szCs w:val="20"/>
        </w:rPr>
      </w:pPr>
      <w:bookmarkStart w:id="236" w:name="_Hlk146619318"/>
      <w:r w:rsidRPr="000E5D4E">
        <w:rPr>
          <w:szCs w:val="20"/>
        </w:rPr>
        <w:t>As of January 1, 202</w:t>
      </w:r>
      <w:r>
        <w:rPr>
          <w:szCs w:val="20"/>
        </w:rPr>
        <w:t>5</w:t>
      </w:r>
      <w:r w:rsidRPr="000E5D4E">
        <w:rPr>
          <w:szCs w:val="20"/>
        </w:rPr>
        <w:t xml:space="preserve">, </w:t>
      </w:r>
      <w:r>
        <w:rPr>
          <w:szCs w:val="20"/>
        </w:rPr>
        <w:t>approximately [__] acres</w:t>
      </w:r>
      <w:r w:rsidRPr="000E5D4E">
        <w:rPr>
          <w:szCs w:val="20"/>
        </w:rPr>
        <w:t xml:space="preserve"> </w:t>
      </w:r>
      <w:r w:rsidRPr="000E5D4E">
        <w:t xml:space="preserve">within the District </w:t>
      </w:r>
      <w:r>
        <w:t>b</w:t>
      </w:r>
      <w:r w:rsidRPr="000E5D4E">
        <w:t>oundaries</w:t>
      </w:r>
      <w:r w:rsidRPr="000E5D4E">
        <w:rPr>
          <w:szCs w:val="20"/>
        </w:rPr>
        <w:t xml:space="preserve"> is subject to Greenbelt Reduction</w:t>
      </w:r>
      <w:bookmarkEnd w:id="236"/>
      <w:r w:rsidRPr="000E5D4E">
        <w:rPr>
          <w:szCs w:val="20"/>
        </w:rPr>
        <w:t xml:space="preserve">. </w:t>
      </w:r>
      <w:r w:rsidRPr="000E5D4E">
        <w:t>See “DISTRICT FINANCIAL INFORMATION—Ad Valorem Property Tax</w:t>
      </w:r>
      <w:r>
        <w:t xml:space="preserve"> Data</w:t>
      </w:r>
      <w:r w:rsidRPr="000E5D4E">
        <w:t>” below.</w:t>
      </w:r>
    </w:p>
    <w:p w14:paraId="388566DA" w14:textId="77777777" w:rsidR="008E5187" w:rsidRPr="00900659" w:rsidRDefault="008E5187" w:rsidP="00900659">
      <w:pPr>
        <w:pStyle w:val="Heading2"/>
        <w:rPr>
          <w:rFonts w:eastAsia="Times New Roman"/>
          <w:sz w:val="22"/>
          <w:szCs w:val="22"/>
        </w:rPr>
      </w:pPr>
      <w:bookmarkStart w:id="237" w:name="_Toc39742252"/>
      <w:bookmarkStart w:id="238" w:name="_Toc235521118"/>
      <w:r>
        <w:rPr>
          <w:rFonts w:eastAsia="Times New Roman"/>
          <w:sz w:val="22"/>
          <w:szCs w:val="22"/>
        </w:rPr>
        <w:t>Tax Levy and Collection</w:t>
      </w:r>
      <w:bookmarkEnd w:id="237"/>
      <w:bookmarkEnd w:id="238"/>
    </w:p>
    <w:p w14:paraId="70C786F8" w14:textId="7A37675E" w:rsidR="008E5187" w:rsidRPr="00DA2177" w:rsidRDefault="008E5187" w:rsidP="008E5187">
      <w:pPr>
        <w:pStyle w:val="00BodyText5"/>
        <w:rPr>
          <w:rFonts w:cs="Times New Roman"/>
          <w:szCs w:val="22"/>
        </w:rPr>
      </w:pPr>
      <w:r>
        <w:rPr>
          <w:rFonts w:cs="Times New Roman"/>
          <w:szCs w:val="22"/>
        </w:rPr>
        <w:t>The State Tax Commission must assess all Centrally Assessed Property by May 1 of each year. County assessors must assess all Locally Assessed Property before May 22 of each year. The State Tax Commission apportions the value of Centrally Assessed Property to the various taxing entities within each county and reports such values to county auditors before June 8. The governing body of each taxing entity must adopt a proposed tax rate or, if the tax rate is not more than the certified tax rate, a final tax rate before June 22; provided if the governing body has not received the taxing entity’s certified tax rate at least seven days prior to June 22, the governing body of the taxing entity must, no later than 14 days after receiving the certified tax rate from the county auditor, adopt a proposed tax rate or, if the tax rate is not more than the certified tax rate, a final tax rate. County auditors must forward to the State Tax Commission a statement prepared by the legislative body of each taxing entity showing the amount and purpose of each levy. Upon determination by the State Tax Commission that the tax levies comply with applicable law and do not exceed maximum permitted rates, the State Tax Commission notifies county auditors to implement the levies. If the State Tax Commission determines that a tax levy established by a taxing entity exceeds the maximum levy permitted by law, the State Tax Commission must lower the levy to the maximum levy permitted by law, notify the taxing entity that the rate has been lowered and notify the county auditor (of the county in which the taxing entity is located) to implement the rate established by the State Tax Commission.</w:t>
      </w:r>
    </w:p>
    <w:p w14:paraId="3191C6C4" w14:textId="786AF9B0" w:rsidR="008E5187" w:rsidRPr="00DA2177" w:rsidRDefault="008E5187" w:rsidP="008E5187">
      <w:pPr>
        <w:pStyle w:val="00BodyText5"/>
        <w:rPr>
          <w:rFonts w:cs="Times New Roman"/>
          <w:szCs w:val="22"/>
        </w:rPr>
      </w:pPr>
      <w:r>
        <w:rPr>
          <w:rFonts w:cs="Times New Roman"/>
          <w:szCs w:val="22"/>
        </w:rPr>
        <w:t>On or before July 22 of each year, the county auditors must mail to all owners of real estate shown on their assessment rolls notice of, among other things, the value of the property, itemized tax information for all taxing entities and the date their respective county boards of equalization will meet to hear complaints. Taxpayers owning property assessed by a county assessor may file an application within statutorily defined time limits based on the nature of the contest with the appropriate county board of equalization for the purpose of contesting the assessed valuation of their property. The county board of equalization must render a decision on each appeal in the time frame prescribed by the Property Tax Act. Under certain circumstances, the county board of equalization must hold a hearing regarding the application, at which the taxpayer has the burden of proving that the property sustained a decrease in fair market value. Decisions of the county board of equalization may be appealed to the State Tax Commission, which must decide all appeals relating to real property by March 1 of the following year. Owners of Centrally Assessed Property or any county with a showing of reasonable cause, may, on or before the later of August 1 or a day within 90 days of the date the notice of assessment is mailed by the State Tax Commission, apply to the State Tax Commission for a hearing to contest the assessment of Centrally Assessed Property. The State Tax Commission must render a written decision within 120 days after the hearing is completed and all post hearing briefs are submitted. The county auditor makes a record of all changes, corrections and orders, and delivers before November 1 the corrected assessment rolls to the county treasurers. On or before November 1, each county treasurer furnishes each taxpayer a notice containing, among other things, the kind and value of the property assessed to the taxpayer, the street address of the property, where applicable, the amount of the tax levied on the property and the year the property is subject to a detailed review.</w:t>
      </w:r>
    </w:p>
    <w:p w14:paraId="40830B9E" w14:textId="660643F9" w:rsidR="008E5187" w:rsidRPr="00DA2177" w:rsidRDefault="008E5187" w:rsidP="008E5187">
      <w:pPr>
        <w:pStyle w:val="00BodyText5"/>
        <w:rPr>
          <w:rFonts w:cs="Times New Roman"/>
          <w:szCs w:val="22"/>
        </w:rPr>
      </w:pPr>
      <w:r>
        <w:rPr>
          <w:rFonts w:cs="Times New Roman"/>
          <w:szCs w:val="22"/>
        </w:rPr>
        <w:t>Taxes are due November 30 (and if a Saturday, Sunday or holiday, the next business day). Each county treasurer is responsible for collecting all taxes levied on real property within that county. There are no prior claims to such taxes. As taxes are collected, each county treasurer must pay to the State and each taxing entity within the county its proportionate share of the taxes, on or before the tenth day of each month. Delinquent taxes are subject to a penalty of 2.5% of the amount of the taxes or $10 whichever is greater. Unless the delinquent taxes and penalty are paid before January 31 of the following year, the amount of delinquent taxes and penalty bears interest at the federal funds rate target established by the Federal Open Market Committee plus 6% from the January 1 following the delinquency date until paid (provided that said interest may not be less than 7% nor more than 10%). Pursuant to the Public Infrastructure District Act, the District also imposes an annual property tax penalty of 7% in addition to penalties described above. If delinquent taxes have not been paid by March 15 following the lapse of four years from the delinquency date, the affected county advertises and sells the property at a final tax sale held in May or June of the fifth year after assessment.</w:t>
      </w:r>
    </w:p>
    <w:p w14:paraId="7E6191FF" w14:textId="19BF4528" w:rsidR="008E5187" w:rsidRPr="00DA2177" w:rsidRDefault="008E5187" w:rsidP="008E5187">
      <w:pPr>
        <w:pStyle w:val="00BodyText5"/>
        <w:rPr>
          <w:rFonts w:cs="Times New Roman"/>
          <w:szCs w:val="22"/>
        </w:rPr>
      </w:pPr>
      <w:r>
        <w:rPr>
          <w:rFonts w:cs="Times New Roman"/>
          <w:szCs w:val="22"/>
        </w:rPr>
        <w:t>The process described above changes if a county or other taxing entity proposes a tax rate in excess of the certified tax rate (as described under “—Public Hearing on Certain Tax Increases” below). If such an increase is proposed, the taxing entity must adopt a proposed tax rate before June 22. In addition, the county auditor must include certain information in the notices to be mailed by July 22, as described above, including information concerning the tax impact of the proposed increase on the property and the time and place of the public hearing described in “—Public Hearing on Certain Tax Increases” below. In most cases, notice of the public hearing must also be advertised by publication. After the public hearing is held, the taxing entity may adopt a resolution levying a tax in excess of the certified tax rate. A resolution levying a tax in excess of the certified tax rate must be forwarded to the county auditor by August 17. The final tax notice is then mailed by November 1.</w:t>
      </w:r>
    </w:p>
    <w:p w14:paraId="002AEF88" w14:textId="1F443CC5" w:rsidR="008E5187" w:rsidRPr="00900659" w:rsidRDefault="008E5187" w:rsidP="00900659">
      <w:pPr>
        <w:pStyle w:val="Heading2"/>
        <w:rPr>
          <w:rFonts w:eastAsia="Times New Roman"/>
          <w:sz w:val="22"/>
          <w:szCs w:val="22"/>
        </w:rPr>
      </w:pPr>
      <w:bookmarkStart w:id="239" w:name="_Toc39742253"/>
      <w:bookmarkStart w:id="240" w:name="_Toc235521119"/>
      <w:r>
        <w:rPr>
          <w:rFonts w:eastAsia="Times New Roman"/>
          <w:sz w:val="22"/>
          <w:szCs w:val="22"/>
        </w:rPr>
        <w:t>Public Hearing on Certain Tax Increases</w:t>
      </w:r>
      <w:bookmarkEnd w:id="239"/>
      <w:bookmarkEnd w:id="240"/>
    </w:p>
    <w:p w14:paraId="0A33ECAE" w14:textId="2A37B0FC" w:rsidR="008E5187" w:rsidRPr="00DA2177" w:rsidRDefault="008E5187" w:rsidP="008E5187">
      <w:pPr>
        <w:pStyle w:val="00BodyText5"/>
        <w:rPr>
          <w:rFonts w:cs="Times New Roman"/>
          <w:szCs w:val="22"/>
        </w:rPr>
      </w:pPr>
      <w:r>
        <w:rPr>
          <w:rFonts w:cs="Times New Roman"/>
          <w:szCs w:val="22"/>
        </w:rPr>
        <w:t xml:space="preserve">Typically, each taxing entity that proposes to levy a tax rate that exceeds the “certified tax rate” may do so (by resolution) by providing certain information by mail and after holding a properly noticed public hearing. Generally, the certified tax rate is the rate necessary to generate the same property tax revenue that the taxing entity budgeted for the prior year, with certain exclusions. For purposes of calculating the certified tax rate, county auditors are to use the taxable value of property on the assessment rolls, exclusive of new growth. New growth is any increase in taxable value of the taxing entity from the previous calendar year to the current year less the amount of increase to locally assessed real property taxable values resulting from factoring, reappraisal, other adjustments, or changes in the method of apportioning taxable value. </w:t>
      </w:r>
    </w:p>
    <w:p w14:paraId="050B9280" w14:textId="0D45DC63" w:rsidR="008E5187" w:rsidRPr="00DA2177" w:rsidRDefault="008E5187" w:rsidP="008E5187">
      <w:pPr>
        <w:pStyle w:val="00BodyText5"/>
        <w:rPr>
          <w:rFonts w:cs="Times New Roman"/>
          <w:szCs w:val="22"/>
        </w:rPr>
      </w:pPr>
      <w:r>
        <w:rPr>
          <w:rFonts w:cs="Times New Roman"/>
          <w:szCs w:val="22"/>
        </w:rPr>
        <w:t xml:space="preserve">Among other requirements, on or before July 22 of the year in which such an increase is proposed, the county auditor must mail to all property owners a notice of the public hearing. In most cases, the taxing entity must advertise the notice of public hearing by publication in a newspaper. Such notices must state, among other things, the value of the property, the time and place of the public hearing, and the tax impact of the proposed increase. </w:t>
      </w:r>
    </w:p>
    <w:p w14:paraId="5A6031A4" w14:textId="77777777" w:rsidR="005F6B23" w:rsidRPr="00DA2177" w:rsidRDefault="005F6B23" w:rsidP="005F6B23">
      <w:pPr>
        <w:pStyle w:val="00BodyText5"/>
        <w:rPr>
          <w:rFonts w:cs="Times New Roman"/>
          <w:szCs w:val="22"/>
        </w:rPr>
      </w:pPr>
      <w:r w:rsidRPr="00DA2177">
        <w:rPr>
          <w:rFonts w:cs="Times New Roman"/>
          <w:szCs w:val="22"/>
        </w:rPr>
        <w:t>Pursuant to the Public Infrastructure District Act, the District is not required to give notice or hold a public hearing to levy the Senior Required Mill Levy or the Subordinate Required Mill Levy, so long as the rate of such levy does not exceed the rate established in (i) the Public Infrastructure District Act; (ii) the Governing Document; or (iii) the documents relating to issuance of the limited tax bonds, which in the case of the LT Bonds is the LT Indentures. The Public Infrastructure District Act establishes a rate limit of 0.015 per dollar of taxable value of taxable property in the District.</w:t>
      </w:r>
      <w:r>
        <w:rPr>
          <w:rFonts w:cs="Times New Roman"/>
          <w:szCs w:val="22"/>
        </w:rPr>
        <w:t xml:space="preserve"> The Governing Document establishes a rate limit equal to the Maximum Debt Mill Levy, and the Indentures establishes a rate limit of 0.004 per dollar of taxable property in the District.</w:t>
      </w:r>
    </w:p>
    <w:p w14:paraId="46011575" w14:textId="77777777" w:rsidR="0075493D" w:rsidRPr="00DA2177" w:rsidRDefault="003904FF" w:rsidP="002E23F5">
      <w:pPr>
        <w:pStyle w:val="Heading2"/>
        <w:rPr>
          <w:rFonts w:eastAsia="Times New Roman"/>
          <w:sz w:val="22"/>
          <w:szCs w:val="22"/>
        </w:rPr>
      </w:pPr>
      <w:bookmarkStart w:id="241" w:name="_Toc235521120"/>
      <w:r>
        <w:rPr>
          <w:rFonts w:eastAsia="Times New Roman"/>
          <w:sz w:val="22"/>
          <w:szCs w:val="22"/>
        </w:rPr>
        <w:t>Ad Valorem Property Tax Data</w:t>
      </w:r>
      <w:bookmarkEnd w:id="241"/>
    </w:p>
    <w:p w14:paraId="2612EA0A" w14:textId="7C8FEF52" w:rsidR="001004F7" w:rsidRDefault="00565833" w:rsidP="00927A5E">
      <w:pPr>
        <w:pStyle w:val="00BodyText5"/>
        <w:rPr>
          <w:rFonts w:cs="Times New Roman"/>
          <w:szCs w:val="22"/>
        </w:rPr>
      </w:pPr>
      <w:r>
        <w:rPr>
          <w:rFonts w:cs="Times New Roman"/>
          <w:szCs w:val="22"/>
        </w:rPr>
        <w:t>According to records of the County Assessor available for the 202</w:t>
      </w:r>
      <w:r w:rsidR="00556BBC">
        <w:rPr>
          <w:rFonts w:cs="Times New Roman"/>
          <w:szCs w:val="22"/>
        </w:rPr>
        <w:t>5</w:t>
      </w:r>
      <w:r>
        <w:rPr>
          <w:rFonts w:cs="Times New Roman"/>
          <w:szCs w:val="22"/>
        </w:rPr>
        <w:t xml:space="preserve"> taxable year, property within the District has an estimated market value of $</w:t>
      </w:r>
      <w:r>
        <w:t>[_______]</w:t>
      </w:r>
      <w:r>
        <w:rPr>
          <w:rFonts w:cs="Times New Roman"/>
          <w:szCs w:val="22"/>
        </w:rPr>
        <w:t xml:space="preserve">, with no property subject to a Greenbelt Reduction or a Residential Exemption. </w:t>
      </w:r>
      <w:r w:rsidR="00556BBC">
        <w:rPr>
          <w:rFonts w:cs="Times New Roman"/>
          <w:szCs w:val="22"/>
        </w:rPr>
        <w:t>[</w:t>
      </w:r>
      <w:r>
        <w:rPr>
          <w:rFonts w:cs="Times New Roman"/>
          <w:szCs w:val="22"/>
        </w:rPr>
        <w:t xml:space="preserve">The District includes parcels totaling roughly </w:t>
      </w:r>
      <w:r w:rsidR="00556BBC">
        <w:rPr>
          <w:rFonts w:cs="Times New Roman"/>
          <w:szCs w:val="22"/>
        </w:rPr>
        <w:t>[___]</w:t>
      </w:r>
      <w:r>
        <w:rPr>
          <w:rFonts w:cs="Times New Roman"/>
          <w:szCs w:val="22"/>
        </w:rPr>
        <w:t xml:space="preserve"> acres, some of which are only partially located within the District. The total acreage of parcels fully within the District is approximately </w:t>
      </w:r>
      <w:r w:rsidR="00E97FDD">
        <w:rPr>
          <w:rFonts w:cs="Times New Roman"/>
          <w:szCs w:val="22"/>
        </w:rPr>
        <w:t>135</w:t>
      </w:r>
      <w:r w:rsidR="002105E6">
        <w:rPr>
          <w:rFonts w:cs="Times New Roman"/>
          <w:szCs w:val="22"/>
        </w:rPr>
        <w:t xml:space="preserve"> acre</w:t>
      </w:r>
      <w:r>
        <w:rPr>
          <w:rFonts w:cs="Times New Roman"/>
          <w:szCs w:val="22"/>
        </w:rPr>
        <w:t>s, which, based on a weighted average of values of the parcels within the District, are valued at approximately $</w:t>
      </w:r>
      <w:r>
        <w:t>[_______]</w:t>
      </w:r>
      <w:r w:rsidR="00556BBC">
        <w:t>]</w:t>
      </w:r>
      <w:r>
        <w:t>.</w:t>
      </w:r>
      <w:r>
        <w:rPr>
          <w:rFonts w:cs="Times New Roman"/>
          <w:szCs w:val="22"/>
        </w:rPr>
        <w:t xml:space="preserve"> The District has not previously imposed an ad valorem property tax levy; as a result, there is no property tax levy or collection information available.</w:t>
      </w:r>
    </w:p>
    <w:p w14:paraId="2F9D9A3C" w14:textId="77777777" w:rsidR="007E27D3" w:rsidRDefault="007E27D3" w:rsidP="007E27D3">
      <w:pPr>
        <w:jc w:val="center"/>
        <w:rPr>
          <w:rFonts w:cs="Times New Roman"/>
          <w:sz w:val="22"/>
          <w:szCs w:val="22"/>
        </w:rPr>
      </w:pPr>
    </w:p>
    <w:p w14:paraId="781480C4" w14:textId="459CE8D9" w:rsidR="007E27D3" w:rsidRPr="00DA2177" w:rsidRDefault="007E27D3" w:rsidP="007E27D3">
      <w:pPr>
        <w:jc w:val="center"/>
        <w:rPr>
          <w:rFonts w:cs="Times New Roman"/>
          <w:sz w:val="22"/>
          <w:szCs w:val="22"/>
        </w:rPr>
      </w:pPr>
      <w:r>
        <w:rPr>
          <w:rFonts w:cs="Times New Roman"/>
          <w:sz w:val="22"/>
          <w:szCs w:val="22"/>
        </w:rPr>
        <w:t>(The remainder of this page intentionally left blank.)</w:t>
      </w:r>
    </w:p>
    <w:p w14:paraId="5FDBDDA8" w14:textId="77777777" w:rsidR="007E27D3" w:rsidRPr="00927A5E" w:rsidRDefault="007E27D3" w:rsidP="00927A5E">
      <w:pPr>
        <w:pStyle w:val="00BodyText5"/>
        <w:rPr>
          <w:rFonts w:cs="Times New Roman"/>
          <w:szCs w:val="22"/>
        </w:rPr>
      </w:pPr>
    </w:p>
    <w:p w14:paraId="6A0942DC" w14:textId="77777777" w:rsidR="00745709" w:rsidRPr="0034729F" w:rsidRDefault="00745709" w:rsidP="00745709">
      <w:pPr>
        <w:pStyle w:val="00BodyText5"/>
        <w:keepNext/>
        <w:keepLines/>
        <w:rPr>
          <w:rFonts w:cs="Times New Roman"/>
          <w:szCs w:val="22"/>
        </w:rPr>
      </w:pPr>
      <w:r w:rsidRPr="0034729F">
        <w:rPr>
          <w:rFonts w:cs="Times New Roman"/>
          <w:b/>
          <w:i/>
          <w:szCs w:val="22"/>
        </w:rPr>
        <w:t>Overlapping Mill Levies</w:t>
      </w:r>
      <w:r w:rsidRPr="0034729F">
        <w:rPr>
          <w:rFonts w:cs="Times New Roman"/>
          <w:szCs w:val="22"/>
        </w:rPr>
        <w:t xml:space="preserve">. There are currently [twelve (12)] taxing entities which overlap all or a portion of the District boundaries which imposed mill levies in 2025. The table below shows the property tax levy of each of the overlapping taxing entities plus the Senior Required Mill Levy and Subordinate Required Mill levy and the total property tax levy in the District. Additional taxing entities may overlap the District in the future. </w:t>
      </w:r>
    </w:p>
    <w:tbl>
      <w:tblPr>
        <w:tblW w:w="0" w:type="auto"/>
        <w:jc w:val="center"/>
        <w:tblLayout w:type="fixed"/>
        <w:tblCellMar>
          <w:left w:w="120" w:type="dxa"/>
          <w:right w:w="120" w:type="dxa"/>
        </w:tblCellMar>
        <w:tblLook w:val="0000" w:firstRow="0" w:lastRow="0" w:firstColumn="0" w:lastColumn="0" w:noHBand="0" w:noVBand="0"/>
      </w:tblPr>
      <w:tblGrid>
        <w:gridCol w:w="4950"/>
        <w:gridCol w:w="2880"/>
      </w:tblGrid>
      <w:tr w:rsidR="00745709" w:rsidRPr="0034729F" w14:paraId="22CA24D7" w14:textId="77777777" w:rsidTr="00F7719D">
        <w:trPr>
          <w:jc w:val="center"/>
        </w:trPr>
        <w:tc>
          <w:tcPr>
            <w:tcW w:w="7830" w:type="dxa"/>
            <w:gridSpan w:val="2"/>
          </w:tcPr>
          <w:p w14:paraId="0056F38D" w14:textId="77777777" w:rsidR="00745709" w:rsidRPr="0034729F" w:rsidRDefault="00745709" w:rsidP="00F7719D">
            <w:pPr>
              <w:keepNext/>
              <w:keepLines/>
              <w:rPr>
                <w:rFonts w:eastAsia="Times New Roman" w:cs="Times New Roman"/>
                <w:b/>
                <w:sz w:val="22"/>
                <w:szCs w:val="22"/>
              </w:rPr>
            </w:pPr>
            <w:r w:rsidRPr="0034729F">
              <w:rPr>
                <w:rFonts w:eastAsia="Times New Roman" w:cs="Times New Roman"/>
                <w:b/>
                <w:sz w:val="22"/>
                <w:szCs w:val="22"/>
              </w:rPr>
              <w:t>Total 2025 Property Tax Levy for the District</w:t>
            </w:r>
          </w:p>
        </w:tc>
      </w:tr>
      <w:tr w:rsidR="00745709" w:rsidRPr="0034729F" w14:paraId="36D2BE01" w14:textId="77777777" w:rsidTr="00F7719D">
        <w:trPr>
          <w:jc w:val="center"/>
        </w:trPr>
        <w:tc>
          <w:tcPr>
            <w:tcW w:w="4950" w:type="dxa"/>
          </w:tcPr>
          <w:p w14:paraId="3FF423EC" w14:textId="77777777" w:rsidR="00745709" w:rsidRPr="0034729F" w:rsidRDefault="00745709" w:rsidP="00F7719D">
            <w:pPr>
              <w:keepNext/>
              <w:keepLines/>
              <w:rPr>
                <w:rFonts w:eastAsia="Times New Roman" w:cs="Times New Roman"/>
                <w:b/>
                <w:sz w:val="22"/>
                <w:szCs w:val="22"/>
              </w:rPr>
            </w:pPr>
            <w:r w:rsidRPr="0034729F">
              <w:rPr>
                <w:rFonts w:eastAsia="Times New Roman" w:cs="Times New Roman"/>
                <w:b/>
                <w:sz w:val="22"/>
                <w:szCs w:val="22"/>
              </w:rPr>
              <w:t>Taxing Unit</w:t>
            </w:r>
          </w:p>
        </w:tc>
        <w:tc>
          <w:tcPr>
            <w:tcW w:w="2880" w:type="dxa"/>
          </w:tcPr>
          <w:p w14:paraId="1412F878" w14:textId="77777777" w:rsidR="00745709" w:rsidRPr="0034729F" w:rsidRDefault="00745709" w:rsidP="00F7719D">
            <w:pPr>
              <w:keepNext/>
              <w:keepLines/>
              <w:rPr>
                <w:rFonts w:eastAsia="Times New Roman" w:cs="Times New Roman"/>
                <w:b/>
                <w:sz w:val="22"/>
                <w:szCs w:val="22"/>
                <w:vertAlign w:val="superscript"/>
              </w:rPr>
            </w:pPr>
            <w:r w:rsidRPr="0034729F">
              <w:rPr>
                <w:rFonts w:eastAsia="Times New Roman" w:cs="Times New Roman"/>
                <w:b/>
                <w:sz w:val="22"/>
                <w:szCs w:val="22"/>
              </w:rPr>
              <w:t>2025 Tax Rate</w:t>
            </w:r>
            <w:r w:rsidRPr="0034729F">
              <w:rPr>
                <w:rFonts w:eastAsia="Times New Roman" w:cs="Times New Roman"/>
                <w:b/>
                <w:sz w:val="22"/>
                <w:szCs w:val="22"/>
                <w:vertAlign w:val="superscript"/>
              </w:rPr>
              <w:t>1</w:t>
            </w:r>
          </w:p>
        </w:tc>
      </w:tr>
      <w:tr w:rsidR="00745709" w:rsidRPr="0034729F" w14:paraId="7095466A" w14:textId="77777777" w:rsidTr="00F7719D">
        <w:trPr>
          <w:jc w:val="center"/>
        </w:trPr>
        <w:tc>
          <w:tcPr>
            <w:tcW w:w="4950" w:type="dxa"/>
            <w:vAlign w:val="bottom"/>
          </w:tcPr>
          <w:p w14:paraId="4DCFFEDC"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Salt Lake County</w:t>
            </w:r>
          </w:p>
        </w:tc>
        <w:tc>
          <w:tcPr>
            <w:tcW w:w="2880" w:type="dxa"/>
          </w:tcPr>
          <w:p w14:paraId="3F71173D"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0.001403</w:t>
            </w:r>
          </w:p>
        </w:tc>
      </w:tr>
      <w:tr w:rsidR="00745709" w:rsidRPr="0034729F" w14:paraId="5FB8060E" w14:textId="77777777" w:rsidTr="00F7719D">
        <w:trPr>
          <w:jc w:val="center"/>
        </w:trPr>
        <w:tc>
          <w:tcPr>
            <w:tcW w:w="4950" w:type="dxa"/>
            <w:vAlign w:val="bottom"/>
          </w:tcPr>
          <w:p w14:paraId="29BB46BF"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Jordan School District</w:t>
            </w:r>
          </w:p>
        </w:tc>
        <w:tc>
          <w:tcPr>
            <w:tcW w:w="2880" w:type="dxa"/>
          </w:tcPr>
          <w:p w14:paraId="1095D924"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0.005098</w:t>
            </w:r>
          </w:p>
        </w:tc>
      </w:tr>
      <w:tr w:rsidR="00745709" w:rsidRPr="0034729F" w14:paraId="10E041AE" w14:textId="77777777" w:rsidTr="00F7719D">
        <w:trPr>
          <w:jc w:val="center"/>
        </w:trPr>
        <w:tc>
          <w:tcPr>
            <w:tcW w:w="4950" w:type="dxa"/>
            <w:vAlign w:val="bottom"/>
          </w:tcPr>
          <w:p w14:paraId="31CD27F8"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Herriman City</w:t>
            </w:r>
          </w:p>
        </w:tc>
        <w:tc>
          <w:tcPr>
            <w:tcW w:w="2880" w:type="dxa"/>
          </w:tcPr>
          <w:p w14:paraId="2683299D"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0.00018</w:t>
            </w:r>
          </w:p>
        </w:tc>
      </w:tr>
      <w:tr w:rsidR="00745709" w:rsidRPr="0034729F" w14:paraId="40140D9F" w14:textId="77777777" w:rsidTr="00F7719D">
        <w:trPr>
          <w:jc w:val="center"/>
        </w:trPr>
        <w:tc>
          <w:tcPr>
            <w:tcW w:w="4950" w:type="dxa"/>
            <w:vAlign w:val="bottom"/>
          </w:tcPr>
          <w:p w14:paraId="06447B4B"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South Salt Lake Valley Mosquito Abatement District</w:t>
            </w:r>
          </w:p>
        </w:tc>
        <w:tc>
          <w:tcPr>
            <w:tcW w:w="2880" w:type="dxa"/>
          </w:tcPr>
          <w:p w14:paraId="0C3A9FE0"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0.000008</w:t>
            </w:r>
          </w:p>
        </w:tc>
      </w:tr>
      <w:tr w:rsidR="00745709" w:rsidRPr="0034729F" w14:paraId="6B55D278" w14:textId="77777777" w:rsidTr="00F7719D">
        <w:trPr>
          <w:jc w:val="center"/>
        </w:trPr>
        <w:tc>
          <w:tcPr>
            <w:tcW w:w="4950" w:type="dxa"/>
            <w:vAlign w:val="bottom"/>
          </w:tcPr>
          <w:p w14:paraId="5C5B5DE8"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Jordan Valley Water Conservancy District</w:t>
            </w:r>
          </w:p>
        </w:tc>
        <w:tc>
          <w:tcPr>
            <w:tcW w:w="2880" w:type="dxa"/>
          </w:tcPr>
          <w:p w14:paraId="382E829F"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0.00034</w:t>
            </w:r>
          </w:p>
        </w:tc>
      </w:tr>
      <w:tr w:rsidR="00745709" w:rsidRPr="0034729F" w14:paraId="05A8B86F" w14:textId="77777777" w:rsidTr="00F7719D">
        <w:trPr>
          <w:jc w:val="center"/>
        </w:trPr>
        <w:tc>
          <w:tcPr>
            <w:tcW w:w="4950" w:type="dxa"/>
            <w:vAlign w:val="bottom"/>
          </w:tcPr>
          <w:p w14:paraId="56783516"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Jordan Basin Improvement District</w:t>
            </w:r>
            <w:r w:rsidRPr="0034729F">
              <w:rPr>
                <w:rFonts w:eastAsia="Times New Roman" w:cs="Times New Roman"/>
                <w:sz w:val="22"/>
                <w:szCs w:val="22"/>
                <w:vertAlign w:val="superscript"/>
              </w:rPr>
              <w:t>2</w:t>
            </w:r>
          </w:p>
        </w:tc>
        <w:tc>
          <w:tcPr>
            <w:tcW w:w="2880" w:type="dxa"/>
          </w:tcPr>
          <w:p w14:paraId="5C99719F"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0.00018</w:t>
            </w:r>
          </w:p>
        </w:tc>
      </w:tr>
      <w:tr w:rsidR="00745709" w:rsidRPr="0034729F" w14:paraId="698A1ABA" w14:textId="77777777" w:rsidTr="00F7719D">
        <w:trPr>
          <w:jc w:val="center"/>
        </w:trPr>
        <w:tc>
          <w:tcPr>
            <w:tcW w:w="4950" w:type="dxa"/>
            <w:vAlign w:val="bottom"/>
          </w:tcPr>
          <w:p w14:paraId="34B81B5E"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Central Utah Water Conservancy District</w:t>
            </w:r>
          </w:p>
        </w:tc>
        <w:tc>
          <w:tcPr>
            <w:tcW w:w="2880" w:type="dxa"/>
          </w:tcPr>
          <w:p w14:paraId="15FEC2F6"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0.0004</w:t>
            </w:r>
          </w:p>
        </w:tc>
      </w:tr>
      <w:tr w:rsidR="00745709" w:rsidRPr="0034729F" w14:paraId="09929CE2" w14:textId="77777777" w:rsidTr="00F7719D">
        <w:trPr>
          <w:jc w:val="center"/>
        </w:trPr>
        <w:tc>
          <w:tcPr>
            <w:tcW w:w="4950" w:type="dxa"/>
            <w:vAlign w:val="bottom"/>
          </w:tcPr>
          <w:p w14:paraId="723036B9"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Herriman City Fire Service Area</w:t>
            </w:r>
          </w:p>
        </w:tc>
        <w:tc>
          <w:tcPr>
            <w:tcW w:w="2880" w:type="dxa"/>
          </w:tcPr>
          <w:p w14:paraId="3EB0394A"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0.00144</w:t>
            </w:r>
          </w:p>
        </w:tc>
      </w:tr>
      <w:tr w:rsidR="00745709" w:rsidRPr="0034729F" w14:paraId="55D10849" w14:textId="77777777" w:rsidTr="00F7719D">
        <w:trPr>
          <w:jc w:val="center"/>
        </w:trPr>
        <w:tc>
          <w:tcPr>
            <w:tcW w:w="4950" w:type="dxa"/>
            <w:vAlign w:val="bottom"/>
          </w:tcPr>
          <w:p w14:paraId="58994B23"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Herriman City Safety Enforcement Area</w:t>
            </w:r>
          </w:p>
        </w:tc>
        <w:tc>
          <w:tcPr>
            <w:tcW w:w="2880" w:type="dxa"/>
          </w:tcPr>
          <w:p w14:paraId="0BE47108"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0.001352</w:t>
            </w:r>
          </w:p>
        </w:tc>
      </w:tr>
      <w:tr w:rsidR="00745709" w:rsidRPr="0034729F" w14:paraId="0B57F517" w14:textId="77777777" w:rsidTr="00F7719D">
        <w:trPr>
          <w:jc w:val="center"/>
        </w:trPr>
        <w:tc>
          <w:tcPr>
            <w:tcW w:w="4950" w:type="dxa"/>
            <w:vAlign w:val="bottom"/>
          </w:tcPr>
          <w:p w14:paraId="4F37C431"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Salt Lake County Library</w:t>
            </w:r>
          </w:p>
        </w:tc>
        <w:tc>
          <w:tcPr>
            <w:tcW w:w="2880" w:type="dxa"/>
          </w:tcPr>
          <w:p w14:paraId="296E6651" w14:textId="77777777" w:rsidR="00745709" w:rsidRPr="0034729F" w:rsidRDefault="00745709" w:rsidP="00F7719D">
            <w:pPr>
              <w:keepNext/>
              <w:keepLines/>
              <w:tabs>
                <w:tab w:val="decimal" w:pos="513"/>
              </w:tabs>
              <w:ind w:firstLine="240"/>
              <w:rPr>
                <w:rFonts w:eastAsia="Times New Roman" w:cs="Times New Roman"/>
                <w:sz w:val="22"/>
                <w:szCs w:val="22"/>
                <w:u w:val="single"/>
              </w:rPr>
            </w:pPr>
            <w:r w:rsidRPr="0034729F">
              <w:rPr>
                <w:sz w:val="22"/>
                <w:szCs w:val="22"/>
              </w:rPr>
              <w:t>0.000425</w:t>
            </w:r>
          </w:p>
        </w:tc>
      </w:tr>
      <w:tr w:rsidR="00745709" w:rsidRPr="0034729F" w14:paraId="0081D7EA" w14:textId="77777777" w:rsidTr="00F7719D">
        <w:trPr>
          <w:jc w:val="center"/>
        </w:trPr>
        <w:tc>
          <w:tcPr>
            <w:tcW w:w="4950" w:type="dxa"/>
            <w:vAlign w:val="bottom"/>
          </w:tcPr>
          <w:p w14:paraId="486227A8"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Multicounty Assessing &amp; Collecting Levy</w:t>
            </w:r>
          </w:p>
        </w:tc>
        <w:tc>
          <w:tcPr>
            <w:tcW w:w="2880" w:type="dxa"/>
          </w:tcPr>
          <w:p w14:paraId="789829A0"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0.000014</w:t>
            </w:r>
          </w:p>
        </w:tc>
      </w:tr>
      <w:tr w:rsidR="00745709" w:rsidRPr="0034729F" w14:paraId="0AE93FAC" w14:textId="77777777" w:rsidTr="00F7719D">
        <w:trPr>
          <w:jc w:val="center"/>
        </w:trPr>
        <w:tc>
          <w:tcPr>
            <w:tcW w:w="4950" w:type="dxa"/>
            <w:vAlign w:val="bottom"/>
          </w:tcPr>
          <w:p w14:paraId="1044D7FE"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County Assessing &amp; Collecting Levy</w:t>
            </w:r>
          </w:p>
        </w:tc>
        <w:tc>
          <w:tcPr>
            <w:tcW w:w="2880" w:type="dxa"/>
          </w:tcPr>
          <w:p w14:paraId="3C1EF6A7"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sz w:val="22"/>
                <w:szCs w:val="22"/>
              </w:rPr>
              <w:t>0.000136</w:t>
            </w:r>
          </w:p>
        </w:tc>
      </w:tr>
      <w:tr w:rsidR="00745709" w:rsidRPr="0034729F" w14:paraId="0CF9143B" w14:textId="77777777" w:rsidTr="00F7719D">
        <w:trPr>
          <w:jc w:val="center"/>
        </w:trPr>
        <w:tc>
          <w:tcPr>
            <w:tcW w:w="4950" w:type="dxa"/>
          </w:tcPr>
          <w:p w14:paraId="313C60EF"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Total Sample Overlapping Property Tax Levy</w:t>
            </w:r>
          </w:p>
        </w:tc>
        <w:tc>
          <w:tcPr>
            <w:tcW w:w="2880" w:type="dxa"/>
          </w:tcPr>
          <w:p w14:paraId="745F742F"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rFonts w:eastAsia="Times New Roman" w:cs="Times New Roman"/>
                <w:sz w:val="22"/>
                <w:szCs w:val="22"/>
                <w:u w:val="single"/>
              </w:rPr>
              <w:t>$0.010826</w:t>
            </w:r>
          </w:p>
        </w:tc>
      </w:tr>
      <w:tr w:rsidR="00745709" w:rsidRPr="0034729F" w14:paraId="456F5A92" w14:textId="77777777" w:rsidTr="00F7719D">
        <w:trPr>
          <w:jc w:val="center"/>
        </w:trPr>
        <w:tc>
          <w:tcPr>
            <w:tcW w:w="4950" w:type="dxa"/>
          </w:tcPr>
          <w:p w14:paraId="4A89D74D" w14:textId="77777777" w:rsidR="00745709" w:rsidRPr="0034729F" w:rsidRDefault="00745709" w:rsidP="00F7719D">
            <w:pPr>
              <w:keepNext/>
              <w:keepLines/>
              <w:rPr>
                <w:rFonts w:eastAsia="Times New Roman" w:cs="Times New Roman"/>
                <w:sz w:val="22"/>
                <w:szCs w:val="22"/>
              </w:rPr>
            </w:pPr>
          </w:p>
        </w:tc>
        <w:tc>
          <w:tcPr>
            <w:tcW w:w="2880" w:type="dxa"/>
          </w:tcPr>
          <w:p w14:paraId="251583D5" w14:textId="77777777" w:rsidR="00745709" w:rsidRPr="0034729F" w:rsidRDefault="00745709" w:rsidP="00F7719D">
            <w:pPr>
              <w:keepNext/>
              <w:keepLines/>
              <w:ind w:firstLine="240"/>
              <w:rPr>
                <w:rFonts w:eastAsia="Times New Roman" w:cs="Times New Roman"/>
                <w:sz w:val="22"/>
                <w:szCs w:val="22"/>
              </w:rPr>
            </w:pPr>
          </w:p>
        </w:tc>
      </w:tr>
      <w:tr w:rsidR="00745709" w:rsidRPr="0034729F" w14:paraId="0AFEE43D" w14:textId="77777777" w:rsidTr="00F7719D">
        <w:trPr>
          <w:jc w:val="center"/>
        </w:trPr>
        <w:tc>
          <w:tcPr>
            <w:tcW w:w="4950" w:type="dxa"/>
          </w:tcPr>
          <w:p w14:paraId="5BF264DC"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District</w:t>
            </w:r>
            <w:r w:rsidRPr="0034729F">
              <w:rPr>
                <w:rFonts w:eastAsia="Times New Roman" w:cs="Times New Roman"/>
                <w:sz w:val="22"/>
                <w:szCs w:val="22"/>
                <w:vertAlign w:val="superscript"/>
              </w:rPr>
              <w:t>2</w:t>
            </w:r>
          </w:p>
        </w:tc>
        <w:tc>
          <w:tcPr>
            <w:tcW w:w="2880" w:type="dxa"/>
          </w:tcPr>
          <w:p w14:paraId="7D14333F" w14:textId="77777777" w:rsidR="00745709" w:rsidRPr="0034729F" w:rsidRDefault="00745709" w:rsidP="00F7719D">
            <w:pPr>
              <w:keepNext/>
              <w:keepLines/>
              <w:tabs>
                <w:tab w:val="decimal" w:pos="513"/>
              </w:tabs>
              <w:ind w:firstLine="240"/>
              <w:rPr>
                <w:rFonts w:eastAsia="Times New Roman" w:cs="Times New Roman"/>
                <w:sz w:val="22"/>
                <w:szCs w:val="22"/>
                <w:u w:val="single"/>
              </w:rPr>
            </w:pPr>
            <w:r w:rsidRPr="0034729F">
              <w:rPr>
                <w:rFonts w:eastAsia="Times New Roman" w:cs="Times New Roman"/>
                <w:sz w:val="22"/>
                <w:szCs w:val="22"/>
                <w:u w:val="single"/>
              </w:rPr>
              <w:t>$0.004000</w:t>
            </w:r>
          </w:p>
        </w:tc>
      </w:tr>
      <w:tr w:rsidR="00745709" w:rsidRPr="0034729F" w14:paraId="407CDA3F" w14:textId="77777777" w:rsidTr="00F7719D">
        <w:trPr>
          <w:jc w:val="center"/>
        </w:trPr>
        <w:tc>
          <w:tcPr>
            <w:tcW w:w="4950" w:type="dxa"/>
          </w:tcPr>
          <w:p w14:paraId="6F869E72" w14:textId="77777777" w:rsidR="00745709" w:rsidRPr="0034729F" w:rsidRDefault="00745709" w:rsidP="00F7719D">
            <w:pPr>
              <w:keepNext/>
              <w:keepLines/>
              <w:rPr>
                <w:rFonts w:eastAsia="Times New Roman" w:cs="Times New Roman"/>
                <w:sz w:val="22"/>
                <w:szCs w:val="22"/>
              </w:rPr>
            </w:pPr>
            <w:r w:rsidRPr="0034729F">
              <w:rPr>
                <w:rFonts w:eastAsia="Times New Roman" w:cs="Times New Roman"/>
                <w:sz w:val="22"/>
                <w:szCs w:val="22"/>
              </w:rPr>
              <w:t>Total Property Tax Levy</w:t>
            </w:r>
            <w:r w:rsidRPr="0034729F">
              <w:rPr>
                <w:rFonts w:eastAsia="Times New Roman" w:cs="Times New Roman"/>
                <w:sz w:val="22"/>
                <w:szCs w:val="22"/>
                <w:vertAlign w:val="superscript"/>
              </w:rPr>
              <w:t>2</w:t>
            </w:r>
          </w:p>
        </w:tc>
        <w:tc>
          <w:tcPr>
            <w:tcW w:w="2880" w:type="dxa"/>
          </w:tcPr>
          <w:p w14:paraId="1A7974A7" w14:textId="77777777" w:rsidR="00745709" w:rsidRPr="0034729F" w:rsidRDefault="00745709" w:rsidP="00F7719D">
            <w:pPr>
              <w:keepNext/>
              <w:keepLines/>
              <w:tabs>
                <w:tab w:val="decimal" w:pos="513"/>
              </w:tabs>
              <w:ind w:firstLine="240"/>
              <w:rPr>
                <w:rFonts w:eastAsia="Times New Roman" w:cs="Times New Roman"/>
                <w:sz w:val="22"/>
                <w:szCs w:val="22"/>
              </w:rPr>
            </w:pPr>
            <w:r w:rsidRPr="0034729F">
              <w:rPr>
                <w:rFonts w:eastAsia="Times New Roman" w:cs="Times New Roman"/>
                <w:sz w:val="22"/>
                <w:szCs w:val="22"/>
              </w:rPr>
              <w:t>$0.014826</w:t>
            </w:r>
          </w:p>
        </w:tc>
      </w:tr>
    </w:tbl>
    <w:p w14:paraId="2CA55D05" w14:textId="272B90DD" w:rsidR="00566933" w:rsidRPr="00DA2177" w:rsidRDefault="00566933" w:rsidP="001A409C">
      <w:pPr>
        <w:pStyle w:val="00BodyText5"/>
        <w:keepNext/>
        <w:keepLines/>
        <w:rPr>
          <w:rFonts w:cs="Times New Roman"/>
          <w:szCs w:val="22"/>
        </w:rPr>
      </w:pPr>
      <w:r>
        <w:rPr>
          <w:rFonts w:cs="Times New Roman"/>
          <w:szCs w:val="22"/>
        </w:rPr>
        <w:t>_______________</w:t>
      </w:r>
    </w:p>
    <w:p w14:paraId="5EEE5A7D" w14:textId="2D07B4E2" w:rsidR="00566933" w:rsidRPr="005F6B23" w:rsidRDefault="00566933" w:rsidP="007E27D3">
      <w:pPr>
        <w:keepNext/>
        <w:keepLines/>
        <w:ind w:left="720" w:hanging="720"/>
        <w:jc w:val="both"/>
        <w:rPr>
          <w:rFonts w:cs="Times New Roman"/>
          <w:sz w:val="18"/>
          <w:szCs w:val="18"/>
        </w:rPr>
      </w:pPr>
      <w:r w:rsidRPr="005F6B23">
        <w:rPr>
          <w:rFonts w:cs="Times New Roman"/>
          <w:sz w:val="18"/>
          <w:szCs w:val="18"/>
        </w:rPr>
        <w:t>1</w:t>
      </w:r>
      <w:r w:rsidRPr="005F6B23">
        <w:rPr>
          <w:rFonts w:cs="Times New Roman"/>
          <w:sz w:val="18"/>
          <w:szCs w:val="18"/>
        </w:rPr>
        <w:tab/>
        <w:t>Tax rates are per dollar of taxable value. Levy rates are certified in 202</w:t>
      </w:r>
      <w:r w:rsidR="00556BBC" w:rsidRPr="005F6B23">
        <w:rPr>
          <w:rFonts w:cs="Times New Roman"/>
          <w:sz w:val="18"/>
          <w:szCs w:val="18"/>
        </w:rPr>
        <w:t>5</w:t>
      </w:r>
      <w:r w:rsidRPr="005F6B23">
        <w:rPr>
          <w:rFonts w:cs="Times New Roman"/>
          <w:sz w:val="18"/>
          <w:szCs w:val="18"/>
        </w:rPr>
        <w:t xml:space="preserve"> for the collection of ad valorem property taxes in 202</w:t>
      </w:r>
      <w:r w:rsidR="00556BBC" w:rsidRPr="005F6B23">
        <w:rPr>
          <w:rFonts w:cs="Times New Roman"/>
          <w:sz w:val="18"/>
          <w:szCs w:val="18"/>
        </w:rPr>
        <w:t>5</w:t>
      </w:r>
      <w:r w:rsidRPr="005F6B23">
        <w:rPr>
          <w:rFonts w:cs="Times New Roman"/>
          <w:sz w:val="18"/>
          <w:szCs w:val="18"/>
        </w:rPr>
        <w:t>.</w:t>
      </w:r>
    </w:p>
    <w:p w14:paraId="107ECC6A" w14:textId="783A79A6" w:rsidR="00D01D2A" w:rsidRPr="005F6B23" w:rsidRDefault="00D01D2A" w:rsidP="007E27D3">
      <w:pPr>
        <w:keepNext/>
        <w:keepLines/>
        <w:ind w:left="720" w:hanging="720"/>
        <w:jc w:val="both"/>
        <w:rPr>
          <w:rFonts w:cs="Times New Roman"/>
          <w:sz w:val="18"/>
          <w:szCs w:val="18"/>
        </w:rPr>
      </w:pPr>
      <w:r w:rsidRPr="005F6B23">
        <w:rPr>
          <w:rFonts w:cs="Times New Roman"/>
          <w:sz w:val="18"/>
          <w:szCs w:val="18"/>
        </w:rPr>
        <w:t>2</w:t>
      </w:r>
      <w:r w:rsidR="008804B0" w:rsidRPr="005F6B23">
        <w:rPr>
          <w:rFonts w:cs="Times New Roman"/>
          <w:sz w:val="18"/>
          <w:szCs w:val="18"/>
        </w:rPr>
        <w:tab/>
      </w:r>
      <w:r w:rsidRPr="005F6B23">
        <w:rPr>
          <w:rFonts w:cs="Times New Roman"/>
          <w:sz w:val="18"/>
          <w:szCs w:val="18"/>
        </w:rPr>
        <w:t>The District did not impose a property tax levy in 202</w:t>
      </w:r>
      <w:r w:rsidR="00556BBC" w:rsidRPr="005F6B23">
        <w:rPr>
          <w:rFonts w:cs="Times New Roman"/>
          <w:sz w:val="18"/>
          <w:szCs w:val="18"/>
        </w:rPr>
        <w:t>5</w:t>
      </w:r>
      <w:r w:rsidRPr="005F6B23">
        <w:rPr>
          <w:rFonts w:cs="Times New Roman"/>
          <w:sz w:val="18"/>
          <w:szCs w:val="18"/>
        </w:rPr>
        <w:t xml:space="preserve"> and will not impose the </w:t>
      </w:r>
      <w:r w:rsidR="000F65D0" w:rsidRPr="005F6B23">
        <w:rPr>
          <w:rFonts w:cs="Times New Roman"/>
          <w:sz w:val="18"/>
          <w:szCs w:val="18"/>
        </w:rPr>
        <w:t xml:space="preserve">Senior </w:t>
      </w:r>
      <w:r w:rsidRPr="005F6B23">
        <w:rPr>
          <w:rFonts w:cs="Times New Roman"/>
          <w:sz w:val="18"/>
          <w:szCs w:val="18"/>
        </w:rPr>
        <w:t xml:space="preserve">Required Mill Levy </w:t>
      </w:r>
      <w:r w:rsidR="005F6B23" w:rsidRPr="005F6B23">
        <w:rPr>
          <w:rFonts w:cs="Times New Roman"/>
          <w:sz w:val="18"/>
          <w:szCs w:val="18"/>
        </w:rPr>
        <w:t xml:space="preserve">or the Subordinate Required Mill Levy </w:t>
      </w:r>
      <w:r w:rsidRPr="005F6B23">
        <w:rPr>
          <w:rFonts w:cs="Times New Roman"/>
          <w:sz w:val="18"/>
          <w:szCs w:val="18"/>
        </w:rPr>
        <w:t>until 202</w:t>
      </w:r>
      <w:r w:rsidR="00556BBC" w:rsidRPr="005F6B23">
        <w:rPr>
          <w:rFonts w:cs="Times New Roman"/>
          <w:sz w:val="18"/>
          <w:szCs w:val="18"/>
        </w:rPr>
        <w:t>7</w:t>
      </w:r>
      <w:r w:rsidRPr="005F6B23">
        <w:rPr>
          <w:rFonts w:cs="Times New Roman"/>
          <w:sz w:val="18"/>
          <w:szCs w:val="18"/>
        </w:rPr>
        <w:t>. The above total is for illustrative purposes only.</w:t>
      </w:r>
    </w:p>
    <w:p w14:paraId="1859268F" w14:textId="59781B3A" w:rsidR="002E23F5" w:rsidRPr="005F6B23" w:rsidRDefault="00566933" w:rsidP="007E27D3">
      <w:pPr>
        <w:keepNext/>
        <w:keepLines/>
        <w:jc w:val="both"/>
        <w:rPr>
          <w:rFonts w:cs="Times New Roman"/>
          <w:sz w:val="18"/>
          <w:szCs w:val="18"/>
        </w:rPr>
      </w:pPr>
      <w:r w:rsidRPr="005F6B23">
        <w:rPr>
          <w:rFonts w:cs="Times New Roman"/>
          <w:sz w:val="18"/>
          <w:szCs w:val="18"/>
        </w:rPr>
        <w:t>(Source: Utah State Tax Commission, Utah Property Tax Division.)</w:t>
      </w:r>
    </w:p>
    <w:p w14:paraId="6193E5D9" w14:textId="483327A1" w:rsidR="00566933" w:rsidRPr="00412AF2" w:rsidRDefault="00566933" w:rsidP="00566933">
      <w:pPr>
        <w:rPr>
          <w:rFonts w:cs="Times New Roman"/>
          <w:sz w:val="22"/>
          <w:szCs w:val="22"/>
        </w:rPr>
      </w:pPr>
    </w:p>
    <w:p w14:paraId="07E7846F" w14:textId="3AB0991C" w:rsidR="00D45630" w:rsidRPr="00412AF2" w:rsidRDefault="00D45630" w:rsidP="00D45630">
      <w:pPr>
        <w:pStyle w:val="Heading2"/>
        <w:rPr>
          <w:rFonts w:eastAsia="Times New Roman"/>
          <w:sz w:val="22"/>
          <w:szCs w:val="22"/>
        </w:rPr>
      </w:pPr>
      <w:bookmarkStart w:id="242" w:name="_Toc235521121"/>
      <w:r>
        <w:rPr>
          <w:rFonts w:eastAsia="Times New Roman"/>
          <w:sz w:val="22"/>
          <w:szCs w:val="22"/>
        </w:rPr>
        <w:t>Uniform Fees</w:t>
      </w:r>
      <w:bookmarkEnd w:id="242"/>
    </w:p>
    <w:p w14:paraId="03F2FA56" w14:textId="1EF58F9C" w:rsidR="00D45630" w:rsidRPr="00DA2177" w:rsidRDefault="00D45630" w:rsidP="00D45630">
      <w:pPr>
        <w:pStyle w:val="00BodyText5"/>
        <w:rPr>
          <w:rFonts w:cs="Times New Roman"/>
          <w:szCs w:val="22"/>
        </w:rPr>
      </w:pPr>
      <w:r>
        <w:rPr>
          <w:rFonts w:cs="Times New Roman"/>
          <w:szCs w:val="22"/>
        </w:rPr>
        <w:t xml:space="preserve">An annual statewide uniform fee is levied on tangible personal property in lieu of the ad valorem tax. The uniform fee is 1.5% of the fair market value of motor vehicles that weigh 12,001 pounds or more, watercraft, recreational vehicles and all other tangible personal property required to be registered with the State, excluding exempt property such as aircraft and property subject to a fixed age-based fee. Motor vehicles weighing 12,000 pounds or less and certain other vehicles are subject to an age-based fee that is due each time the vehicle is registered. The revenues collected from the various uniform fees are distributed by the county to the taxing entity in which the property is located in the same proportion in which revenue collected from ad valorem real property is distributed. </w:t>
      </w:r>
    </w:p>
    <w:p w14:paraId="596E0454" w14:textId="77777777" w:rsidR="00592EB6" w:rsidRPr="00DA2177" w:rsidRDefault="00592EB6" w:rsidP="00592EB6">
      <w:pPr>
        <w:pStyle w:val="00BodyText5"/>
        <w:rPr>
          <w:rFonts w:cs="Times New Roman"/>
          <w:szCs w:val="22"/>
        </w:rPr>
      </w:pPr>
      <w:r w:rsidRPr="00DA2177">
        <w:rPr>
          <w:rFonts w:cs="Times New Roman"/>
          <w:szCs w:val="22"/>
        </w:rPr>
        <w:t xml:space="preserve">Any uniform fees received by the District from the imposition of the Senior Required Mill Levy and the Subordinate Required Mill levy are included as Senior Property Tax Revenues and Subordinate Property Tax Revenues, respectively. </w:t>
      </w:r>
    </w:p>
    <w:p w14:paraId="43D2898D" w14:textId="3307B426" w:rsidR="0075493D" w:rsidRPr="00DA2177" w:rsidRDefault="00E76462" w:rsidP="002E23F5">
      <w:pPr>
        <w:pStyle w:val="Heading2"/>
        <w:rPr>
          <w:rFonts w:eastAsia="Times New Roman"/>
          <w:sz w:val="22"/>
          <w:szCs w:val="22"/>
        </w:rPr>
      </w:pPr>
      <w:bookmarkStart w:id="243" w:name="_Toc235521122"/>
      <w:r>
        <w:rPr>
          <w:rFonts w:eastAsia="Times New Roman"/>
          <w:sz w:val="22"/>
          <w:szCs w:val="22"/>
        </w:rPr>
        <w:t>Funding of Administration; Other Revenue Sources</w:t>
      </w:r>
      <w:bookmarkEnd w:id="243"/>
    </w:p>
    <w:p w14:paraId="6C16C157" w14:textId="7D8A0CD9" w:rsidR="007E2570" w:rsidRDefault="00F934D0" w:rsidP="007E2570">
      <w:pPr>
        <w:pStyle w:val="00BodyText5"/>
        <w:rPr>
          <w:rFonts w:cs="Times New Roman"/>
          <w:szCs w:val="22"/>
        </w:rPr>
      </w:pPr>
      <w:r>
        <w:rPr>
          <w:rFonts w:cs="Times New Roman"/>
          <w:szCs w:val="22"/>
        </w:rPr>
        <w:t xml:space="preserve">Administrative Expenses of the District are paid from </w:t>
      </w:r>
      <w:r w:rsidR="000F65D0">
        <w:rPr>
          <w:rFonts w:cs="Times New Roman"/>
          <w:szCs w:val="22"/>
        </w:rPr>
        <w:t xml:space="preserve">Senior </w:t>
      </w:r>
      <w:r>
        <w:rPr>
          <w:rFonts w:cs="Times New Roman"/>
          <w:szCs w:val="22"/>
        </w:rPr>
        <w:t>LT Pledged Revenue</w:t>
      </w:r>
      <w:r w:rsidR="00592EB6">
        <w:rPr>
          <w:rFonts w:cs="Times New Roman"/>
          <w:szCs w:val="22"/>
        </w:rPr>
        <w:t xml:space="preserve"> and Subordinate LT Pledged Revenue</w:t>
      </w:r>
      <w:r>
        <w:rPr>
          <w:rFonts w:cs="Times New Roman"/>
          <w:szCs w:val="22"/>
        </w:rPr>
        <w:t xml:space="preserve"> prior to application thereof for any other purpose. The LT Indenture</w:t>
      </w:r>
      <w:r w:rsidR="00592EB6">
        <w:rPr>
          <w:rFonts w:cs="Times New Roman"/>
          <w:szCs w:val="22"/>
        </w:rPr>
        <w:t>s</w:t>
      </w:r>
      <w:r>
        <w:rPr>
          <w:rFonts w:cs="Times New Roman"/>
          <w:szCs w:val="22"/>
        </w:rPr>
        <w:t xml:space="preserve"> define “</w:t>
      </w:r>
      <w:r>
        <w:rPr>
          <w:rFonts w:cs="Times New Roman"/>
          <w:b/>
          <w:bCs/>
          <w:szCs w:val="22"/>
        </w:rPr>
        <w:t>Administrative Expenses</w:t>
      </w:r>
      <w:r>
        <w:rPr>
          <w:rFonts w:cs="Times New Roman"/>
          <w:szCs w:val="22"/>
        </w:rPr>
        <w:t xml:space="preserve">” as </w:t>
      </w:r>
      <w:bookmarkStart w:id="244" w:name="_Hlk45722589"/>
      <w:r>
        <w:rPr>
          <w:rFonts w:cs="Times New Roman"/>
          <w:szCs w:val="22"/>
        </w:rPr>
        <w:t xml:space="preserve">an amount reasonably determined by the District as being necessary to pay the District’s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2026, the amount of $50,000, (ii) for each calendar year thereafter, an additional 2.0%; and (iii) in the event of a claim by a third party challenging (A) the creation or existence of the District; (B) the </w:t>
      </w:r>
      <w:r w:rsidR="00787226">
        <w:rPr>
          <w:rFonts w:cs="Times New Roman"/>
          <w:szCs w:val="22"/>
        </w:rPr>
        <w:t>2026A-1 Senior LT Bond</w:t>
      </w:r>
      <w:r>
        <w:rPr>
          <w:rFonts w:cs="Times New Roman"/>
          <w:szCs w:val="22"/>
        </w:rPr>
        <w:t>s, any Parity Bonds, any Subordinate LT Obligations, or any bonds secured by Contract Fees (including the 2026A-2 Special Revenue Bonds); and (C) the District’s ability to perform its obligations under the LT Indenture</w:t>
      </w:r>
      <w:r w:rsidR="00592EB6">
        <w:rPr>
          <w:rFonts w:cs="Times New Roman"/>
          <w:szCs w:val="22"/>
        </w:rPr>
        <w:t>s</w:t>
      </w:r>
      <w:r>
        <w:rPr>
          <w:rFonts w:cs="Times New Roman"/>
          <w:szCs w:val="22"/>
        </w:rPr>
        <w:t xml:space="preserve"> or any resolution, indenture, or other document relating to the issuance of LT Parity Bonds, Subordinate LT Obligations, or Junior Lien LT Obligations</w:t>
      </w:r>
      <w:r w:rsidR="00B67E34">
        <w:rPr>
          <w:rFonts w:cs="Times New Roman"/>
          <w:szCs w:val="22"/>
        </w:rPr>
        <w:t>, or any bond secured by Contract Fees (</w:t>
      </w:r>
      <w:r w:rsidR="00B67E34" w:rsidRPr="00B67E34">
        <w:rPr>
          <w:rFonts w:cs="Times New Roman"/>
          <w:szCs w:val="22"/>
        </w:rPr>
        <w:t>including the 2026A-2 SR Bonds</w:t>
      </w:r>
      <w:r w:rsidR="00B67E34">
        <w:rPr>
          <w:rFonts w:cs="Times New Roman"/>
          <w:szCs w:val="22"/>
        </w:rPr>
        <w:t>)</w:t>
      </w:r>
      <w:r>
        <w:rPr>
          <w:rFonts w:cs="Times New Roman"/>
          <w:szCs w:val="22"/>
        </w:rPr>
        <w:t>; the amount reasonably necessary to defend the District from such claim to the extent such amount exceeds the limit established (i) and (ii).</w:t>
      </w:r>
    </w:p>
    <w:p w14:paraId="02E52638" w14:textId="17E610CC" w:rsidR="00B4163C" w:rsidRPr="00DA2177" w:rsidRDefault="00F1796C" w:rsidP="00B4163C">
      <w:pPr>
        <w:pStyle w:val="00BodyText5"/>
        <w:rPr>
          <w:rFonts w:cs="Times New Roman"/>
          <w:szCs w:val="22"/>
        </w:rPr>
      </w:pPr>
      <w:r>
        <w:rPr>
          <w:rFonts w:cs="Times New Roman"/>
          <w:szCs w:val="22"/>
        </w:rPr>
        <w:t>Administrative Expenses of the District may also be paid from SR Pledged Revenue prior to application thereof for any other purpose, but solely to the extent there are no LT Pledged Revenues available to pay Administrative Expenses under the LT Indenture</w:t>
      </w:r>
      <w:r w:rsidR="001A36F6">
        <w:rPr>
          <w:rFonts w:cs="Times New Roman"/>
          <w:szCs w:val="22"/>
        </w:rPr>
        <w:t>s</w:t>
      </w:r>
      <w:r>
        <w:rPr>
          <w:rFonts w:cs="Times New Roman"/>
          <w:szCs w:val="22"/>
        </w:rPr>
        <w:t>. The SR Indenture defines “</w:t>
      </w:r>
      <w:r>
        <w:rPr>
          <w:rFonts w:cs="Times New Roman"/>
          <w:b/>
          <w:bCs/>
          <w:szCs w:val="22"/>
        </w:rPr>
        <w:t>Administrative Expenses</w:t>
      </w:r>
      <w:r>
        <w:rPr>
          <w:rFonts w:cs="Times New Roman"/>
          <w:szCs w:val="22"/>
        </w:rPr>
        <w:t xml:space="preserve">” as an amount reasonably determined by the District as being necessary to pay the District’s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2026, the amount of $50,000, (ii) for each calendar year thereafter, an additional 2.0%; and (iii) in the event of a claim by a third party challenging (A) the creation or existence of the District; (B) the </w:t>
      </w:r>
      <w:r w:rsidR="00787226">
        <w:rPr>
          <w:rFonts w:cs="Times New Roman"/>
          <w:szCs w:val="22"/>
        </w:rPr>
        <w:t>2026A-</w:t>
      </w:r>
      <w:r w:rsidR="00B67E34">
        <w:rPr>
          <w:rFonts w:cs="Times New Roman"/>
          <w:szCs w:val="22"/>
        </w:rPr>
        <w:t>2</w:t>
      </w:r>
      <w:r w:rsidR="00787226">
        <w:rPr>
          <w:rFonts w:cs="Times New Roman"/>
          <w:szCs w:val="22"/>
        </w:rPr>
        <w:t xml:space="preserve"> </w:t>
      </w:r>
      <w:r w:rsidR="007571D8">
        <w:rPr>
          <w:rFonts w:cs="Times New Roman"/>
          <w:szCs w:val="22"/>
        </w:rPr>
        <w:t>SR</w:t>
      </w:r>
      <w:r w:rsidR="00787226">
        <w:rPr>
          <w:rFonts w:cs="Times New Roman"/>
          <w:szCs w:val="22"/>
        </w:rPr>
        <w:t xml:space="preserve"> Bond</w:t>
      </w:r>
      <w:r>
        <w:rPr>
          <w:rFonts w:cs="Times New Roman"/>
          <w:szCs w:val="22"/>
        </w:rPr>
        <w:t xml:space="preserve">s, any </w:t>
      </w:r>
      <w:r w:rsidR="007571D8">
        <w:rPr>
          <w:rFonts w:cs="Times New Roman"/>
          <w:szCs w:val="22"/>
        </w:rPr>
        <w:t xml:space="preserve">SR </w:t>
      </w:r>
      <w:r>
        <w:rPr>
          <w:rFonts w:cs="Times New Roman"/>
          <w:szCs w:val="22"/>
        </w:rPr>
        <w:t xml:space="preserve">Parity Bonds, any Subordinate </w:t>
      </w:r>
      <w:r w:rsidR="007571D8">
        <w:rPr>
          <w:rFonts w:cs="Times New Roman"/>
          <w:szCs w:val="22"/>
        </w:rPr>
        <w:t>SR</w:t>
      </w:r>
      <w:r>
        <w:rPr>
          <w:rFonts w:cs="Times New Roman"/>
          <w:szCs w:val="22"/>
        </w:rPr>
        <w:t xml:space="preserve"> Obligations; and (C) the District’s ability to perform its obligations under the </w:t>
      </w:r>
      <w:r w:rsidR="007571D8">
        <w:rPr>
          <w:rFonts w:cs="Times New Roman"/>
          <w:szCs w:val="22"/>
        </w:rPr>
        <w:t>SR</w:t>
      </w:r>
      <w:r>
        <w:rPr>
          <w:rFonts w:cs="Times New Roman"/>
          <w:szCs w:val="22"/>
        </w:rPr>
        <w:t xml:space="preserve"> Indenture or any resolution, indenture, or other document relating to the issuance of </w:t>
      </w:r>
      <w:r w:rsidR="007571D8">
        <w:rPr>
          <w:rFonts w:cs="Times New Roman"/>
          <w:szCs w:val="22"/>
        </w:rPr>
        <w:t>SR</w:t>
      </w:r>
      <w:r>
        <w:rPr>
          <w:rFonts w:cs="Times New Roman"/>
          <w:szCs w:val="22"/>
        </w:rPr>
        <w:t xml:space="preserve"> Parity Bonds or Subordinate </w:t>
      </w:r>
      <w:r w:rsidR="007571D8">
        <w:rPr>
          <w:rFonts w:cs="Times New Roman"/>
          <w:szCs w:val="22"/>
        </w:rPr>
        <w:t>SR</w:t>
      </w:r>
      <w:r>
        <w:rPr>
          <w:rFonts w:cs="Times New Roman"/>
          <w:szCs w:val="22"/>
        </w:rPr>
        <w:t xml:space="preserve"> Obligations; the amount reasonably necessary to defend the District from such claim to the extent such amount exceeds the limit established (i) and (ii).</w:t>
      </w:r>
    </w:p>
    <w:bookmarkEnd w:id="244"/>
    <w:p w14:paraId="7DF834BE" w14:textId="50F4B00A" w:rsidR="00DF396B" w:rsidRPr="00DA2177" w:rsidRDefault="001A36F6" w:rsidP="00F934D0">
      <w:pPr>
        <w:pStyle w:val="00BodyText5"/>
        <w:rPr>
          <w:rFonts w:cs="Times New Roman"/>
          <w:szCs w:val="22"/>
        </w:rPr>
      </w:pPr>
      <w:r w:rsidRPr="00B96B68">
        <w:rPr>
          <w:rFonts w:eastAsia="Calibri" w:cs="Times New Roman"/>
          <w:bCs/>
          <w:szCs w:val="22"/>
        </w:rPr>
        <w:t>The District will utilize the LT Working Capital Fund to pay Administrative Expenses through [</w:t>
      </w:r>
      <w:r>
        <w:rPr>
          <w:rFonts w:eastAsia="Calibri" w:cs="Times New Roman"/>
          <w:bCs/>
          <w:szCs w:val="22"/>
        </w:rPr>
        <w:t>_____]</w:t>
      </w:r>
      <w:r w:rsidRPr="00B96B68">
        <w:rPr>
          <w:rFonts w:eastAsia="Calibri" w:cs="Times New Roman"/>
          <w:bCs/>
          <w:szCs w:val="22"/>
        </w:rPr>
        <w:t xml:space="preserve"> 1, 202[_].</w:t>
      </w:r>
      <w:r>
        <w:rPr>
          <w:rFonts w:eastAsia="Calibri" w:cs="Times New Roman"/>
          <w:bCs/>
          <w:szCs w:val="22"/>
        </w:rPr>
        <w:t xml:space="preserve"> </w:t>
      </w:r>
      <w:r w:rsidR="00F934D0">
        <w:rPr>
          <w:rFonts w:cs="Times New Roman"/>
          <w:szCs w:val="22"/>
        </w:rPr>
        <w:t>The District is also expected to receive certain advances from the Developer through December 31, 20</w:t>
      </w:r>
      <w:r>
        <w:rPr>
          <w:rFonts w:cs="Times New Roman"/>
          <w:szCs w:val="22"/>
        </w:rPr>
        <w:t>[__]</w:t>
      </w:r>
      <w:r w:rsidR="00F934D0">
        <w:rPr>
          <w:rFonts w:cs="Times New Roman"/>
          <w:szCs w:val="22"/>
        </w:rPr>
        <w:t xml:space="preserve"> in accordance with the Administration Funding Agreement that is anticipated to be executed with the Developer to fund Administrative Expenses. Other revenues available to the District for the funding of Administrative Expenses, as well as the payment of debt service, include interest and other earnings on investments (excluding earnings on funds held by the Trustee) and, to the extent not prohibited by other contractual obligations, fees allowed under the District’s Governing Document. See “RISK FACTORS—Limitation on Administrative Expenses,” “THE DISTRICT—Governing Document Authorizations and Limitations,” and “THE DISTRICT—Agreements and Resolutions—</w:t>
      </w:r>
      <w:r w:rsidR="00F934D0">
        <w:rPr>
          <w:rFonts w:cs="Times New Roman"/>
          <w:i/>
          <w:szCs w:val="22"/>
        </w:rPr>
        <w:t>Administration Funding Agreement</w:t>
      </w:r>
      <w:r w:rsidR="00F934D0">
        <w:rPr>
          <w:rFonts w:cs="Times New Roman"/>
          <w:iCs/>
          <w:szCs w:val="22"/>
        </w:rPr>
        <w:t>.</w:t>
      </w:r>
      <w:r w:rsidR="00F934D0">
        <w:rPr>
          <w:rFonts w:cs="Times New Roman"/>
          <w:szCs w:val="22"/>
        </w:rPr>
        <w:t>”</w:t>
      </w:r>
    </w:p>
    <w:p w14:paraId="694E5796" w14:textId="77777777" w:rsidR="002C67DE" w:rsidRPr="00DA2177" w:rsidRDefault="002C67DE" w:rsidP="002C67DE">
      <w:pPr>
        <w:pStyle w:val="00BodyText5"/>
        <w:rPr>
          <w:rFonts w:cs="Times New Roman"/>
          <w:szCs w:val="22"/>
        </w:rPr>
      </w:pPr>
      <w:r w:rsidRPr="00DA2177">
        <w:rPr>
          <w:rFonts w:cs="Times New Roman"/>
          <w:szCs w:val="22"/>
        </w:rPr>
        <w:t xml:space="preserve">The District may apply other legally available funds and revenues to the payment of debt service on the LT Bonds, and upon the application of such other funds and revenues, the property tax levy imposed for payment of the LT Bonds may, to that extent, be diminished, subject to the requirements of the applicable Required Mill Levy. However, the LT Bonds do not constitute a lien or encumbrance on such revenues. </w:t>
      </w:r>
    </w:p>
    <w:p w14:paraId="134FB7E6" w14:textId="3B667D39" w:rsidR="0075493D" w:rsidRPr="00DA2177" w:rsidRDefault="003904FF" w:rsidP="002E23F5">
      <w:pPr>
        <w:pStyle w:val="Heading2"/>
        <w:rPr>
          <w:rFonts w:eastAsia="Times New Roman"/>
          <w:sz w:val="22"/>
          <w:szCs w:val="22"/>
        </w:rPr>
      </w:pPr>
      <w:bookmarkStart w:id="245" w:name="_Toc235521123"/>
      <w:r>
        <w:rPr>
          <w:rFonts w:eastAsia="Times New Roman"/>
          <w:sz w:val="22"/>
          <w:szCs w:val="22"/>
        </w:rPr>
        <w:t>Financial Statements and District Funds</w:t>
      </w:r>
      <w:bookmarkEnd w:id="245"/>
    </w:p>
    <w:p w14:paraId="65DED87C" w14:textId="1D2FF4E2" w:rsidR="000C1C8B" w:rsidRPr="00DA2177" w:rsidRDefault="00E63F3D" w:rsidP="000C1C8B">
      <w:pPr>
        <w:pStyle w:val="00BodyText5"/>
        <w:rPr>
          <w:rFonts w:cs="Times New Roman"/>
          <w:szCs w:val="22"/>
        </w:rPr>
      </w:pPr>
      <w:r>
        <w:rPr>
          <w:rFonts w:cs="Times New Roman"/>
          <w:szCs w:val="22"/>
        </w:rPr>
        <w:t>Due to the District’s limited financial activity to date, no audited financial information is available for inclusion herein. In accordance with the Special District Act, the District is required to prepare an annual financial report in accordance with generally accepted accounting principles within 180 days after the close of each fiscal year. Such financial report is required to be audited by a competent certified public accountant if the District’s revenues or expenditures of all funds is $1,000,000 or more. Pursuant to the Indenture</w:t>
      </w:r>
      <w:r w:rsidR="002C67DE">
        <w:rPr>
          <w:rFonts w:cs="Times New Roman"/>
          <w:szCs w:val="22"/>
        </w:rPr>
        <w:t>s</w:t>
      </w:r>
      <w:r>
        <w:rPr>
          <w:rFonts w:cs="Times New Roman"/>
          <w:szCs w:val="22"/>
        </w:rPr>
        <w:t xml:space="preserve">, the District has covenanted to cause an annual audit to be performed each year commencing with fiscal year 2026 notwithstanding any state law audit exemptions that may be available. </w:t>
      </w:r>
    </w:p>
    <w:p w14:paraId="749B0753" w14:textId="625542A6" w:rsidR="005143F7" w:rsidRPr="00DA2177" w:rsidRDefault="005143F7" w:rsidP="000C1C8B">
      <w:pPr>
        <w:pStyle w:val="00BodyText5"/>
        <w:rPr>
          <w:rFonts w:cs="Times New Roman"/>
          <w:szCs w:val="22"/>
        </w:rPr>
      </w:pPr>
      <w:r>
        <w:rPr>
          <w:rFonts w:cs="Times New Roman"/>
          <w:szCs w:val="22"/>
        </w:rPr>
        <w:t xml:space="preserve">The District is to maintain, according to its accounting needs, some or all of the accounts prescribed in the Uniform Accounting Manual for Local and Special Districts. </w:t>
      </w:r>
      <w:r w:rsidRPr="00A83F38">
        <w:rPr>
          <w:rFonts w:cs="Times New Roman"/>
          <w:szCs w:val="22"/>
        </w:rPr>
        <w:t>The District has established or anticipates establishing three funds, the General Fund, the Debt Service Fund, and Capital Projects Fund.</w:t>
      </w:r>
      <w:r w:rsidR="00A83F38">
        <w:rPr>
          <w:rFonts w:cs="Times New Roman"/>
          <w:szCs w:val="22"/>
        </w:rPr>
        <w:t xml:space="preserve"> </w:t>
      </w:r>
      <w:r>
        <w:rPr>
          <w:rFonts w:cs="Times New Roman"/>
          <w:szCs w:val="22"/>
        </w:rPr>
        <w:t>The General Fund is the primary operating fund of the District and is used to account for all financial resources except those required to be accounted for in another fund, and to provide for transfers to the District. The Debt Service Fund accounts for the resources accumulated and payments made for proposed general obligation debt, and the Capital Projects Fund accounts for financial resources for the estimated infrastructure costs that are to be built for the benefit of the District.</w:t>
      </w:r>
    </w:p>
    <w:p w14:paraId="7F2D5F1F" w14:textId="77777777" w:rsidR="0075493D" w:rsidRPr="00DA2177" w:rsidRDefault="003904FF" w:rsidP="00EE7170">
      <w:pPr>
        <w:pStyle w:val="Heading2"/>
        <w:rPr>
          <w:rFonts w:eastAsia="Times New Roman"/>
          <w:sz w:val="22"/>
          <w:szCs w:val="22"/>
        </w:rPr>
      </w:pPr>
      <w:bookmarkStart w:id="246" w:name="_Toc235521124"/>
      <w:r>
        <w:rPr>
          <w:rFonts w:eastAsia="Times New Roman"/>
          <w:sz w:val="22"/>
          <w:szCs w:val="22"/>
        </w:rPr>
        <w:t>Budget and Appropriation Procedure</w:t>
      </w:r>
      <w:bookmarkEnd w:id="246"/>
    </w:p>
    <w:p w14:paraId="3F8C027A" w14:textId="6DF3498A" w:rsidR="00170AA4" w:rsidRPr="00DA2177" w:rsidRDefault="007C39E7" w:rsidP="00170AA4">
      <w:pPr>
        <w:pStyle w:val="00BodyText5"/>
        <w:rPr>
          <w:rFonts w:cs="Times New Roman"/>
          <w:szCs w:val="22"/>
        </w:rPr>
      </w:pPr>
      <w:r>
        <w:rPr>
          <w:rFonts w:cs="Times New Roman"/>
          <w:szCs w:val="22"/>
        </w:rPr>
        <w:t>The Board has determined that the District will operate on a calendar year fiscal year. Under the Special District Act, the District is required to prepare an annual budget for each of its funds. Each budget shall specify estimates of all anticipated revenues and expenditures and requires that total anticipated revenues are equal</w:t>
      </w:r>
      <w:r w:rsidR="005A336A">
        <w:rPr>
          <w:rFonts w:cs="Times New Roman"/>
          <w:szCs w:val="22"/>
        </w:rPr>
        <w:t xml:space="preserve"> to</w:t>
      </w:r>
      <w:r>
        <w:rPr>
          <w:rFonts w:cs="Times New Roman"/>
          <w:szCs w:val="22"/>
        </w:rPr>
        <w:t xml:space="preserve"> the total of appropriated expenditures. The District is required to appoint a person to prepare the budget for the District (the “</w:t>
      </w:r>
      <w:r>
        <w:rPr>
          <w:rFonts w:cs="Times New Roman"/>
          <w:b/>
          <w:bCs/>
          <w:szCs w:val="22"/>
        </w:rPr>
        <w:t>Budget Officer</w:t>
      </w:r>
      <w:r>
        <w:rPr>
          <w:rFonts w:cs="Times New Roman"/>
          <w:szCs w:val="22"/>
        </w:rPr>
        <w:t>”), the Board has appointed its accountant, CLA, as the initial Budget Officer.</w:t>
      </w:r>
    </w:p>
    <w:p w14:paraId="54C5FC11" w14:textId="4A0631F2" w:rsidR="007C39E7" w:rsidRPr="00DA2177" w:rsidRDefault="00E82EC3" w:rsidP="00170AA4">
      <w:pPr>
        <w:pStyle w:val="00BodyText5"/>
        <w:rPr>
          <w:rFonts w:cs="Times New Roman"/>
          <w:szCs w:val="22"/>
        </w:rPr>
      </w:pPr>
      <w:r>
        <w:rPr>
          <w:rFonts w:cs="Times New Roman"/>
          <w:szCs w:val="22"/>
        </w:rPr>
        <w:t xml:space="preserve">On or before the first regularly scheduled meeting of the Board in November of each year, a tentative budget for each fund for which a budget is required must be prepared by the Budget Officer and filed with the Board. Each tentative budget must provide actual revenues and expenditures for the last completed fiscal year, estimated total revenues and expenditures for the current fiscal year, and estimates of revenues and expenditures for the budget year. The Budget Officer estimates the amount of revenue available to serve the needs of each fund and estimates the portion that shall be derived from general property taxes. The Board is to then review, consider, and tentatively adopt the tentative budget in any regular or special meeting called for that purpose and may amend or revise the tentative budget in any manner the Board considers advisable prior to public hearings, but no appropriation required for debt retirement and interest or reduction of existing deficits may be reduced below the minimums so required. </w:t>
      </w:r>
    </w:p>
    <w:p w14:paraId="0A6E1785" w14:textId="77777777" w:rsidR="00F1562B" w:rsidRPr="00576A5D" w:rsidRDefault="00F1562B" w:rsidP="00F1562B">
      <w:pPr>
        <w:pStyle w:val="00BodyText5"/>
      </w:pPr>
      <w:r w:rsidRPr="00576A5D">
        <w:t>After adoption of the tentative budget, the Board shall</w:t>
      </w:r>
      <w:r w:rsidRPr="000E5D4E">
        <w:t xml:space="preserve"> make a tentative budget available to the public at least 7 days before adoption of the final budget and</w:t>
      </w:r>
      <w:r w:rsidRPr="00576A5D">
        <w:t xml:space="preserve"> establish a time and place of a public hearing to consider its adoption and give notice of such public hearing. At the public hearing, the Board is required to give all interested persons in attendance an opportunity to be heard on the estimates of revenue and expenditures or any item in the tentative budget of any fund. At the conclusion of the public hearing the Board (i) may continue to review the tentative budget, insert any new items, or increase or decrease items of expenditure that were the proper subject of consideration at the public hearing; (ii) may not decrease the amount appropriated for debt retirement and interest reduction of any existing deficits; and (iii) must increase or decrease the total anticipated revenue to equal the next change in proposed expenditures in the budget of each fund. </w:t>
      </w:r>
      <w:r w:rsidRPr="000E5D4E">
        <w:t>Public infrastructure</w:t>
      </w:r>
      <w:r w:rsidRPr="00576A5D">
        <w:t xml:space="preserve"> districts may accumulate retained earnings or fund balances, as appropriate, in any fund, subject to certain limitations. Prior to the beginning of the District’s fiscal year the Board is required to adopt a resolution adopting a budget for such fiscal year. The Budget Officer is required to certify a copy of the final budget and file it with the State Auditor within 30 days after adoption. The amount stated in the budget as the amount of estimated revenue from property taxes constitutes the basis for determining the property tax levy to be set by the Board for the corresponding tax year, subject to applicable limitations by law.</w:t>
      </w:r>
    </w:p>
    <w:p w14:paraId="3C88F0F4" w14:textId="1599397D" w:rsidR="00F1562B" w:rsidRPr="00576A5D" w:rsidRDefault="00F1562B" w:rsidP="00F1562B">
      <w:pPr>
        <w:pStyle w:val="00BodyText5"/>
      </w:pPr>
      <w:r w:rsidRPr="00576A5D">
        <w:t xml:space="preserve">New public infrastructure districts are required to prepare a budget covering the period of incorporation to the end of the fiscal year, substantially comply with all other provisions relating to notices and hearings, and pass the budget as soon after incorporation as feasible. </w:t>
      </w:r>
      <w:r w:rsidRPr="002E796A">
        <w:t xml:space="preserve">It is possible that a failure by the District to timely adopt budgets or otherwise comply with State laws could impact the District’s ability to receive and access funds of the District, including </w:t>
      </w:r>
      <w:r w:rsidR="000F65D0">
        <w:t xml:space="preserve">Senior </w:t>
      </w:r>
      <w:r>
        <w:t>LT</w:t>
      </w:r>
      <w:r w:rsidRPr="002E796A">
        <w:t xml:space="preserve"> Pledged Revenues</w:t>
      </w:r>
      <w:r w:rsidR="00C9432A">
        <w:t>, Subordinate LT Pledged Revenues,</w:t>
      </w:r>
      <w:r w:rsidRPr="002E796A">
        <w:t xml:space="preserve"> and </w:t>
      </w:r>
      <w:r>
        <w:t>SR</w:t>
      </w:r>
      <w:r w:rsidRPr="002E796A">
        <w:t xml:space="preserve"> Pledged Revenues, or timely pay debt service on the Bonds. </w:t>
      </w:r>
      <w:r>
        <w:t>The District adopted a tentative budget on [________], 2026 and anticipates adopting a final budget on [________], 2026</w:t>
      </w:r>
      <w:r w:rsidRPr="002E796A">
        <w:t>. See “RISK FACTORS—Withholding of Revenues by State Auditor.”</w:t>
      </w:r>
    </w:p>
    <w:p w14:paraId="7E447010" w14:textId="4221D11D" w:rsidR="00B61365" w:rsidRPr="00DA2177" w:rsidRDefault="008673F6" w:rsidP="008673F6">
      <w:pPr>
        <w:pStyle w:val="00BodyText5"/>
        <w:rPr>
          <w:rFonts w:cs="Times New Roman"/>
          <w:szCs w:val="22"/>
        </w:rPr>
      </w:pPr>
      <w:r>
        <w:rPr>
          <w:rFonts w:cs="Times New Roman"/>
          <w:b/>
          <w:i/>
          <w:szCs w:val="22"/>
        </w:rPr>
        <w:t>Limitation on Certain Tax Revenues</w:t>
      </w:r>
      <w:r>
        <w:rPr>
          <w:rFonts w:cs="Times New Roman"/>
          <w:szCs w:val="22"/>
        </w:rPr>
        <w:t xml:space="preserve">. It is through the preparation of the budget and by taking into consideration all sources of revenue, costs of construction, expenses of administration of the District, and the debt service requirements of the District’s outstanding bonds and the other obligations of the District that the rate of property tax levy is determined each year. </w:t>
      </w:r>
    </w:p>
    <w:p w14:paraId="74E45E22" w14:textId="179882E9" w:rsidR="005F399A" w:rsidRPr="005F399A" w:rsidRDefault="009D056A" w:rsidP="003F5DA3">
      <w:pPr>
        <w:pStyle w:val="BodyText"/>
        <w:ind w:firstLine="720"/>
        <w:rPr>
          <w:rFonts w:eastAsia="Times New Roman" w:cs="Times New Roman"/>
          <w:szCs w:val="20"/>
        </w:rPr>
      </w:pPr>
      <w:r>
        <w:rPr>
          <w:rFonts w:cs="Times New Roman"/>
          <w:b/>
          <w:i/>
          <w:szCs w:val="22"/>
        </w:rPr>
        <w:t>Budgeted Financial Information</w:t>
      </w:r>
      <w:r>
        <w:rPr>
          <w:rFonts w:cs="Times New Roman"/>
          <w:szCs w:val="22"/>
        </w:rPr>
        <w:t xml:space="preserve">. </w:t>
      </w:r>
      <w:r>
        <w:rPr>
          <w:rFonts w:eastAsia="Times New Roman" w:cs="Times New Roman"/>
          <w:szCs w:val="20"/>
        </w:rPr>
        <w:t xml:space="preserve">The District adopted </w:t>
      </w:r>
      <w:r w:rsidR="00870C84">
        <w:rPr>
          <w:rFonts w:eastAsia="Times New Roman" w:cs="Times New Roman"/>
          <w:szCs w:val="20"/>
        </w:rPr>
        <w:t>a tentative</w:t>
      </w:r>
      <w:r>
        <w:rPr>
          <w:rFonts w:eastAsia="Times New Roman" w:cs="Times New Roman"/>
          <w:szCs w:val="20"/>
        </w:rPr>
        <w:t xml:space="preserve"> budget for 202</w:t>
      </w:r>
      <w:r w:rsidR="002C67DE">
        <w:rPr>
          <w:rFonts w:eastAsia="Times New Roman" w:cs="Times New Roman"/>
          <w:szCs w:val="20"/>
        </w:rPr>
        <w:t>6</w:t>
      </w:r>
      <w:r>
        <w:rPr>
          <w:rFonts w:eastAsia="Times New Roman" w:cs="Times New Roman"/>
          <w:szCs w:val="20"/>
        </w:rPr>
        <w:t xml:space="preserve"> on </w:t>
      </w:r>
      <w:r w:rsidR="00870C84">
        <w:rPr>
          <w:rFonts w:eastAsia="Times New Roman" w:cs="Times New Roman"/>
          <w:szCs w:val="20"/>
        </w:rPr>
        <w:t>July 27</w:t>
      </w:r>
      <w:r>
        <w:rPr>
          <w:rFonts w:eastAsia="Times New Roman" w:cs="Times New Roman"/>
          <w:szCs w:val="20"/>
        </w:rPr>
        <w:t>, 202</w:t>
      </w:r>
      <w:r w:rsidR="00870C84">
        <w:rPr>
          <w:rFonts w:eastAsia="Times New Roman" w:cs="Times New Roman"/>
          <w:szCs w:val="20"/>
        </w:rPr>
        <w:t>6</w:t>
      </w:r>
      <w:r>
        <w:rPr>
          <w:rFonts w:eastAsia="Times New Roman" w:cs="Times New Roman"/>
          <w:szCs w:val="20"/>
        </w:rPr>
        <w:t>. The following tables set forth the 202</w:t>
      </w:r>
      <w:r w:rsidR="002C67DE">
        <w:rPr>
          <w:rFonts w:eastAsia="Times New Roman" w:cs="Times New Roman"/>
          <w:szCs w:val="20"/>
        </w:rPr>
        <w:t>6</w:t>
      </w:r>
      <w:r>
        <w:rPr>
          <w:rFonts w:eastAsia="Times New Roman" w:cs="Times New Roman"/>
          <w:szCs w:val="20"/>
        </w:rPr>
        <w:t xml:space="preserve"> </w:t>
      </w:r>
      <w:r w:rsidR="00870C84">
        <w:rPr>
          <w:rFonts w:eastAsia="Times New Roman" w:cs="Times New Roman"/>
          <w:szCs w:val="20"/>
        </w:rPr>
        <w:t>tentative</w:t>
      </w:r>
      <w:r>
        <w:rPr>
          <w:rFonts w:eastAsia="Times New Roman" w:cs="Times New Roman"/>
          <w:szCs w:val="20"/>
        </w:rPr>
        <w:t xml:space="preserve"> budget for the District’s General Fund. </w:t>
      </w:r>
      <w:r w:rsidR="00870C84">
        <w:rPr>
          <w:rFonts w:eastAsia="Times New Roman" w:cs="Times New Roman"/>
          <w:szCs w:val="20"/>
        </w:rPr>
        <w:t>[</w:t>
      </w:r>
      <w:r>
        <w:rPr>
          <w:rFonts w:eastAsia="Times New Roman" w:cs="Times New Roman"/>
          <w:szCs w:val="20"/>
        </w:rPr>
        <w:t>No budgets were approved with respect to the Capital Projects Fund or Debt Service Fund in the District’s 202</w:t>
      </w:r>
      <w:r w:rsidR="002C67DE">
        <w:rPr>
          <w:rFonts w:eastAsia="Times New Roman" w:cs="Times New Roman"/>
          <w:szCs w:val="20"/>
        </w:rPr>
        <w:t>6</w:t>
      </w:r>
      <w:r>
        <w:rPr>
          <w:rFonts w:eastAsia="Times New Roman" w:cs="Times New Roman"/>
          <w:szCs w:val="20"/>
        </w:rPr>
        <w:t xml:space="preserve"> budget</w:t>
      </w:r>
      <w:r w:rsidR="00870C84">
        <w:rPr>
          <w:rFonts w:eastAsia="Times New Roman" w:cs="Times New Roman"/>
          <w:szCs w:val="20"/>
        </w:rPr>
        <w:t>]</w:t>
      </w:r>
      <w:r>
        <w:rPr>
          <w:rFonts w:eastAsia="Times New Roman" w:cs="Times New Roman"/>
          <w:szCs w:val="20"/>
        </w:rPr>
        <w:t xml:space="preserve">. </w:t>
      </w:r>
      <w:r w:rsidR="00870C84">
        <w:rPr>
          <w:rFonts w:eastAsia="Times New Roman" w:cs="Times New Roman"/>
          <w:szCs w:val="20"/>
        </w:rPr>
        <w:t>[</w:t>
      </w:r>
      <w:r>
        <w:rPr>
          <w:rFonts w:eastAsia="Times New Roman" w:cs="Times New Roman"/>
          <w:i/>
          <w:iCs/>
          <w:szCs w:val="20"/>
        </w:rPr>
        <w:t>It is anticipated that the District will adopt a</w:t>
      </w:r>
      <w:r w:rsidR="00870C84">
        <w:rPr>
          <w:rFonts w:eastAsia="Times New Roman" w:cs="Times New Roman"/>
          <w:i/>
          <w:iCs/>
          <w:szCs w:val="20"/>
        </w:rPr>
        <w:t xml:space="preserve"> final </w:t>
      </w:r>
      <w:r>
        <w:rPr>
          <w:rFonts w:eastAsia="Times New Roman" w:cs="Times New Roman"/>
          <w:i/>
          <w:iCs/>
          <w:szCs w:val="20"/>
        </w:rPr>
        <w:t>budget subsequent to the closing of the Bonds to reflect</w:t>
      </w:r>
      <w:r w:rsidR="00870C84">
        <w:rPr>
          <w:rFonts w:eastAsia="Times New Roman" w:cs="Times New Roman"/>
          <w:i/>
          <w:iCs/>
          <w:szCs w:val="20"/>
        </w:rPr>
        <w:t xml:space="preserve"> </w:t>
      </w:r>
      <w:r>
        <w:rPr>
          <w:rFonts w:eastAsia="Times New Roman" w:cs="Times New Roman"/>
          <w:i/>
          <w:iCs/>
          <w:szCs w:val="20"/>
        </w:rPr>
        <w:t>the final pricing of the Bonds.</w:t>
      </w:r>
      <w:r w:rsidR="00870C84">
        <w:rPr>
          <w:rFonts w:eastAsia="Times New Roman" w:cs="Times New Roman"/>
          <w:i/>
          <w:iCs/>
          <w:szCs w:val="20"/>
        </w:rPr>
        <w:t>]</w:t>
      </w:r>
    </w:p>
    <w:p w14:paraId="77FC4272" w14:textId="52998544" w:rsidR="005F399A" w:rsidRDefault="005F399A" w:rsidP="003F5DA3">
      <w:pPr>
        <w:spacing w:after="240"/>
        <w:ind w:firstLine="720"/>
        <w:jc w:val="both"/>
        <w:rPr>
          <w:rFonts w:eastAsia="Times New Roman" w:cs="Times New Roman"/>
          <w:sz w:val="22"/>
          <w:szCs w:val="20"/>
        </w:rPr>
      </w:pPr>
      <w:r>
        <w:rPr>
          <w:rFonts w:eastAsia="Times New Roman" w:cs="Times New Roman"/>
          <w:sz w:val="22"/>
          <w:szCs w:val="20"/>
        </w:rPr>
        <w:t xml:space="preserve">According to the District’s accountant, as of </w:t>
      </w:r>
      <w:r w:rsidR="00870C84">
        <w:rPr>
          <w:rFonts w:eastAsia="Times New Roman" w:cs="Times New Roman"/>
          <w:sz w:val="22"/>
          <w:szCs w:val="20"/>
        </w:rPr>
        <w:t>July 27</w:t>
      </w:r>
      <w:r>
        <w:rPr>
          <w:rFonts w:eastAsia="Times New Roman" w:cs="Times New Roman"/>
          <w:sz w:val="22"/>
          <w:szCs w:val="20"/>
        </w:rPr>
        <w:t>, 202</w:t>
      </w:r>
      <w:r w:rsidR="00F1562B">
        <w:rPr>
          <w:rFonts w:eastAsia="Times New Roman" w:cs="Times New Roman"/>
          <w:sz w:val="22"/>
          <w:szCs w:val="20"/>
        </w:rPr>
        <w:t>6</w:t>
      </w:r>
      <w:r>
        <w:rPr>
          <w:rFonts w:eastAsia="Times New Roman" w:cs="Times New Roman"/>
          <w:sz w:val="22"/>
          <w:szCs w:val="20"/>
        </w:rPr>
        <w:t xml:space="preserve">, there has not been any activity in the District’s General Fund. </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455"/>
        <w:gridCol w:w="1710"/>
      </w:tblGrid>
      <w:tr w:rsidR="003F5DA3" w:rsidRPr="003F5DA3" w14:paraId="2F727ECD" w14:textId="77777777" w:rsidTr="00860AEF">
        <w:trPr>
          <w:jc w:val="center"/>
        </w:trPr>
        <w:tc>
          <w:tcPr>
            <w:tcW w:w="7650" w:type="dxa"/>
            <w:gridSpan w:val="3"/>
            <w:vAlign w:val="bottom"/>
          </w:tcPr>
          <w:p w14:paraId="276A2DF9" w14:textId="15E56489" w:rsidR="003F5DA3" w:rsidRPr="003F5DA3" w:rsidRDefault="003F5DA3" w:rsidP="003F5DA3">
            <w:pPr>
              <w:keepNext/>
              <w:keepLines/>
              <w:spacing w:after="240"/>
              <w:jc w:val="center"/>
              <w:rPr>
                <w:rFonts w:ascii="Times New Roman" w:hAnsi="Times New Roman" w:cs="Times New Roman"/>
                <w:b/>
                <w:bCs/>
                <w:sz w:val="22"/>
              </w:rPr>
            </w:pPr>
            <w:bookmarkStart w:id="247" w:name="_Hlk86917094"/>
            <w:r>
              <w:rPr>
                <w:rFonts w:ascii="Times New Roman" w:hAnsi="Times New Roman" w:cs="Times New Roman"/>
                <w:b/>
                <w:bCs/>
                <w:sz w:val="22"/>
              </w:rPr>
              <w:t>General Fund Budget Summary</w:t>
            </w:r>
            <w:r>
              <w:rPr>
                <w:rFonts w:cs="Times New Roman"/>
                <w:b/>
                <w:sz w:val="22"/>
              </w:rPr>
              <w:fldChar w:fldCharType="begin"/>
            </w:r>
            <w:r>
              <w:rPr>
                <w:rFonts w:ascii="Times New Roman" w:hAnsi="Times New Roman" w:cs="Times New Roman"/>
                <w:sz w:val="22"/>
              </w:rPr>
              <w:instrText xml:space="preserve"> XE “VII General Fund Budget Summary; 007” </w:instrText>
            </w:r>
            <w:r>
              <w:rPr>
                <w:rFonts w:cs="Times New Roman"/>
                <w:b/>
                <w:sz w:val="22"/>
              </w:rPr>
              <w:fldChar w:fldCharType="end"/>
            </w:r>
          </w:p>
        </w:tc>
      </w:tr>
      <w:bookmarkEnd w:id="247"/>
      <w:tr w:rsidR="00860AEF" w:rsidRPr="003F5DA3" w14:paraId="2D2CDB02" w14:textId="77777777" w:rsidTr="001D524C">
        <w:trPr>
          <w:jc w:val="center"/>
        </w:trPr>
        <w:tc>
          <w:tcPr>
            <w:tcW w:w="5485" w:type="dxa"/>
            <w:vAlign w:val="bottom"/>
          </w:tcPr>
          <w:p w14:paraId="78E67E15" w14:textId="77777777" w:rsidR="00860AEF" w:rsidRPr="003F5DA3" w:rsidRDefault="00860AEF" w:rsidP="001D524C">
            <w:pPr>
              <w:keepNext/>
              <w:keepLines/>
              <w:spacing w:after="240"/>
              <w:jc w:val="center"/>
              <w:rPr>
                <w:rFonts w:ascii="Times New Roman" w:hAnsi="Times New Roman" w:cs="Times New Roman"/>
                <w:sz w:val="22"/>
              </w:rPr>
            </w:pPr>
          </w:p>
        </w:tc>
        <w:tc>
          <w:tcPr>
            <w:tcW w:w="455" w:type="dxa"/>
            <w:vAlign w:val="bottom"/>
          </w:tcPr>
          <w:p w14:paraId="3D7FF0B4" w14:textId="77777777" w:rsidR="00860AEF" w:rsidRPr="003F5DA3" w:rsidRDefault="00860AEF" w:rsidP="001D524C">
            <w:pPr>
              <w:keepNext/>
              <w:keepLines/>
              <w:spacing w:after="240"/>
              <w:jc w:val="center"/>
              <w:rPr>
                <w:rFonts w:ascii="Times New Roman" w:hAnsi="Times New Roman" w:cs="Times New Roman"/>
                <w:b/>
                <w:bCs/>
                <w:sz w:val="22"/>
              </w:rPr>
            </w:pPr>
          </w:p>
        </w:tc>
        <w:tc>
          <w:tcPr>
            <w:tcW w:w="1710" w:type="dxa"/>
            <w:vAlign w:val="bottom"/>
          </w:tcPr>
          <w:p w14:paraId="7041F3A4" w14:textId="785138A3" w:rsidR="00860AEF" w:rsidRPr="003F5DA3" w:rsidRDefault="00860AEF" w:rsidP="001D524C">
            <w:pPr>
              <w:keepNext/>
              <w:keepLines/>
              <w:spacing w:after="240"/>
              <w:jc w:val="center"/>
              <w:rPr>
                <w:rFonts w:ascii="Times New Roman" w:hAnsi="Times New Roman" w:cs="Times New Roman"/>
                <w:b/>
                <w:bCs/>
                <w:sz w:val="22"/>
              </w:rPr>
            </w:pPr>
            <w:r>
              <w:rPr>
                <w:rFonts w:ascii="Times New Roman" w:hAnsi="Times New Roman" w:cs="Times New Roman"/>
                <w:b/>
                <w:bCs/>
                <w:sz w:val="22"/>
              </w:rPr>
              <w:t>202</w:t>
            </w:r>
            <w:r w:rsidR="002C67DE">
              <w:rPr>
                <w:rFonts w:ascii="Times New Roman" w:hAnsi="Times New Roman" w:cs="Times New Roman"/>
                <w:b/>
                <w:bCs/>
                <w:sz w:val="22"/>
              </w:rPr>
              <w:t>6</w:t>
            </w:r>
            <w:r>
              <w:rPr>
                <w:rFonts w:ascii="Times New Roman" w:hAnsi="Times New Roman" w:cs="Times New Roman"/>
                <w:b/>
                <w:bCs/>
                <w:sz w:val="22"/>
              </w:rPr>
              <w:t xml:space="preserve"> Budget</w:t>
            </w:r>
            <w:r>
              <w:rPr>
                <w:rFonts w:ascii="Times New Roman" w:hAnsi="Times New Roman" w:cs="Times New Roman"/>
                <w:b/>
                <w:bCs/>
                <w:sz w:val="22"/>
              </w:rPr>
              <w:br/>
              <w:t>(as adopted)</w:t>
            </w:r>
          </w:p>
        </w:tc>
      </w:tr>
      <w:tr w:rsidR="00860AEF" w:rsidRPr="00860AEF" w14:paraId="25748A7E" w14:textId="77777777" w:rsidTr="001D524C">
        <w:trPr>
          <w:jc w:val="center"/>
        </w:trPr>
        <w:tc>
          <w:tcPr>
            <w:tcW w:w="5485" w:type="dxa"/>
            <w:vAlign w:val="bottom"/>
          </w:tcPr>
          <w:p w14:paraId="2CDA9C17" w14:textId="77777777" w:rsidR="00860AEF" w:rsidRPr="00860AEF" w:rsidRDefault="00860AEF" w:rsidP="001D524C">
            <w:pPr>
              <w:keepNext/>
              <w:keepLines/>
              <w:rPr>
                <w:rFonts w:ascii="Times New Roman" w:hAnsi="Times New Roman" w:cs="Times New Roman"/>
                <w:sz w:val="22"/>
              </w:rPr>
            </w:pPr>
            <w:r>
              <w:rPr>
                <w:rFonts w:ascii="Times New Roman" w:hAnsi="Times New Roman" w:cs="Times New Roman"/>
                <w:sz w:val="22"/>
              </w:rPr>
              <w:t>Beginning Fund Balance</w:t>
            </w:r>
          </w:p>
        </w:tc>
        <w:tc>
          <w:tcPr>
            <w:tcW w:w="455" w:type="dxa"/>
            <w:vAlign w:val="bottom"/>
          </w:tcPr>
          <w:p w14:paraId="59A2F951"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tcPr>
          <w:p w14:paraId="5C4385E5" w14:textId="77777777" w:rsidR="00860AEF" w:rsidRPr="00860AEF" w:rsidRDefault="00860AEF" w:rsidP="001D524C">
            <w:pPr>
              <w:keepNext/>
              <w:keepLines/>
              <w:tabs>
                <w:tab w:val="decimal" w:pos="1155"/>
              </w:tabs>
              <w:rPr>
                <w:rFonts w:ascii="Times New Roman" w:hAnsi="Times New Roman" w:cs="Times New Roman"/>
                <w:sz w:val="22"/>
              </w:rPr>
            </w:pPr>
            <w:r>
              <w:rPr>
                <w:rFonts w:ascii="Times New Roman" w:hAnsi="Times New Roman" w:cs="Times New Roman"/>
                <w:sz w:val="22"/>
              </w:rPr>
              <w:t>--</w:t>
            </w:r>
          </w:p>
        </w:tc>
      </w:tr>
      <w:tr w:rsidR="00860AEF" w:rsidRPr="00860AEF" w14:paraId="56973E72" w14:textId="77777777" w:rsidTr="001D524C">
        <w:trPr>
          <w:jc w:val="center"/>
        </w:trPr>
        <w:tc>
          <w:tcPr>
            <w:tcW w:w="5485" w:type="dxa"/>
            <w:vAlign w:val="bottom"/>
          </w:tcPr>
          <w:p w14:paraId="02F1D79F" w14:textId="77777777" w:rsidR="00860AEF" w:rsidRPr="00860AEF" w:rsidRDefault="00860AEF" w:rsidP="001D524C">
            <w:pPr>
              <w:keepNext/>
              <w:keepLines/>
              <w:rPr>
                <w:rFonts w:ascii="Times New Roman" w:hAnsi="Times New Roman" w:cs="Times New Roman"/>
                <w:sz w:val="22"/>
              </w:rPr>
            </w:pPr>
          </w:p>
        </w:tc>
        <w:tc>
          <w:tcPr>
            <w:tcW w:w="455" w:type="dxa"/>
            <w:vAlign w:val="bottom"/>
          </w:tcPr>
          <w:p w14:paraId="12E9AC0E"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tcPr>
          <w:p w14:paraId="297A5EE5" w14:textId="77777777"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2CA721B9" w14:textId="77777777" w:rsidTr="001D524C">
        <w:trPr>
          <w:jc w:val="center"/>
        </w:trPr>
        <w:tc>
          <w:tcPr>
            <w:tcW w:w="5485" w:type="dxa"/>
            <w:vAlign w:val="bottom"/>
          </w:tcPr>
          <w:p w14:paraId="034391A8" w14:textId="77777777" w:rsidR="00860AEF" w:rsidRPr="00860AEF" w:rsidRDefault="00860AEF" w:rsidP="001D524C">
            <w:pPr>
              <w:keepNext/>
              <w:keepLines/>
              <w:rPr>
                <w:rFonts w:ascii="Times New Roman" w:hAnsi="Times New Roman" w:cs="Times New Roman"/>
                <w:sz w:val="22"/>
              </w:rPr>
            </w:pPr>
            <w:r>
              <w:rPr>
                <w:rFonts w:ascii="Times New Roman" w:hAnsi="Times New Roman" w:cs="Times New Roman"/>
                <w:sz w:val="22"/>
              </w:rPr>
              <w:t>Revenues</w:t>
            </w:r>
          </w:p>
        </w:tc>
        <w:tc>
          <w:tcPr>
            <w:tcW w:w="455" w:type="dxa"/>
            <w:vAlign w:val="bottom"/>
          </w:tcPr>
          <w:p w14:paraId="52377F45"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tcPr>
          <w:p w14:paraId="361A5E79" w14:textId="70655B45"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0C3F22E1" w14:textId="77777777" w:rsidTr="001D524C">
        <w:trPr>
          <w:jc w:val="center"/>
        </w:trPr>
        <w:tc>
          <w:tcPr>
            <w:tcW w:w="5485" w:type="dxa"/>
            <w:vAlign w:val="bottom"/>
          </w:tcPr>
          <w:p w14:paraId="22C580EA" w14:textId="77777777" w:rsidR="00860AEF" w:rsidRPr="00860AEF" w:rsidRDefault="00860AEF" w:rsidP="001D524C">
            <w:pPr>
              <w:keepNext/>
              <w:keepLines/>
              <w:ind w:left="150"/>
              <w:rPr>
                <w:rFonts w:ascii="Times New Roman" w:hAnsi="Times New Roman" w:cs="Times New Roman"/>
                <w:sz w:val="22"/>
              </w:rPr>
            </w:pPr>
            <w:r>
              <w:rPr>
                <w:rFonts w:ascii="Times New Roman" w:hAnsi="Times New Roman" w:cs="Times New Roman"/>
                <w:sz w:val="22"/>
              </w:rPr>
              <w:t>Developer advance</w:t>
            </w:r>
          </w:p>
        </w:tc>
        <w:tc>
          <w:tcPr>
            <w:tcW w:w="455" w:type="dxa"/>
            <w:vAlign w:val="bottom"/>
          </w:tcPr>
          <w:p w14:paraId="0DEF4829"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vAlign w:val="bottom"/>
          </w:tcPr>
          <w:p w14:paraId="2FAFF462" w14:textId="53D23C18"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633A3FFF" w14:textId="77777777" w:rsidTr="001D524C">
        <w:trPr>
          <w:jc w:val="center"/>
        </w:trPr>
        <w:tc>
          <w:tcPr>
            <w:tcW w:w="5485" w:type="dxa"/>
            <w:vAlign w:val="bottom"/>
          </w:tcPr>
          <w:p w14:paraId="6D29CBF5" w14:textId="77777777" w:rsidR="00860AEF" w:rsidRPr="00860AEF" w:rsidRDefault="00860AEF" w:rsidP="001D524C">
            <w:pPr>
              <w:keepNext/>
              <w:keepLines/>
              <w:ind w:left="330"/>
              <w:rPr>
                <w:rFonts w:ascii="Times New Roman" w:hAnsi="Times New Roman" w:cs="Times New Roman"/>
                <w:sz w:val="22"/>
              </w:rPr>
            </w:pPr>
            <w:r>
              <w:rPr>
                <w:rFonts w:ascii="Times New Roman" w:hAnsi="Times New Roman" w:cs="Times New Roman"/>
                <w:sz w:val="22"/>
              </w:rPr>
              <w:t>Total revenues</w:t>
            </w:r>
          </w:p>
        </w:tc>
        <w:tc>
          <w:tcPr>
            <w:tcW w:w="455" w:type="dxa"/>
            <w:vAlign w:val="bottom"/>
          </w:tcPr>
          <w:p w14:paraId="77825503" w14:textId="77777777" w:rsidR="00860AEF" w:rsidRPr="00860AEF" w:rsidRDefault="00860AEF" w:rsidP="001D524C">
            <w:pPr>
              <w:keepNext/>
              <w:keepLines/>
              <w:tabs>
                <w:tab w:val="decimal" w:pos="1155"/>
              </w:tabs>
              <w:rPr>
                <w:rFonts w:ascii="Times New Roman" w:hAnsi="Times New Roman" w:cs="Times New Roman"/>
                <w:sz w:val="22"/>
                <w:u w:val="single"/>
              </w:rPr>
            </w:pPr>
          </w:p>
        </w:tc>
        <w:tc>
          <w:tcPr>
            <w:tcW w:w="1710" w:type="dxa"/>
            <w:vAlign w:val="bottom"/>
          </w:tcPr>
          <w:p w14:paraId="5E043A37" w14:textId="43585530" w:rsidR="00860AEF" w:rsidRPr="00860AEF" w:rsidRDefault="00860AEF" w:rsidP="001D524C">
            <w:pPr>
              <w:keepNext/>
              <w:keepLines/>
              <w:tabs>
                <w:tab w:val="decimal" w:pos="1155"/>
              </w:tabs>
              <w:rPr>
                <w:rFonts w:ascii="Times New Roman" w:hAnsi="Times New Roman" w:cs="Times New Roman"/>
                <w:sz w:val="22"/>
                <w:u w:val="single"/>
              </w:rPr>
            </w:pPr>
          </w:p>
        </w:tc>
      </w:tr>
      <w:tr w:rsidR="00860AEF" w:rsidRPr="00860AEF" w14:paraId="06DCF65F" w14:textId="77777777" w:rsidTr="001D524C">
        <w:trPr>
          <w:jc w:val="center"/>
        </w:trPr>
        <w:tc>
          <w:tcPr>
            <w:tcW w:w="5485" w:type="dxa"/>
            <w:vAlign w:val="bottom"/>
          </w:tcPr>
          <w:p w14:paraId="4CB608AE" w14:textId="77777777" w:rsidR="00860AEF" w:rsidRPr="00860AEF" w:rsidRDefault="00860AEF" w:rsidP="001D524C">
            <w:pPr>
              <w:keepNext/>
              <w:keepLines/>
              <w:ind w:left="330"/>
              <w:rPr>
                <w:rFonts w:ascii="Times New Roman" w:hAnsi="Times New Roman" w:cs="Times New Roman"/>
                <w:sz w:val="22"/>
              </w:rPr>
            </w:pPr>
          </w:p>
        </w:tc>
        <w:tc>
          <w:tcPr>
            <w:tcW w:w="455" w:type="dxa"/>
            <w:vAlign w:val="bottom"/>
          </w:tcPr>
          <w:p w14:paraId="7E77DC64"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vAlign w:val="bottom"/>
          </w:tcPr>
          <w:p w14:paraId="574ED8B8" w14:textId="77777777"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0C53F5A8" w14:textId="77777777" w:rsidTr="001D524C">
        <w:trPr>
          <w:jc w:val="center"/>
        </w:trPr>
        <w:tc>
          <w:tcPr>
            <w:tcW w:w="5485" w:type="dxa"/>
            <w:vAlign w:val="bottom"/>
          </w:tcPr>
          <w:p w14:paraId="65E440B9" w14:textId="77777777" w:rsidR="00860AEF" w:rsidRPr="00860AEF" w:rsidRDefault="00860AEF" w:rsidP="001D524C">
            <w:pPr>
              <w:keepNext/>
              <w:keepLines/>
              <w:rPr>
                <w:rFonts w:ascii="Times New Roman" w:hAnsi="Times New Roman" w:cs="Times New Roman"/>
                <w:sz w:val="22"/>
              </w:rPr>
            </w:pPr>
            <w:r>
              <w:rPr>
                <w:rFonts w:ascii="Times New Roman" w:hAnsi="Times New Roman" w:cs="Times New Roman"/>
                <w:sz w:val="22"/>
              </w:rPr>
              <w:t>Total funds available</w:t>
            </w:r>
          </w:p>
        </w:tc>
        <w:tc>
          <w:tcPr>
            <w:tcW w:w="455" w:type="dxa"/>
            <w:vAlign w:val="bottom"/>
          </w:tcPr>
          <w:p w14:paraId="0093EB7A" w14:textId="77777777" w:rsidR="00860AEF" w:rsidRPr="00860AEF" w:rsidRDefault="00860AEF" w:rsidP="001D524C">
            <w:pPr>
              <w:keepNext/>
              <w:keepLines/>
              <w:tabs>
                <w:tab w:val="decimal" w:pos="1155"/>
              </w:tabs>
              <w:rPr>
                <w:rFonts w:ascii="Times New Roman" w:hAnsi="Times New Roman" w:cs="Times New Roman"/>
                <w:sz w:val="22"/>
                <w:u w:val="single"/>
              </w:rPr>
            </w:pPr>
          </w:p>
        </w:tc>
        <w:tc>
          <w:tcPr>
            <w:tcW w:w="1710" w:type="dxa"/>
            <w:vAlign w:val="bottom"/>
          </w:tcPr>
          <w:p w14:paraId="45BD5ADF" w14:textId="2EC8DE91" w:rsidR="00860AEF" w:rsidRPr="00860AEF" w:rsidRDefault="00860AEF" w:rsidP="001D524C">
            <w:pPr>
              <w:keepNext/>
              <w:keepLines/>
              <w:tabs>
                <w:tab w:val="decimal" w:pos="1155"/>
              </w:tabs>
              <w:rPr>
                <w:rFonts w:ascii="Times New Roman" w:hAnsi="Times New Roman" w:cs="Times New Roman"/>
                <w:sz w:val="22"/>
                <w:u w:val="single"/>
              </w:rPr>
            </w:pPr>
          </w:p>
        </w:tc>
      </w:tr>
      <w:tr w:rsidR="00860AEF" w:rsidRPr="00860AEF" w14:paraId="400105CB" w14:textId="77777777" w:rsidTr="001D524C">
        <w:trPr>
          <w:jc w:val="center"/>
        </w:trPr>
        <w:tc>
          <w:tcPr>
            <w:tcW w:w="5485" w:type="dxa"/>
            <w:vAlign w:val="bottom"/>
          </w:tcPr>
          <w:p w14:paraId="0C03E867" w14:textId="77777777" w:rsidR="00860AEF" w:rsidRPr="00860AEF" w:rsidRDefault="00860AEF" w:rsidP="001D524C">
            <w:pPr>
              <w:keepNext/>
              <w:keepLines/>
              <w:spacing w:before="240"/>
              <w:rPr>
                <w:rFonts w:ascii="Times New Roman" w:hAnsi="Times New Roman" w:cs="Times New Roman"/>
                <w:sz w:val="22"/>
              </w:rPr>
            </w:pPr>
            <w:r>
              <w:rPr>
                <w:rFonts w:ascii="Times New Roman" w:hAnsi="Times New Roman" w:cs="Times New Roman"/>
                <w:sz w:val="22"/>
              </w:rPr>
              <w:t>Expenditures</w:t>
            </w:r>
          </w:p>
        </w:tc>
        <w:tc>
          <w:tcPr>
            <w:tcW w:w="455" w:type="dxa"/>
            <w:vAlign w:val="bottom"/>
          </w:tcPr>
          <w:p w14:paraId="0CF77E01" w14:textId="77777777" w:rsidR="00860AEF" w:rsidRPr="00860AEF" w:rsidRDefault="00860AEF" w:rsidP="001D524C">
            <w:pPr>
              <w:keepNext/>
              <w:keepLines/>
              <w:tabs>
                <w:tab w:val="decimal" w:pos="1155"/>
              </w:tabs>
              <w:spacing w:before="240"/>
              <w:rPr>
                <w:rFonts w:ascii="Times New Roman" w:hAnsi="Times New Roman" w:cs="Times New Roman"/>
                <w:sz w:val="22"/>
              </w:rPr>
            </w:pPr>
          </w:p>
        </w:tc>
        <w:tc>
          <w:tcPr>
            <w:tcW w:w="1710" w:type="dxa"/>
          </w:tcPr>
          <w:p w14:paraId="0DA9A3E3" w14:textId="77777777" w:rsidR="00860AEF" w:rsidRPr="00860AEF" w:rsidRDefault="00860AEF" w:rsidP="001D524C">
            <w:pPr>
              <w:keepNext/>
              <w:keepLines/>
              <w:tabs>
                <w:tab w:val="decimal" w:pos="1155"/>
              </w:tabs>
              <w:spacing w:before="240"/>
              <w:rPr>
                <w:rFonts w:ascii="Times New Roman" w:hAnsi="Times New Roman" w:cs="Times New Roman"/>
                <w:sz w:val="22"/>
              </w:rPr>
            </w:pPr>
          </w:p>
        </w:tc>
      </w:tr>
      <w:tr w:rsidR="00860AEF" w:rsidRPr="00860AEF" w14:paraId="157B0700" w14:textId="77777777" w:rsidTr="001D524C">
        <w:trPr>
          <w:jc w:val="center"/>
        </w:trPr>
        <w:tc>
          <w:tcPr>
            <w:tcW w:w="5485" w:type="dxa"/>
            <w:vAlign w:val="bottom"/>
          </w:tcPr>
          <w:p w14:paraId="02481DC8" w14:textId="77777777" w:rsidR="00860AEF" w:rsidRPr="00860AEF" w:rsidRDefault="00860AEF" w:rsidP="001D524C">
            <w:pPr>
              <w:keepNext/>
              <w:keepLines/>
              <w:ind w:left="150"/>
              <w:rPr>
                <w:rFonts w:ascii="Times New Roman" w:hAnsi="Times New Roman" w:cs="Times New Roman"/>
                <w:sz w:val="22"/>
              </w:rPr>
            </w:pPr>
            <w:r>
              <w:rPr>
                <w:rFonts w:ascii="Times New Roman" w:hAnsi="Times New Roman" w:cs="Times New Roman"/>
                <w:sz w:val="22"/>
              </w:rPr>
              <w:t>Accounting</w:t>
            </w:r>
          </w:p>
        </w:tc>
        <w:tc>
          <w:tcPr>
            <w:tcW w:w="455" w:type="dxa"/>
            <w:vAlign w:val="bottom"/>
          </w:tcPr>
          <w:p w14:paraId="23AB3DC0"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tcPr>
          <w:p w14:paraId="7B6CBC26" w14:textId="6B0F2921"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35E1C0D0" w14:textId="77777777" w:rsidTr="001D524C">
        <w:trPr>
          <w:jc w:val="center"/>
        </w:trPr>
        <w:tc>
          <w:tcPr>
            <w:tcW w:w="5485" w:type="dxa"/>
            <w:vAlign w:val="bottom"/>
          </w:tcPr>
          <w:p w14:paraId="2BC854F5" w14:textId="77777777" w:rsidR="00860AEF" w:rsidRPr="00860AEF" w:rsidRDefault="00860AEF" w:rsidP="001D524C">
            <w:pPr>
              <w:keepNext/>
              <w:keepLines/>
              <w:ind w:left="150"/>
              <w:rPr>
                <w:rFonts w:ascii="Times New Roman" w:hAnsi="Times New Roman" w:cs="Times New Roman"/>
                <w:sz w:val="22"/>
              </w:rPr>
            </w:pPr>
            <w:r>
              <w:rPr>
                <w:rFonts w:ascii="Times New Roman" w:hAnsi="Times New Roman" w:cs="Times New Roman"/>
                <w:sz w:val="22"/>
              </w:rPr>
              <w:t>Contingency</w:t>
            </w:r>
          </w:p>
        </w:tc>
        <w:tc>
          <w:tcPr>
            <w:tcW w:w="455" w:type="dxa"/>
            <w:vAlign w:val="bottom"/>
          </w:tcPr>
          <w:p w14:paraId="3F6FF932"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tcPr>
          <w:p w14:paraId="45B7C3DD" w14:textId="3FA9C9A1"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7A039857" w14:textId="77777777" w:rsidTr="001D524C">
        <w:trPr>
          <w:jc w:val="center"/>
        </w:trPr>
        <w:tc>
          <w:tcPr>
            <w:tcW w:w="5485" w:type="dxa"/>
            <w:vAlign w:val="bottom"/>
          </w:tcPr>
          <w:p w14:paraId="30AEC900" w14:textId="77777777" w:rsidR="00860AEF" w:rsidRPr="00860AEF" w:rsidRDefault="00860AEF" w:rsidP="001D524C">
            <w:pPr>
              <w:keepNext/>
              <w:keepLines/>
              <w:ind w:left="150"/>
              <w:rPr>
                <w:rFonts w:ascii="Times New Roman" w:hAnsi="Times New Roman" w:cs="Times New Roman"/>
                <w:sz w:val="22"/>
              </w:rPr>
            </w:pPr>
            <w:r>
              <w:rPr>
                <w:rFonts w:ascii="Times New Roman" w:hAnsi="Times New Roman" w:cs="Times New Roman"/>
                <w:sz w:val="22"/>
              </w:rPr>
              <w:t>Insurance</w:t>
            </w:r>
          </w:p>
        </w:tc>
        <w:tc>
          <w:tcPr>
            <w:tcW w:w="455" w:type="dxa"/>
            <w:vAlign w:val="bottom"/>
          </w:tcPr>
          <w:p w14:paraId="3C61CBE2"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tcPr>
          <w:p w14:paraId="0ED77080" w14:textId="6FA8FC07"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7AEADDEC" w14:textId="77777777" w:rsidTr="001D524C">
        <w:trPr>
          <w:jc w:val="center"/>
        </w:trPr>
        <w:tc>
          <w:tcPr>
            <w:tcW w:w="5485" w:type="dxa"/>
            <w:vAlign w:val="bottom"/>
          </w:tcPr>
          <w:p w14:paraId="76F84A7F" w14:textId="77777777" w:rsidR="00860AEF" w:rsidRPr="00860AEF" w:rsidRDefault="00860AEF" w:rsidP="001D524C">
            <w:pPr>
              <w:keepNext/>
              <w:keepLines/>
              <w:ind w:left="150"/>
              <w:rPr>
                <w:rFonts w:ascii="Times New Roman" w:hAnsi="Times New Roman" w:cs="Times New Roman"/>
                <w:sz w:val="22"/>
              </w:rPr>
            </w:pPr>
            <w:r>
              <w:rPr>
                <w:rFonts w:ascii="Times New Roman" w:hAnsi="Times New Roman" w:cs="Times New Roman"/>
                <w:sz w:val="22"/>
              </w:rPr>
              <w:t>Legal</w:t>
            </w:r>
          </w:p>
        </w:tc>
        <w:tc>
          <w:tcPr>
            <w:tcW w:w="455" w:type="dxa"/>
            <w:vAlign w:val="bottom"/>
          </w:tcPr>
          <w:p w14:paraId="2E4EE4F2" w14:textId="77777777" w:rsidR="00860AEF" w:rsidRPr="00860AEF" w:rsidRDefault="00860AEF" w:rsidP="001D524C">
            <w:pPr>
              <w:keepNext/>
              <w:keepLines/>
              <w:tabs>
                <w:tab w:val="decimal" w:pos="1155"/>
              </w:tabs>
              <w:rPr>
                <w:rFonts w:ascii="Times New Roman" w:hAnsi="Times New Roman" w:cs="Times New Roman"/>
                <w:sz w:val="22"/>
                <w:u w:val="single"/>
              </w:rPr>
            </w:pPr>
          </w:p>
        </w:tc>
        <w:tc>
          <w:tcPr>
            <w:tcW w:w="1710" w:type="dxa"/>
          </w:tcPr>
          <w:p w14:paraId="23B1E6AA" w14:textId="40D990E1" w:rsidR="00860AEF" w:rsidRPr="00860AEF" w:rsidRDefault="00860AEF" w:rsidP="001D524C">
            <w:pPr>
              <w:keepNext/>
              <w:keepLines/>
              <w:tabs>
                <w:tab w:val="decimal" w:pos="1155"/>
              </w:tabs>
              <w:rPr>
                <w:rFonts w:ascii="Times New Roman" w:hAnsi="Times New Roman" w:cs="Times New Roman"/>
                <w:sz w:val="22"/>
                <w:u w:val="single"/>
              </w:rPr>
            </w:pPr>
          </w:p>
        </w:tc>
      </w:tr>
      <w:tr w:rsidR="00860AEF" w:rsidRPr="00860AEF" w14:paraId="7BF83C6A" w14:textId="77777777" w:rsidTr="001D524C">
        <w:trPr>
          <w:jc w:val="center"/>
        </w:trPr>
        <w:tc>
          <w:tcPr>
            <w:tcW w:w="5485" w:type="dxa"/>
            <w:vAlign w:val="bottom"/>
          </w:tcPr>
          <w:p w14:paraId="1F50A298" w14:textId="77777777" w:rsidR="00860AEF" w:rsidRPr="00860AEF" w:rsidRDefault="00860AEF" w:rsidP="001D524C">
            <w:pPr>
              <w:keepNext/>
              <w:keepLines/>
              <w:ind w:left="330"/>
              <w:rPr>
                <w:rFonts w:ascii="Times New Roman" w:hAnsi="Times New Roman" w:cs="Times New Roman"/>
                <w:sz w:val="22"/>
              </w:rPr>
            </w:pPr>
            <w:r>
              <w:rPr>
                <w:rFonts w:ascii="Times New Roman" w:hAnsi="Times New Roman" w:cs="Times New Roman"/>
                <w:sz w:val="22"/>
              </w:rPr>
              <w:t>Total expenditures</w:t>
            </w:r>
          </w:p>
        </w:tc>
        <w:tc>
          <w:tcPr>
            <w:tcW w:w="455" w:type="dxa"/>
            <w:vAlign w:val="bottom"/>
          </w:tcPr>
          <w:p w14:paraId="737A5E6F" w14:textId="77777777" w:rsidR="00860AEF" w:rsidRPr="00860AEF" w:rsidRDefault="00860AEF" w:rsidP="001D524C">
            <w:pPr>
              <w:keepNext/>
              <w:keepLines/>
              <w:tabs>
                <w:tab w:val="decimal" w:pos="1155"/>
              </w:tabs>
              <w:rPr>
                <w:rFonts w:ascii="Times New Roman" w:hAnsi="Times New Roman" w:cs="Times New Roman"/>
                <w:sz w:val="22"/>
                <w:u w:val="single"/>
              </w:rPr>
            </w:pPr>
          </w:p>
        </w:tc>
        <w:tc>
          <w:tcPr>
            <w:tcW w:w="1710" w:type="dxa"/>
          </w:tcPr>
          <w:p w14:paraId="3885B186" w14:textId="7597D6C9" w:rsidR="00860AEF" w:rsidRPr="00860AEF" w:rsidRDefault="00860AEF" w:rsidP="001D524C">
            <w:pPr>
              <w:keepNext/>
              <w:keepLines/>
              <w:tabs>
                <w:tab w:val="decimal" w:pos="1155"/>
              </w:tabs>
              <w:rPr>
                <w:rFonts w:ascii="Times New Roman" w:hAnsi="Times New Roman" w:cs="Times New Roman"/>
                <w:sz w:val="22"/>
                <w:u w:val="single"/>
              </w:rPr>
            </w:pPr>
          </w:p>
        </w:tc>
      </w:tr>
      <w:tr w:rsidR="00860AEF" w:rsidRPr="00860AEF" w14:paraId="0D29355D" w14:textId="77777777" w:rsidTr="001D524C">
        <w:trPr>
          <w:jc w:val="center"/>
        </w:trPr>
        <w:tc>
          <w:tcPr>
            <w:tcW w:w="5485" w:type="dxa"/>
            <w:vAlign w:val="bottom"/>
          </w:tcPr>
          <w:p w14:paraId="7D32AD6F" w14:textId="77777777" w:rsidR="00860AEF" w:rsidRPr="00860AEF" w:rsidRDefault="00860AEF" w:rsidP="001D524C">
            <w:pPr>
              <w:keepNext/>
              <w:keepLines/>
              <w:ind w:left="330"/>
              <w:rPr>
                <w:rFonts w:ascii="Times New Roman" w:hAnsi="Times New Roman" w:cs="Times New Roman"/>
                <w:sz w:val="22"/>
              </w:rPr>
            </w:pPr>
          </w:p>
        </w:tc>
        <w:tc>
          <w:tcPr>
            <w:tcW w:w="455" w:type="dxa"/>
            <w:vAlign w:val="bottom"/>
          </w:tcPr>
          <w:p w14:paraId="1C347024" w14:textId="77777777" w:rsidR="00860AEF" w:rsidRPr="00860AEF" w:rsidRDefault="00860AEF" w:rsidP="001D524C">
            <w:pPr>
              <w:keepNext/>
              <w:keepLines/>
              <w:tabs>
                <w:tab w:val="decimal" w:pos="1155"/>
              </w:tabs>
              <w:rPr>
                <w:rFonts w:ascii="Times New Roman" w:hAnsi="Times New Roman" w:cs="Times New Roman"/>
                <w:sz w:val="22"/>
              </w:rPr>
            </w:pPr>
          </w:p>
        </w:tc>
        <w:tc>
          <w:tcPr>
            <w:tcW w:w="1710" w:type="dxa"/>
          </w:tcPr>
          <w:p w14:paraId="22BECF73" w14:textId="77777777" w:rsidR="00860AEF" w:rsidRPr="00860AEF" w:rsidRDefault="00860AEF" w:rsidP="001D524C">
            <w:pPr>
              <w:keepNext/>
              <w:keepLines/>
              <w:tabs>
                <w:tab w:val="decimal" w:pos="1155"/>
              </w:tabs>
              <w:rPr>
                <w:rFonts w:ascii="Times New Roman" w:hAnsi="Times New Roman" w:cs="Times New Roman"/>
                <w:sz w:val="22"/>
              </w:rPr>
            </w:pPr>
          </w:p>
        </w:tc>
      </w:tr>
      <w:tr w:rsidR="00860AEF" w:rsidRPr="00860AEF" w14:paraId="0687FF5D" w14:textId="77777777" w:rsidTr="001D524C">
        <w:trPr>
          <w:jc w:val="center"/>
        </w:trPr>
        <w:tc>
          <w:tcPr>
            <w:tcW w:w="5485" w:type="dxa"/>
            <w:vAlign w:val="bottom"/>
          </w:tcPr>
          <w:p w14:paraId="00F0E850" w14:textId="77777777" w:rsidR="00860AEF" w:rsidRPr="00860AEF" w:rsidRDefault="00860AEF" w:rsidP="001D524C">
            <w:pPr>
              <w:keepNext/>
              <w:keepLines/>
              <w:rPr>
                <w:rFonts w:ascii="Times New Roman" w:hAnsi="Times New Roman" w:cs="Times New Roman"/>
                <w:sz w:val="22"/>
              </w:rPr>
            </w:pPr>
            <w:r>
              <w:rPr>
                <w:rFonts w:ascii="Times New Roman" w:hAnsi="Times New Roman" w:cs="Times New Roman"/>
                <w:sz w:val="22"/>
              </w:rPr>
              <w:t>Total expenditures and transfers out requiring appropriation</w:t>
            </w:r>
          </w:p>
        </w:tc>
        <w:tc>
          <w:tcPr>
            <w:tcW w:w="455" w:type="dxa"/>
            <w:vAlign w:val="bottom"/>
          </w:tcPr>
          <w:p w14:paraId="350CE907" w14:textId="77777777" w:rsidR="00860AEF" w:rsidRPr="00860AEF" w:rsidRDefault="00860AEF" w:rsidP="001D524C">
            <w:pPr>
              <w:keepNext/>
              <w:keepLines/>
              <w:tabs>
                <w:tab w:val="decimal" w:pos="1155"/>
              </w:tabs>
              <w:rPr>
                <w:rFonts w:ascii="Times New Roman" w:hAnsi="Times New Roman" w:cs="Times New Roman"/>
                <w:sz w:val="22"/>
                <w:u w:val="single"/>
              </w:rPr>
            </w:pPr>
          </w:p>
        </w:tc>
        <w:tc>
          <w:tcPr>
            <w:tcW w:w="1710" w:type="dxa"/>
          </w:tcPr>
          <w:p w14:paraId="4B549293" w14:textId="5D17CF0F" w:rsidR="00860AEF" w:rsidRPr="00860AEF" w:rsidRDefault="00860AEF" w:rsidP="001D524C">
            <w:pPr>
              <w:keepNext/>
              <w:keepLines/>
              <w:tabs>
                <w:tab w:val="decimal" w:pos="1155"/>
              </w:tabs>
              <w:rPr>
                <w:rFonts w:ascii="Times New Roman" w:hAnsi="Times New Roman" w:cs="Times New Roman"/>
                <w:sz w:val="22"/>
                <w:u w:val="single"/>
              </w:rPr>
            </w:pPr>
          </w:p>
        </w:tc>
      </w:tr>
      <w:tr w:rsidR="00860AEF" w:rsidRPr="00860AEF" w14:paraId="2DBD08CA" w14:textId="77777777" w:rsidTr="001D524C">
        <w:trPr>
          <w:jc w:val="center"/>
        </w:trPr>
        <w:tc>
          <w:tcPr>
            <w:tcW w:w="5485" w:type="dxa"/>
            <w:vAlign w:val="bottom"/>
          </w:tcPr>
          <w:p w14:paraId="2A5C486F" w14:textId="77777777" w:rsidR="00860AEF" w:rsidRPr="00860AEF" w:rsidRDefault="00860AEF" w:rsidP="001D524C">
            <w:pPr>
              <w:keepNext/>
              <w:keepLines/>
              <w:spacing w:before="240"/>
              <w:rPr>
                <w:rFonts w:ascii="Times New Roman" w:hAnsi="Times New Roman" w:cs="Times New Roman"/>
                <w:sz w:val="22"/>
              </w:rPr>
            </w:pPr>
            <w:r>
              <w:rPr>
                <w:rFonts w:ascii="Times New Roman" w:hAnsi="Times New Roman" w:cs="Times New Roman"/>
                <w:sz w:val="22"/>
              </w:rPr>
              <w:t>Ending Fund Balance</w:t>
            </w:r>
          </w:p>
        </w:tc>
        <w:tc>
          <w:tcPr>
            <w:tcW w:w="455" w:type="dxa"/>
            <w:vAlign w:val="bottom"/>
          </w:tcPr>
          <w:p w14:paraId="3153A643" w14:textId="77777777" w:rsidR="00860AEF" w:rsidRPr="00860AEF" w:rsidRDefault="00860AEF" w:rsidP="001D524C">
            <w:pPr>
              <w:keepNext/>
              <w:keepLines/>
              <w:tabs>
                <w:tab w:val="decimal" w:pos="1155"/>
              </w:tabs>
              <w:spacing w:before="240"/>
              <w:rPr>
                <w:rFonts w:ascii="Times New Roman" w:hAnsi="Times New Roman" w:cs="Times New Roman"/>
                <w:sz w:val="22"/>
              </w:rPr>
            </w:pPr>
          </w:p>
        </w:tc>
        <w:tc>
          <w:tcPr>
            <w:tcW w:w="1710" w:type="dxa"/>
          </w:tcPr>
          <w:p w14:paraId="711E2D4E" w14:textId="77777777" w:rsidR="00860AEF" w:rsidRPr="00860AEF" w:rsidRDefault="00860AEF" w:rsidP="001D524C">
            <w:pPr>
              <w:keepNext/>
              <w:keepLines/>
              <w:tabs>
                <w:tab w:val="decimal" w:pos="1155"/>
              </w:tabs>
              <w:spacing w:before="240"/>
              <w:rPr>
                <w:rFonts w:ascii="Times New Roman" w:hAnsi="Times New Roman" w:cs="Times New Roman"/>
                <w:sz w:val="22"/>
              </w:rPr>
            </w:pPr>
            <w:r>
              <w:rPr>
                <w:rFonts w:ascii="Times New Roman" w:hAnsi="Times New Roman" w:cs="Times New Roman"/>
                <w:sz w:val="22"/>
              </w:rPr>
              <w:t>--</w:t>
            </w:r>
          </w:p>
        </w:tc>
      </w:tr>
      <w:tr w:rsidR="00860AEF" w:rsidRPr="00860AEF" w14:paraId="0C5B8329" w14:textId="77777777" w:rsidTr="001D524C">
        <w:trPr>
          <w:trHeight w:val="80"/>
          <w:jc w:val="center"/>
        </w:trPr>
        <w:tc>
          <w:tcPr>
            <w:tcW w:w="7650" w:type="dxa"/>
            <w:gridSpan w:val="3"/>
            <w:vAlign w:val="bottom"/>
          </w:tcPr>
          <w:p w14:paraId="4807062C" w14:textId="77777777" w:rsidR="00860AEF" w:rsidRPr="00860AEF" w:rsidRDefault="00860AEF" w:rsidP="001D524C">
            <w:pPr>
              <w:keepNext/>
              <w:keepLines/>
              <w:rPr>
                <w:rFonts w:ascii="Times New Roman" w:hAnsi="Times New Roman" w:cs="Times New Roman"/>
                <w:sz w:val="22"/>
              </w:rPr>
            </w:pPr>
            <w:r>
              <w:rPr>
                <w:rFonts w:ascii="Times New Roman" w:hAnsi="Times New Roman" w:cs="Times New Roman"/>
                <w:sz w:val="22"/>
              </w:rPr>
              <w:t>___________________</w:t>
            </w:r>
          </w:p>
          <w:p w14:paraId="5084A930" w14:textId="6001D0B4" w:rsidR="00860AEF" w:rsidRPr="00860AEF" w:rsidRDefault="00860AEF" w:rsidP="001D524C">
            <w:pPr>
              <w:keepNext/>
              <w:keepLines/>
              <w:rPr>
                <w:rFonts w:ascii="Times New Roman" w:hAnsi="Times New Roman" w:cs="Times New Roman"/>
                <w:sz w:val="22"/>
              </w:rPr>
            </w:pPr>
            <w:r>
              <w:rPr>
                <w:rFonts w:ascii="Times New Roman" w:hAnsi="Times New Roman" w:cs="Times New Roman"/>
                <w:sz w:val="22"/>
              </w:rPr>
              <w:t>Sources: District 202</w:t>
            </w:r>
            <w:r w:rsidR="00F1562B">
              <w:rPr>
                <w:rFonts w:ascii="Times New Roman" w:hAnsi="Times New Roman" w:cs="Times New Roman"/>
                <w:sz w:val="22"/>
              </w:rPr>
              <w:t>6</w:t>
            </w:r>
            <w:r>
              <w:rPr>
                <w:rFonts w:ascii="Times New Roman" w:hAnsi="Times New Roman" w:cs="Times New Roman"/>
                <w:sz w:val="22"/>
              </w:rPr>
              <w:t xml:space="preserve"> adopted final budget and the District.</w:t>
            </w:r>
          </w:p>
        </w:tc>
      </w:tr>
    </w:tbl>
    <w:p w14:paraId="027E45FB" w14:textId="77777777" w:rsidR="003F5DA3" w:rsidRPr="003F5DA3" w:rsidRDefault="003F5DA3" w:rsidP="003F5DA3">
      <w:pPr>
        <w:jc w:val="center"/>
        <w:rPr>
          <w:rFonts w:eastAsia="Times New Roman" w:cs="Times New Roman"/>
          <w:sz w:val="22"/>
          <w:szCs w:val="22"/>
        </w:rPr>
      </w:pPr>
    </w:p>
    <w:p w14:paraId="414F4FD4" w14:textId="701F6056" w:rsidR="003F5DA3" w:rsidRDefault="003F5DA3" w:rsidP="003F5DA3">
      <w:pPr>
        <w:jc w:val="center"/>
        <w:rPr>
          <w:rFonts w:eastAsia="Times New Roman" w:cs="Times New Roman"/>
          <w:sz w:val="22"/>
          <w:szCs w:val="22"/>
        </w:rPr>
      </w:pPr>
    </w:p>
    <w:p w14:paraId="771975D4" w14:textId="29ECAF6C" w:rsidR="0075493D" w:rsidRPr="00DA2177" w:rsidRDefault="003904FF" w:rsidP="00264D0E">
      <w:pPr>
        <w:pStyle w:val="Heading2"/>
        <w:rPr>
          <w:rFonts w:eastAsia="Times New Roman"/>
          <w:sz w:val="22"/>
          <w:szCs w:val="22"/>
        </w:rPr>
      </w:pPr>
      <w:bookmarkStart w:id="248" w:name="_Toc235521125"/>
      <w:r>
        <w:rPr>
          <w:rFonts w:eastAsia="Times New Roman"/>
          <w:sz w:val="22"/>
          <w:szCs w:val="22"/>
        </w:rPr>
        <w:t>Historical Financial Information</w:t>
      </w:r>
      <w:bookmarkEnd w:id="248"/>
      <w:r>
        <w:rPr>
          <w:rFonts w:eastAsia="Times New Roman"/>
          <w:sz w:val="22"/>
          <w:szCs w:val="22"/>
        </w:rPr>
        <w:t xml:space="preserve"> </w:t>
      </w:r>
    </w:p>
    <w:p w14:paraId="3B443585" w14:textId="58525723" w:rsidR="0030704D" w:rsidRPr="00DA2177" w:rsidRDefault="00011DB4" w:rsidP="0030704D">
      <w:pPr>
        <w:pStyle w:val="00BodyText5"/>
        <w:rPr>
          <w:rFonts w:cs="Times New Roman"/>
          <w:szCs w:val="22"/>
        </w:rPr>
      </w:pPr>
      <w:r>
        <w:rPr>
          <w:rFonts w:cs="Times New Roman"/>
          <w:szCs w:val="22"/>
        </w:rPr>
        <w:t>Due to its limited activity to date, the District does not have any prior financial history.</w:t>
      </w:r>
    </w:p>
    <w:p w14:paraId="2057F295" w14:textId="370527B2" w:rsidR="0075493D" w:rsidRPr="00DA2177" w:rsidRDefault="003904FF" w:rsidP="00EE7170">
      <w:pPr>
        <w:pStyle w:val="Heading2"/>
        <w:rPr>
          <w:rFonts w:eastAsia="Times New Roman"/>
          <w:sz w:val="22"/>
          <w:szCs w:val="22"/>
        </w:rPr>
      </w:pPr>
      <w:bookmarkStart w:id="249" w:name="_Toc235521126"/>
      <w:r>
        <w:rPr>
          <w:rFonts w:eastAsia="Times New Roman"/>
          <w:sz w:val="22"/>
          <w:szCs w:val="22"/>
        </w:rPr>
        <w:t>Deposit and Investment of District Funds</w:t>
      </w:r>
      <w:bookmarkEnd w:id="249"/>
    </w:p>
    <w:p w14:paraId="3EB9B77A" w14:textId="40407125" w:rsidR="006D56CE" w:rsidRPr="00DA2177" w:rsidRDefault="006D56CE" w:rsidP="006D56CE">
      <w:pPr>
        <w:pStyle w:val="00BodyText5"/>
        <w:rPr>
          <w:rFonts w:cs="Times New Roman"/>
          <w:szCs w:val="22"/>
        </w:rPr>
      </w:pPr>
      <w:r>
        <w:rPr>
          <w:rFonts w:cs="Times New Roman"/>
          <w:szCs w:val="22"/>
        </w:rPr>
        <w:t>The State Money Management Act, Title 51, Chapter 7, Utah Code (the “</w:t>
      </w:r>
      <w:r>
        <w:rPr>
          <w:rFonts w:cs="Times New Roman"/>
          <w:b/>
          <w:szCs w:val="22"/>
        </w:rPr>
        <w:t>Money Management Act</w:t>
      </w:r>
      <w:r>
        <w:rPr>
          <w:rFonts w:cs="Times New Roman"/>
          <w:szCs w:val="22"/>
        </w:rPr>
        <w:t>”) governs and establishes criteria for the investment of public funds in the State. The Money Management Act provides a limited list of approved investments, including qualified in–state and permitted out of state financial institutions, obligations of the State and political subdivisions of the State, U.S. Treasury and approved federal government agency and instrumentality securities, certain investment agreements and repurchase agreements and investments in corporate securities meeting certain ratings requirements. The Indentures require the District’s funds to be invested in Permitted Investments (as defined in the Indentures). The investment of the proceeds of the Bonds is also subject to the provisions of the federal Tax Code. See “TAX MATTERS.”</w:t>
      </w:r>
    </w:p>
    <w:p w14:paraId="589D6DED" w14:textId="77777777" w:rsidR="0075493D" w:rsidRPr="00DA2177" w:rsidRDefault="003904FF" w:rsidP="00EE7170">
      <w:pPr>
        <w:pStyle w:val="Heading1"/>
        <w:rPr>
          <w:rFonts w:eastAsia="Times New Roman" w:cs="Times New Roman"/>
          <w:sz w:val="22"/>
          <w:szCs w:val="22"/>
        </w:rPr>
      </w:pPr>
      <w:bookmarkStart w:id="250" w:name="_Toc235521127"/>
      <w:r>
        <w:rPr>
          <w:rFonts w:eastAsia="Times New Roman" w:cs="Times New Roman"/>
          <w:sz w:val="22"/>
          <w:szCs w:val="22"/>
        </w:rPr>
        <w:t>DEBT STRUCTURE</w:t>
      </w:r>
      <w:bookmarkEnd w:id="250"/>
    </w:p>
    <w:p w14:paraId="2A8F0CD1" w14:textId="1E2D716F" w:rsidR="0075493D" w:rsidRPr="00DA2177" w:rsidRDefault="003904FF" w:rsidP="00EE7170">
      <w:pPr>
        <w:pStyle w:val="00BodyText5"/>
        <w:rPr>
          <w:rFonts w:cs="Times New Roman"/>
          <w:szCs w:val="22"/>
        </w:rPr>
      </w:pPr>
      <w:r>
        <w:rPr>
          <w:rFonts w:cs="Times New Roman"/>
          <w:szCs w:val="22"/>
        </w:rPr>
        <w:t>The following is a discussion of the District’s authority to incur general obligation indebtedness and other financial obligations and the amount of such obligations presently outstanding.</w:t>
      </w:r>
    </w:p>
    <w:p w14:paraId="49DC2062" w14:textId="77777777" w:rsidR="0075493D" w:rsidRPr="00DA2177" w:rsidRDefault="003904FF" w:rsidP="00EE7170">
      <w:pPr>
        <w:pStyle w:val="Heading2"/>
        <w:rPr>
          <w:rFonts w:eastAsia="Times New Roman"/>
          <w:sz w:val="22"/>
          <w:szCs w:val="22"/>
        </w:rPr>
      </w:pPr>
      <w:bookmarkStart w:id="251" w:name="_Toc235521128"/>
      <w:r>
        <w:rPr>
          <w:rFonts w:eastAsia="Times New Roman"/>
          <w:sz w:val="22"/>
          <w:szCs w:val="22"/>
        </w:rPr>
        <w:t>Debt Restrictions</w:t>
      </w:r>
      <w:bookmarkEnd w:id="251"/>
    </w:p>
    <w:p w14:paraId="3323CECC" w14:textId="6095256E" w:rsidR="00F80353" w:rsidRDefault="00F80353" w:rsidP="00F80353">
      <w:pPr>
        <w:pStyle w:val="00BodyText5"/>
        <w:rPr>
          <w:rFonts w:cs="Times New Roman"/>
          <w:szCs w:val="22"/>
        </w:rPr>
      </w:pPr>
      <w:r>
        <w:rPr>
          <w:rFonts w:cs="Times New Roman"/>
          <w:szCs w:val="22"/>
        </w:rPr>
        <w:t>The issuance of additional bonds is restricted by: (a) elections held within the District and (</w:t>
      </w:r>
      <w:r w:rsidR="007D7F13">
        <w:rPr>
          <w:rFonts w:cs="Times New Roman"/>
          <w:szCs w:val="22"/>
        </w:rPr>
        <w:t>b</w:t>
      </w:r>
      <w:r>
        <w:rPr>
          <w:rFonts w:cs="Times New Roman"/>
          <w:szCs w:val="22"/>
        </w:rPr>
        <w:t>) the debt limitations in the Governing Document. Each restriction is described below and in “—General Obligation Debt—</w:t>
      </w:r>
      <w:r>
        <w:rPr>
          <w:rFonts w:cs="Times New Roman"/>
          <w:i/>
          <w:szCs w:val="22"/>
        </w:rPr>
        <w:t>Outstanding and Authorized but Unissued Debt</w:t>
      </w:r>
      <w:r>
        <w:rPr>
          <w:rFonts w:cs="Times New Roman"/>
          <w:szCs w:val="22"/>
        </w:rPr>
        <w:t>” below.</w:t>
      </w:r>
    </w:p>
    <w:p w14:paraId="6CF44BA1" w14:textId="4CB7623F" w:rsidR="00011DB4" w:rsidRPr="00011DB4" w:rsidRDefault="00011DB4" w:rsidP="00011DB4">
      <w:pPr>
        <w:pStyle w:val="00BodyText5"/>
        <w:rPr>
          <w:rFonts w:cs="Times New Roman"/>
          <w:bCs/>
          <w:iCs/>
          <w:szCs w:val="22"/>
        </w:rPr>
      </w:pPr>
      <w:r>
        <w:rPr>
          <w:rFonts w:cs="Times New Roman"/>
          <w:b/>
          <w:i/>
          <w:szCs w:val="22"/>
        </w:rPr>
        <w:t>Statutory Debt Limit.</w:t>
      </w:r>
      <w:r>
        <w:rPr>
          <w:rFonts w:cs="Times New Roman"/>
          <w:bCs/>
          <w:iCs/>
          <w:szCs w:val="22"/>
        </w:rPr>
        <w:t xml:space="preserve"> A public infrastructure district is not considered a municipal corporation for purposes of the debt limitation of the Utah Constitution, Article XIV, Section 4, and </w:t>
      </w:r>
      <w:r w:rsidR="007035CE">
        <w:rPr>
          <w:rFonts w:cs="Times New Roman"/>
          <w:bCs/>
          <w:iCs/>
          <w:szCs w:val="22"/>
        </w:rPr>
        <w:t xml:space="preserve">limited tax </w:t>
      </w:r>
      <w:r>
        <w:rPr>
          <w:rFonts w:cs="Times New Roman"/>
          <w:bCs/>
          <w:iCs/>
          <w:szCs w:val="22"/>
        </w:rPr>
        <w:t xml:space="preserve">bonds issued by a public infrastructure district are not subject to any statutory debt </w:t>
      </w:r>
      <w:r w:rsidR="007035CE">
        <w:rPr>
          <w:rFonts w:cs="Times New Roman"/>
          <w:bCs/>
          <w:iCs/>
          <w:szCs w:val="22"/>
        </w:rPr>
        <w:t>limitations</w:t>
      </w:r>
      <w:r>
        <w:rPr>
          <w:rFonts w:cs="Times New Roman"/>
          <w:bCs/>
          <w:iCs/>
          <w:szCs w:val="22"/>
        </w:rPr>
        <w:t>.</w:t>
      </w:r>
    </w:p>
    <w:p w14:paraId="7F2D5552" w14:textId="70B7D62A" w:rsidR="00FF1EB1" w:rsidRPr="00DA2177" w:rsidRDefault="00F80353" w:rsidP="006B78AD">
      <w:pPr>
        <w:pStyle w:val="00BodyText5"/>
        <w:rPr>
          <w:rFonts w:cs="Times New Roman"/>
          <w:b/>
          <w:i/>
          <w:szCs w:val="22"/>
        </w:rPr>
      </w:pPr>
      <w:r>
        <w:rPr>
          <w:rFonts w:cs="Times New Roman"/>
          <w:b/>
          <w:i/>
          <w:szCs w:val="22"/>
        </w:rPr>
        <w:t>Required Elections</w:t>
      </w:r>
      <w:r>
        <w:rPr>
          <w:rFonts w:cs="Times New Roman"/>
          <w:szCs w:val="22"/>
        </w:rPr>
        <w:t xml:space="preserve">. Various State constitutional and statutory provisions require voter approval prior to the incurrence of general obligation indebtedness by the District. Pursuant to Section 17D-4-301(3) of the Public Infrastructure District Act, the District may issue limited tax bonds with the consent of 100% of surface property owners and </w:t>
      </w:r>
      <w:r w:rsidR="008804B0">
        <w:rPr>
          <w:rFonts w:cs="Times New Roman"/>
          <w:szCs w:val="22"/>
        </w:rPr>
        <w:t xml:space="preserve">a majority of the </w:t>
      </w:r>
      <w:r>
        <w:rPr>
          <w:rFonts w:cs="Times New Roman"/>
          <w:szCs w:val="22"/>
        </w:rPr>
        <w:t>registered voters, if any, within the boundaries of the District. On or before [_______], 202</w:t>
      </w:r>
      <w:r w:rsidR="007E772B">
        <w:rPr>
          <w:rFonts w:cs="Times New Roman"/>
          <w:szCs w:val="22"/>
        </w:rPr>
        <w:t>6</w:t>
      </w:r>
      <w:r>
        <w:rPr>
          <w:rFonts w:cs="Times New Roman"/>
          <w:szCs w:val="22"/>
        </w:rPr>
        <w:t>, the Developer, as 100% owner of the surface property within the boundaries of the District, consented to the issuance of at least $[_________] of limited tax bonds (</w:t>
      </w:r>
      <w:r w:rsidR="00A83F38">
        <w:rPr>
          <w:rFonts w:cs="Times New Roman"/>
          <w:szCs w:val="22"/>
        </w:rPr>
        <w:t xml:space="preserve">as previously defined, </w:t>
      </w:r>
      <w:r>
        <w:rPr>
          <w:rFonts w:cs="Times New Roman"/>
          <w:szCs w:val="22"/>
        </w:rPr>
        <w:t>the “</w:t>
      </w:r>
      <w:r>
        <w:rPr>
          <w:rFonts w:cs="Times New Roman"/>
          <w:b/>
          <w:szCs w:val="22"/>
        </w:rPr>
        <w:t>Bond Consent</w:t>
      </w:r>
      <w:r>
        <w:rPr>
          <w:rFonts w:cs="Times New Roman"/>
          <w:szCs w:val="22"/>
        </w:rPr>
        <w:t>”). There are no registered voters residing within the boundaries of the District. Pursuant to the provisions of the Public Infrastructure District Act, the Bond Consent is sufficient to meet any statutory or constitutional election requirement necessary for the issuance of limited tax bonds. No election is required in connection with the issuance of revenue bonds, such as the 2026A-2 SR Bonds.</w:t>
      </w:r>
    </w:p>
    <w:p w14:paraId="249E0520" w14:textId="78338D5D" w:rsidR="00F80353" w:rsidRPr="00DA2177" w:rsidRDefault="00E04D7D" w:rsidP="00243D68">
      <w:pPr>
        <w:pStyle w:val="00BodyText5"/>
        <w:rPr>
          <w:rFonts w:cs="Times New Roman"/>
          <w:szCs w:val="22"/>
        </w:rPr>
      </w:pPr>
      <w:r>
        <w:rPr>
          <w:rFonts w:cs="Times New Roman"/>
          <w:b/>
          <w:i/>
          <w:szCs w:val="22"/>
        </w:rPr>
        <w:t>Governing Document Debt Limitations</w:t>
      </w:r>
      <w:r>
        <w:rPr>
          <w:rFonts w:cs="Times New Roman"/>
          <w:szCs w:val="22"/>
        </w:rPr>
        <w:t>. The Governing Document does not limit the amount of debt that may be issued by the District.</w:t>
      </w:r>
    </w:p>
    <w:p w14:paraId="7A38DCA6" w14:textId="78C2B356" w:rsidR="0075493D" w:rsidRPr="00DA2177" w:rsidRDefault="003904FF" w:rsidP="00EE7170">
      <w:pPr>
        <w:pStyle w:val="Heading2"/>
        <w:rPr>
          <w:rFonts w:eastAsia="Times New Roman"/>
          <w:sz w:val="22"/>
          <w:szCs w:val="22"/>
        </w:rPr>
      </w:pPr>
      <w:bookmarkStart w:id="252" w:name="_Toc235521129"/>
      <w:r>
        <w:rPr>
          <w:rFonts w:eastAsia="Times New Roman"/>
          <w:sz w:val="22"/>
          <w:szCs w:val="22"/>
        </w:rPr>
        <w:t>General Obligation Debt</w:t>
      </w:r>
      <w:bookmarkEnd w:id="252"/>
    </w:p>
    <w:p w14:paraId="28303EFB" w14:textId="5E75161C" w:rsidR="00A5029F" w:rsidRPr="00DA2177" w:rsidRDefault="00A5029F" w:rsidP="00A5029F">
      <w:pPr>
        <w:pStyle w:val="00BodyText5"/>
        <w:rPr>
          <w:rFonts w:cs="Times New Roman"/>
          <w:szCs w:val="22"/>
        </w:rPr>
      </w:pPr>
      <w:r>
        <w:rPr>
          <w:rFonts w:cs="Times New Roman"/>
          <w:b/>
          <w:i/>
          <w:szCs w:val="22"/>
        </w:rPr>
        <w:t>Outstanding Debt</w:t>
      </w:r>
      <w:r>
        <w:rPr>
          <w:rFonts w:cs="Times New Roman"/>
          <w:i/>
          <w:szCs w:val="22"/>
        </w:rPr>
        <w:t xml:space="preserve">. </w:t>
      </w:r>
      <w:r>
        <w:rPr>
          <w:rFonts w:cs="Times New Roman"/>
          <w:szCs w:val="22"/>
        </w:rPr>
        <w:t xml:space="preserve">Upon issuance of the Bonds, the </w:t>
      </w:r>
      <w:r w:rsidR="00787226">
        <w:rPr>
          <w:rFonts w:cs="Times New Roman"/>
          <w:szCs w:val="22"/>
        </w:rPr>
        <w:t>LT Bond</w:t>
      </w:r>
      <w:r>
        <w:rPr>
          <w:rFonts w:cs="Times New Roman"/>
          <w:szCs w:val="22"/>
        </w:rPr>
        <w:t>s will constitute the District’s only outstanding general obligation debt.</w:t>
      </w:r>
    </w:p>
    <w:p w14:paraId="5CDEBDE5" w14:textId="77777777" w:rsidR="00095923" w:rsidRPr="00DA2177" w:rsidRDefault="00095923" w:rsidP="00095923">
      <w:pPr>
        <w:pStyle w:val="00BodyText5"/>
        <w:rPr>
          <w:rFonts w:cs="Times New Roman"/>
          <w:szCs w:val="22"/>
        </w:rPr>
      </w:pPr>
      <w:r w:rsidRPr="00DA2177">
        <w:rPr>
          <w:rFonts w:cs="Times New Roman"/>
          <w:b/>
          <w:i/>
          <w:szCs w:val="22"/>
        </w:rPr>
        <w:t>Outstanding and Authorized but Unissued Debt</w:t>
      </w:r>
      <w:r w:rsidRPr="00DA2177">
        <w:rPr>
          <w:rFonts w:cs="Times New Roman"/>
          <w:szCs w:val="22"/>
        </w:rPr>
        <w:t>. The amount of the District’s electoral authorization for</w:t>
      </w:r>
      <w:r>
        <w:rPr>
          <w:rFonts w:cs="Times New Roman"/>
          <w:szCs w:val="22"/>
        </w:rPr>
        <w:t xml:space="preserve"> general obligation</w:t>
      </w:r>
      <w:r w:rsidRPr="00DA2177">
        <w:rPr>
          <w:rFonts w:cs="Times New Roman"/>
          <w:szCs w:val="22"/>
        </w:rPr>
        <w:t xml:space="preserve"> indebtedness for public infrastructure costs pursuant to the </w:t>
      </w:r>
      <w:r>
        <w:rPr>
          <w:rFonts w:cs="Times New Roman"/>
          <w:szCs w:val="22"/>
        </w:rPr>
        <w:t>Bond Consent</w:t>
      </w:r>
      <w:r w:rsidRPr="00DA2177">
        <w:rPr>
          <w:rFonts w:cs="Times New Roman"/>
          <w:szCs w:val="22"/>
        </w:rPr>
        <w:t xml:space="preserve"> ($</w:t>
      </w:r>
      <w:r>
        <w:rPr>
          <w:rFonts w:cs="Times New Roman"/>
          <w:szCs w:val="22"/>
        </w:rPr>
        <w:t>[__________]</w:t>
      </w:r>
      <w:r w:rsidRPr="00DA2177">
        <w:rPr>
          <w:rFonts w:cs="Times New Roman"/>
          <w:szCs w:val="22"/>
        </w:rPr>
        <w:t xml:space="preserve">) will be reduced by the principal amount of the </w:t>
      </w:r>
      <w:r>
        <w:rPr>
          <w:rFonts w:cs="Times New Roman"/>
          <w:szCs w:val="22"/>
        </w:rPr>
        <w:t>2026A-1 Senior LT Bonds</w:t>
      </w:r>
      <w:r w:rsidRPr="00DA2177">
        <w:rPr>
          <w:rFonts w:cs="Times New Roman"/>
          <w:szCs w:val="22"/>
        </w:rPr>
        <w:t xml:space="preserve"> ($[PAR A-1]</w:t>
      </w:r>
      <w:r w:rsidRPr="00691E9F">
        <w:rPr>
          <w:rFonts w:cs="Times New Roman"/>
          <w:szCs w:val="22"/>
          <w:vertAlign w:val="superscript"/>
        </w:rPr>
        <w:t>*</w:t>
      </w:r>
      <w:r w:rsidRPr="00DA2177">
        <w:rPr>
          <w:rFonts w:cs="Times New Roman"/>
          <w:szCs w:val="22"/>
        </w:rPr>
        <w:t xml:space="preserve">) and the </w:t>
      </w:r>
      <w:r>
        <w:rPr>
          <w:rFonts w:cs="Times New Roman"/>
          <w:szCs w:val="22"/>
        </w:rPr>
        <w:t>2026B Subordinate LT Bonds</w:t>
      </w:r>
      <w:r w:rsidRPr="00DA2177">
        <w:rPr>
          <w:rFonts w:cs="Times New Roman"/>
          <w:szCs w:val="22"/>
        </w:rPr>
        <w:t xml:space="preserve"> ($[PAR-B]</w:t>
      </w:r>
      <w:r w:rsidRPr="00EB5B6B">
        <w:rPr>
          <w:rFonts w:cs="Times New Roman"/>
          <w:szCs w:val="22"/>
          <w:vertAlign w:val="superscript"/>
        </w:rPr>
        <w:t>*</w:t>
      </w:r>
      <w:r w:rsidRPr="00DA2177">
        <w:rPr>
          <w:rFonts w:cs="Times New Roman"/>
          <w:szCs w:val="22"/>
        </w:rPr>
        <w:t>). As a result, upon issuance of the LT Bonds, the District will have approximately $</w:t>
      </w:r>
      <w:r>
        <w:rPr>
          <w:rFonts w:cs="Times New Roman"/>
          <w:szCs w:val="22"/>
        </w:rPr>
        <w:t>[__________]</w:t>
      </w:r>
      <w:r w:rsidRPr="00DA2177">
        <w:rPr>
          <w:rStyle w:val="FootnoteReference"/>
          <w:rFonts w:cs="Times New Roman"/>
          <w:szCs w:val="22"/>
        </w:rPr>
        <w:footnoteReference w:customMarkFollows="1" w:id="23"/>
        <w:t>*</w:t>
      </w:r>
      <w:r w:rsidRPr="00DA2177">
        <w:rPr>
          <w:rFonts w:cs="Times New Roman"/>
          <w:szCs w:val="22"/>
          <w:vertAlign w:val="superscript"/>
        </w:rPr>
        <w:t xml:space="preserve"> </w:t>
      </w:r>
      <w:r w:rsidRPr="00DA2177">
        <w:rPr>
          <w:rFonts w:cs="Times New Roman"/>
          <w:szCs w:val="22"/>
        </w:rPr>
        <w:t>in remaining unused electoral authorization for indebtedness for public infrastructure costs.</w:t>
      </w:r>
    </w:p>
    <w:p w14:paraId="4D21E7CC" w14:textId="2881C5DE" w:rsidR="00B54C54" w:rsidRPr="00795A5F" w:rsidRDefault="00B54C54" w:rsidP="00B54C54">
      <w:pPr>
        <w:pStyle w:val="00BodyText5"/>
        <w:rPr>
          <w:rFonts w:cs="Times New Roman"/>
          <w:szCs w:val="22"/>
        </w:rPr>
      </w:pPr>
      <w:r>
        <w:rPr>
          <w:rFonts w:cs="Times New Roman"/>
          <w:b/>
          <w:i/>
          <w:szCs w:val="22"/>
        </w:rPr>
        <w:t>Estimated Overlapping General Obligation Debt</w:t>
      </w:r>
      <w:r>
        <w:rPr>
          <w:rFonts w:cs="Times New Roman"/>
          <w:szCs w:val="22"/>
        </w:rPr>
        <w:t xml:space="preserve">. Certain public entities whose boundaries may be entirely within, coterminous with, or partially within the District are also authorized to incur general obligation debt and, to the extent property within the District is also within such overlapping public entities, such property will be liable for an allocable portion of such debt. For purposes of this Official Statement, the percentage of each overlapping public entity’s outstanding debt chargeable to the District property owners, as applicable, is calculated by comparing the assessed valuation of the portion overlapping the District to the total assessed valuation of the overlapping entity. To the extent </w:t>
      </w:r>
      <w:r w:rsidR="008804B0">
        <w:rPr>
          <w:rFonts w:cs="Times New Roman"/>
          <w:szCs w:val="22"/>
        </w:rPr>
        <w:t xml:space="preserve">any of </w:t>
      </w:r>
      <w:r>
        <w:rPr>
          <w:rFonts w:cs="Times New Roman"/>
          <w:szCs w:val="22"/>
        </w:rPr>
        <w:t xml:space="preserve">the District’s assessed valuation changes disproportionately with the assessed valuation of overlapping entities, the percentage of general obligation debt for which the </w:t>
      </w:r>
      <w:r w:rsidR="008804B0">
        <w:rPr>
          <w:rFonts w:cs="Times New Roman"/>
          <w:szCs w:val="22"/>
        </w:rPr>
        <w:t xml:space="preserve">applicable </w:t>
      </w:r>
      <w:r>
        <w:rPr>
          <w:rFonts w:cs="Times New Roman"/>
          <w:szCs w:val="22"/>
        </w:rPr>
        <w:t xml:space="preserve">District’s property owners are responsible will also change. </w:t>
      </w:r>
    </w:p>
    <w:p w14:paraId="28C668EF" w14:textId="41CB8940" w:rsidR="00B54C54" w:rsidRPr="00795A5F" w:rsidRDefault="00B54C54" w:rsidP="00B54C54">
      <w:pPr>
        <w:pStyle w:val="00BodyText5"/>
        <w:rPr>
          <w:rFonts w:cs="Times New Roman"/>
          <w:szCs w:val="22"/>
        </w:rPr>
      </w:pPr>
      <w:r>
        <w:rPr>
          <w:rFonts w:cs="Times New Roman"/>
          <w:szCs w:val="22"/>
        </w:rPr>
        <w:t>The following table sets forth the estimated overlapping general obligation debt chargeable to properties within the District as of June 30, 202</w:t>
      </w:r>
      <w:r w:rsidR="008804B0">
        <w:rPr>
          <w:rFonts w:cs="Times New Roman"/>
          <w:szCs w:val="22"/>
        </w:rPr>
        <w:t>[5]</w:t>
      </w:r>
      <w:r>
        <w:rPr>
          <w:rFonts w:cs="Times New Roman"/>
          <w:szCs w:val="22"/>
        </w:rPr>
        <w:t xml:space="preserve">, unless otherwise indicated below. The District is not financially or legally obligated with regard to any of the indebtedness shown on the immediately following tables. Although the District has attempted to obtain accurate information as to the outstanding debt of the entities which overlap the District, it does not warrant its completeness or accuracy as there is no central reporting entity which is responsible for compiling this information. </w:t>
      </w:r>
    </w:p>
    <w:tbl>
      <w:tblPr>
        <w:tblW w:w="5144" w:type="pct"/>
        <w:jc w:val="center"/>
        <w:tblLayout w:type="fixed"/>
        <w:tblCellMar>
          <w:left w:w="115" w:type="dxa"/>
          <w:right w:w="115" w:type="dxa"/>
        </w:tblCellMar>
        <w:tblLook w:val="01E0" w:firstRow="1" w:lastRow="1" w:firstColumn="1" w:lastColumn="1" w:noHBand="0" w:noVBand="0"/>
      </w:tblPr>
      <w:tblGrid>
        <w:gridCol w:w="2879"/>
        <w:gridCol w:w="1891"/>
        <w:gridCol w:w="1728"/>
        <w:gridCol w:w="1485"/>
        <w:gridCol w:w="1647"/>
      </w:tblGrid>
      <w:tr w:rsidR="00E70930" w:rsidRPr="00795A5F" w14:paraId="282F3E55" w14:textId="77777777" w:rsidTr="009E2C7F">
        <w:trPr>
          <w:cantSplit/>
          <w:jc w:val="center"/>
        </w:trPr>
        <w:tc>
          <w:tcPr>
            <w:tcW w:w="5000" w:type="pct"/>
            <w:gridSpan w:val="5"/>
            <w:vAlign w:val="bottom"/>
          </w:tcPr>
          <w:p w14:paraId="188B0443" w14:textId="02F921B1" w:rsidR="00E70930" w:rsidRPr="00795A5F" w:rsidRDefault="00E70930" w:rsidP="009E2C7F">
            <w:pPr>
              <w:keepNext/>
              <w:keepLines/>
              <w:spacing w:after="120"/>
              <w:jc w:val="center"/>
              <w:rPr>
                <w:rFonts w:cs="Times New Roman"/>
                <w:b/>
                <w:sz w:val="22"/>
                <w:szCs w:val="22"/>
              </w:rPr>
            </w:pPr>
            <w:bookmarkStart w:id="253" w:name="_Toc519860376"/>
            <w:bookmarkStart w:id="254" w:name="_Toc523825230"/>
            <w:r>
              <w:rPr>
                <w:rFonts w:cs="Times New Roman"/>
                <w:b/>
                <w:sz w:val="22"/>
                <w:szCs w:val="22"/>
              </w:rPr>
              <w:t>Estimated Overlapping General Obligation Debt of the District</w:t>
            </w:r>
            <w:bookmarkEnd w:id="253"/>
            <w:bookmarkEnd w:id="254"/>
            <w:r w:rsidR="005A336A">
              <w:rPr>
                <w:rFonts w:cs="Times New Roman"/>
                <w:b/>
                <w:sz w:val="22"/>
                <w:szCs w:val="22"/>
              </w:rPr>
              <w:t xml:space="preserve"> [</w:t>
            </w:r>
            <w:r w:rsidR="005A336A" w:rsidRPr="005A336A">
              <w:rPr>
                <w:rFonts w:cs="Times New Roman"/>
                <w:b/>
                <w:sz w:val="22"/>
                <w:szCs w:val="22"/>
                <w:highlight w:val="cyan"/>
              </w:rPr>
              <w:t>UPDATE</w:t>
            </w:r>
            <w:r w:rsidR="005A336A">
              <w:rPr>
                <w:rFonts w:cs="Times New Roman"/>
                <w:b/>
                <w:sz w:val="22"/>
                <w:szCs w:val="22"/>
              </w:rPr>
              <w:t>]</w:t>
            </w:r>
          </w:p>
        </w:tc>
      </w:tr>
      <w:tr w:rsidR="00E70930" w:rsidRPr="00795A5F" w14:paraId="616634DE" w14:textId="77777777" w:rsidTr="009E2C7F">
        <w:trPr>
          <w:cantSplit/>
          <w:jc w:val="center"/>
        </w:trPr>
        <w:tc>
          <w:tcPr>
            <w:tcW w:w="1495" w:type="pct"/>
            <w:vMerge w:val="restart"/>
            <w:vAlign w:val="bottom"/>
          </w:tcPr>
          <w:p w14:paraId="3776FB00" w14:textId="6F212531" w:rsidR="00E70930" w:rsidRPr="00795A5F" w:rsidRDefault="00E70930" w:rsidP="009E2C7F">
            <w:pPr>
              <w:keepNext/>
              <w:keepLines/>
              <w:jc w:val="center"/>
              <w:rPr>
                <w:rFonts w:cs="Times New Roman"/>
                <w:b/>
                <w:sz w:val="22"/>
                <w:szCs w:val="22"/>
              </w:rPr>
            </w:pPr>
            <w:r>
              <w:rPr>
                <w:rFonts w:cs="Times New Roman"/>
                <w:b/>
                <w:sz w:val="22"/>
                <w:szCs w:val="22"/>
              </w:rPr>
              <w:t>Overlapping Public Entity</w:t>
            </w:r>
            <w:r>
              <w:rPr>
                <w:rFonts w:cs="Times New Roman"/>
                <w:b/>
                <w:bCs/>
                <w:sz w:val="22"/>
                <w:szCs w:val="22"/>
                <w:vertAlign w:val="superscript"/>
              </w:rPr>
              <w:t>1</w:t>
            </w:r>
          </w:p>
        </w:tc>
        <w:tc>
          <w:tcPr>
            <w:tcW w:w="982" w:type="pct"/>
            <w:vMerge w:val="restart"/>
            <w:vAlign w:val="bottom"/>
          </w:tcPr>
          <w:p w14:paraId="6A880AB6" w14:textId="491A7115" w:rsidR="00E70930" w:rsidRPr="00795A5F" w:rsidRDefault="00E70930" w:rsidP="009E2C7F">
            <w:pPr>
              <w:keepNext/>
              <w:keepLines/>
              <w:jc w:val="center"/>
              <w:rPr>
                <w:rFonts w:cs="Times New Roman"/>
                <w:b/>
                <w:sz w:val="22"/>
                <w:szCs w:val="22"/>
              </w:rPr>
            </w:pPr>
            <w:r>
              <w:rPr>
                <w:rFonts w:cs="Times New Roman"/>
                <w:b/>
                <w:sz w:val="22"/>
                <w:szCs w:val="22"/>
              </w:rPr>
              <w:t>202</w:t>
            </w:r>
            <w:r w:rsidR="000F6343">
              <w:rPr>
                <w:rFonts w:cs="Times New Roman"/>
                <w:b/>
                <w:sz w:val="22"/>
                <w:szCs w:val="22"/>
              </w:rPr>
              <w:t>5</w:t>
            </w:r>
            <w:r>
              <w:rPr>
                <w:rFonts w:cs="Times New Roman"/>
                <w:b/>
                <w:sz w:val="22"/>
                <w:szCs w:val="22"/>
              </w:rPr>
              <w:br/>
              <w:t>Assessed</w:t>
            </w:r>
            <w:r>
              <w:rPr>
                <w:rFonts w:cs="Times New Roman"/>
                <w:b/>
                <w:sz w:val="22"/>
                <w:szCs w:val="22"/>
              </w:rPr>
              <w:br/>
              <w:t>Valuation</w:t>
            </w:r>
            <w:r>
              <w:rPr>
                <w:rFonts w:cs="Times New Roman"/>
                <w:b/>
                <w:sz w:val="22"/>
                <w:szCs w:val="22"/>
                <w:vertAlign w:val="superscript"/>
              </w:rPr>
              <w:t>2</w:t>
            </w:r>
          </w:p>
        </w:tc>
        <w:tc>
          <w:tcPr>
            <w:tcW w:w="897" w:type="pct"/>
            <w:vMerge w:val="restart"/>
            <w:vAlign w:val="bottom"/>
          </w:tcPr>
          <w:p w14:paraId="000FCE8C" w14:textId="77777777" w:rsidR="00E70930" w:rsidRPr="00795A5F" w:rsidRDefault="00E70930" w:rsidP="009E2C7F">
            <w:pPr>
              <w:keepNext/>
              <w:keepLines/>
              <w:jc w:val="center"/>
              <w:rPr>
                <w:rFonts w:cs="Times New Roman"/>
                <w:b/>
                <w:sz w:val="22"/>
                <w:szCs w:val="22"/>
              </w:rPr>
            </w:pPr>
            <w:r>
              <w:rPr>
                <w:rFonts w:cs="Times New Roman"/>
                <w:b/>
                <w:sz w:val="22"/>
                <w:szCs w:val="22"/>
              </w:rPr>
              <w:t>Outstanding</w:t>
            </w:r>
            <w:r>
              <w:rPr>
                <w:rFonts w:cs="Times New Roman"/>
                <w:b/>
                <w:sz w:val="22"/>
                <w:szCs w:val="22"/>
              </w:rPr>
              <w:br/>
              <w:t>General</w:t>
            </w:r>
            <w:r>
              <w:rPr>
                <w:rFonts w:cs="Times New Roman"/>
                <w:b/>
                <w:sz w:val="22"/>
                <w:szCs w:val="22"/>
              </w:rPr>
              <w:br/>
              <w:t>Obligation Debt</w:t>
            </w:r>
          </w:p>
        </w:tc>
        <w:tc>
          <w:tcPr>
            <w:tcW w:w="1626" w:type="pct"/>
            <w:gridSpan w:val="2"/>
            <w:vAlign w:val="bottom"/>
          </w:tcPr>
          <w:p w14:paraId="79738FF2" w14:textId="77777777" w:rsidR="00E70930" w:rsidRPr="00795A5F" w:rsidRDefault="00E70930" w:rsidP="009E2C7F">
            <w:pPr>
              <w:keepNext/>
              <w:keepLines/>
              <w:pBdr>
                <w:bottom w:val="single" w:sz="4" w:space="1" w:color="auto"/>
              </w:pBdr>
              <w:jc w:val="center"/>
              <w:rPr>
                <w:rFonts w:cs="Times New Roman"/>
                <w:b/>
                <w:sz w:val="22"/>
                <w:szCs w:val="22"/>
              </w:rPr>
            </w:pPr>
            <w:r>
              <w:rPr>
                <w:rFonts w:cs="Times New Roman"/>
                <w:b/>
                <w:sz w:val="22"/>
                <w:szCs w:val="22"/>
              </w:rPr>
              <w:t>Estimated Net Debt</w:t>
            </w:r>
            <w:r>
              <w:rPr>
                <w:rFonts w:cs="Times New Roman"/>
                <w:b/>
                <w:sz w:val="22"/>
                <w:szCs w:val="22"/>
              </w:rPr>
              <w:br/>
              <w:t>Chargeable to Properties</w:t>
            </w:r>
            <w:r>
              <w:rPr>
                <w:rFonts w:cs="Times New Roman"/>
                <w:b/>
                <w:sz w:val="22"/>
                <w:szCs w:val="22"/>
              </w:rPr>
              <w:br/>
              <w:t>in the District</w:t>
            </w:r>
          </w:p>
        </w:tc>
      </w:tr>
      <w:tr w:rsidR="00E70930" w:rsidRPr="00795A5F" w14:paraId="1AD8196C" w14:textId="77777777" w:rsidTr="009E2C7F">
        <w:trPr>
          <w:cantSplit/>
          <w:jc w:val="center"/>
        </w:trPr>
        <w:tc>
          <w:tcPr>
            <w:tcW w:w="1495" w:type="pct"/>
            <w:vMerge/>
            <w:vAlign w:val="bottom"/>
          </w:tcPr>
          <w:p w14:paraId="29071D2A" w14:textId="77777777" w:rsidR="00E70930" w:rsidRPr="00795A5F" w:rsidRDefault="00E70930" w:rsidP="009E2C7F">
            <w:pPr>
              <w:keepNext/>
              <w:keepLines/>
              <w:rPr>
                <w:rFonts w:cs="Times New Roman"/>
                <w:sz w:val="22"/>
                <w:szCs w:val="22"/>
                <w:highlight w:val="cyan"/>
              </w:rPr>
            </w:pPr>
          </w:p>
        </w:tc>
        <w:tc>
          <w:tcPr>
            <w:tcW w:w="982" w:type="pct"/>
            <w:vMerge/>
            <w:vAlign w:val="bottom"/>
          </w:tcPr>
          <w:p w14:paraId="10F6990C" w14:textId="77777777" w:rsidR="00E70930" w:rsidRPr="00795A5F" w:rsidRDefault="00E70930" w:rsidP="009E2C7F">
            <w:pPr>
              <w:keepNext/>
              <w:keepLines/>
              <w:rPr>
                <w:rFonts w:cs="Times New Roman"/>
                <w:sz w:val="22"/>
                <w:szCs w:val="22"/>
                <w:highlight w:val="cyan"/>
              </w:rPr>
            </w:pPr>
          </w:p>
        </w:tc>
        <w:tc>
          <w:tcPr>
            <w:tcW w:w="897" w:type="pct"/>
            <w:vMerge/>
            <w:vAlign w:val="bottom"/>
          </w:tcPr>
          <w:p w14:paraId="5F5A0B18" w14:textId="77777777" w:rsidR="00E70930" w:rsidRPr="00795A5F" w:rsidRDefault="00E70930" w:rsidP="009E2C7F">
            <w:pPr>
              <w:keepNext/>
              <w:keepLines/>
              <w:rPr>
                <w:rFonts w:cs="Times New Roman"/>
                <w:sz w:val="22"/>
                <w:szCs w:val="22"/>
                <w:highlight w:val="cyan"/>
              </w:rPr>
            </w:pPr>
          </w:p>
        </w:tc>
        <w:tc>
          <w:tcPr>
            <w:tcW w:w="771" w:type="pct"/>
            <w:vAlign w:val="bottom"/>
          </w:tcPr>
          <w:p w14:paraId="1C68783B" w14:textId="77777777" w:rsidR="00E70930" w:rsidRPr="00795A5F" w:rsidRDefault="00E70930" w:rsidP="009E2C7F">
            <w:pPr>
              <w:keepNext/>
              <w:keepLines/>
              <w:jc w:val="center"/>
              <w:rPr>
                <w:rFonts w:cs="Times New Roman"/>
                <w:b/>
                <w:sz w:val="22"/>
                <w:szCs w:val="22"/>
              </w:rPr>
            </w:pPr>
            <w:r>
              <w:rPr>
                <w:rFonts w:cs="Times New Roman"/>
                <w:b/>
                <w:sz w:val="22"/>
                <w:szCs w:val="22"/>
              </w:rPr>
              <w:t>Percent</w:t>
            </w:r>
          </w:p>
        </w:tc>
        <w:tc>
          <w:tcPr>
            <w:tcW w:w="855" w:type="pct"/>
            <w:vAlign w:val="bottom"/>
          </w:tcPr>
          <w:p w14:paraId="6ED9211C" w14:textId="77777777" w:rsidR="00E70930" w:rsidRPr="00795A5F" w:rsidRDefault="00E70930" w:rsidP="009E2C7F">
            <w:pPr>
              <w:keepNext/>
              <w:keepLines/>
              <w:jc w:val="center"/>
              <w:rPr>
                <w:rFonts w:cs="Times New Roman"/>
                <w:b/>
                <w:sz w:val="22"/>
                <w:szCs w:val="22"/>
              </w:rPr>
            </w:pPr>
            <w:r>
              <w:rPr>
                <w:rFonts w:cs="Times New Roman"/>
                <w:b/>
                <w:sz w:val="22"/>
                <w:szCs w:val="22"/>
              </w:rPr>
              <w:t>Amount</w:t>
            </w:r>
          </w:p>
        </w:tc>
      </w:tr>
      <w:tr w:rsidR="00E70930" w:rsidRPr="006E7519" w14:paraId="46F2E195" w14:textId="77777777" w:rsidTr="009E2C7F">
        <w:trPr>
          <w:cantSplit/>
          <w:jc w:val="center"/>
        </w:trPr>
        <w:tc>
          <w:tcPr>
            <w:tcW w:w="1495" w:type="pct"/>
          </w:tcPr>
          <w:p w14:paraId="6F540D96" w14:textId="77777777" w:rsidR="00E70930" w:rsidRPr="00795A5F" w:rsidRDefault="00E70930" w:rsidP="009E2C7F">
            <w:pPr>
              <w:keepNext/>
              <w:keepLines/>
              <w:rPr>
                <w:rFonts w:cs="Times New Roman"/>
                <w:sz w:val="22"/>
                <w:szCs w:val="22"/>
              </w:rPr>
            </w:pPr>
            <w:r>
              <w:rPr>
                <w:rFonts w:cs="Times New Roman"/>
                <w:sz w:val="22"/>
                <w:szCs w:val="22"/>
              </w:rPr>
              <w:t>Salt Lake County</w:t>
            </w:r>
          </w:p>
        </w:tc>
        <w:tc>
          <w:tcPr>
            <w:tcW w:w="982" w:type="pct"/>
            <w:vAlign w:val="bottom"/>
          </w:tcPr>
          <w:p w14:paraId="069A2D08" w14:textId="1E251D40" w:rsidR="00E70930" w:rsidRPr="006E7519" w:rsidRDefault="00E70930" w:rsidP="009E2C7F">
            <w:pPr>
              <w:keepNext/>
              <w:keepLines/>
              <w:tabs>
                <w:tab w:val="decimal" w:pos="1511"/>
              </w:tabs>
              <w:rPr>
                <w:rFonts w:cs="Times New Roman"/>
                <w:sz w:val="22"/>
                <w:szCs w:val="22"/>
              </w:rPr>
            </w:pPr>
          </w:p>
        </w:tc>
        <w:tc>
          <w:tcPr>
            <w:tcW w:w="897" w:type="pct"/>
            <w:vAlign w:val="bottom"/>
          </w:tcPr>
          <w:p w14:paraId="63BE30FE" w14:textId="1598B359" w:rsidR="00E70930" w:rsidRPr="006E7519" w:rsidRDefault="00E70930" w:rsidP="009E2C7F">
            <w:pPr>
              <w:keepNext/>
              <w:keepLines/>
              <w:tabs>
                <w:tab w:val="decimal" w:pos="1218"/>
              </w:tabs>
              <w:rPr>
                <w:rFonts w:cs="Times New Roman"/>
                <w:sz w:val="22"/>
                <w:szCs w:val="22"/>
              </w:rPr>
            </w:pPr>
          </w:p>
        </w:tc>
        <w:tc>
          <w:tcPr>
            <w:tcW w:w="771" w:type="pct"/>
          </w:tcPr>
          <w:p w14:paraId="126A7D1B" w14:textId="460A562C" w:rsidR="00E70930" w:rsidRPr="006E7519" w:rsidRDefault="00E70930" w:rsidP="009E2C7F">
            <w:pPr>
              <w:keepNext/>
              <w:keepLines/>
              <w:tabs>
                <w:tab w:val="decimal" w:pos="850"/>
              </w:tabs>
              <w:ind w:right="395"/>
              <w:jc w:val="right"/>
              <w:rPr>
                <w:rFonts w:cs="Times New Roman"/>
                <w:sz w:val="22"/>
                <w:szCs w:val="22"/>
              </w:rPr>
            </w:pPr>
          </w:p>
        </w:tc>
        <w:tc>
          <w:tcPr>
            <w:tcW w:w="855" w:type="pct"/>
          </w:tcPr>
          <w:p w14:paraId="1A4E3FD0" w14:textId="3C312FFA" w:rsidR="00E70930" w:rsidRPr="006E7519" w:rsidRDefault="00E70930" w:rsidP="009E2C7F">
            <w:pPr>
              <w:keepNext/>
              <w:keepLines/>
              <w:tabs>
                <w:tab w:val="decimal" w:pos="1350"/>
              </w:tabs>
              <w:ind w:right="60"/>
              <w:rPr>
                <w:rFonts w:cs="Times New Roman"/>
                <w:sz w:val="22"/>
                <w:szCs w:val="22"/>
              </w:rPr>
            </w:pPr>
          </w:p>
        </w:tc>
      </w:tr>
      <w:tr w:rsidR="00E70930" w:rsidRPr="006E7519" w14:paraId="0E1ABCA8" w14:textId="77777777" w:rsidTr="009E2C7F">
        <w:trPr>
          <w:cantSplit/>
          <w:jc w:val="center"/>
        </w:trPr>
        <w:tc>
          <w:tcPr>
            <w:tcW w:w="1495" w:type="pct"/>
          </w:tcPr>
          <w:p w14:paraId="6EC4F4DB" w14:textId="77777777" w:rsidR="00E70930" w:rsidRPr="00795A5F" w:rsidRDefault="00E70930" w:rsidP="009E2C7F">
            <w:pPr>
              <w:keepNext/>
              <w:keepLines/>
              <w:rPr>
                <w:rFonts w:cs="Times New Roman"/>
                <w:sz w:val="22"/>
                <w:szCs w:val="22"/>
              </w:rPr>
            </w:pPr>
            <w:r>
              <w:rPr>
                <w:rFonts w:cs="Times New Roman"/>
                <w:sz w:val="22"/>
                <w:szCs w:val="22"/>
              </w:rPr>
              <w:t>Jordan School District</w:t>
            </w:r>
          </w:p>
        </w:tc>
        <w:tc>
          <w:tcPr>
            <w:tcW w:w="982" w:type="pct"/>
            <w:vAlign w:val="bottom"/>
          </w:tcPr>
          <w:p w14:paraId="14F26CB3" w14:textId="5C05F818" w:rsidR="00E70930" w:rsidRPr="006E7519" w:rsidRDefault="00E70930" w:rsidP="009E2C7F">
            <w:pPr>
              <w:keepNext/>
              <w:keepLines/>
              <w:tabs>
                <w:tab w:val="decimal" w:pos="1601"/>
              </w:tabs>
              <w:rPr>
                <w:rFonts w:cs="Times New Roman"/>
                <w:sz w:val="22"/>
                <w:szCs w:val="22"/>
              </w:rPr>
            </w:pPr>
          </w:p>
        </w:tc>
        <w:tc>
          <w:tcPr>
            <w:tcW w:w="897" w:type="pct"/>
            <w:vAlign w:val="bottom"/>
          </w:tcPr>
          <w:p w14:paraId="3340BB50" w14:textId="1421494E" w:rsidR="00E70930" w:rsidRPr="006E7519" w:rsidRDefault="00E70930" w:rsidP="009E2C7F">
            <w:pPr>
              <w:keepNext/>
              <w:keepLines/>
              <w:tabs>
                <w:tab w:val="decimal" w:pos="1218"/>
              </w:tabs>
              <w:rPr>
                <w:rFonts w:cs="Times New Roman"/>
                <w:sz w:val="22"/>
                <w:szCs w:val="22"/>
              </w:rPr>
            </w:pPr>
          </w:p>
        </w:tc>
        <w:tc>
          <w:tcPr>
            <w:tcW w:w="771" w:type="pct"/>
            <w:vAlign w:val="bottom"/>
          </w:tcPr>
          <w:p w14:paraId="555EACF3" w14:textId="75713C40" w:rsidR="00E70930" w:rsidRPr="006E7519" w:rsidRDefault="00E70930" w:rsidP="009E2C7F">
            <w:pPr>
              <w:keepNext/>
              <w:keepLines/>
              <w:tabs>
                <w:tab w:val="decimal" w:pos="854"/>
              </w:tabs>
              <w:ind w:right="395"/>
              <w:jc w:val="right"/>
              <w:rPr>
                <w:rFonts w:cs="Times New Roman"/>
                <w:sz w:val="22"/>
                <w:szCs w:val="22"/>
              </w:rPr>
            </w:pPr>
          </w:p>
        </w:tc>
        <w:tc>
          <w:tcPr>
            <w:tcW w:w="855" w:type="pct"/>
            <w:vAlign w:val="bottom"/>
          </w:tcPr>
          <w:p w14:paraId="2C1DCBA8" w14:textId="10DFD168" w:rsidR="00E70930" w:rsidRPr="006E7519" w:rsidRDefault="00E70930" w:rsidP="009E2C7F">
            <w:pPr>
              <w:keepNext/>
              <w:keepLines/>
              <w:tabs>
                <w:tab w:val="decimal" w:pos="1083"/>
              </w:tabs>
              <w:ind w:right="68"/>
              <w:jc w:val="right"/>
              <w:rPr>
                <w:rFonts w:cs="Times New Roman"/>
                <w:sz w:val="22"/>
                <w:szCs w:val="22"/>
                <w:u w:val="single"/>
              </w:rPr>
            </w:pPr>
          </w:p>
        </w:tc>
      </w:tr>
      <w:tr w:rsidR="00E70930" w:rsidRPr="006E7519" w14:paraId="2B183807" w14:textId="77777777" w:rsidTr="009E2C7F">
        <w:trPr>
          <w:cantSplit/>
          <w:jc w:val="center"/>
        </w:trPr>
        <w:tc>
          <w:tcPr>
            <w:tcW w:w="1495" w:type="pct"/>
          </w:tcPr>
          <w:p w14:paraId="32C43D97" w14:textId="77777777" w:rsidR="00E70930" w:rsidRPr="00795A5F" w:rsidRDefault="00E70930" w:rsidP="009E2C7F">
            <w:pPr>
              <w:keepNext/>
              <w:keepLines/>
              <w:ind w:left="720"/>
              <w:rPr>
                <w:rFonts w:cs="Times New Roman"/>
                <w:sz w:val="22"/>
                <w:szCs w:val="22"/>
              </w:rPr>
            </w:pPr>
            <w:r>
              <w:rPr>
                <w:rFonts w:cs="Times New Roman"/>
                <w:sz w:val="22"/>
                <w:szCs w:val="22"/>
              </w:rPr>
              <w:t>Total</w:t>
            </w:r>
          </w:p>
        </w:tc>
        <w:tc>
          <w:tcPr>
            <w:tcW w:w="982" w:type="pct"/>
            <w:vAlign w:val="bottom"/>
          </w:tcPr>
          <w:p w14:paraId="2D7BAB6A" w14:textId="77777777" w:rsidR="00E70930" w:rsidRPr="006E7519" w:rsidRDefault="00E70930" w:rsidP="009E2C7F">
            <w:pPr>
              <w:keepNext/>
              <w:keepLines/>
              <w:tabs>
                <w:tab w:val="decimal" w:pos="1511"/>
              </w:tabs>
              <w:ind w:right="-201"/>
              <w:rPr>
                <w:rFonts w:cs="Times New Roman"/>
                <w:sz w:val="22"/>
                <w:szCs w:val="22"/>
              </w:rPr>
            </w:pPr>
          </w:p>
        </w:tc>
        <w:tc>
          <w:tcPr>
            <w:tcW w:w="897" w:type="pct"/>
            <w:vAlign w:val="bottom"/>
          </w:tcPr>
          <w:p w14:paraId="7C6BC803" w14:textId="77777777" w:rsidR="00E70930" w:rsidRPr="006E7519" w:rsidRDefault="00E70930" w:rsidP="009E2C7F">
            <w:pPr>
              <w:keepNext/>
              <w:keepLines/>
              <w:tabs>
                <w:tab w:val="decimal" w:pos="1218"/>
              </w:tabs>
              <w:rPr>
                <w:rFonts w:cs="Times New Roman"/>
                <w:sz w:val="22"/>
                <w:szCs w:val="22"/>
              </w:rPr>
            </w:pPr>
          </w:p>
        </w:tc>
        <w:tc>
          <w:tcPr>
            <w:tcW w:w="771" w:type="pct"/>
            <w:vAlign w:val="bottom"/>
          </w:tcPr>
          <w:p w14:paraId="4DE5185F" w14:textId="77777777" w:rsidR="00E70930" w:rsidRPr="006E7519" w:rsidRDefault="00E70930" w:rsidP="009E2C7F">
            <w:pPr>
              <w:keepNext/>
              <w:keepLines/>
              <w:tabs>
                <w:tab w:val="decimal" w:pos="854"/>
              </w:tabs>
              <w:ind w:right="395"/>
              <w:jc w:val="right"/>
              <w:rPr>
                <w:rFonts w:cs="Times New Roman"/>
                <w:sz w:val="22"/>
                <w:szCs w:val="22"/>
              </w:rPr>
            </w:pPr>
          </w:p>
        </w:tc>
        <w:tc>
          <w:tcPr>
            <w:tcW w:w="855" w:type="pct"/>
            <w:vAlign w:val="bottom"/>
          </w:tcPr>
          <w:p w14:paraId="68E4C2F6" w14:textId="6C0BAAD9" w:rsidR="00E70930" w:rsidRPr="006E7519" w:rsidRDefault="00E70930" w:rsidP="009E2C7F">
            <w:pPr>
              <w:keepNext/>
              <w:keepLines/>
              <w:tabs>
                <w:tab w:val="decimal" w:pos="1083"/>
              </w:tabs>
              <w:ind w:right="64"/>
              <w:jc w:val="right"/>
              <w:rPr>
                <w:rFonts w:cs="Times New Roman"/>
                <w:sz w:val="22"/>
                <w:szCs w:val="22"/>
                <w:u w:val="thick"/>
              </w:rPr>
            </w:pPr>
          </w:p>
        </w:tc>
      </w:tr>
    </w:tbl>
    <w:p w14:paraId="5B2A2428" w14:textId="77777777" w:rsidR="00E70930" w:rsidRPr="00795A5F" w:rsidRDefault="00E70930" w:rsidP="00E70930">
      <w:pPr>
        <w:keepNext/>
        <w:spacing w:after="80"/>
        <w:rPr>
          <w:rFonts w:cs="Times New Roman"/>
          <w:sz w:val="22"/>
          <w:szCs w:val="22"/>
        </w:rPr>
      </w:pPr>
      <w:r>
        <w:rPr>
          <w:rFonts w:cs="Times New Roman"/>
          <w:sz w:val="22"/>
          <w:szCs w:val="22"/>
        </w:rPr>
        <w:t>____________________________</w:t>
      </w:r>
    </w:p>
    <w:p w14:paraId="7AB9F489" w14:textId="07E46132" w:rsidR="00E70930" w:rsidRPr="00795A5F" w:rsidRDefault="00E70930" w:rsidP="00E70930">
      <w:pPr>
        <w:keepNext/>
        <w:ind w:left="720" w:hanging="720"/>
        <w:jc w:val="both"/>
        <w:rPr>
          <w:rFonts w:cs="Times New Roman"/>
          <w:sz w:val="22"/>
          <w:szCs w:val="22"/>
        </w:rPr>
      </w:pPr>
      <w:r>
        <w:rPr>
          <w:rFonts w:cs="Times New Roman"/>
          <w:sz w:val="22"/>
          <w:szCs w:val="22"/>
          <w:vertAlign w:val="superscript"/>
        </w:rPr>
        <w:t>1</w:t>
      </w:r>
      <w:r>
        <w:rPr>
          <w:rFonts w:cs="Times New Roman"/>
          <w:sz w:val="22"/>
          <w:szCs w:val="22"/>
        </w:rPr>
        <w:tab/>
        <w:t xml:space="preserve">This table does not include the State’s general obligation debt since the State does not currently levy a property tax for such debt. </w:t>
      </w:r>
    </w:p>
    <w:p w14:paraId="4AE71C16" w14:textId="1CE2446F" w:rsidR="00E70930" w:rsidRPr="00795A5F" w:rsidRDefault="00E70930" w:rsidP="00E70930">
      <w:pPr>
        <w:ind w:left="720" w:hanging="720"/>
        <w:jc w:val="both"/>
        <w:rPr>
          <w:rFonts w:cs="Times New Roman"/>
          <w:sz w:val="22"/>
          <w:szCs w:val="22"/>
        </w:rPr>
      </w:pPr>
      <w:r>
        <w:rPr>
          <w:rFonts w:cs="Times New Roman"/>
          <w:sz w:val="22"/>
          <w:szCs w:val="22"/>
          <w:vertAlign w:val="superscript"/>
        </w:rPr>
        <w:t>2</w:t>
      </w:r>
      <w:r>
        <w:rPr>
          <w:rFonts w:cs="Times New Roman"/>
          <w:sz w:val="22"/>
          <w:szCs w:val="22"/>
        </w:rPr>
        <w:tab/>
        <w:t>Based on 202</w:t>
      </w:r>
      <w:r w:rsidR="008804B0">
        <w:rPr>
          <w:rFonts w:cs="Times New Roman"/>
          <w:sz w:val="22"/>
          <w:szCs w:val="22"/>
        </w:rPr>
        <w:t>[5]</w:t>
      </w:r>
      <w:r>
        <w:rPr>
          <w:rFonts w:cs="Times New Roman"/>
          <w:sz w:val="22"/>
          <w:szCs w:val="22"/>
        </w:rPr>
        <w:t xml:space="preserve"> calendar year taxable values. For purposes of this table, taxable value excludes all tax equivalent property associated with motor vehicles, watercraft, recreational vehicles, and all other tangible personal property required to be registered with the State. </w:t>
      </w:r>
    </w:p>
    <w:p w14:paraId="1F2D5CA0" w14:textId="7BCAB094" w:rsidR="00E70930" w:rsidRDefault="00E70930" w:rsidP="00E70930">
      <w:pPr>
        <w:jc w:val="both"/>
        <w:rPr>
          <w:rFonts w:cs="Times New Roman"/>
          <w:sz w:val="22"/>
          <w:szCs w:val="22"/>
        </w:rPr>
      </w:pPr>
      <w:r>
        <w:rPr>
          <w:rFonts w:cs="Times New Roman"/>
          <w:sz w:val="22"/>
          <w:szCs w:val="22"/>
        </w:rPr>
        <w:t>(Source: Utah State Tax Commission as to taxable values. Amount of overlapping general obligation debt as reported in recent official statements and/or financial statements of overlapping entities.)</w:t>
      </w:r>
    </w:p>
    <w:p w14:paraId="54DED077" w14:textId="02F0425F" w:rsidR="00011DB4" w:rsidRDefault="00011DB4" w:rsidP="00B54C54">
      <w:pPr>
        <w:jc w:val="both"/>
        <w:rPr>
          <w:rFonts w:cs="Times New Roman"/>
          <w:sz w:val="22"/>
          <w:szCs w:val="22"/>
        </w:rPr>
      </w:pPr>
    </w:p>
    <w:p w14:paraId="5F8E8F32" w14:textId="77777777" w:rsidR="00011DB4" w:rsidRPr="00DA2177" w:rsidRDefault="00011DB4" w:rsidP="00B471D8">
      <w:pPr>
        <w:pStyle w:val="Heading2"/>
        <w:numPr>
          <w:ilvl w:val="1"/>
          <w:numId w:val="2"/>
        </w:numPr>
        <w:rPr>
          <w:rFonts w:eastAsia="Times New Roman"/>
          <w:sz w:val="22"/>
          <w:szCs w:val="22"/>
        </w:rPr>
      </w:pPr>
      <w:bookmarkStart w:id="255" w:name="_Toc235521130"/>
      <w:r>
        <w:rPr>
          <w:rFonts w:eastAsia="Times New Roman"/>
          <w:sz w:val="22"/>
          <w:szCs w:val="22"/>
        </w:rPr>
        <w:t>Revenue Debt</w:t>
      </w:r>
      <w:bookmarkEnd w:id="255"/>
    </w:p>
    <w:p w14:paraId="562EE185" w14:textId="3C489C5E" w:rsidR="00011DB4" w:rsidRPr="00795A5F" w:rsidRDefault="00011DB4" w:rsidP="00011DB4">
      <w:pPr>
        <w:pStyle w:val="00BodyText5"/>
        <w:rPr>
          <w:rFonts w:cs="Times New Roman"/>
          <w:szCs w:val="22"/>
        </w:rPr>
      </w:pPr>
      <w:r>
        <w:rPr>
          <w:rFonts w:cs="Times New Roman"/>
          <w:b/>
          <w:i/>
          <w:szCs w:val="22"/>
        </w:rPr>
        <w:t>Outstanding Debt</w:t>
      </w:r>
      <w:r>
        <w:rPr>
          <w:rFonts w:cs="Times New Roman"/>
          <w:i/>
          <w:szCs w:val="22"/>
        </w:rPr>
        <w:t xml:space="preserve">. </w:t>
      </w:r>
      <w:r>
        <w:rPr>
          <w:rFonts w:cs="Times New Roman"/>
          <w:szCs w:val="22"/>
        </w:rPr>
        <w:t>Upon issuance of the Bonds, the 2026A-2 SR Bonds will constitute the District’s only outstanding revenue debt.</w:t>
      </w:r>
    </w:p>
    <w:p w14:paraId="7904B82B" w14:textId="3EB55245" w:rsidR="00702499" w:rsidRPr="00AE1922" w:rsidRDefault="00B652F2" w:rsidP="00B652F2">
      <w:pPr>
        <w:jc w:val="both"/>
        <w:rPr>
          <w:rFonts w:cs="Times New Roman"/>
          <w:sz w:val="22"/>
          <w:szCs w:val="22"/>
        </w:rPr>
      </w:pPr>
      <w:r>
        <w:rPr>
          <w:rFonts w:cs="Times New Roman"/>
          <w:sz w:val="22"/>
          <w:szCs w:val="22"/>
        </w:rPr>
        <w:t xml:space="preserve"> </w:t>
      </w:r>
    </w:p>
    <w:p w14:paraId="6F7F166C" w14:textId="29F54C12" w:rsidR="0075493D" w:rsidRPr="00AE1922" w:rsidRDefault="003904FF" w:rsidP="00EE7170">
      <w:pPr>
        <w:pStyle w:val="Heading1"/>
        <w:rPr>
          <w:rFonts w:eastAsia="Times New Roman" w:cs="Times New Roman"/>
          <w:sz w:val="22"/>
          <w:szCs w:val="22"/>
        </w:rPr>
      </w:pPr>
      <w:bookmarkStart w:id="256" w:name="_Toc235521131"/>
      <w:r>
        <w:rPr>
          <w:rFonts w:eastAsia="Times New Roman" w:cs="Times New Roman"/>
          <w:sz w:val="22"/>
          <w:szCs w:val="22"/>
        </w:rPr>
        <w:t>LEGAL MATTERS</w:t>
      </w:r>
      <w:bookmarkEnd w:id="256"/>
    </w:p>
    <w:p w14:paraId="317D9999" w14:textId="77777777" w:rsidR="004B37B2" w:rsidRPr="00AE1922" w:rsidRDefault="004B37B2" w:rsidP="004B37B2">
      <w:pPr>
        <w:pStyle w:val="Heading2"/>
        <w:rPr>
          <w:rFonts w:eastAsia="Times New Roman"/>
          <w:sz w:val="22"/>
          <w:szCs w:val="22"/>
        </w:rPr>
      </w:pPr>
      <w:bookmarkStart w:id="257" w:name="_Toc235521132"/>
      <w:r>
        <w:rPr>
          <w:rFonts w:eastAsia="Times New Roman"/>
          <w:sz w:val="22"/>
          <w:szCs w:val="22"/>
        </w:rPr>
        <w:t>Legal Representation</w:t>
      </w:r>
      <w:bookmarkEnd w:id="257"/>
    </w:p>
    <w:p w14:paraId="18CD083B" w14:textId="5FB515BE" w:rsidR="0083000D" w:rsidRPr="00AE1922" w:rsidRDefault="004B37B2" w:rsidP="004B37B2">
      <w:pPr>
        <w:pStyle w:val="00BodyText5"/>
        <w:rPr>
          <w:rFonts w:cs="Times New Roman"/>
          <w:szCs w:val="22"/>
        </w:rPr>
      </w:pPr>
      <w:r>
        <w:rPr>
          <w:rFonts w:cs="Times New Roman"/>
          <w:szCs w:val="22"/>
        </w:rPr>
        <w:t xml:space="preserve">Legal matters incident to the authorization and issuance of the Bonds are subject to approval by Gilmore &amp; Bell, P.C., Salt Lake City, Utah, as Bond and Disclosure Counsel. Certain legal matters will be passed upon by Snow Jensen &amp; Reece, P.C., St. George, Utah, as counsel to the District. Kutak Rock LLP, Denver, Colorado, is acting as counsel to the Underwriter. Gilmore &amp; Bell, P.C. does not represent the Underwriter or any other party in connection with the issuance of the Bonds. Gilmore &amp; Bell, P.C. represents the Underwriter from time to time on matters unrelated to the District or the Bonds. </w:t>
      </w:r>
      <w:r w:rsidR="008856A4" w:rsidRPr="008856A4">
        <w:rPr>
          <w:rFonts w:cs="Times New Roman"/>
          <w:szCs w:val="22"/>
        </w:rPr>
        <w:t xml:space="preserve">In addition, Gilmore &amp; Bell, P.C. from time to time may represent the </w:t>
      </w:r>
      <w:r w:rsidR="008856A4">
        <w:rPr>
          <w:rFonts w:cs="Times New Roman"/>
          <w:szCs w:val="22"/>
        </w:rPr>
        <w:t>City</w:t>
      </w:r>
      <w:r w:rsidR="008856A4" w:rsidRPr="008856A4">
        <w:rPr>
          <w:rFonts w:cs="Times New Roman"/>
          <w:szCs w:val="22"/>
        </w:rPr>
        <w:t xml:space="preserve"> in unrelated public finance matters.</w:t>
      </w:r>
    </w:p>
    <w:p w14:paraId="7FDE686D" w14:textId="03D4F3F0" w:rsidR="00DE25F6" w:rsidRPr="00AE1922" w:rsidRDefault="00DE25F6" w:rsidP="004B37B2">
      <w:pPr>
        <w:pStyle w:val="00BodyText5"/>
        <w:rPr>
          <w:rFonts w:cs="Times New Roman"/>
          <w:szCs w:val="22"/>
        </w:rPr>
      </w:pPr>
      <w:r>
        <w:rPr>
          <w:rFonts w:cs="Times New Roman"/>
          <w:szCs w:val="22"/>
        </w:rPr>
        <w:t>The legal opinions to be delivered concurrently with the delivery of the Bonds express the professional judgment of the attorneys rendering the opinions as to legal issues expressly addressed therein. By rendering a legal opinion, the opinion giver does not become an insurer or guarantor of the result indicated by that expression of professional judgment, or of the transaction on which the opinion is rendered, or of the future performance of parties to the transaction. Nor does the rendering of an opinion guarantee the outcome of any legal dispute that may arise out of the transaction.</w:t>
      </w:r>
    </w:p>
    <w:p w14:paraId="058A8305" w14:textId="5B0E836C" w:rsidR="0075493D" w:rsidRPr="00AE1922" w:rsidRDefault="003904FF" w:rsidP="00EE7170">
      <w:pPr>
        <w:pStyle w:val="Heading2"/>
        <w:rPr>
          <w:rFonts w:eastAsia="Times New Roman"/>
          <w:sz w:val="22"/>
          <w:szCs w:val="22"/>
        </w:rPr>
      </w:pPr>
      <w:bookmarkStart w:id="258" w:name="_Toc235521133"/>
      <w:r>
        <w:rPr>
          <w:rFonts w:eastAsia="Times New Roman"/>
          <w:sz w:val="22"/>
          <w:szCs w:val="22"/>
        </w:rPr>
        <w:t>Pending and Threatened Litigation Involving the District</w:t>
      </w:r>
      <w:bookmarkEnd w:id="258"/>
    </w:p>
    <w:p w14:paraId="5E8C8758" w14:textId="77777777" w:rsidR="008856A4" w:rsidRPr="00802509" w:rsidRDefault="008856A4" w:rsidP="008856A4">
      <w:pPr>
        <w:pStyle w:val="00BodyText5"/>
      </w:pPr>
      <w:bookmarkStart w:id="259" w:name="_Toc11317367"/>
      <w:bookmarkStart w:id="260" w:name="_Toc14438821"/>
      <w:bookmarkStart w:id="261" w:name="_Toc166306657"/>
      <w:bookmarkStart w:id="262" w:name="_Toc522522851"/>
      <w:bookmarkStart w:id="263" w:name="_Toc532887342"/>
      <w:r w:rsidRPr="00802509">
        <w:t xml:space="preserve">In connection with the issuance of the Bonds, General Counsel to the District is expected to render an opinion stating that, to the best of </w:t>
      </w:r>
      <w:r w:rsidRPr="000E5D4E">
        <w:rPr>
          <w:szCs w:val="22"/>
        </w:rPr>
        <w:t>its</w:t>
      </w:r>
      <w:r w:rsidRPr="00802509">
        <w:t xml:space="preserve"> actual knowledge</w:t>
      </w:r>
      <w:r>
        <w:rPr>
          <w:szCs w:val="22"/>
        </w:rPr>
        <w:t>,</w:t>
      </w:r>
      <w:r w:rsidRPr="00802509">
        <w:t xml:space="preserve"> there is no action, suit, or proceeding pending in which the District is a party</w:t>
      </w:r>
      <w:r w:rsidRPr="00C57DFA">
        <w:rPr>
          <w:szCs w:val="22"/>
        </w:rPr>
        <w:t>, nor is there any inquiry or investigation pending against the District by any governmental agency, public agency, or authority which, if determined adversely to the District, would have a material adverse effect upon the District’s ability to comply with its obligations</w:t>
      </w:r>
      <w:r w:rsidRPr="00802509">
        <w:t>.</w:t>
      </w:r>
    </w:p>
    <w:p w14:paraId="1FA3B692" w14:textId="6B252CBA" w:rsidR="00DA3CFB" w:rsidRPr="00AE1922" w:rsidRDefault="00DA3CFB" w:rsidP="00DA3CFB">
      <w:pPr>
        <w:pStyle w:val="00BodyText5"/>
        <w:rPr>
          <w:rFonts w:cs="Times New Roman"/>
          <w:szCs w:val="22"/>
        </w:rPr>
      </w:pPr>
      <w:r>
        <w:rPr>
          <w:rFonts w:cs="Times New Roman"/>
          <w:szCs w:val="22"/>
        </w:rPr>
        <w:t xml:space="preserve">In addition, it is anticipated that, in connection with the issuance of the Bonds, the District will execute a certificate stating that there is no action, suit, proceeding or investigation at law or in equity before or by any court, public board or body which has been served on the District or, to the knowledge of the District, threatened against or affecting the District: (a) to restrain or enjoin the District’s participation in, or in any way contesting the existence of the District or the powers of the District with respect to, the consummation of the transactions contemplated by the Indentures and the Continuing Disclosure Agreement, including but not limited to the validity of the Bond Consent or the authority of the District to impose and collect ad valorem property taxes and Contract Fees, or (b) which, if successful, would materially and adversely affect the financial condition or operations of the District, or the District’s power to issue and deliver the Bonds or the District’s power to perform its obligations under the Indentures and the Continuing Disclosure Agreement. </w:t>
      </w:r>
    </w:p>
    <w:p w14:paraId="2695EB71" w14:textId="28861F6F" w:rsidR="00DE25F6" w:rsidRPr="00AE1922" w:rsidRDefault="001F0C05" w:rsidP="00DE25F6">
      <w:pPr>
        <w:pStyle w:val="Heading2"/>
        <w:rPr>
          <w:sz w:val="22"/>
          <w:szCs w:val="22"/>
        </w:rPr>
      </w:pPr>
      <w:bookmarkStart w:id="264" w:name="_Toc235521134"/>
      <w:r>
        <w:rPr>
          <w:sz w:val="22"/>
          <w:szCs w:val="22"/>
        </w:rPr>
        <w:t>Indentures to Constitute Contract</w:t>
      </w:r>
      <w:bookmarkEnd w:id="259"/>
      <w:bookmarkEnd w:id="260"/>
      <w:bookmarkEnd w:id="264"/>
    </w:p>
    <w:p w14:paraId="0C53A4A0" w14:textId="77777777" w:rsidR="00095923" w:rsidRPr="00AE1922" w:rsidRDefault="00095923" w:rsidP="00095923">
      <w:pPr>
        <w:pStyle w:val="00BodyText5"/>
        <w:rPr>
          <w:rFonts w:cs="Times New Roman"/>
          <w:szCs w:val="22"/>
        </w:rPr>
      </w:pPr>
      <w:bookmarkStart w:id="265" w:name="_Toc14438822"/>
      <w:r w:rsidRPr="00AE1922">
        <w:rPr>
          <w:rFonts w:cs="Times New Roman"/>
          <w:szCs w:val="22"/>
        </w:rPr>
        <w:t xml:space="preserve">The Indentures provide that they constitute contracts among the District, the Trustee, and the Owners of the </w:t>
      </w:r>
      <w:r>
        <w:rPr>
          <w:rFonts w:cs="Times New Roman"/>
          <w:szCs w:val="22"/>
        </w:rPr>
        <w:t>2026A-1 Senior LT Bonds</w:t>
      </w:r>
      <w:r w:rsidRPr="00AE1922">
        <w:rPr>
          <w:rFonts w:cs="Times New Roman"/>
          <w:szCs w:val="22"/>
        </w:rPr>
        <w:t xml:space="preserve">, the </w:t>
      </w:r>
      <w:r>
        <w:rPr>
          <w:rFonts w:cs="Times New Roman"/>
          <w:szCs w:val="22"/>
        </w:rPr>
        <w:t>2026A-2 SR Bonds</w:t>
      </w:r>
      <w:r w:rsidRPr="00AE1922">
        <w:rPr>
          <w:rFonts w:cs="Times New Roman"/>
          <w:szCs w:val="22"/>
        </w:rPr>
        <w:t xml:space="preserve">, or the </w:t>
      </w:r>
      <w:r>
        <w:rPr>
          <w:rFonts w:cs="Times New Roman"/>
          <w:szCs w:val="22"/>
        </w:rPr>
        <w:t>2026B Subordinate LT Bonds</w:t>
      </w:r>
      <w:r w:rsidRPr="00AE1922">
        <w:rPr>
          <w:rFonts w:cs="Times New Roman"/>
          <w:szCs w:val="22"/>
        </w:rPr>
        <w:t xml:space="preserve">, as applicable, and that they will remain in full force and effect until the </w:t>
      </w:r>
      <w:r>
        <w:rPr>
          <w:rFonts w:cs="Times New Roman"/>
          <w:szCs w:val="22"/>
        </w:rPr>
        <w:t>2026A-1 Senior LT Bonds,</w:t>
      </w:r>
      <w:r w:rsidRPr="00AE1922">
        <w:rPr>
          <w:rFonts w:cs="Times New Roman"/>
          <w:szCs w:val="22"/>
        </w:rPr>
        <w:t xml:space="preserve"> the </w:t>
      </w:r>
      <w:r>
        <w:rPr>
          <w:rFonts w:cs="Times New Roman"/>
          <w:szCs w:val="22"/>
        </w:rPr>
        <w:t>2026A-2 SR Bonds</w:t>
      </w:r>
      <w:r w:rsidRPr="00AE1922">
        <w:rPr>
          <w:rFonts w:cs="Times New Roman"/>
          <w:szCs w:val="22"/>
        </w:rPr>
        <w:t xml:space="preserve">, or the </w:t>
      </w:r>
      <w:r>
        <w:rPr>
          <w:rFonts w:cs="Times New Roman"/>
          <w:szCs w:val="22"/>
        </w:rPr>
        <w:t>2026B Subordinate LT Bonds</w:t>
      </w:r>
      <w:r w:rsidRPr="00AE1922">
        <w:rPr>
          <w:rFonts w:cs="Times New Roman"/>
          <w:szCs w:val="22"/>
        </w:rPr>
        <w:t>, as applicable, are no longer Outstanding.</w:t>
      </w:r>
    </w:p>
    <w:p w14:paraId="2C9DCD44" w14:textId="3448366B" w:rsidR="00DE25F6" w:rsidRPr="00AE1922" w:rsidRDefault="00DE25F6" w:rsidP="00DE25F6">
      <w:pPr>
        <w:pStyle w:val="Heading2"/>
        <w:rPr>
          <w:sz w:val="22"/>
          <w:szCs w:val="22"/>
        </w:rPr>
      </w:pPr>
      <w:bookmarkStart w:id="266" w:name="_Toc235521135"/>
      <w:r>
        <w:rPr>
          <w:sz w:val="22"/>
          <w:szCs w:val="22"/>
        </w:rPr>
        <w:t>Future Changes in Laws</w:t>
      </w:r>
      <w:bookmarkEnd w:id="261"/>
      <w:bookmarkEnd w:id="262"/>
      <w:bookmarkEnd w:id="263"/>
      <w:bookmarkEnd w:id="265"/>
      <w:bookmarkEnd w:id="266"/>
    </w:p>
    <w:p w14:paraId="3CD86AD1" w14:textId="31A307BD" w:rsidR="00DE25F6" w:rsidRPr="00AE1922" w:rsidRDefault="00DE25F6" w:rsidP="00DF53A7">
      <w:pPr>
        <w:pStyle w:val="00BodyText5"/>
        <w:rPr>
          <w:rFonts w:cs="Times New Roman"/>
          <w:szCs w:val="22"/>
        </w:rPr>
      </w:pPr>
      <w:r>
        <w:rPr>
          <w:rStyle w:val="00BodyText5Char"/>
          <w:rFonts w:cs="Times New Roman"/>
          <w:szCs w:val="22"/>
        </w:rPr>
        <w:t>Various State laws and constitutional provisions apply to the imposition, collection, and expenditure of ad valorem property taxes, fees, and assessments and the operation of the District. There is no assurance that there will not be any change in the interpretation of, or additions to applicable laws, provisions, and regulations which would have a material effect, directly or indirectly, on the affairs of the District and</w:t>
      </w:r>
      <w:r>
        <w:rPr>
          <w:rFonts w:cs="Times New Roman"/>
          <w:szCs w:val="22"/>
        </w:rPr>
        <w:t xml:space="preserve"> the imposition, collection, and expenditure of ad valorem property taxes, fees, and assessments. </w:t>
      </w:r>
    </w:p>
    <w:p w14:paraId="5586A7D8" w14:textId="77777777" w:rsidR="00DE25F6" w:rsidRPr="00AE1922" w:rsidRDefault="00DE25F6" w:rsidP="00DE25F6">
      <w:pPr>
        <w:pStyle w:val="Heading2"/>
        <w:rPr>
          <w:sz w:val="22"/>
          <w:szCs w:val="22"/>
        </w:rPr>
      </w:pPr>
      <w:bookmarkStart w:id="267" w:name="_Toc522522852"/>
      <w:bookmarkStart w:id="268" w:name="_Toc532887343"/>
      <w:bookmarkStart w:id="269" w:name="_Toc14438823"/>
      <w:bookmarkStart w:id="270" w:name="_Toc235521136"/>
      <w:r>
        <w:rPr>
          <w:sz w:val="22"/>
          <w:szCs w:val="22"/>
        </w:rPr>
        <w:t>Limitations on Remedies, Available to Bondholders</w:t>
      </w:r>
      <w:bookmarkEnd w:id="267"/>
      <w:bookmarkEnd w:id="268"/>
      <w:bookmarkEnd w:id="269"/>
      <w:bookmarkEnd w:id="270"/>
    </w:p>
    <w:p w14:paraId="188A87CC" w14:textId="763D55CB" w:rsidR="00617B7C" w:rsidRPr="00AE1922" w:rsidRDefault="00DE25F6" w:rsidP="006B3631">
      <w:pPr>
        <w:pStyle w:val="00BodyText5"/>
        <w:rPr>
          <w:rFonts w:cs="Times New Roman"/>
          <w:szCs w:val="22"/>
        </w:rPr>
      </w:pPr>
      <w:r>
        <w:rPr>
          <w:rFonts w:cs="Times New Roman"/>
          <w:szCs w:val="22"/>
        </w:rPr>
        <w:t xml:space="preserve">The enforceability of the rights and remedies of the Owners, and the obligations incurred by the District in issuing the Bonds, are subject to the following: the federal bankruptcy code and applicable bankruptcy, insolvency, reorganization, moratorium, or similar laws relating to or affecting the enforcement of creditors’ rights generally, now or hereafter in effect; usual equity principles which may limit the specific enforcement under State law of certain remedies; the exercise by the United States of America of the powers granted to it by the federal Constitution; and the reasonable and necessary exercise, in certain exceptional situations, of the police power inherent in the sovereignty of the State and its governmental bodies in the interest of serving a significant and legitimate public purpose. Under the current laws of the State, political subdivisions of the State, such as the District, are not permitted to seek protection from creditors under the United States Bankruptcy Code. The District cannot predict whether any future legislation by the legislature of the State would be adopted permitting political subdivisions of the State to seek protection under the United States Bankruptcy Code. </w:t>
      </w:r>
    </w:p>
    <w:p w14:paraId="5F376F60" w14:textId="77777777" w:rsidR="0075493D" w:rsidRPr="00AE1922" w:rsidRDefault="003904FF" w:rsidP="00EE7170">
      <w:pPr>
        <w:pStyle w:val="Heading1"/>
        <w:rPr>
          <w:rFonts w:eastAsia="Times New Roman" w:cs="Times New Roman"/>
          <w:sz w:val="22"/>
          <w:szCs w:val="22"/>
        </w:rPr>
      </w:pPr>
      <w:bookmarkStart w:id="271" w:name="_Toc235521137"/>
      <w:r>
        <w:rPr>
          <w:rFonts w:eastAsia="Times New Roman" w:cs="Times New Roman"/>
          <w:sz w:val="22"/>
          <w:szCs w:val="22"/>
        </w:rPr>
        <w:t>TAX MATTERS</w:t>
      </w:r>
      <w:bookmarkEnd w:id="271"/>
    </w:p>
    <w:p w14:paraId="02FF52A6" w14:textId="24E5EF7A" w:rsidR="002800EA" w:rsidRPr="00AE1922" w:rsidRDefault="002800EA" w:rsidP="00C34AA2">
      <w:pPr>
        <w:pStyle w:val="00BodyText5"/>
        <w:rPr>
          <w:rFonts w:cs="Times New Roman"/>
          <w:kern w:val="2"/>
          <w:szCs w:val="22"/>
        </w:rPr>
      </w:pPr>
      <w:r>
        <w:rPr>
          <w:rFonts w:cs="Times New Roman"/>
          <w:szCs w:val="22"/>
        </w:rPr>
        <w:t xml:space="preserve">The following is a summary of the material federal and State of Utah income tax consequences of holding and disposing of the Bonds. This summary is based upon laws, regulations, rulings and judicial decisions now in effect, all of which are subject to change (possibly on a retroactive basis). This summary does not discuss all aspects of federal income taxation that may be relevant to investors in light of their personal investment circumstances or describe the tax consequences to certain types of owners subject to special treatment under the federal income tax laws (for example, dealers in securities or other persons who do not hold the Bonds as a capital asset, tax-exempt organizations, individual retirement accounts and other tax deferred accounts, and foreign taxpayers), and, except for the income tax laws of the State </w:t>
      </w:r>
      <w:r w:rsidR="00E058AA">
        <w:rPr>
          <w:rFonts w:cs="Times New Roman"/>
          <w:szCs w:val="22"/>
        </w:rPr>
        <w:t xml:space="preserve">of </w:t>
      </w:r>
      <w:r>
        <w:rPr>
          <w:rFonts w:cs="Times New Roman"/>
          <w:szCs w:val="22"/>
        </w:rPr>
        <w:t>Utah, does not discuss the consequences to an owner under any state, local or foreign tax laws. The summary does not deal with the tax treatment of persons who purchase the Bonds in the secondary market. Prospective investors are advised to consult their own tax advisors regarding federal, state, local and other tax considerations of holding and disposing of the Bonds.</w:t>
      </w:r>
    </w:p>
    <w:p w14:paraId="15597FAD" w14:textId="77777777" w:rsidR="002800EA" w:rsidRPr="00AE1922" w:rsidRDefault="002800EA" w:rsidP="002517AC">
      <w:pPr>
        <w:pStyle w:val="Heading2"/>
        <w:rPr>
          <w:sz w:val="22"/>
          <w:szCs w:val="22"/>
        </w:rPr>
      </w:pPr>
      <w:bookmarkStart w:id="272" w:name="_Toc235521138"/>
      <w:r>
        <w:rPr>
          <w:sz w:val="22"/>
          <w:szCs w:val="22"/>
        </w:rPr>
        <w:t>Opinion of Bond Counsel</w:t>
      </w:r>
      <w:bookmarkEnd w:id="272"/>
    </w:p>
    <w:p w14:paraId="4C6767A0" w14:textId="533F080E" w:rsidR="002800EA" w:rsidRPr="00AE1922" w:rsidRDefault="002800EA" w:rsidP="000B312D">
      <w:pPr>
        <w:pStyle w:val="00BodyText5"/>
        <w:keepNext/>
        <w:rPr>
          <w:rFonts w:cs="Times New Roman"/>
          <w:szCs w:val="22"/>
        </w:rPr>
      </w:pPr>
      <w:r>
        <w:rPr>
          <w:rFonts w:cs="Times New Roman"/>
          <w:szCs w:val="22"/>
        </w:rPr>
        <w:t>In the opinion of Gilmore &amp; Bell, P.C., Bond Counsel to the District, under the law existing as of the issue date of the Bonds:</w:t>
      </w:r>
    </w:p>
    <w:p w14:paraId="1A678F31" w14:textId="2B86104F" w:rsidR="002800EA" w:rsidRPr="00AE1922" w:rsidRDefault="002800EA" w:rsidP="00053091">
      <w:pPr>
        <w:pStyle w:val="00BodyText5"/>
        <w:rPr>
          <w:rFonts w:cs="Times New Roman"/>
          <w:szCs w:val="22"/>
        </w:rPr>
      </w:pPr>
      <w:r>
        <w:rPr>
          <w:rFonts w:cs="Times New Roman"/>
          <w:b/>
          <w:i/>
          <w:szCs w:val="22"/>
        </w:rPr>
        <w:t xml:space="preserve">Federal and State of Utah Tax Exemption. </w:t>
      </w:r>
      <w:r>
        <w:rPr>
          <w:rFonts w:cs="Times New Roman"/>
          <w:szCs w:val="22"/>
        </w:rPr>
        <w:t>The interest on the Bonds (including any original issue discount properly allocable to an owner thereof) is excludable from gross income for federal income tax purposes and is exempt from income taxation by the State.</w:t>
      </w:r>
    </w:p>
    <w:p w14:paraId="4E537F67" w14:textId="691FE4A0" w:rsidR="002800EA" w:rsidRPr="00AE1922" w:rsidRDefault="002800EA" w:rsidP="00053091">
      <w:pPr>
        <w:pStyle w:val="00BodyText5"/>
        <w:rPr>
          <w:rFonts w:cs="Times New Roman"/>
          <w:szCs w:val="22"/>
        </w:rPr>
      </w:pPr>
      <w:r>
        <w:rPr>
          <w:rFonts w:cs="Times New Roman"/>
          <w:b/>
          <w:i/>
          <w:szCs w:val="22"/>
        </w:rPr>
        <w:t xml:space="preserve">Alternative Minimum Tax. </w:t>
      </w:r>
      <w:r>
        <w:rPr>
          <w:rFonts w:cs="Times New Roman"/>
          <w:szCs w:val="22"/>
        </w:rPr>
        <w:t>The interest on the Bonds is not an item of tax preference for purposes of computing the federal alternative minimum tax.</w:t>
      </w:r>
    </w:p>
    <w:p w14:paraId="0AAAA6FE" w14:textId="2161F379" w:rsidR="002800EA" w:rsidRPr="00AE1922" w:rsidRDefault="002800EA" w:rsidP="00053091">
      <w:pPr>
        <w:pStyle w:val="00BodyText5"/>
        <w:rPr>
          <w:rFonts w:cs="Times New Roman"/>
          <w:szCs w:val="22"/>
        </w:rPr>
      </w:pPr>
      <w:r>
        <w:rPr>
          <w:rFonts w:cs="Times New Roman"/>
          <w:b/>
          <w:i/>
          <w:szCs w:val="22"/>
        </w:rPr>
        <w:t xml:space="preserve">Bank Qualification. </w:t>
      </w:r>
      <w:r>
        <w:rPr>
          <w:rFonts w:cs="Times New Roman"/>
          <w:szCs w:val="22"/>
        </w:rPr>
        <w:t>The Bonds have not been designated as “qualified tax-exempt obligations” for purposes of Section 265(b)(3) of the Code.</w:t>
      </w:r>
    </w:p>
    <w:p w14:paraId="3A73174E" w14:textId="49EFC2C7" w:rsidR="002800EA" w:rsidRPr="00AE1922" w:rsidRDefault="002800EA" w:rsidP="00053091">
      <w:pPr>
        <w:pStyle w:val="00BodyText5"/>
        <w:rPr>
          <w:rFonts w:cs="Times New Roman"/>
          <w:szCs w:val="22"/>
        </w:rPr>
      </w:pPr>
      <w:r>
        <w:rPr>
          <w:rFonts w:cs="Times New Roman"/>
          <w:szCs w:val="22"/>
        </w:rPr>
        <w:t>Bond Counsel’s opinions are provided as of the date of the original issue of the Bonds, subject to the condition that the District comply with all requirements of the Code that must be satisfied subsequent to the issuance of the Bonds in order that interest thereon be, or continue to be, excludable from gross income for federal income tax purposes. The District has covenanted to comply with all such requirements. Failure to comply with certain of such requirements may cause the inclusion of interest on the Bonds in gross income for federal income tax purposes retroactive to the date of issuance of the Bonds. Bond Counsel is expressing no opinion regarding other federal, state or local tax consequences arising with respect to the Bonds, but has reviewed the discussion under the heading “TAX MATTERS.”</w:t>
      </w:r>
    </w:p>
    <w:p w14:paraId="1AEED6C0" w14:textId="77777777" w:rsidR="002800EA" w:rsidRPr="00AE1922" w:rsidRDefault="002800EA" w:rsidP="002517AC">
      <w:pPr>
        <w:pStyle w:val="Heading2"/>
        <w:rPr>
          <w:sz w:val="22"/>
          <w:szCs w:val="22"/>
        </w:rPr>
      </w:pPr>
      <w:bookmarkStart w:id="273" w:name="_Toc235521139"/>
      <w:bookmarkStart w:id="274" w:name="OLE_LINK1"/>
      <w:bookmarkStart w:id="275" w:name="OLE_LINK2"/>
      <w:r>
        <w:rPr>
          <w:sz w:val="22"/>
          <w:szCs w:val="22"/>
        </w:rPr>
        <w:t>Other Tax Consequences</w:t>
      </w:r>
      <w:bookmarkEnd w:id="273"/>
    </w:p>
    <w:bookmarkEnd w:id="274"/>
    <w:bookmarkEnd w:id="275"/>
    <w:p w14:paraId="77B3D334" w14:textId="3B7C0AB4" w:rsidR="0097472A" w:rsidRPr="00AE1922" w:rsidRDefault="0097472A" w:rsidP="0097472A">
      <w:pPr>
        <w:pStyle w:val="00BodyText5"/>
        <w:rPr>
          <w:rFonts w:cs="Times New Roman"/>
          <w:szCs w:val="22"/>
        </w:rPr>
      </w:pPr>
      <w:r>
        <w:rPr>
          <w:rFonts w:cs="Times New Roman"/>
          <w:b/>
          <w:i/>
          <w:szCs w:val="22"/>
        </w:rPr>
        <w:t>Original Issue Discount</w:t>
      </w:r>
      <w:r>
        <w:rPr>
          <w:rFonts w:cs="Times New Roman"/>
          <w:szCs w:val="22"/>
        </w:rPr>
        <w:t>. For federal income tax purposes, original issue discount is the excess of the stated redemption price at maturity of a Bond over its issue price. The stated redemption price at maturity of a Bond is the sum of all payments on the Bond other than “qualified stated interest” (i.e., interest unconditionally payable at least annually at a single fixed rate). The issue price of a Bond is generally the first price at which a substantial amount of the Bonds of that maturity have been sold to the public. Under Section 1288 of the Code, original issue discount on tax-exempt bonds accrues on a compound basis. The amount of original issue discount that accrues to an owner of a Bond during any accrual period generally equals (1) the issue price of that Bond, plus the amount of original issue discount accrued in all prior accrual periods, multiplied by (2) the yield to maturity on that Bond (determined on the basis of compounding at the close of each accrual period and properly adjusted for the length of the accrual period), minus (3) any interest payable on that Bond during that accrual period. The amount of original issue discount accrued in a particular accrual period will be considered to be received ratably on each day of the accrual period, will be excludable from gross income for federal income tax purposes, and will increase the owner’s tax basis in that Bond. Prospective investors should consult their own tax advisors concerning the calculation and accrual of original issue discount</w:t>
      </w:r>
      <w:r w:rsidR="00E058AA">
        <w:rPr>
          <w:rFonts w:cs="Times New Roman"/>
          <w:szCs w:val="22"/>
        </w:rPr>
        <w:t>, if any</w:t>
      </w:r>
      <w:r>
        <w:rPr>
          <w:rFonts w:cs="Times New Roman"/>
          <w:szCs w:val="22"/>
        </w:rPr>
        <w:t>.</w:t>
      </w:r>
    </w:p>
    <w:p w14:paraId="48BA6A86" w14:textId="33506A17" w:rsidR="0097472A" w:rsidRPr="00AE1922" w:rsidRDefault="0097472A" w:rsidP="0097472A">
      <w:pPr>
        <w:pStyle w:val="05BodyTextJustified"/>
        <w:rPr>
          <w:rFonts w:cs="Times New Roman"/>
          <w:kern w:val="2"/>
          <w:sz w:val="22"/>
        </w:rPr>
      </w:pPr>
      <w:r>
        <w:rPr>
          <w:rFonts w:cs="Times New Roman"/>
          <w:b/>
          <w:i/>
          <w:kern w:val="2"/>
          <w:sz w:val="22"/>
        </w:rPr>
        <w:t>Original Issue Premium</w:t>
      </w:r>
      <w:r>
        <w:rPr>
          <w:rFonts w:cs="Times New Roman"/>
          <w:kern w:val="2"/>
          <w:sz w:val="22"/>
        </w:rPr>
        <w:t>. For federal income tax purposes, premium is the excess of the issue price of a Bond over its stated redemption price at maturity. The stated redemption price at maturity of a Bond is the sum of all payments on the Bond other than “qualified stated interest” (i.e., interest unconditionally payable at least annually at a single fixed rate). The issue price of a Bond is generally the first price at which a substantial amount of the Bonds of that maturity have been sold to the public. Under Section 171 of the Code, premium on tax-exempt bonds amortizes over the term of the Bond using constant yield principles, based on the purchaser’s yield to maturity. As premium is amortized, the owner’s basis in the Bond and the amount of tax-exempt interest received will be reduced by the amount of amortizable premium properly allocable to the owner, which will result in an increase in the gain (or decrease in the loss) to be recognized for federal income tax purposes on sale or disposition of the Bond prior to its maturity. Even though the owner’s basis is reduced, no federal income tax deduction is allowed. Prospective investors should consult their own tax advisors concerning the calculation and accrual of bond premium</w:t>
      </w:r>
      <w:r w:rsidR="00E058AA">
        <w:rPr>
          <w:rFonts w:cs="Times New Roman"/>
          <w:kern w:val="2"/>
          <w:sz w:val="22"/>
        </w:rPr>
        <w:t>, if any</w:t>
      </w:r>
      <w:r>
        <w:rPr>
          <w:rFonts w:cs="Times New Roman"/>
          <w:kern w:val="2"/>
          <w:sz w:val="22"/>
        </w:rPr>
        <w:t>.</w:t>
      </w:r>
    </w:p>
    <w:p w14:paraId="1C63E7E8" w14:textId="2F02B2EC" w:rsidR="002800EA" w:rsidRPr="00AE1922" w:rsidRDefault="0097472A" w:rsidP="00053091">
      <w:pPr>
        <w:pStyle w:val="00BodyText5"/>
        <w:rPr>
          <w:rFonts w:cs="Times New Roman"/>
          <w:szCs w:val="22"/>
        </w:rPr>
      </w:pPr>
      <w:r>
        <w:rPr>
          <w:rFonts w:cs="Times New Roman"/>
          <w:b/>
          <w:i/>
          <w:iCs/>
          <w:szCs w:val="22"/>
        </w:rPr>
        <w:t>Sale, Exchange</w:t>
      </w:r>
      <w:r w:rsidR="00E058AA">
        <w:rPr>
          <w:rFonts w:cs="Times New Roman"/>
          <w:b/>
          <w:i/>
          <w:iCs/>
          <w:szCs w:val="22"/>
        </w:rPr>
        <w:t>,</w:t>
      </w:r>
      <w:r>
        <w:rPr>
          <w:rFonts w:cs="Times New Roman"/>
          <w:b/>
          <w:i/>
          <w:iCs/>
          <w:szCs w:val="22"/>
        </w:rPr>
        <w:t xml:space="preserve"> or Retirement of Bonds</w:t>
      </w:r>
      <w:r>
        <w:rPr>
          <w:rFonts w:cs="Times New Roman"/>
          <w:iCs/>
          <w:szCs w:val="22"/>
        </w:rPr>
        <w:t>. Upon the sale, exchange, or retirement (including redemption) of a Bond, an owner of the Bond generally will recognize gain or loss in an amount equal to the difference between the amount of cash and the fair market value of any property actually or constructively received on the sale, exchange, or retirement of the Bond (other than in respect of accrued and unpaid interest) and such owner’s adjusted tax basis in the Bond. To the extent a Bond is held as a capital asset, such gain or loss will be capital gain or loss and will be long-term capital gain or loss if the Bond has been held for more than 12 months at the time of sale, exchange or retirement.</w:t>
      </w:r>
    </w:p>
    <w:p w14:paraId="6E076762" w14:textId="0B21C25A" w:rsidR="002800EA" w:rsidRPr="00AE1922" w:rsidRDefault="002800EA" w:rsidP="00053091">
      <w:pPr>
        <w:pStyle w:val="00BodyText5"/>
        <w:rPr>
          <w:rFonts w:cs="Times New Roman"/>
          <w:i/>
          <w:kern w:val="2"/>
          <w:szCs w:val="22"/>
        </w:rPr>
      </w:pPr>
      <w:r>
        <w:rPr>
          <w:rFonts w:cs="Times New Roman"/>
          <w:b/>
          <w:i/>
          <w:iCs/>
          <w:szCs w:val="22"/>
        </w:rPr>
        <w:t>Reporting Requirements</w:t>
      </w:r>
      <w:r>
        <w:rPr>
          <w:rFonts w:cs="Times New Roman"/>
          <w:szCs w:val="22"/>
        </w:rPr>
        <w:t>. In general, information reporting requirements will apply to certain payments of principal, interest and premium paid on the Bonds, and to the proceeds paid on the sale of the Bonds, other than certain exempt recipients (such as corporations and foreign entities). A backup withholding tax will apply to such payments if the owner fails to provide a taxpayer identification number or certification of foreign or other exempt status or fails to report in full dividend and interest income. The amount of any backup withholding from a payment to an owner will be allowed as a credit against the owner’s federal income tax liability.</w:t>
      </w:r>
    </w:p>
    <w:p w14:paraId="6B3FE86E" w14:textId="77777777" w:rsidR="004A6375" w:rsidRPr="005D45F1" w:rsidRDefault="004A6375" w:rsidP="004A6375">
      <w:pPr>
        <w:pStyle w:val="00BodyText5"/>
      </w:pPr>
      <w:r>
        <w:rPr>
          <w:b/>
          <w:i/>
        </w:rPr>
        <w:t>Collateral Federal Income Tax Consequences</w:t>
      </w:r>
      <w:r>
        <w:rPr>
          <w:b/>
          <w:bCs/>
        </w:rPr>
        <w:t xml:space="preserve">. </w:t>
      </w:r>
      <w:r>
        <w:t>Prospective purchasers of the Bonds should be aware that ownership of the Bonds may result in collateral federal income tax consequences to certain taxpayers, including, without limitation, certain applicable corporations subject to the corporate alternative minimum tax, financial institutions, property and casualty insurance companies, individual recipients of Social Security or Railroad Retirement benefits, certain S corporations with “excess net passive income,” foreign corporations subject to the branch profits tax, life insurance companies, and taxpayers who may be deemed to have incurred or continued indebtedness to purchase or carry or have paid or incurred certain expenses allocable to the Bonds. Bond Counsel expresses no opinion regarding these tax consequences. Purchasers of Bonds should consult their tax advisors as to the applicability of these tax consequences and other federal income tax consequences of the purchase, ownership and disposition of the Bonds, including the possible application of state, local, foreign and other tax laws.</w:t>
      </w:r>
    </w:p>
    <w:p w14:paraId="0DC4AA2B" w14:textId="6B00B8A5" w:rsidR="004A6375" w:rsidRPr="005D45F1" w:rsidRDefault="004A6375" w:rsidP="004A6375">
      <w:pPr>
        <w:pStyle w:val="00BodyText5"/>
      </w:pPr>
      <w:r>
        <w:t>Bond Counsel notes that interest on the Bonds may be included in adjusted financial statement income of applicable corporations for purposes of determining the applicability and amount of the federal corporate alternative minimum tax.</w:t>
      </w:r>
    </w:p>
    <w:p w14:paraId="12868C8F" w14:textId="77777777" w:rsidR="0075493D" w:rsidRPr="00AE1922" w:rsidRDefault="003904FF" w:rsidP="00EE7170">
      <w:pPr>
        <w:pStyle w:val="Heading1"/>
        <w:rPr>
          <w:rFonts w:eastAsia="Times New Roman" w:cs="Times New Roman"/>
          <w:sz w:val="22"/>
          <w:szCs w:val="22"/>
        </w:rPr>
      </w:pPr>
      <w:bookmarkStart w:id="276" w:name="_Toc235521140"/>
      <w:r>
        <w:rPr>
          <w:rFonts w:eastAsia="Times New Roman" w:cs="Times New Roman"/>
          <w:sz w:val="22"/>
          <w:szCs w:val="22"/>
        </w:rPr>
        <w:t>MISCELLANEOUS</w:t>
      </w:r>
      <w:bookmarkEnd w:id="276"/>
    </w:p>
    <w:p w14:paraId="59BF2D6E" w14:textId="77777777" w:rsidR="009D172F" w:rsidRPr="00AE1922" w:rsidRDefault="009D172F" w:rsidP="009D172F">
      <w:pPr>
        <w:pStyle w:val="Heading2"/>
        <w:rPr>
          <w:sz w:val="22"/>
          <w:szCs w:val="22"/>
        </w:rPr>
      </w:pPr>
      <w:bookmarkStart w:id="277" w:name="_Toc166306661"/>
      <w:bookmarkStart w:id="278" w:name="_Toc524131016"/>
      <w:bookmarkStart w:id="279" w:name="_Toc14438829"/>
      <w:bookmarkStart w:id="280" w:name="_Toc235521141"/>
      <w:r>
        <w:rPr>
          <w:sz w:val="22"/>
          <w:szCs w:val="22"/>
        </w:rPr>
        <w:t>No Rating</w:t>
      </w:r>
      <w:bookmarkEnd w:id="277"/>
      <w:bookmarkEnd w:id="278"/>
      <w:bookmarkEnd w:id="279"/>
      <w:bookmarkEnd w:id="280"/>
    </w:p>
    <w:p w14:paraId="163EBB64" w14:textId="77777777" w:rsidR="009D172F" w:rsidRPr="00AE1922" w:rsidRDefault="009D172F" w:rsidP="009D172F">
      <w:pPr>
        <w:pStyle w:val="00BodyText5"/>
        <w:rPr>
          <w:rFonts w:cs="Times New Roman"/>
          <w:szCs w:val="22"/>
        </w:rPr>
      </w:pPr>
      <w:r>
        <w:rPr>
          <w:rFonts w:cs="Times New Roman"/>
          <w:szCs w:val="22"/>
        </w:rPr>
        <w:t>No rating has been or will be applied for with respect to this financing.</w:t>
      </w:r>
    </w:p>
    <w:p w14:paraId="7FA7AA6A" w14:textId="77777777" w:rsidR="009D172F" w:rsidRPr="00AE1922" w:rsidRDefault="009D172F" w:rsidP="009D172F">
      <w:pPr>
        <w:pStyle w:val="Heading2"/>
        <w:rPr>
          <w:sz w:val="22"/>
          <w:szCs w:val="22"/>
        </w:rPr>
      </w:pPr>
      <w:bookmarkStart w:id="281" w:name="_Toc166306662"/>
      <w:bookmarkStart w:id="282" w:name="_Toc524131017"/>
      <w:bookmarkStart w:id="283" w:name="_Toc14438830"/>
      <w:bookmarkStart w:id="284" w:name="_Toc235521142"/>
      <w:r>
        <w:rPr>
          <w:sz w:val="22"/>
          <w:szCs w:val="22"/>
        </w:rPr>
        <w:t>Registration of Bonds</w:t>
      </w:r>
      <w:bookmarkEnd w:id="281"/>
      <w:bookmarkEnd w:id="282"/>
      <w:bookmarkEnd w:id="283"/>
      <w:bookmarkEnd w:id="284"/>
    </w:p>
    <w:p w14:paraId="5E41A276" w14:textId="7F98FBF7" w:rsidR="009D172F" w:rsidRPr="00AE1922" w:rsidRDefault="009D172F" w:rsidP="009D172F">
      <w:pPr>
        <w:pStyle w:val="00BodyText5"/>
        <w:rPr>
          <w:rFonts w:cs="Times New Roman"/>
          <w:szCs w:val="22"/>
        </w:rPr>
      </w:pPr>
      <w:r>
        <w:rPr>
          <w:rFonts w:cs="Times New Roman"/>
          <w:szCs w:val="22"/>
        </w:rPr>
        <w:t>Registration or qualification of the offer and sale of the Bonds (as distinguished from registration of the ownership of the Bonds) is not required under the Federal Securities Act of 1933, as amended, pursuant to the exemptions from registration provided in such act. THE DISTRICT ASSUMES NO RESPONSIBILITY FOR QUALIFICATION OR REGISTRATION OF THE BONDS FOR SALE UNDER THE SECURITIES LAWS OF ANY JURISDICTION IN WHICH THE BONDS MAY BE SOLD, ASSIGNED, PLEDGED, HYPOTHECATED, OR OTHERWISE TRANSFERRED.</w:t>
      </w:r>
    </w:p>
    <w:p w14:paraId="5385B4EC" w14:textId="2748C4CC" w:rsidR="009D172F" w:rsidRPr="00AE1922" w:rsidRDefault="009D172F" w:rsidP="009D172F">
      <w:pPr>
        <w:pStyle w:val="Heading2"/>
        <w:rPr>
          <w:sz w:val="22"/>
          <w:szCs w:val="22"/>
        </w:rPr>
      </w:pPr>
      <w:bookmarkStart w:id="285" w:name="_Toc166306663"/>
      <w:bookmarkStart w:id="286" w:name="_Toc524131018"/>
      <w:bookmarkStart w:id="287" w:name="_Toc14438831"/>
      <w:bookmarkStart w:id="288" w:name="_Toc235521143"/>
      <w:r>
        <w:rPr>
          <w:sz w:val="22"/>
          <w:szCs w:val="22"/>
        </w:rPr>
        <w:t>Interest of Certain Persons Named in this Official Statement</w:t>
      </w:r>
      <w:bookmarkEnd w:id="285"/>
      <w:bookmarkEnd w:id="286"/>
      <w:bookmarkEnd w:id="287"/>
      <w:bookmarkEnd w:id="288"/>
    </w:p>
    <w:p w14:paraId="4B7AA6F6" w14:textId="6F7BA280" w:rsidR="009D172F" w:rsidRPr="00AE1922" w:rsidRDefault="009D172F" w:rsidP="009D172F">
      <w:pPr>
        <w:pStyle w:val="00BodyText5"/>
        <w:rPr>
          <w:rFonts w:cs="Times New Roman"/>
          <w:szCs w:val="22"/>
        </w:rPr>
      </w:pPr>
      <w:r>
        <w:rPr>
          <w:rFonts w:cs="Times New Roman"/>
          <w:szCs w:val="22"/>
        </w:rPr>
        <w:t>The legal fees to be paid to Bond Counsel, Disclosure Counsel, and counsel to the Underwriter are contingent upon the sale and delivery of the Bonds.</w:t>
      </w:r>
    </w:p>
    <w:p w14:paraId="5C82FBC5" w14:textId="77777777" w:rsidR="003153E2" w:rsidRPr="00AE1922" w:rsidRDefault="003153E2" w:rsidP="003153E2">
      <w:pPr>
        <w:pStyle w:val="Heading2"/>
        <w:rPr>
          <w:rFonts w:eastAsia="Times New Roman"/>
          <w:sz w:val="22"/>
          <w:szCs w:val="22"/>
        </w:rPr>
      </w:pPr>
      <w:bookmarkStart w:id="289" w:name="_Toc235521144"/>
      <w:r>
        <w:rPr>
          <w:rFonts w:eastAsia="Times New Roman"/>
          <w:sz w:val="22"/>
          <w:szCs w:val="22"/>
        </w:rPr>
        <w:t>Agreement to Provide Continuing Disclosure</w:t>
      </w:r>
      <w:bookmarkEnd w:id="289"/>
    </w:p>
    <w:p w14:paraId="3A46E386" w14:textId="5C95CE4D" w:rsidR="00554C74" w:rsidRPr="0088066D" w:rsidRDefault="00554C74" w:rsidP="0088066D">
      <w:pPr>
        <w:pStyle w:val="00BodyText5"/>
      </w:pPr>
      <w:r>
        <w:rPr>
          <w:iCs/>
        </w:rPr>
        <w:t xml:space="preserve">In compliance with </w:t>
      </w:r>
      <w:r w:rsidRPr="000E5D4E">
        <w:t>Securities and Exchange Commission Rule 15c2-12 (17 CFR Part 240, Section 240.15c2-12)</w:t>
      </w:r>
      <w:r>
        <w:t xml:space="preserve">, </w:t>
      </w:r>
      <w:r>
        <w:rPr>
          <w:rFonts w:cs="Times New Roman"/>
          <w:szCs w:val="22"/>
        </w:rPr>
        <w:t>the District and the Developer have agreed to obtain and to provide certain information to the Trustee, as dissemination agent</w:t>
      </w:r>
      <w:r>
        <w:t xml:space="preserve">, </w:t>
      </w:r>
      <w:r w:rsidRPr="000E5D4E">
        <w:t>on a quarterly basis</w:t>
      </w:r>
      <w:r>
        <w:t xml:space="preserve"> and certain additional information on an annual basis for dissemination to the </w:t>
      </w:r>
      <w:r w:rsidRPr="000E5D4E">
        <w:t>Municipal Securities Rulemaking Board</w:t>
      </w:r>
      <w:r>
        <w:t>. The form of the Continuing Disclosure Agreement is appended as APPENDIX E to this Official Statement. A failure by the District to comply with the requirements of the Continuing Disclosure Agreement will not constitute an Event of Default under the Indentures. The Continuing Disclosure Agreement provides that if the District fails to comply with its obligations thereunder, any Beneficial Owner of the Bonds may take such actions as may be necessary and appropriate, including seeking mandamus or specific performance by court order, to cause the District to comply with its obligations thereunder</w:t>
      </w:r>
      <w:r w:rsidRPr="000E5D4E">
        <w:t>.</w:t>
      </w:r>
    </w:p>
    <w:p w14:paraId="527186BC" w14:textId="77777777" w:rsidR="0075493D" w:rsidRPr="00AE1922" w:rsidRDefault="003904FF" w:rsidP="00EE7170">
      <w:pPr>
        <w:pStyle w:val="Heading2"/>
        <w:rPr>
          <w:rFonts w:eastAsia="Times New Roman"/>
          <w:sz w:val="22"/>
          <w:szCs w:val="22"/>
        </w:rPr>
      </w:pPr>
      <w:bookmarkStart w:id="290" w:name="_Toc235521145"/>
      <w:r>
        <w:rPr>
          <w:rFonts w:eastAsia="Times New Roman"/>
          <w:sz w:val="22"/>
          <w:szCs w:val="22"/>
        </w:rPr>
        <w:t>Underwriting</w:t>
      </w:r>
      <w:bookmarkEnd w:id="290"/>
    </w:p>
    <w:p w14:paraId="054E7278" w14:textId="77777777" w:rsidR="008856A4" w:rsidRPr="000E5D4E" w:rsidRDefault="008856A4" w:rsidP="008856A4">
      <w:pPr>
        <w:pStyle w:val="00BodyText5"/>
        <w:rPr>
          <w:szCs w:val="22"/>
        </w:rPr>
      </w:pPr>
      <w:r w:rsidRPr="000E5D4E">
        <w:rPr>
          <w:szCs w:val="22"/>
        </w:rPr>
        <w:t>D.A. Davidson &amp; Co., Salt Lake City, Utah (the</w:t>
      </w:r>
      <w:r w:rsidRPr="000E5D4E">
        <w:rPr>
          <w:b/>
          <w:bCs/>
          <w:szCs w:val="22"/>
        </w:rPr>
        <w:t xml:space="preserve"> </w:t>
      </w:r>
      <w:r w:rsidRPr="004C7C34">
        <w:rPr>
          <w:szCs w:val="22"/>
        </w:rPr>
        <w:t>“</w:t>
      </w:r>
      <w:r w:rsidRPr="000E5D4E">
        <w:rPr>
          <w:b/>
          <w:bCs/>
          <w:szCs w:val="22"/>
        </w:rPr>
        <w:t>Underwriter</w:t>
      </w:r>
      <w:r w:rsidRPr="004C7C34">
        <w:rPr>
          <w:szCs w:val="22"/>
        </w:rPr>
        <w:t>”</w:t>
      </w:r>
      <w:r w:rsidRPr="000E5D4E">
        <w:rPr>
          <w:szCs w:val="22"/>
        </w:rPr>
        <w:t xml:space="preserve">) has agreed to purchase the Bonds from the District under a Bond Purchase Agreement between the District and the Underwriter (the </w:t>
      </w:r>
      <w:r w:rsidRPr="004C7C34">
        <w:rPr>
          <w:szCs w:val="22"/>
        </w:rPr>
        <w:t>“</w:t>
      </w:r>
      <w:r w:rsidRPr="000E5D4E">
        <w:rPr>
          <w:b/>
          <w:bCs/>
          <w:szCs w:val="22"/>
        </w:rPr>
        <w:t>Bond Purchase Agreement</w:t>
      </w:r>
      <w:r w:rsidRPr="004C7C34">
        <w:rPr>
          <w:szCs w:val="22"/>
        </w:rPr>
        <w:t>”</w:t>
      </w:r>
      <w:r w:rsidRPr="000E5D4E">
        <w:rPr>
          <w:szCs w:val="22"/>
        </w:rPr>
        <w:t>)</w:t>
      </w:r>
      <w:r>
        <w:rPr>
          <w:szCs w:val="22"/>
        </w:rPr>
        <w:t xml:space="preserve">. </w:t>
      </w:r>
      <w:r w:rsidRPr="000E5D4E">
        <w:rPr>
          <w:szCs w:val="22"/>
        </w:rPr>
        <w:t>The Bond Purchase Agreement provides that the Underwriter will purchase all the Bonds if any are purchased, and that the obligation to make such purchase is subject to certain terms and conditions set forth in the Bond Purchase Agreement, including, among others, the approval of certain legal matters by counsel.</w:t>
      </w:r>
    </w:p>
    <w:p w14:paraId="4EAE5307" w14:textId="77777777" w:rsidR="00095923" w:rsidRDefault="00095923" w:rsidP="008856A4">
      <w:pPr>
        <w:pStyle w:val="00BodyText5"/>
        <w:rPr>
          <w:rFonts w:cs="Times New Roman"/>
          <w:szCs w:val="22"/>
        </w:rPr>
      </w:pPr>
      <w:r w:rsidRPr="00095923">
        <w:rPr>
          <w:rFonts w:cs="Times New Roman"/>
          <w:szCs w:val="22"/>
        </w:rPr>
        <w:t xml:space="preserve">The 2026A-1 Senior LT Bonds are being sold by the District for a purchase price equal to $__________ (which is equal to the aggregate par amount of the 2026A-1 Senior LT Bonds, [plus/less any [net] original issue premium/discount,] less the aggregate Underwriter’s discount of $__________) pursuant to a purchase contract. The 2026A-2 SR Bonds are being sold by the District for a purchase price equal to $__________ (which is equal to the aggregate par amount of the 2026A-2 SR Bonds, less the aggregate Underwriter’s discount of $__________) pursuant to a purchase contract. The 2026B Subordinate LT Bonds are being sold by the District for a purchase price equal to $__________ (which is equal to the aggregate par amount of the 2026B Subordinate LT Bonds, less the aggregate Underwriter’s discount of $__________) pursuant to a purchase contract. See “Use of Proceeds and Debt Service Requirements—Application of Bond Proceeds.” </w:t>
      </w:r>
    </w:p>
    <w:p w14:paraId="4D744B65" w14:textId="3D5DB324" w:rsidR="000A2D69" w:rsidRDefault="008856A4" w:rsidP="008856A4">
      <w:pPr>
        <w:pStyle w:val="00BodyText5"/>
      </w:pPr>
      <w:r w:rsidRPr="00802509">
        <w:t xml:space="preserve">Expenses associated with the issuance of the Bonds are being paid by the District from proceeds of the issue. The right of the Underwriter to receive compensation in connection with this issue is contingent upon the actual sale and delivery of the Bonds. The Underwriter has initially offered the Bonds at the prices or yields set forth on the inside cover of this Official Statement. </w:t>
      </w:r>
      <w:r w:rsidRPr="000E5D4E">
        <w:rPr>
          <w:szCs w:val="22"/>
        </w:rPr>
        <w:t xml:space="preserve">The initial public offering price of </w:t>
      </w:r>
      <w:r w:rsidRPr="00802509">
        <w:t xml:space="preserve">the </w:t>
      </w:r>
      <w:r w:rsidRPr="000E5D4E">
        <w:rPr>
          <w:szCs w:val="22"/>
        </w:rPr>
        <w:t>Bonds</w:t>
      </w:r>
      <w:r w:rsidRPr="00802509">
        <w:t xml:space="preserve"> may be</w:t>
      </w:r>
      <w:r w:rsidRPr="000E5D4E">
        <w:rPr>
          <w:szCs w:val="22"/>
        </w:rPr>
        <w:t xml:space="preserve"> changed from time to time by the Underwriter</w:t>
      </w:r>
      <w:r w:rsidRPr="00802509">
        <w:t xml:space="preserve"> without any requirement of prior notice. The Underwriter reserves the right to join with dealers and other investment banking firms in offering the Bonds.</w:t>
      </w:r>
    </w:p>
    <w:p w14:paraId="4F23170A" w14:textId="77777777" w:rsidR="008856A4" w:rsidRPr="000E5D4E" w:rsidRDefault="008856A4" w:rsidP="008856A4">
      <w:pPr>
        <w:pStyle w:val="Heading2"/>
        <w:rPr>
          <w:rFonts w:eastAsia="Times New Roman"/>
          <w:sz w:val="22"/>
        </w:rPr>
      </w:pPr>
      <w:bookmarkStart w:id="291" w:name="_Toc80178957"/>
      <w:bookmarkStart w:id="292" w:name="_Toc230259415"/>
      <w:bookmarkStart w:id="293" w:name="_Toc235521146"/>
      <w:r w:rsidRPr="000E5D4E">
        <w:rPr>
          <w:rFonts w:eastAsia="Times New Roman"/>
          <w:sz w:val="22"/>
        </w:rPr>
        <w:t>Municipal Advisor</w:t>
      </w:r>
      <w:bookmarkEnd w:id="291"/>
      <w:bookmarkEnd w:id="292"/>
      <w:bookmarkEnd w:id="293"/>
    </w:p>
    <w:p w14:paraId="1037CC6A" w14:textId="00A243AF" w:rsidR="008856A4" w:rsidRPr="000E5D4E" w:rsidRDefault="008856A4" w:rsidP="008856A4">
      <w:pPr>
        <w:pStyle w:val="00BodyText5"/>
      </w:pPr>
      <w:r>
        <w:rPr>
          <w:szCs w:val="20"/>
        </w:rPr>
        <w:t>[__________]</w:t>
      </w:r>
      <w:r w:rsidRPr="000E5D4E">
        <w:t xml:space="preserve"> is acting as municipal advisor (the “</w:t>
      </w:r>
      <w:r w:rsidRPr="000E5D4E">
        <w:rPr>
          <w:b/>
        </w:rPr>
        <w:t>Municipal Advisor</w:t>
      </w:r>
      <w:r w:rsidRPr="000E5D4E">
        <w:t>”) to the District in connection with the issuance of the Bonds. The Municipal Advisor is not obligated to undertake, and has not undertaken to make</w:t>
      </w:r>
      <w:r>
        <w:t>,</w:t>
      </w:r>
      <w:r w:rsidRPr="000E5D4E">
        <w:t xml:space="preserve"> an independent verification or to assume responsibility for the accuracy, completeness, or fairness of the information contained in this </w:t>
      </w:r>
      <w:r>
        <w:t>Official Statement</w:t>
      </w:r>
      <w:r w:rsidRPr="000E5D4E">
        <w:t>. The Municipal Advisor will act as an independent advisory firm and will not be engaged in underwriting or distributing the Bonds.</w:t>
      </w:r>
    </w:p>
    <w:p w14:paraId="1554EFBC" w14:textId="77777777" w:rsidR="0075493D" w:rsidRPr="00AE1922" w:rsidRDefault="003904FF" w:rsidP="00EE7170">
      <w:pPr>
        <w:pStyle w:val="Heading2"/>
        <w:rPr>
          <w:rFonts w:eastAsia="Times New Roman"/>
          <w:sz w:val="22"/>
          <w:szCs w:val="22"/>
        </w:rPr>
      </w:pPr>
      <w:bookmarkStart w:id="294" w:name="_Toc235521147"/>
      <w:r>
        <w:rPr>
          <w:rFonts w:eastAsia="Times New Roman"/>
          <w:sz w:val="22"/>
          <w:szCs w:val="22"/>
        </w:rPr>
        <w:t>Additional Information</w:t>
      </w:r>
      <w:bookmarkEnd w:id="294"/>
    </w:p>
    <w:p w14:paraId="4A235567" w14:textId="79D635A7" w:rsidR="000A2D69" w:rsidRPr="00AE1922" w:rsidRDefault="000A2D69" w:rsidP="000A2D69">
      <w:pPr>
        <w:pStyle w:val="00BodyText5"/>
        <w:rPr>
          <w:rFonts w:cs="Times New Roman"/>
          <w:szCs w:val="22"/>
        </w:rPr>
      </w:pPr>
      <w:r>
        <w:rPr>
          <w:rFonts w:cs="Times New Roman"/>
          <w:szCs w:val="22"/>
        </w:rPr>
        <w:t xml:space="preserve">Copies of statutes, resolutions, opinions, contracts, agreements, financial and statistical data, and other related reports and documents described in this Official Statement are either publicly available or available upon request </w:t>
      </w:r>
      <w:r w:rsidR="008856A4">
        <w:rPr>
          <w:rFonts w:cs="Times New Roman"/>
          <w:szCs w:val="22"/>
        </w:rPr>
        <w:t>with</w:t>
      </w:r>
      <w:r>
        <w:rPr>
          <w:rFonts w:cs="Times New Roman"/>
          <w:szCs w:val="22"/>
        </w:rPr>
        <w:t xml:space="preserve"> the payment of a reasonable copying, mailing, and handling charge from the sources noted in the Introduction hereto.</w:t>
      </w:r>
    </w:p>
    <w:p w14:paraId="2049BD8F" w14:textId="22658095" w:rsidR="0075493D" w:rsidRPr="00AE1922" w:rsidRDefault="00C13B74" w:rsidP="00EE7170">
      <w:pPr>
        <w:pStyle w:val="Heading2"/>
        <w:rPr>
          <w:rFonts w:eastAsia="Times New Roman"/>
          <w:sz w:val="22"/>
          <w:szCs w:val="22"/>
        </w:rPr>
      </w:pPr>
      <w:bookmarkStart w:id="295" w:name="_Toc235521148"/>
      <w:r>
        <w:rPr>
          <w:rFonts w:eastAsia="Times New Roman"/>
          <w:sz w:val="22"/>
          <w:szCs w:val="22"/>
        </w:rPr>
        <w:t>Official Statement Certification</w:t>
      </w:r>
      <w:bookmarkEnd w:id="295"/>
    </w:p>
    <w:p w14:paraId="47F9D60A" w14:textId="2F53089D" w:rsidR="0075493D" w:rsidRPr="00BE17C3" w:rsidRDefault="00E33A5E" w:rsidP="00714E4F">
      <w:pPr>
        <w:pStyle w:val="00BodyText5"/>
        <w:keepNext/>
        <w:keepLines/>
        <w:rPr>
          <w:rFonts w:cs="Times New Roman"/>
          <w:szCs w:val="22"/>
        </w:rPr>
      </w:pPr>
      <w:r>
        <w:rPr>
          <w:rFonts w:cs="Times New Roman"/>
          <w:szCs w:val="22"/>
        </w:rPr>
        <w:t>The preparation of this Official Statement and its distribution has been authorized by the Board. This Official Statement is hereby duly approved by the Board as of the date on the cover page hereof. This Official Statement is not to be construed as an agreement or contract between the District and the purchasers or owners of any Bond.</w:t>
      </w:r>
    </w:p>
    <w:p w14:paraId="305C1283" w14:textId="475BEEDC" w:rsidR="00DD5657" w:rsidRPr="00BE17C3" w:rsidRDefault="00C13B74" w:rsidP="00596B2D">
      <w:pPr>
        <w:spacing w:before="246" w:line="245" w:lineRule="exact"/>
        <w:ind w:left="4608"/>
        <w:textAlignment w:val="baseline"/>
        <w:rPr>
          <w:rFonts w:cs="Times New Roman"/>
          <w:sz w:val="22"/>
          <w:szCs w:val="22"/>
        </w:rPr>
      </w:pPr>
      <w:r>
        <w:rPr>
          <w:rFonts w:eastAsia="Times New Roman" w:cs="Times New Roman"/>
          <w:b/>
          <w:color w:val="000000"/>
          <w:sz w:val="22"/>
          <w:szCs w:val="22"/>
        </w:rPr>
        <w:t>OLYMPIA PUBLIC INFRASTRUCTURE DISTRICT NO. 2</w:t>
      </w:r>
    </w:p>
    <w:p w14:paraId="573EE728" w14:textId="77777777" w:rsidR="00DD5657" w:rsidRPr="00BE17C3" w:rsidRDefault="00DD5657" w:rsidP="001B0933"/>
    <w:p w14:paraId="0944EA6B" w14:textId="1EF49D60" w:rsidR="00567D7F" w:rsidRPr="00BE17C3" w:rsidRDefault="00567D7F" w:rsidP="00DD5657">
      <w:pPr>
        <w:ind w:left="4968"/>
        <w:textAlignment w:val="baseline"/>
        <w:rPr>
          <w:rFonts w:eastAsia="Times New Roman"/>
          <w:color w:val="000000"/>
        </w:rPr>
        <w:sectPr w:rsidR="00567D7F" w:rsidRPr="00BE17C3" w:rsidSect="00685EE8">
          <w:footnotePr>
            <w:pos w:val="beneathText"/>
          </w:footnotePr>
          <w:type w:val="continuous"/>
          <w:pgSz w:w="12240" w:h="15840" w:code="1"/>
          <w:pgMar w:top="1440" w:right="1440" w:bottom="1440" w:left="1440" w:header="720" w:footer="720" w:gutter="0"/>
          <w:cols w:space="720"/>
          <w:titlePg/>
          <w:docGrid w:linePitch="299"/>
        </w:sectPr>
      </w:pPr>
    </w:p>
    <w:p w14:paraId="26D4765A" w14:textId="1118E1C1" w:rsidR="00095C26" w:rsidRDefault="00E26850" w:rsidP="00095C26">
      <w:pPr>
        <w:pStyle w:val="Heading1"/>
        <w:rPr>
          <w:rFonts w:cs="Times New Roman"/>
          <w:sz w:val="22"/>
          <w:szCs w:val="22"/>
        </w:rPr>
      </w:pPr>
      <w:bookmarkStart w:id="296" w:name="_Toc235521149"/>
      <w:r>
        <w:rPr>
          <w:rFonts w:eastAsia="Times New Roman" w:cs="Times New Roman"/>
          <w:sz w:val="22"/>
          <w:szCs w:val="22"/>
        </w:rPr>
        <w:t>APPENDIX</w:t>
      </w:r>
      <w:r>
        <w:rPr>
          <w:rFonts w:cs="Times New Roman"/>
          <w:sz w:val="22"/>
          <w:szCs w:val="22"/>
        </w:rPr>
        <w:t xml:space="preserve"> A</w:t>
      </w:r>
      <w:r>
        <w:rPr>
          <w:rFonts w:cs="Times New Roman"/>
          <w:sz w:val="22"/>
          <w:szCs w:val="22"/>
        </w:rPr>
        <w:br/>
      </w:r>
      <w:r>
        <w:rPr>
          <w:rFonts w:cs="Times New Roman"/>
          <w:sz w:val="22"/>
          <w:szCs w:val="22"/>
        </w:rPr>
        <w:br/>
        <w:t>FINANCIAL FORECASTS</w:t>
      </w:r>
      <w:bookmarkEnd w:id="296"/>
    </w:p>
    <w:p w14:paraId="1C2C1FD3" w14:textId="77777777" w:rsidR="00095C26" w:rsidRDefault="00A42F48" w:rsidP="00A42F48">
      <w:pPr>
        <w:pStyle w:val="00BodyText1"/>
        <w:ind w:firstLine="0"/>
        <w:jc w:val="center"/>
        <w:rPr>
          <w:rFonts w:cs="Times New Roman"/>
          <w:sz w:val="22"/>
          <w:szCs w:val="22"/>
        </w:rPr>
      </w:pPr>
      <w:r>
        <w:rPr>
          <w:rFonts w:eastAsia="Times New Roman" w:cs="Times New Roman"/>
          <w:sz w:val="22"/>
          <w:szCs w:val="22"/>
        </w:rPr>
        <w:t>APPENDIX</w:t>
      </w:r>
      <w:r>
        <w:rPr>
          <w:rFonts w:cs="Times New Roman"/>
          <w:sz w:val="22"/>
          <w:szCs w:val="22"/>
        </w:rPr>
        <w:t xml:space="preserve"> A-1</w:t>
      </w:r>
      <w:r>
        <w:rPr>
          <w:rFonts w:cs="Times New Roman"/>
          <w:sz w:val="22"/>
          <w:szCs w:val="22"/>
        </w:rPr>
        <w:br/>
      </w:r>
      <w:r>
        <w:rPr>
          <w:rFonts w:cs="Times New Roman"/>
          <w:sz w:val="22"/>
          <w:szCs w:val="22"/>
        </w:rPr>
        <w:br/>
        <w:t>LT FINANCIAL FORECAST</w:t>
      </w:r>
    </w:p>
    <w:p w14:paraId="60EA6424" w14:textId="77777777" w:rsidR="00A42F48" w:rsidRDefault="00A42F48" w:rsidP="00A42F48">
      <w:pPr>
        <w:pStyle w:val="00BodyText1"/>
        <w:ind w:firstLine="0"/>
        <w:jc w:val="center"/>
        <w:rPr>
          <w:rFonts w:cs="Times New Roman"/>
          <w:sz w:val="22"/>
          <w:szCs w:val="22"/>
        </w:rPr>
      </w:pPr>
    </w:p>
    <w:p w14:paraId="5F323783" w14:textId="31713471" w:rsidR="00A42F48" w:rsidRDefault="00A42F48" w:rsidP="00A42F48">
      <w:pPr>
        <w:pStyle w:val="00BodyText1"/>
        <w:ind w:firstLine="0"/>
        <w:jc w:val="center"/>
      </w:pPr>
      <w:r>
        <w:br w:type="page"/>
      </w:r>
    </w:p>
    <w:p w14:paraId="16562088" w14:textId="33C5980B" w:rsidR="00A42F48" w:rsidRDefault="00A42F48" w:rsidP="00A42F48">
      <w:pPr>
        <w:pStyle w:val="00BodyText1"/>
        <w:ind w:firstLine="0"/>
        <w:jc w:val="center"/>
        <w:rPr>
          <w:rFonts w:cs="Times New Roman"/>
          <w:sz w:val="22"/>
          <w:szCs w:val="22"/>
        </w:rPr>
      </w:pPr>
      <w:r>
        <w:rPr>
          <w:rFonts w:eastAsia="Times New Roman" w:cs="Times New Roman"/>
          <w:sz w:val="22"/>
          <w:szCs w:val="22"/>
        </w:rPr>
        <w:t>APPENDIX</w:t>
      </w:r>
      <w:r>
        <w:rPr>
          <w:rFonts w:cs="Times New Roman"/>
          <w:sz w:val="22"/>
          <w:szCs w:val="22"/>
        </w:rPr>
        <w:t xml:space="preserve"> A-2</w:t>
      </w:r>
      <w:r>
        <w:rPr>
          <w:rFonts w:cs="Times New Roman"/>
          <w:sz w:val="22"/>
          <w:szCs w:val="22"/>
        </w:rPr>
        <w:br/>
      </w:r>
      <w:r>
        <w:rPr>
          <w:rFonts w:cs="Times New Roman"/>
          <w:sz w:val="22"/>
          <w:szCs w:val="22"/>
        </w:rPr>
        <w:br/>
        <w:t>SR FINANCIAL FORECAST</w:t>
      </w:r>
    </w:p>
    <w:p w14:paraId="626685DC" w14:textId="77777777" w:rsidR="00A42F48" w:rsidRDefault="00A42F48" w:rsidP="00A42F48">
      <w:pPr>
        <w:pStyle w:val="00BodyText1"/>
        <w:ind w:firstLine="0"/>
        <w:jc w:val="center"/>
        <w:rPr>
          <w:rFonts w:cs="Times New Roman"/>
          <w:sz w:val="22"/>
          <w:szCs w:val="22"/>
        </w:rPr>
      </w:pPr>
    </w:p>
    <w:p w14:paraId="4D44EC26" w14:textId="012ACF7C" w:rsidR="00A42F48" w:rsidRPr="00A42F48" w:rsidRDefault="00A42F48" w:rsidP="00A42F48">
      <w:pPr>
        <w:pStyle w:val="00BodyText1"/>
        <w:ind w:firstLine="0"/>
        <w:jc w:val="center"/>
        <w:sectPr w:rsidR="00A42F48" w:rsidRPr="00A42F48" w:rsidSect="00F0571B">
          <w:footerReference w:type="default" r:id="rId36"/>
          <w:footerReference w:type="first" r:id="rId37"/>
          <w:pgSz w:w="12240" w:h="15840" w:code="1"/>
          <w:pgMar w:top="1440" w:right="1440" w:bottom="1440" w:left="1440" w:header="720" w:footer="540" w:gutter="0"/>
          <w:pgNumType w:start="1"/>
          <w:cols w:space="720"/>
          <w:titlePg/>
          <w:docGrid w:linePitch="272"/>
        </w:sectPr>
      </w:pPr>
    </w:p>
    <w:p w14:paraId="2A5AD4C6" w14:textId="5A5BFE17" w:rsidR="00095C26" w:rsidRPr="00023404" w:rsidRDefault="007F499F" w:rsidP="0097472A">
      <w:pPr>
        <w:pStyle w:val="Heading1"/>
        <w:rPr>
          <w:rFonts w:cs="Times New Roman"/>
          <w:sz w:val="22"/>
          <w:szCs w:val="22"/>
        </w:rPr>
      </w:pPr>
      <w:bookmarkStart w:id="297" w:name="_Toc235521150"/>
      <w:r>
        <w:rPr>
          <w:rFonts w:cs="Times New Roman"/>
          <w:sz w:val="22"/>
          <w:szCs w:val="22"/>
        </w:rPr>
        <w:t>APPENDIX B</w:t>
      </w:r>
      <w:r>
        <w:rPr>
          <w:rFonts w:cs="Times New Roman"/>
          <w:sz w:val="22"/>
          <w:szCs w:val="22"/>
        </w:rPr>
        <w:br/>
      </w:r>
      <w:r>
        <w:rPr>
          <w:rFonts w:cs="Times New Roman"/>
          <w:sz w:val="22"/>
          <w:szCs w:val="22"/>
        </w:rPr>
        <w:br/>
        <w:t>MARKET STUDY</w:t>
      </w:r>
      <w:bookmarkEnd w:id="297"/>
    </w:p>
    <w:p w14:paraId="6786C115" w14:textId="77777777" w:rsidR="002756A6" w:rsidRPr="00DA2177" w:rsidRDefault="002756A6" w:rsidP="00617B7C">
      <w:pPr>
        <w:rPr>
          <w:rFonts w:cs="Times New Roman"/>
          <w:sz w:val="22"/>
          <w:szCs w:val="22"/>
        </w:rPr>
        <w:sectPr w:rsidR="002756A6" w:rsidRPr="00DA2177" w:rsidSect="00820306">
          <w:footerReference w:type="first" r:id="rId38"/>
          <w:pgSz w:w="12240" w:h="15840" w:code="1"/>
          <w:pgMar w:top="1440" w:right="1440" w:bottom="1440" w:left="1440" w:header="720" w:footer="720" w:gutter="0"/>
          <w:pgNumType w:start="1"/>
          <w:cols w:space="720"/>
          <w:titlePg/>
          <w:docGrid w:linePitch="272"/>
        </w:sectPr>
      </w:pPr>
    </w:p>
    <w:p w14:paraId="3E670878" w14:textId="4EB623F8" w:rsidR="00C21F55" w:rsidRPr="00434E2B" w:rsidRDefault="002756A6" w:rsidP="00C21F55">
      <w:pPr>
        <w:pStyle w:val="Heading1"/>
        <w:rPr>
          <w:rFonts w:cs="Times New Roman"/>
          <w:sz w:val="22"/>
          <w:szCs w:val="22"/>
        </w:rPr>
      </w:pPr>
      <w:bookmarkStart w:id="298" w:name="_Toc147216100"/>
      <w:bookmarkStart w:id="299" w:name="_Toc235521151"/>
      <w:r>
        <w:rPr>
          <w:rFonts w:cs="Times New Roman"/>
          <w:sz w:val="22"/>
          <w:szCs w:val="22"/>
        </w:rPr>
        <w:t>APPENDIX C</w:t>
      </w:r>
      <w:r>
        <w:rPr>
          <w:rFonts w:cs="Times New Roman"/>
          <w:sz w:val="22"/>
          <w:szCs w:val="22"/>
        </w:rPr>
        <w:br/>
      </w:r>
      <w:r>
        <w:rPr>
          <w:rFonts w:cs="Times New Roman"/>
          <w:sz w:val="22"/>
          <w:szCs w:val="22"/>
        </w:rPr>
        <w:br/>
      </w:r>
      <w:bookmarkEnd w:id="298"/>
      <w:r>
        <w:rPr>
          <w:rFonts w:cs="Times New Roman"/>
          <w:sz w:val="22"/>
          <w:szCs w:val="22"/>
        </w:rPr>
        <w:t>SELECTED DEFINITIONS</w:t>
      </w:r>
      <w:bookmarkEnd w:id="299"/>
    </w:p>
    <w:p w14:paraId="5C0986B0"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“Additional LT Obligations” is defined in the Senior LT Indenture to mean (a) all obligations of the District for borrowed money and reimbursement obligations; (b) all obligations of the District payable from or constituting a lien or encumbrance upon ad valorem tax revenues of the District or any part of the Senior LT Pledged Revenue; (c) all obligations of the District evidenced by bonds, debentures, notes, or other similar instruments, including without limitation any Senior LT Parity Bonds and Subordinate LT Obligations; (d) all obligations of the District to pay the deferred purchase price of property or services; (e) all obligations of the District as lessee under leases, but excluding such obligations outstanding from time to time with respect to which the aggregate maximum repayment costs for all terms thereof do not exceed $500,000; and (f) all obligations of others guaranteed by the District; provided that notwithstanding the foregoing, the term “Additional LT Obligations” does not include:</w:t>
      </w:r>
    </w:p>
    <w:p w14:paraId="7480E992"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(i)</w:t>
      </w:r>
      <w:r w:rsidRPr="0024520B">
        <w:rPr>
          <w:rFonts w:eastAsia="Calibri" w:cs="Times New Roman"/>
          <w:sz w:val="22"/>
          <w:szCs w:val="22"/>
          <w:lang w:eastAsia="zh-CN"/>
        </w:rPr>
        <w:tab/>
        <w:t>obligations which do not obligate the District to impose any tax, fee, or other governmental charge and either: (A) are subject to termination by the District at least annually; or (B) the repayment of which is contingent upon the District’s annual determination to appropriate moneys therefor (other than leases as set forth in (e) above);</w:t>
      </w:r>
    </w:p>
    <w:p w14:paraId="108D8BDD"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(ii)</w:t>
      </w:r>
      <w:r w:rsidRPr="0024520B">
        <w:rPr>
          <w:rFonts w:eastAsia="Calibri" w:cs="Times New Roman"/>
          <w:sz w:val="22"/>
          <w:szCs w:val="22"/>
          <w:lang w:eastAsia="zh-CN"/>
        </w:rPr>
        <w:tab/>
        <w:t>obligations which are payable solely from the proceeds of Additional LT Obligations, when and if issued;</w:t>
      </w:r>
    </w:p>
    <w:p w14:paraId="213B60A6"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(iii)</w:t>
      </w:r>
      <w:r w:rsidRPr="0024520B">
        <w:rPr>
          <w:rFonts w:eastAsia="Calibri" w:cs="Times New Roman"/>
          <w:sz w:val="22"/>
          <w:szCs w:val="22"/>
          <w:lang w:eastAsia="zh-CN"/>
        </w:rPr>
        <w:tab/>
        <w:t>obligations payable solely from periodic, recurring service charges (e.g. not including Contract Fees) imposed by the District for the use of any District facility or service, which obligations do not constitute a debt or indebtedness of the District or an obligation required to be approved at an election under State law;</w:t>
      </w:r>
    </w:p>
    <w:p w14:paraId="7DF77F17"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(iv)</w:t>
      </w:r>
      <w:r w:rsidRPr="0024520B">
        <w:rPr>
          <w:rFonts w:eastAsia="Calibri" w:cs="Times New Roman"/>
          <w:sz w:val="22"/>
          <w:szCs w:val="22"/>
          <w:lang w:eastAsia="zh-CN"/>
        </w:rPr>
        <w:tab/>
        <w:t>obligations with respect to which the District has irrevocably committed funds (not constituting Senior LT Pledged Revenue) equal to the full amount due or to become due thereunder;</w:t>
      </w:r>
    </w:p>
    <w:p w14:paraId="1AD39DCD"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(v)</w:t>
      </w:r>
      <w:r w:rsidRPr="0024520B">
        <w:rPr>
          <w:rFonts w:eastAsia="Calibri" w:cs="Times New Roman"/>
          <w:sz w:val="22"/>
          <w:szCs w:val="22"/>
          <w:lang w:eastAsia="zh-CN"/>
        </w:rPr>
        <w:tab/>
        <w:t xml:space="preserve">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Senior LT Parity Bonds or Subordinate LT Obligations, and (B) the reimbursement obligation does not arise unless payment of an equivalent amount (or more) of principal on the Senior LT Parity Bonds or Subordinate LT Obligations has been made, and (C) such reimbursement obligations are payable from the same or fewer revenue sources, with the same or a subordinate lien priority as the Senior LT Parity Bonds or Subordinate LT Obligations supported by the surety bonds, financial guaranties, letters of credit, or similar credit enhancements; </w:t>
      </w:r>
    </w:p>
    <w:p w14:paraId="43599278"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(vi)</w:t>
      </w:r>
      <w:r w:rsidRPr="0024520B">
        <w:rPr>
          <w:rFonts w:eastAsia="Calibri" w:cs="Times New Roman"/>
          <w:sz w:val="22"/>
          <w:szCs w:val="22"/>
          <w:lang w:eastAsia="zh-CN"/>
        </w:rPr>
        <w:tab/>
        <w:t>bonds and notes repayable from Contract Fees or related one-time fees;</w:t>
      </w:r>
    </w:p>
    <w:p w14:paraId="5E54ECFE"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 xml:space="preserve">(vii) bonds and notes repayable pursuant </w:t>
      </w:r>
      <w:r w:rsidRPr="0024520B">
        <w:rPr>
          <w:rFonts w:eastAsia="Calibri" w:cs="Times New Roman"/>
          <w:sz w:val="22"/>
        </w:rPr>
        <w:t>to the Assessment Area Act, Title 11, Chapter 42 of the Utah Code and the Commercial Property Assessed Clean Energy Act, Title 11, Chapter 42a; and</w:t>
      </w:r>
    </w:p>
    <w:p w14:paraId="7B14BF96"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(viii)</w:t>
      </w:r>
      <w:r w:rsidRPr="0024520B">
        <w:rPr>
          <w:rFonts w:eastAsia="Calibri" w:cs="Times New Roman"/>
          <w:sz w:val="22"/>
          <w:szCs w:val="22"/>
          <w:lang w:eastAsia="zh-CN"/>
        </w:rPr>
        <w:tab/>
        <w:t xml:space="preserve">any leases outstanding from time to time with respect to which the aggregate maximum repayment costs for all terms thereof do not exceed $500,000, payroll obligations, accounts payable, or taxes incurred or payable in the ordinary course of business of the District. </w:t>
      </w:r>
    </w:p>
    <w:p w14:paraId="6606CC3C"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szCs w:val="22"/>
          <w:lang w:eastAsia="zh-CN"/>
        </w:rPr>
        <w:t>“Additional SR Obligations” is defined in the SR Indenture to mean</w:t>
      </w:r>
      <w:r w:rsidRPr="0024520B">
        <w:rPr>
          <w:rFonts w:eastAsia="Calibri" w:cs="Times New Roman"/>
          <w:sz w:val="22"/>
        </w:rPr>
        <w:t xml:space="preserve"> all obligations of the District payable from or constituting a lien or encumbrance upon any part of the SR Pledged Revenue; provided that notwithstanding the foregoing, the term “Additional SR Obligations” does not include 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SR Parity Bonds or Subordinate SR Obligations, (B) the reimbursement obligation does not arise unless payment of an equivalent amount (or more) of principal on the SR Parity Bonds or Subordinate SR Obligations has been made, and (C) such reimbursement obligations are payable from the same or fewer revenue sources, with the same or a subordinate lien priority as the SR Parity Bonds or Subordinate SR Obligations supported by the surety bonds, financial guaranties, letters of credit, or similar credit enhancements.</w:t>
      </w:r>
    </w:p>
    <w:p w14:paraId="2DD6059F" w14:textId="37D99D29"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 xml:space="preserve">“Additional Subordinate LT Obligations” means (a) all obligations of the District for borrowed money and reimbursement obligations; (b) all obligations of the District payable from or constituting a lien or encumbrance upon ad valorem tax revenues of the District or any part of the Subordinate </w:t>
      </w:r>
      <w:r w:rsidR="00B471D8">
        <w:rPr>
          <w:rFonts w:eastAsia="Calibri" w:cs="Times New Roman"/>
          <w:sz w:val="22"/>
        </w:rPr>
        <w:t xml:space="preserve">LT </w:t>
      </w:r>
      <w:r w:rsidRPr="0024520B">
        <w:rPr>
          <w:rFonts w:eastAsia="Calibri" w:cs="Times New Roman"/>
          <w:sz w:val="22"/>
        </w:rPr>
        <w:t>Pledged Revenue; (c) all obligations of the District evidenced by bonds, debentures, notes, or other similar instruments, including without limitation any Parity Bonds, Senior Obligations, and Junior Lien Obligations; (d) all obligations of the District to pay the deferred purchase price of property or services; (e) all obligations of the District as lessee under leases, but excluding such obligations outstanding from time to time with respect to which the aggregate maximum repayment costs for all terms thereof do not exceed $500,000; and (f) all obligations of others guaranteed by the District; provided that notwithstanding the foregoing, the term “Additional Subordinate LT Obligations” does not include:</w:t>
      </w:r>
    </w:p>
    <w:p w14:paraId="06A266DA" w14:textId="77777777"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(i)</w:t>
      </w:r>
      <w:r w:rsidRPr="0024520B">
        <w:rPr>
          <w:rFonts w:eastAsia="Calibri" w:cs="Times New Roman"/>
          <w:sz w:val="22"/>
        </w:rPr>
        <w:tab/>
        <w:t>obligations which do not obligate the District to impose any tax, fee, or other governmental charge and either: (A) are subject to termination by the District at least annually; or (B) the repayment of which is contingent upon the District’s annual determination to appropriate moneys therefor (other than leases as set forth in (e) above);</w:t>
      </w:r>
    </w:p>
    <w:p w14:paraId="1F50749E" w14:textId="77777777"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(ii)</w:t>
      </w:r>
      <w:r w:rsidRPr="0024520B">
        <w:rPr>
          <w:rFonts w:eastAsia="Calibri" w:cs="Times New Roman"/>
          <w:sz w:val="22"/>
        </w:rPr>
        <w:tab/>
        <w:t>obligations which are payable solely from the proceeds of Additional Subordinate LT Obligations, when and if issued;</w:t>
      </w:r>
    </w:p>
    <w:p w14:paraId="6C968672" w14:textId="77777777"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(iii)</w:t>
      </w:r>
      <w:r w:rsidRPr="0024520B">
        <w:rPr>
          <w:rFonts w:eastAsia="Calibri" w:cs="Times New Roman"/>
          <w:sz w:val="22"/>
        </w:rPr>
        <w:tab/>
        <w:t>obligations payable solely from periodic, recurring service charges imposed by the District for the use of any District facility or service, which obligations do not constitute a debt or indebtedness of the District or an obligation required to be approved at an election under State law;</w:t>
      </w:r>
    </w:p>
    <w:p w14:paraId="65B0B454" w14:textId="58FB6B7B"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(iv)</w:t>
      </w:r>
      <w:r w:rsidRPr="0024520B">
        <w:rPr>
          <w:rFonts w:eastAsia="Calibri" w:cs="Times New Roman"/>
          <w:sz w:val="22"/>
        </w:rPr>
        <w:tab/>
        <w:t xml:space="preserve">obligations with respect to which the District has irrevocably committed funds (not constituting Subordinate </w:t>
      </w:r>
      <w:r w:rsidR="00B471D8">
        <w:rPr>
          <w:rFonts w:eastAsia="Calibri" w:cs="Times New Roman"/>
          <w:sz w:val="22"/>
        </w:rPr>
        <w:t xml:space="preserve">LT </w:t>
      </w:r>
      <w:r w:rsidRPr="0024520B">
        <w:rPr>
          <w:rFonts w:eastAsia="Calibri" w:cs="Times New Roman"/>
          <w:sz w:val="22"/>
        </w:rPr>
        <w:t>Pledged Revenue) equal to the full amount due or to become due thereunder;</w:t>
      </w:r>
    </w:p>
    <w:p w14:paraId="4702F087" w14:textId="77777777"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(v)</w:t>
      </w:r>
      <w:r w:rsidRPr="0024520B">
        <w:rPr>
          <w:rFonts w:eastAsia="Calibri" w:cs="Times New Roman"/>
          <w:sz w:val="22"/>
        </w:rPr>
        <w:tab/>
        <w:t xml:space="preserve">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Parity Bonds, Senior Obligations, or Junior Lien Obligations, (B) the reimbursement obligation does not arise unless payment of an equivalent amount (or more) of principal on the Parity Bonds, Senior Obligations or Junior Lien Obligations has been made, and (C) such reimbursement obligations are payable from the same or fewer revenue sources, with the same or a subordinate lien priority as the Parity Bonds, Senior Obligations, or Junior Lien Obligations supported by the surety bonds, financial guaranties, letters of credit, or similar credit enhancements; </w:t>
      </w:r>
    </w:p>
    <w:p w14:paraId="56D2481A" w14:textId="77777777"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(vi)</w:t>
      </w:r>
      <w:r w:rsidRPr="0024520B">
        <w:rPr>
          <w:rFonts w:eastAsia="Calibri" w:cs="Times New Roman"/>
          <w:sz w:val="22"/>
        </w:rPr>
        <w:tab/>
        <w:t>bonds and notes repayable from Contract Fees or related one-time fees, such as the 2026A-1 Special Revenue Bonds;</w:t>
      </w:r>
    </w:p>
    <w:p w14:paraId="5C24FE36" w14:textId="77777777"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(vii)</w:t>
      </w:r>
      <w:r w:rsidRPr="0024520B">
        <w:rPr>
          <w:rFonts w:eastAsia="Calibri" w:cs="Times New Roman"/>
          <w:sz w:val="22"/>
        </w:rPr>
        <w:tab/>
        <w:t>bonds and notes repayable pursuant to the Assessment Area Act, Title 11, Chapter 42 of the Utah Code and the Commercial Property Assessed Clean Energy Act, Title 11, Chapter 42a; and</w:t>
      </w:r>
    </w:p>
    <w:p w14:paraId="1239459F" w14:textId="77777777" w:rsidR="0024520B" w:rsidRPr="0024520B" w:rsidRDefault="0024520B" w:rsidP="0024520B">
      <w:pPr>
        <w:spacing w:after="240"/>
        <w:ind w:left="720" w:firstLine="720"/>
        <w:jc w:val="both"/>
        <w:rPr>
          <w:rFonts w:eastAsia="Calibri" w:cs="Times New Roman"/>
          <w:sz w:val="22"/>
        </w:rPr>
      </w:pPr>
      <w:r w:rsidRPr="0024520B">
        <w:rPr>
          <w:rFonts w:eastAsia="Calibri" w:cs="Times New Roman"/>
          <w:sz w:val="22"/>
        </w:rPr>
        <w:t>(viii)</w:t>
      </w:r>
      <w:r w:rsidRPr="0024520B">
        <w:rPr>
          <w:rFonts w:eastAsia="Calibri" w:cs="Times New Roman"/>
          <w:sz w:val="22"/>
        </w:rPr>
        <w:tab/>
        <w:t>any leases outstanding from time to time with respect to which the aggregate maximum repayment costs for all terms thereof do not exceed $500,000, payroll obligations, accounts payable, or taxes incurred or payable in the ordinary course of business of the District.</w:t>
      </w:r>
    </w:p>
    <w:p w14:paraId="3A309CBC"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“Administrative Expenses” is defined in the Senior LT Indenture to mean an amount reasonably determined by the District as being necessary to pay the District’s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2026, the amount of $50,000, (ii) for each calendar year thereafter, an additional 2.0%; and (iii) in the event of a claim by a third party challenging (A) the creation or existence of the District; (B) the 2026A-1 Senior LT Bonds, any Parity Bonds, any Subordinate LT Obligations, or any bonds secured by Contract Fees (including the 2026A-2 Special Revenue Bonds); and (C) the District’s ability to perform its obligations under the Senior LT Indenture or any resolution, indenture, or other document relating to the issuance of Parity Bonds, Subordinate LT Obligations; or any bonds secured by Contract Fees (including the 2026A-2 Special Revenue Bonds); the amount reasonably necessary to defend the District from such claim to the extent such amount exceeds the limit established (i) and (ii).</w:t>
      </w:r>
    </w:p>
    <w:p w14:paraId="75F9A612" w14:textId="77777777" w:rsidR="0024520B" w:rsidRPr="0024520B" w:rsidRDefault="0024520B" w:rsidP="0024520B">
      <w:pPr>
        <w:spacing w:after="240"/>
        <w:ind w:firstLine="720"/>
        <w:jc w:val="both"/>
        <w:rPr>
          <w:rFonts w:eastAsia="Calibri" w:cs="Times New Roman"/>
          <w:sz w:val="22"/>
          <w:szCs w:val="22"/>
        </w:rPr>
      </w:pPr>
      <w:r w:rsidRPr="0024520B">
        <w:rPr>
          <w:rFonts w:eastAsia="Calibri" w:cs="Times New Roman"/>
          <w:sz w:val="22"/>
          <w:szCs w:val="22"/>
          <w:lang w:eastAsia="zh-CN"/>
        </w:rPr>
        <w:t xml:space="preserve">“Administrative Expenses” is defined in the SR Indenture to mean </w:t>
      </w:r>
      <w:r w:rsidRPr="0024520B">
        <w:rPr>
          <w:rFonts w:eastAsia="Calibri" w:cs="Times New Roman"/>
          <w:sz w:val="22"/>
          <w:szCs w:val="22"/>
        </w:rPr>
        <w:t>an amount reasonably determined by the District as being necessary to pay the District’s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2026, the amount of $50,000, (ii) for each calendar year thereafter, an additional 2.0%; and (iii) in the event of a claim by a third party challenging (A) the creation or existence of the District; (B) the 2026A-2 SR Bonds, any SR Parity Bonds, or Subordinate SR Obligations; and (C) the District’s ability to perform its obligations under the SR Indenture or any resolution, indenture, or other document relating to the issuance of SR Parity Bonds or Subordinate SR Obligations; the amount reasonably necessary to defend the District from such claim to the extent such amount exceeds the limit established (i) and (ii).</w:t>
      </w:r>
    </w:p>
    <w:p w14:paraId="0564EF36"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“Administrative Expenses” is defined in the Subordinate LT Indenture to mean an amount reasonably determined by the District as being necessary to pay the District’s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2026, the amount of $50,000, (ii) for each calendar year thereafter, an additional 2%; and (iii) in the event of a claim by a third-party challenging (A) the creation or existence of the District; (B) the Bonds, any Parity Bonds, any Subordinate LT Obligations, and any bonds secured by Contract Fees (including the 2026A-2 Special Revenue Bonds); and (C) the District’s ability to perform its obligations under this Indenture or any resolution, indenture, or other document relating to the issuance of Parity Bonds, Subordinate LT Obligations, or any bonds secured by Contract Fees (including the 2026A-2 Special Revenue Bonds); the amount reasonably necessary to defend the District from such claim to the extent such amount exceeds the limit established in (i) and (ii).</w:t>
      </w:r>
    </w:p>
    <w:p w14:paraId="0C39A909"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“Authorized Denominations” means the amount of $500,000 or any integral multiple of $1,000 in excess thereof, provided that:</w:t>
      </w:r>
    </w:p>
    <w:p w14:paraId="1B167D83"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(a)</w:t>
      </w:r>
      <w:r w:rsidRPr="0024520B">
        <w:rPr>
          <w:rFonts w:eastAsia="Calibri" w:cs="Times New Roman"/>
          <w:sz w:val="22"/>
          <w:szCs w:val="22"/>
          <w:lang w:eastAsia="zh-CN"/>
        </w:rPr>
        <w:tab/>
        <w:t>no individual Bond may be in an amount which exceeds the principal amount coming due on any maturity date; and</w:t>
      </w:r>
    </w:p>
    <w:p w14:paraId="48D9C9C1"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(b)</w:t>
      </w:r>
      <w:r w:rsidRPr="0024520B">
        <w:rPr>
          <w:rFonts w:eastAsia="Calibri" w:cs="Times New Roman"/>
          <w:sz w:val="22"/>
          <w:szCs w:val="22"/>
          <w:lang w:eastAsia="zh-CN"/>
        </w:rPr>
        <w:tab/>
        <w:t>in the event a Bond is partially redeemed and the unredeemed portion is less than $500,000, such unredeemed portion of such Bond may be issued in the largest possible denomination of less than $500,000, in an integral multiple of $1,000.</w:t>
      </w:r>
    </w:p>
    <w:p w14:paraId="661DCFAC"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“Beneficial Owner” means any person for which a Participant acquires an interest in the Bonds, which may be evidenced by the Participant’s records or an affidavit provided by such owner..</w:t>
      </w:r>
    </w:p>
    <w:p w14:paraId="20B4DC2B"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“Bond Consent” means the consent to the issuance of up to $[_________] of limited tax bonds dated on or before [_______], 2026 signed by 100% of the surface property owners within the boundaries of the District. </w:t>
      </w:r>
    </w:p>
    <w:p w14:paraId="556F1990"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“Bond Resolution” means the resolution authorizing the issuance of the Bonds and the execution of the Indentures, certified by the Clerk/Secretary or Assistant Clerk/Secretary of the District to have been duly adopted by the District and to be in full force and effect on the date of such certification, including any amendments or supplements made thereto. </w:t>
      </w:r>
    </w:p>
    <w:p w14:paraId="22348F24"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“Business Day” means a day on which the Trustee or banks or trust companies in Salt Lake City, Utah, or in New York, New York, are not authorized or required to remain closed and on which the New York Stock Exchange is not closed.</w:t>
      </w:r>
    </w:p>
    <w:p w14:paraId="55642C26"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“Cede” means Cede &amp; Co., the nominee of DTC as record owner of the Bonds, or any successor nominee of DTC with respect to the Bonds.</w:t>
      </w:r>
    </w:p>
    <w:p w14:paraId="7EFE7FFF"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“City” means Herriman City, Utah. </w:t>
      </w:r>
    </w:p>
    <w:p w14:paraId="048163CF"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“Code” means the Internal Revenue Code of 1986, as amended and in effect as of the date of issuance of the 2026A-1 Senior LT Bonds.</w:t>
      </w:r>
    </w:p>
    <w:p w14:paraId="72DEAD93"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“Contract Fee Revenues” is defined in the SR Indenture to mean all amounts received by the District from the Contract Fees either directly or from the City under the Contract Fee Interlocal Agreement. Contract Fee Revenues are net of the collection costs of the City or the District, as applicable. </w:t>
      </w:r>
    </w:p>
    <w:p w14:paraId="63B5D524" w14:textId="73BE0133"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“Contract Fees” is defined in the SR Indenture to mean the fees imposed by the District under the Contract Fee</w:t>
      </w:r>
      <w:r w:rsidR="00CD137B">
        <w:rPr>
          <w:rFonts w:eastAsia="Calibri" w:cs="Times New Roman"/>
          <w:sz w:val="22"/>
          <w:szCs w:val="22"/>
          <w:lang w:eastAsia="zh-CN"/>
        </w:rPr>
        <w:t>s</w:t>
      </w:r>
      <w:r w:rsidRPr="0024520B">
        <w:rPr>
          <w:rFonts w:eastAsia="Calibri" w:cs="Times New Roman"/>
          <w:sz w:val="22"/>
          <w:szCs w:val="22"/>
          <w:lang w:eastAsia="zh-CN"/>
        </w:rPr>
        <w:t xml:space="preserve"> Resolution, in the amount of $15,450 for calendar year 2026 and increasing by 3% each year thereafter. </w:t>
      </w:r>
    </w:p>
    <w:p w14:paraId="51BE9FEB"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“Contract Fee Interlocal Agreement” is defined in the SR Indenture to mean </w:t>
      </w:r>
      <w:bookmarkStart w:id="300" w:name="_Hlk158190342"/>
      <w:r w:rsidRPr="0024520B">
        <w:rPr>
          <w:rFonts w:eastAsia="Calibri" w:cs="Times New Roman"/>
          <w:sz w:val="22"/>
          <w:szCs w:val="22"/>
          <w:lang w:eastAsia="zh-CN"/>
        </w:rPr>
        <w:t xml:space="preserve">the First Amended and Restated Interlocal Cooperation Agreement between the City and the District dated </w:t>
      </w:r>
      <w:bookmarkEnd w:id="300"/>
      <w:r w:rsidRPr="0024520B">
        <w:rPr>
          <w:rFonts w:eastAsia="Calibri" w:cs="Times New Roman"/>
          <w:sz w:val="22"/>
          <w:szCs w:val="22"/>
          <w:lang w:eastAsia="zh-CN"/>
        </w:rPr>
        <w:t xml:space="preserve">[July 9], 2026. </w:t>
      </w:r>
    </w:p>
    <w:p w14:paraId="1909CC0C"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 xml:space="preserve">“Contract Fees Resolution” is defined in the SR Indenture to mean the Resolution of the Board, adopted on July 9, 2026 imposing the Contract Fees. </w:t>
      </w:r>
    </w:p>
    <w:p w14:paraId="27E59B63"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“Counsel” means a person, or firm of which such a person is a member, authorized in any state to practice law.</w:t>
      </w:r>
    </w:p>
    <w:p w14:paraId="2E86F331"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“County” means Salt Lake County, Utah.</w:t>
      </w:r>
    </w:p>
    <w:p w14:paraId="0A2C6A8F"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“Developer” means Olympia Land, LLC. </w:t>
      </w:r>
    </w:p>
    <w:p w14:paraId="65009590"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“District” means the Olympia Public Infrastructure District No. 2.</w:t>
      </w:r>
    </w:p>
    <w:p w14:paraId="62769631"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“District Act” means, collectively, the Special District Act, Title 17B, Chapter 1, Utah Code, and the Limited Purpose Local Government Entities – Local Districts, and the Public Infrastructure District Act, Title 17D, Chapter 4, Utah Code.</w:t>
      </w:r>
    </w:p>
    <w:p w14:paraId="7A6CD0AE"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“District Representative” means any member of the Board or the person or persons at the time designated to act on behalf of the District by the Bond Resolution or as designated by written certificate furnished to the Trustee containing the specimen signatures of such person or persons and signed on behalf of the District by its Chair or Vice Chair and attested by its Clerk or Assistant Clerk, and any alternate or alternates designated as such therein.</w:t>
      </w:r>
    </w:p>
    <w:p w14:paraId="3B8E9F38"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“DTC” means The Depository Trust Company, a limited purpose trust company organized under the laws of the State of New York, and its successors and assigns. References herein to DTC shall include any nominee of DTC in whose name any Bonds are then registered.</w:t>
      </w:r>
    </w:p>
    <w:p w14:paraId="697EF27F" w14:textId="77777777" w:rsidR="0024520B" w:rsidRPr="0024520B" w:rsidRDefault="0024520B" w:rsidP="0024520B">
      <w:pPr>
        <w:spacing w:after="240"/>
        <w:ind w:firstLine="720"/>
        <w:jc w:val="both"/>
        <w:rPr>
          <w:rFonts w:eastAsia="Calibri" w:cs="Times New Roman"/>
          <w:sz w:val="22"/>
        </w:rPr>
      </w:pPr>
      <w:bookmarkStart w:id="301" w:name="_Hlk81397538"/>
      <w:r w:rsidRPr="0024520B">
        <w:rPr>
          <w:rFonts w:eastAsia="Calibri" w:cs="Times New Roman"/>
          <w:sz w:val="22"/>
        </w:rPr>
        <w:t>“Effective Interest Rate” is defined in the SR Indenture to mean, as of the date of the calculation, for any obligations for which the Effective Interest Rate is to be calculated hereunder, the total remaining Interest Cost for such obligations divided by the sum of the products derived by multiplying the remaining principal amount of each such obligation maturing on each maturity date by the number of years from the date of calculation to their respective maturities. In all cases, Effective Interest Rate shall be computed without regard to any option of redemption prior to the designated maturity dates of the obligations, but shall assume the payment of principal due as a result of mandatory sinking fund redemption (i.e., scheduled mandatory principal payments), which mandatory sinking fund redemption dates shall be deemed a maturity of the stated mandatory sinking fund redemption amount for purposes of this definition. For any obligation without a schedule of mandatory principal redemption (e.g., a “cash flow bond”), 100% of the then-outstanding principal of that obligation shall be assumed to mature at the stated maturity date for purposes of this definition.</w:t>
      </w:r>
    </w:p>
    <w:p w14:paraId="4629D318"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“Event of Default” means any one or more of the events set forth in the Senior LT Indenture, the SR Indenture, or Subordinate LT Indenture, as applicable.</w:t>
      </w:r>
    </w:p>
    <w:bookmarkEnd w:id="301"/>
    <w:p w14:paraId="4D941B35"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“Federal Securities” means direct obligations of (including obligations issued or held in book-entry form on the books of), or obligations the principal of and interest on which are unconditionally guaranteed by, the United States of America.</w:t>
      </w:r>
    </w:p>
    <w:p w14:paraId="45E491C7"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“Fiscal Year” means the 12-month period ending December 31 of each calendar year.</w:t>
      </w:r>
    </w:p>
    <w:p w14:paraId="6CB94ABE"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“Government Obligations” means solely one or more of the following: </w:t>
      </w:r>
    </w:p>
    <w:p w14:paraId="1B7557DB"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(a)</w:t>
      </w:r>
      <w:r w:rsidRPr="0024520B">
        <w:rPr>
          <w:rFonts w:eastAsia="Calibri" w:cs="Times New Roman"/>
          <w:sz w:val="22"/>
          <w:szCs w:val="22"/>
          <w:lang w:eastAsia="zh-CN"/>
        </w:rPr>
        <w:tab/>
        <w:t>State and Local Government Series issued by the United States Treasury (“SLGS”);</w:t>
      </w:r>
    </w:p>
    <w:p w14:paraId="7FB837B5"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(b)</w:t>
      </w:r>
      <w:r w:rsidRPr="0024520B">
        <w:rPr>
          <w:rFonts w:eastAsia="Calibri" w:cs="Times New Roman"/>
          <w:sz w:val="22"/>
          <w:szCs w:val="22"/>
          <w:lang w:eastAsia="zh-CN"/>
        </w:rPr>
        <w:tab/>
        <w:t>United States Treasury bills, notes and bonds, as traded on the open market;</w:t>
      </w:r>
    </w:p>
    <w:p w14:paraId="593E2213"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(c)</w:t>
      </w:r>
      <w:r w:rsidRPr="0024520B">
        <w:rPr>
          <w:rFonts w:eastAsia="Calibri" w:cs="Times New Roman"/>
          <w:sz w:val="22"/>
          <w:szCs w:val="22"/>
          <w:lang w:eastAsia="zh-CN"/>
        </w:rPr>
        <w:tab/>
        <w:t>Zero Coupon United States Treasury Bonds; and</w:t>
      </w:r>
    </w:p>
    <w:p w14:paraId="3FAE0E8A"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(d)</w:t>
      </w:r>
      <w:r w:rsidRPr="0024520B">
        <w:rPr>
          <w:rFonts w:eastAsia="Calibri" w:cs="Times New Roman"/>
          <w:sz w:val="22"/>
          <w:szCs w:val="22"/>
          <w:lang w:eastAsia="zh-CN"/>
        </w:rPr>
        <w:tab/>
        <w:t>Any other direct obligations of or obligations fully and unconditionally guaranteed as to timely payment by the United States of America (including, without limitation, obligations commonly referred to as “REFCORP strips”).</w:t>
      </w:r>
    </w:p>
    <w:p w14:paraId="1370A398"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“Improvements” means public infrastructure and improvements, as permitted by law, the debt for which was approved by the Bond Consent, including without limitation necessary or appropriate equipment.</w:t>
      </w:r>
    </w:p>
    <w:p w14:paraId="6340C16D"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“Initial Deposit” means the amount of $[_______], which is the amount deposited in the LT Surplus Fund from proceeds of the 2026A-1 Senior LT Bonds pursuant to the Senior LT Indenture. </w:t>
      </w:r>
    </w:p>
    <w:p w14:paraId="4649702D" w14:textId="77777777" w:rsidR="0024520B" w:rsidRPr="0024520B" w:rsidRDefault="0024520B" w:rsidP="0024520B">
      <w:pPr>
        <w:spacing w:after="240"/>
        <w:ind w:firstLine="720"/>
        <w:jc w:val="both"/>
        <w:rPr>
          <w:rFonts w:eastAsia="Calibri" w:cs="Times New Roman"/>
          <w:sz w:val="22"/>
        </w:rPr>
      </w:pPr>
      <w:bookmarkStart w:id="302" w:name="_Hlk81397559"/>
      <w:r w:rsidRPr="0024520B">
        <w:rPr>
          <w:rFonts w:eastAsia="Calibri" w:cs="Times New Roman"/>
          <w:sz w:val="22"/>
        </w:rPr>
        <w:t>“Interest Cost” is defined in the SR Indenture to mean, the total amount of interest to accrue on obligations (including compounded interest) from the date of calculation to their respective maturities. In all cases Interest Cost shall be computed without regard to any option of redemption prior to the designated maturity dates of the obligations, but shall assume the payment of principal due as a result of mandatory sinking fund redemption (i.e., scheduled mandatory principal payments), which mandatory sinking fund redemption dates shall be deemed a maturity of the stated mandatory sinking fund redemption amount for purposes of this definition. For any obligation without a schedule of mandatory principal redemption (e.g., a “cash flow bond”), for purposes of this definition, 100% of the then-outstanding principal of that obligation shall be assumed to mature at the stated maturity date, and no interest shall be assumed to be paid prior to such stated maturity date (rather, interest shall assume to accrue and compound to such stated maturity date in accordance with the applicable documents authorizing such obligation).</w:t>
      </w:r>
    </w:p>
    <w:p w14:paraId="0A6158AD"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“Junior Lien LT Obligations” is defined in the Subordinate LT Indenture to mean any bonds, notes, debentures, or other multiple fiscal year financial obligations having a lien upon the Subordinate LT Pledged Revenue or any part thereof junior and subordinate to the lien thereon of the 2026B Subordinate LT Bonds, and any other obligation secured by a lien on any ad valorem property taxes of the District and designated by the District, in the resolutions, indentures, or other documents pursuant to which such obligations are issued, as constituting a Junior LT Lien Obligation under the Subordinate LT Indenture, provided that such obligations are required to be issued in accordance with the Subordinate LT Indenture. Any Junior LT Lien Obligation hereafter issued may be issued pursuant to such resolutions, indentures, or other documents as may be determined by the District. Unless specifically designated as such by the District, obligations payable from an Unencumbered Debt Service Mill Levy shall not constitute Junior Lien LT Obligations under the Subordinate LT Indenture. For the avoidance of doubt, the 2026A-2 SR Bonds do not constitute Junior Lien LT Obligations under the Subordinate LT Indenture.</w:t>
      </w:r>
    </w:p>
    <w:bookmarkEnd w:id="302"/>
    <w:p w14:paraId="53938EA8"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“LT Costs of Issuance Fund” is defined in the Senior LT Indenture to mean the “Olympia Public Infrastructure District No. 2 Limited Tax General Obligation Bonds, Series 2026A-1, LT Costs of Issuance Fund,” established by the Senior LT Indenture.</w:t>
      </w:r>
    </w:p>
    <w:p w14:paraId="5ED4AA81"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“LT Surplus Fund” means the “Olympia Public Infrastructure District No. 2 Limited Tax General Obligation Bonds, Series 2026A-1 LT Surplus Fund,” established by the Senior LT Indenture.</w:t>
      </w:r>
    </w:p>
    <w:p w14:paraId="1F9E1126" w14:textId="77777777" w:rsidR="0024520B" w:rsidRPr="0024520B" w:rsidRDefault="0024520B" w:rsidP="0024520B">
      <w:pPr>
        <w:spacing w:after="240"/>
        <w:ind w:firstLine="720"/>
        <w:jc w:val="both"/>
        <w:rPr>
          <w:rFonts w:eastAsia="Calibri" w:cs="Times New Roman"/>
          <w:sz w:val="22"/>
          <w:szCs w:val="22"/>
        </w:rPr>
      </w:pPr>
      <w:r w:rsidRPr="0024520B">
        <w:rPr>
          <w:rFonts w:eastAsia="Calibri" w:cs="Times New Roman"/>
          <w:sz w:val="22"/>
          <w:szCs w:val="22"/>
        </w:rPr>
        <w:t>“LT Working Capital Fund” means the “</w:t>
      </w:r>
      <w:bookmarkStart w:id="303" w:name="_Hlk229494049"/>
      <w:r w:rsidRPr="0024520B">
        <w:rPr>
          <w:rFonts w:eastAsia="Calibri" w:cs="Times New Roman"/>
          <w:sz w:val="22"/>
          <w:szCs w:val="22"/>
        </w:rPr>
        <w:t>Olympia Public Infrastructure District No. 2 Limited Tax General Obligation Bonds, Series 2026A-1, Working Capital Fund</w:t>
      </w:r>
      <w:bookmarkEnd w:id="303"/>
      <w:r w:rsidRPr="0024520B">
        <w:rPr>
          <w:rFonts w:eastAsia="Calibri" w:cs="Times New Roman"/>
          <w:sz w:val="22"/>
          <w:szCs w:val="22"/>
        </w:rPr>
        <w:t>” established by the provisions of the Senior LT Indenture for the purposes set forth therein.</w:t>
      </w:r>
    </w:p>
    <w:p w14:paraId="0E04A311"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“Maximum Surplus Amount” is defined in the Senior LT Indenture to mean an amount equal to $[_________].</w:t>
      </w:r>
      <w:r w:rsidRPr="0024520B">
        <w:rPr>
          <w:rFonts w:eastAsia="Calibri" w:cs="Times New Roman"/>
          <w:sz w:val="22"/>
          <w:szCs w:val="22"/>
          <w:vertAlign w:val="superscript"/>
          <w:lang w:eastAsia="zh-CN"/>
        </w:rPr>
        <w:footnoteReference w:customMarkFollows="1" w:id="24"/>
        <w:t>*</w:t>
      </w:r>
    </w:p>
    <w:p w14:paraId="62F088DB"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“Outstanding” or “Outstanding 2026A-1 Senior LT Bonds” means, as of any particular time, all Bonds which have been duly authenticated and delivered by the Trustee under the Senior LT Indenture, except:</w:t>
      </w:r>
    </w:p>
    <w:p w14:paraId="40BF36EA"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(a)</w:t>
      </w:r>
      <w:r w:rsidRPr="0024520B">
        <w:rPr>
          <w:rFonts w:eastAsia="Calibri" w:cs="Times New Roman"/>
          <w:sz w:val="22"/>
          <w:szCs w:val="22"/>
          <w:lang w:eastAsia="zh-CN"/>
        </w:rPr>
        <w:tab/>
        <w:t>2026A-1 Senior LT Bonds theretofore cancelled by the Trustee or delivered to the Trustee for cancellation because of payment at maturity or prior redemption;</w:t>
      </w:r>
    </w:p>
    <w:p w14:paraId="02AA846E"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(b)</w:t>
      </w:r>
      <w:r w:rsidRPr="0024520B">
        <w:rPr>
          <w:rFonts w:eastAsia="Calibri" w:cs="Times New Roman"/>
          <w:sz w:val="22"/>
          <w:szCs w:val="22"/>
          <w:lang w:eastAsia="zh-CN"/>
        </w:rPr>
        <w:tab/>
        <w:t>2026A-1 Senior LT Bonds for the payment or redemption of which moneys or Federal Securities in an amount sufficient (as determined pursuant to the Senior LT Indenture) shall have been theretofore deposited with the Trustee, or 2026A-1 Senior LT Bonds for the payment or redemption of which moneys or Federal Securities in an amount sufficient (as determined pursuant to the Senior LT Indenture) shall have been placed in escrow and in trust; and</w:t>
      </w:r>
    </w:p>
    <w:p w14:paraId="62A72622"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(c)</w:t>
      </w:r>
      <w:r w:rsidRPr="0024520B">
        <w:rPr>
          <w:rFonts w:eastAsia="Calibri" w:cs="Times New Roman"/>
          <w:sz w:val="22"/>
          <w:szCs w:val="22"/>
          <w:lang w:eastAsia="zh-CN"/>
        </w:rPr>
        <w:tab/>
        <w:t>2026A-1 Senior LT Bonds in lieu of which other 2026A-1 Senior LT Bonds have been authenticated and delivered pursuant to the Senior LT Indenture.</w:t>
      </w:r>
    </w:p>
    <w:p w14:paraId="416ECCB5"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“Outstanding” or “Outstanding 2026A-2 SR Bonds” means, as of any particular time, all Bonds which have been duly authenticated and delivered by the Trustee under this Indenture, except:</w:t>
      </w:r>
    </w:p>
    <w:p w14:paraId="52B00AE1"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(a)</w:t>
      </w:r>
      <w:r w:rsidRPr="0024520B">
        <w:rPr>
          <w:rFonts w:eastAsia="Calibri" w:cs="Times New Roman"/>
          <w:sz w:val="22"/>
          <w:szCs w:val="22"/>
          <w:lang w:eastAsia="zh-CN"/>
        </w:rPr>
        <w:tab/>
        <w:t>2026A-2 SR Bonds theretofore cancelled by the Trustee or delivered to the Trustee for cancellation because of payment at maturity or prior redemption;</w:t>
      </w:r>
    </w:p>
    <w:p w14:paraId="469E2C62"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(b)</w:t>
      </w:r>
      <w:r w:rsidRPr="0024520B">
        <w:rPr>
          <w:rFonts w:eastAsia="Calibri" w:cs="Times New Roman"/>
          <w:sz w:val="22"/>
          <w:szCs w:val="22"/>
          <w:lang w:eastAsia="zh-CN"/>
        </w:rPr>
        <w:tab/>
        <w:t>2026A-2 SR Bonds for the payment or redemption of which moneys or Federal Securities in an amount sufficient (as determined pursuant to the SR Indenture) shall have been theretofore deposited with the Trustee, or 2026A-2 SR Bonds for the payment or redemption of which moneys or Federal Securities in an amount sufficient (as determined pursuant to the SR Indenture) shall have been placed in escrow and in trust; and</w:t>
      </w:r>
    </w:p>
    <w:p w14:paraId="3D1992DA"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(c)</w:t>
      </w:r>
      <w:r w:rsidRPr="0024520B">
        <w:rPr>
          <w:rFonts w:eastAsia="Calibri" w:cs="Times New Roman"/>
          <w:sz w:val="22"/>
          <w:szCs w:val="22"/>
          <w:lang w:eastAsia="zh-CN"/>
        </w:rPr>
        <w:tab/>
        <w:t>2026A-2 SR Bonds in lieu of which other 2026A-2 SR Bonds have been authenticated and delivered pursuant to the SR Indenture.</w:t>
      </w:r>
    </w:p>
    <w:p w14:paraId="19239A93"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“Outstanding” or “Outstanding 2026B Subordinate LT Bonds” means, as of any particular time, all Bonds which have been duly authenticated and delivered by the Trustee under the Subordinate LT Indenture, except:</w:t>
      </w:r>
    </w:p>
    <w:p w14:paraId="05EDCA07"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(a)</w:t>
      </w:r>
      <w:r w:rsidRPr="0024520B">
        <w:rPr>
          <w:rFonts w:eastAsia="Calibri" w:cs="Times New Roman"/>
          <w:sz w:val="22"/>
          <w:szCs w:val="22"/>
          <w:lang w:eastAsia="zh-CN"/>
        </w:rPr>
        <w:tab/>
        <w:t>2026B Subordinate LT Bonds theretofore cancelled by the Trustee or delivered to the Trustee for cancellation because of payment at maturity or prior redemption;</w:t>
      </w:r>
    </w:p>
    <w:p w14:paraId="0E6C331B"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(b)</w:t>
      </w:r>
      <w:r w:rsidRPr="0024520B">
        <w:rPr>
          <w:rFonts w:eastAsia="Calibri" w:cs="Times New Roman"/>
          <w:sz w:val="22"/>
          <w:szCs w:val="22"/>
          <w:lang w:eastAsia="zh-CN"/>
        </w:rPr>
        <w:tab/>
        <w:t>2026B Subordinate LT Bonds for the payment or redemption of which moneys or Federal Securities in an amount sufficient (as determined pursuant to the Subordinate LT Indenture) shall have been theretofore deposited with the Trustee, or 2026B Subordinate LT Bonds for the payment or redemption of which moneys or Federal Securities in an amount sufficient (as determined pursuant to the Subordinate LT Indenture) shall have been placed in escrow and in trust; and</w:t>
      </w:r>
    </w:p>
    <w:p w14:paraId="67F14E00"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(c)</w:t>
      </w:r>
      <w:r w:rsidRPr="0024520B">
        <w:rPr>
          <w:rFonts w:eastAsia="Calibri" w:cs="Times New Roman"/>
          <w:sz w:val="22"/>
          <w:szCs w:val="22"/>
          <w:lang w:eastAsia="zh-CN"/>
        </w:rPr>
        <w:tab/>
        <w:t>2026B Subordinate LT Bonds in lieu of which other 2026B Subordinate LT Bonds have been authenticated and delivered pursuant to the Subordinate LT Indenture.</w:t>
      </w:r>
    </w:p>
    <w:p w14:paraId="2F4A42DF"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“Owner(s)” or “Owner(s) of Bonds” means the registered owner(s) of any Bond(s) as shown on the registration books maintained by the Trustee, including the Depository for the Bonds, if any, or its nominee.</w:t>
      </w:r>
    </w:p>
    <w:p w14:paraId="4EF43BEE"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“Participants” means any broker-dealer, bank, or other financial institution from time to time for which DTC or another Depository holds the Bonds.</w:t>
      </w:r>
    </w:p>
    <w:p w14:paraId="0AABE7EA" w14:textId="77777777" w:rsidR="0024520B" w:rsidRPr="0024520B" w:rsidRDefault="0024520B" w:rsidP="0024520B">
      <w:pPr>
        <w:suppressAutoHyphens/>
        <w:spacing w:after="240"/>
        <w:ind w:firstLine="720"/>
        <w:jc w:val="both"/>
        <w:rPr>
          <w:rFonts w:eastAsia="Times New Roman" w:cs="Times New Roman"/>
          <w:sz w:val="22"/>
          <w:szCs w:val="22"/>
          <w:lang w:eastAsia="zh-CN"/>
        </w:rPr>
      </w:pPr>
      <w:r w:rsidRPr="0024520B">
        <w:rPr>
          <w:rFonts w:eastAsia="Calibri" w:cs="Times New Roman"/>
          <w:sz w:val="22"/>
          <w:szCs w:val="22"/>
        </w:rPr>
        <w:t>“Performance Bond” means any surety bond, letter of credit, financial institution bond, cash, assignment of rights, lien, or other equivalent security required by a political subdivision of the State or an agency of a political subdivision of the State in connection with the construction of the Improvements.</w:t>
      </w:r>
    </w:p>
    <w:p w14:paraId="7FECB64C"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“Permitted Investments” means any of the following securities:</w:t>
      </w:r>
    </w:p>
    <w:p w14:paraId="371A8DF3"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(a)</w:t>
      </w:r>
      <w:r w:rsidRPr="0024520B">
        <w:rPr>
          <w:rFonts w:eastAsia="Calibri" w:cs="Times New Roman"/>
          <w:sz w:val="22"/>
          <w:szCs w:val="22"/>
          <w:lang w:eastAsia="zh-CN"/>
        </w:rPr>
        <w:tab/>
        <w:t>Government Obligations;</w:t>
      </w:r>
    </w:p>
    <w:p w14:paraId="10C4855D"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(b)</w:t>
      </w:r>
      <w:r w:rsidRPr="0024520B">
        <w:rPr>
          <w:rFonts w:eastAsia="Calibri" w:cs="Times New Roman"/>
          <w:sz w:val="22"/>
          <w:szCs w:val="22"/>
          <w:lang w:eastAsia="zh-CN"/>
        </w:rPr>
        <w:tab/>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
    <w:p w14:paraId="5E3CEB58"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(c)</w:t>
      </w:r>
      <w:r w:rsidRPr="0024520B">
        <w:rPr>
          <w:rFonts w:eastAsia="Calibri" w:cs="Times New Roman"/>
          <w:sz w:val="22"/>
          <w:szCs w:val="22"/>
          <w:lang w:eastAsia="zh-CN"/>
        </w:rPr>
        <w:tab/>
        <w:t xml:space="preserve">Money market funds rated “AAAm” or “AAAm-G” or better by S&amp;P and/or the equivalent rating or better of Moody’s (if so rated), including money market funds from which the Trustee or its affiliates derive a fee for investment advisory services to the fund; </w:t>
      </w:r>
    </w:p>
    <w:p w14:paraId="621D6F66"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(d)</w:t>
      </w:r>
      <w:r w:rsidRPr="0024520B">
        <w:rPr>
          <w:rFonts w:eastAsia="Calibri" w:cs="Times New Roman"/>
          <w:sz w:val="22"/>
          <w:szCs w:val="22"/>
          <w:lang w:eastAsia="zh-CN"/>
        </w:rPr>
        <w:tab/>
        <w:t>Commercial paper which is rated at the time of purchase in the single highest classification, P-1 by Moody’s or A-1+ by S&amp;P, and which matures not more than 270 days after the date of purchase;</w:t>
      </w:r>
    </w:p>
    <w:p w14:paraId="1E47937E"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(e)</w:t>
      </w:r>
      <w:r w:rsidRPr="0024520B">
        <w:rPr>
          <w:rFonts w:eastAsia="Calibri" w:cs="Times New Roman"/>
          <w:sz w:val="22"/>
          <w:szCs w:val="22"/>
          <w:lang w:eastAsia="zh-CN"/>
        </w:rPr>
        <w:tab/>
        <w:t>Bonds, notes or other evidences of indebtedness rated “AAA” by S&amp;P and “Aaa” by Moody’s issued by the Federal National Mortgage Association or the Federal Home Loan Mortgage Corporation with remaining maturities not exceeding three years;</w:t>
      </w:r>
    </w:p>
    <w:p w14:paraId="3AF210C8"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(f)</w:t>
      </w:r>
      <w:r w:rsidRPr="0024520B">
        <w:rPr>
          <w:rFonts w:eastAsia="Calibri" w:cs="Times New Roman"/>
          <w:sz w:val="22"/>
          <w:szCs w:val="22"/>
          <w:lang w:eastAsia="zh-CN"/>
        </w:rPr>
        <w:tab/>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737A917C"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(g)</w:t>
      </w:r>
      <w:r w:rsidRPr="0024520B">
        <w:rPr>
          <w:rFonts w:eastAsia="Calibri" w:cs="Times New Roman"/>
          <w:sz w:val="22"/>
          <w:szCs w:val="22"/>
          <w:lang w:eastAsia="zh-CN"/>
        </w:rPr>
        <w:tab/>
        <w:t>The fund held by the Treasurer for the State of Utah and commonly known as the Utah State Public Treasurer’s Investment Fund; and</w:t>
      </w:r>
    </w:p>
    <w:p w14:paraId="402C312A"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(h)</w:t>
      </w:r>
      <w:r w:rsidRPr="0024520B">
        <w:rPr>
          <w:rFonts w:eastAsia="Calibri" w:cs="Times New Roman"/>
          <w:sz w:val="22"/>
          <w:szCs w:val="22"/>
          <w:lang w:eastAsia="zh-CN"/>
        </w:rPr>
        <w:tab/>
        <w:t>Any other investments or securities permitted for investment of public funds under the State Money Management Act of 1974, Title 51, Chapter 7, Utah Code, including investments contracts permitted by Section 51-7-17(2)(d) thereof.</w:t>
      </w:r>
    </w:p>
    <w:p w14:paraId="7A67007B"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“Project” means the financing, acquisition, construction, or installation of any portion of the Improvements.</w:t>
      </w:r>
    </w:p>
    <w:p w14:paraId="5C8A61EC"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“Project Costs” means the District’s costs properly attributable to the Project or any part thereof, including reimbursement or payment of such costs in accordance with the Infrastructure Acquisition and Reimbursement Agreement, including without limitation:</w:t>
      </w:r>
    </w:p>
    <w:p w14:paraId="43DB82A9"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(a)</w:t>
      </w:r>
      <w:r w:rsidRPr="0024520B">
        <w:rPr>
          <w:rFonts w:eastAsia="Calibri" w:cs="Times New Roman"/>
          <w:sz w:val="22"/>
          <w:szCs w:val="22"/>
          <w:lang w:eastAsia="zh-CN"/>
        </w:rPr>
        <w:tab/>
        <w:t>the costs of labor and materials, of machinery, furnishings, and equipment, and of the restoration of property damaged or destroyed in connection with construction work;</w:t>
      </w:r>
    </w:p>
    <w:p w14:paraId="573064C3" w14:textId="77777777" w:rsidR="0024520B" w:rsidRPr="0024520B" w:rsidRDefault="0024520B" w:rsidP="0024520B">
      <w:pPr>
        <w:spacing w:after="240"/>
        <w:ind w:left="720" w:firstLine="720"/>
        <w:jc w:val="both"/>
        <w:rPr>
          <w:rFonts w:eastAsia="Times New Roman" w:cs="Times New Roman"/>
          <w:sz w:val="22"/>
          <w:szCs w:val="22"/>
          <w:lang w:eastAsia="zh-CN"/>
        </w:rPr>
      </w:pPr>
      <w:r w:rsidRPr="0024520B">
        <w:rPr>
          <w:rFonts w:eastAsia="Calibri" w:cs="Times New Roman"/>
          <w:sz w:val="22"/>
          <w:szCs w:val="22"/>
          <w:lang w:eastAsia="zh-CN"/>
        </w:rPr>
        <w:t>(b)</w:t>
      </w:r>
      <w:r w:rsidRPr="0024520B">
        <w:rPr>
          <w:rFonts w:eastAsia="Calibri" w:cs="Times New Roman"/>
          <w:sz w:val="22"/>
          <w:szCs w:val="22"/>
          <w:lang w:eastAsia="zh-CN"/>
        </w:rPr>
        <w:tab/>
      </w:r>
      <w:r w:rsidRPr="0024520B">
        <w:rPr>
          <w:rFonts w:eastAsia="Times New Roman" w:cs="Times New Roman"/>
          <w:sz w:val="22"/>
          <w:szCs w:val="22"/>
          <w:lang w:eastAsia="zh-CN"/>
        </w:rPr>
        <w:t>any amounts necessary to meet any Performance Bond requirements relating to the construction of the Project;</w:t>
      </w:r>
    </w:p>
    <w:p w14:paraId="76965EBC"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(c)</w:t>
      </w:r>
      <w:r w:rsidRPr="0024520B">
        <w:rPr>
          <w:rFonts w:eastAsia="Calibri" w:cs="Times New Roman"/>
          <w:sz w:val="22"/>
          <w:szCs w:val="22"/>
          <w:lang w:eastAsia="zh-CN"/>
        </w:rPr>
        <w:tab/>
        <w:t>the costs of insurance premiums, indemnity and fidelity bonds, financing charges, bank fees, taxes, or other municipal or governmental charges lawfully levied or assessed;</w:t>
      </w:r>
    </w:p>
    <w:p w14:paraId="01BD4098"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(d)</w:t>
      </w:r>
      <w:r w:rsidRPr="0024520B">
        <w:rPr>
          <w:rFonts w:eastAsia="Calibri" w:cs="Times New Roman"/>
          <w:sz w:val="22"/>
          <w:szCs w:val="22"/>
          <w:lang w:eastAsia="zh-CN"/>
        </w:rPr>
        <w:tab/>
        <w:t>administrative and general overhead costs;</w:t>
      </w:r>
    </w:p>
    <w:p w14:paraId="5463C914"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(e)</w:t>
      </w:r>
      <w:r w:rsidRPr="0024520B">
        <w:rPr>
          <w:rFonts w:eastAsia="Calibri" w:cs="Times New Roman"/>
          <w:sz w:val="22"/>
          <w:szCs w:val="22"/>
          <w:lang w:eastAsia="zh-CN"/>
        </w:rPr>
        <w:tab/>
        <w:t>the costs of surveys, appraisals, plans, designs, specifications, and estimates;</w:t>
      </w:r>
    </w:p>
    <w:p w14:paraId="1325F783"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(f)</w:t>
      </w:r>
      <w:r w:rsidRPr="0024520B">
        <w:rPr>
          <w:rFonts w:eastAsia="Calibri" w:cs="Times New Roman"/>
          <w:sz w:val="22"/>
          <w:szCs w:val="22"/>
          <w:lang w:eastAsia="zh-CN"/>
        </w:rPr>
        <w:tab/>
        <w:t>the costs, fees, and expenses of printers, engineers, architects, construction management, financial consultants, accountants, legal advisors, or other agents or employees;</w:t>
      </w:r>
    </w:p>
    <w:p w14:paraId="32950EA5"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(g)</w:t>
      </w:r>
      <w:r w:rsidRPr="0024520B">
        <w:rPr>
          <w:rFonts w:eastAsia="Calibri" w:cs="Times New Roman"/>
          <w:sz w:val="22"/>
          <w:szCs w:val="22"/>
          <w:lang w:eastAsia="zh-CN"/>
        </w:rPr>
        <w:tab/>
        <w:t>the costs of publishing, reproducing, posting, mailing, or recording documents;</w:t>
      </w:r>
    </w:p>
    <w:p w14:paraId="1B5F904F"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(h)</w:t>
      </w:r>
      <w:r w:rsidRPr="0024520B">
        <w:rPr>
          <w:rFonts w:eastAsia="Calibri" w:cs="Times New Roman"/>
          <w:sz w:val="22"/>
          <w:szCs w:val="22"/>
          <w:lang w:eastAsia="zh-CN"/>
        </w:rPr>
        <w:tab/>
        <w:t>the costs of contingencies or reserves;</w:t>
      </w:r>
    </w:p>
    <w:p w14:paraId="3C2FDB4D"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(i)</w:t>
      </w:r>
      <w:r w:rsidRPr="0024520B">
        <w:rPr>
          <w:rFonts w:eastAsia="Calibri" w:cs="Times New Roman"/>
          <w:sz w:val="22"/>
          <w:szCs w:val="22"/>
          <w:lang w:eastAsia="zh-CN"/>
        </w:rPr>
        <w:tab/>
        <w:t>the costs of issuing the Bonds;</w:t>
      </w:r>
    </w:p>
    <w:p w14:paraId="12FCE015"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(j)</w:t>
      </w:r>
      <w:r w:rsidRPr="0024520B">
        <w:rPr>
          <w:rFonts w:eastAsia="Calibri" w:cs="Times New Roman"/>
          <w:sz w:val="22"/>
          <w:szCs w:val="22"/>
          <w:lang w:eastAsia="zh-CN"/>
        </w:rPr>
        <w:tab/>
        <w:t>the costs of amending the Senior LT Indenture, the SR Indenture, the Subordinate LT Indenture, the Bond Resolution, or any other instrument relating to the Bonds or the Project;</w:t>
      </w:r>
    </w:p>
    <w:p w14:paraId="0A2D4792"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(k)</w:t>
      </w:r>
      <w:r w:rsidRPr="0024520B">
        <w:rPr>
          <w:rFonts w:eastAsia="Calibri" w:cs="Times New Roman"/>
          <w:sz w:val="22"/>
          <w:szCs w:val="22"/>
          <w:lang w:eastAsia="zh-CN"/>
        </w:rPr>
        <w:tab/>
        <w:t>the costs of repaying any short-term financing, construction loans, and other temporary loans, and of the incidental expenses incurred in connection with such loans;</w:t>
      </w:r>
    </w:p>
    <w:p w14:paraId="061F5986"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(l)</w:t>
      </w:r>
      <w:r w:rsidRPr="0024520B">
        <w:rPr>
          <w:rFonts w:eastAsia="Calibri" w:cs="Times New Roman"/>
          <w:sz w:val="22"/>
          <w:szCs w:val="22"/>
          <w:lang w:eastAsia="zh-CN"/>
        </w:rPr>
        <w:tab/>
        <w:t>the costs of acquiring any property, rights, easements, licenses, privileges, agreements, and franchises;</w:t>
      </w:r>
    </w:p>
    <w:p w14:paraId="7BBA26F8"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(m)</w:t>
      </w:r>
      <w:r w:rsidRPr="0024520B">
        <w:rPr>
          <w:rFonts w:eastAsia="Calibri" w:cs="Times New Roman"/>
          <w:sz w:val="22"/>
          <w:szCs w:val="22"/>
          <w:lang w:eastAsia="zh-CN"/>
        </w:rPr>
        <w:tab/>
        <w:t>the costs of demolition, removal, and relocation;</w:t>
      </w:r>
    </w:p>
    <w:p w14:paraId="2F75E843" w14:textId="77777777" w:rsidR="0024520B" w:rsidRPr="0024520B" w:rsidRDefault="0024520B" w:rsidP="0024520B">
      <w:pPr>
        <w:spacing w:after="240"/>
        <w:ind w:left="720" w:firstLine="720"/>
        <w:jc w:val="both"/>
        <w:rPr>
          <w:rFonts w:eastAsia="Calibri" w:cs="Times New Roman"/>
          <w:sz w:val="22"/>
          <w:szCs w:val="22"/>
          <w:lang w:eastAsia="zh-CN"/>
        </w:rPr>
      </w:pPr>
      <w:r w:rsidRPr="0024520B">
        <w:rPr>
          <w:rFonts w:eastAsia="Calibri" w:cs="Times New Roman"/>
          <w:sz w:val="22"/>
          <w:szCs w:val="22"/>
          <w:lang w:eastAsia="zh-CN"/>
        </w:rPr>
        <w:t>(n)</w:t>
      </w:r>
      <w:r w:rsidRPr="0024520B">
        <w:rPr>
          <w:rFonts w:eastAsia="Calibri" w:cs="Times New Roman"/>
          <w:sz w:val="22"/>
          <w:szCs w:val="22"/>
          <w:lang w:eastAsia="zh-CN"/>
        </w:rPr>
        <w:tab/>
        <w:t>the costs of organizing the District; and</w:t>
      </w:r>
    </w:p>
    <w:p w14:paraId="595C2908" w14:textId="77777777" w:rsidR="0024520B" w:rsidRPr="0024520B" w:rsidRDefault="0024520B" w:rsidP="0024520B">
      <w:pPr>
        <w:suppressAutoHyphens/>
        <w:spacing w:after="240"/>
        <w:ind w:left="720" w:firstLine="720"/>
        <w:jc w:val="both"/>
        <w:rPr>
          <w:rFonts w:eastAsia="Times New Roman" w:cs="Times New Roman"/>
          <w:sz w:val="22"/>
          <w:szCs w:val="22"/>
          <w:lang w:eastAsia="zh-CN"/>
        </w:rPr>
      </w:pPr>
      <w:r w:rsidRPr="0024520B">
        <w:rPr>
          <w:rFonts w:eastAsia="Times New Roman" w:cs="Times New Roman"/>
          <w:sz w:val="22"/>
          <w:szCs w:val="22"/>
          <w:lang w:eastAsia="zh-CN"/>
        </w:rPr>
        <w:t>(o)</w:t>
      </w:r>
      <w:r w:rsidRPr="0024520B">
        <w:rPr>
          <w:rFonts w:eastAsia="Times New Roman" w:cs="Times New Roman"/>
          <w:sz w:val="22"/>
          <w:szCs w:val="22"/>
          <w:lang w:eastAsia="zh-CN"/>
        </w:rPr>
        <w:tab/>
        <w:t>all other lawful costs as determined by the Board.</w:t>
      </w:r>
    </w:p>
    <w:p w14:paraId="3F9EF7D1"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szCs w:val="22"/>
          <w:lang w:eastAsia="zh-CN"/>
        </w:rPr>
        <w:t xml:space="preserve">“Refunding SR Parity Bonds” </w:t>
      </w:r>
      <w:r w:rsidRPr="0024520B">
        <w:rPr>
          <w:rFonts w:eastAsia="Calibri" w:cs="Times New Roman"/>
          <w:sz w:val="22"/>
        </w:rPr>
        <w:t>means SR Parity Bonds issued solely for the purpose of refunding all or any portion of the 2026A-2 SR Bonds or any other SR Parity Bonds or Subordinate SR Obligations; provided, however, that proceeds of such SR Parity Bonds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5095D395" w14:textId="77777777" w:rsidR="0024520B" w:rsidRPr="0024520B" w:rsidRDefault="0024520B" w:rsidP="0024520B">
      <w:pPr>
        <w:spacing w:after="240"/>
        <w:ind w:firstLine="720"/>
        <w:jc w:val="both"/>
        <w:rPr>
          <w:rFonts w:eastAsia="Times New Roman" w:cs="Times New Roman"/>
          <w:kern w:val="2"/>
          <w:sz w:val="22"/>
          <w:szCs w:val="22"/>
          <w:lang w:eastAsia="zh-CN"/>
          <w14:ligatures w14:val="standardContextual"/>
        </w:rPr>
      </w:pPr>
      <w:r w:rsidRPr="0024520B">
        <w:rPr>
          <w:rFonts w:eastAsia="Times New Roman" w:cs="Times New Roman"/>
          <w:kern w:val="2"/>
          <w:sz w:val="22"/>
          <w:szCs w:val="22"/>
          <w:lang w:eastAsia="zh-CN"/>
          <w14:ligatures w14:val="standardContextual"/>
        </w:rPr>
        <w:t xml:space="preserve">“Refunding LT </w:t>
      </w:r>
      <w:r w:rsidRPr="0024520B">
        <w:rPr>
          <w:rFonts w:eastAsia="Aptos" w:cs="Times New Roman"/>
          <w:sz w:val="22"/>
        </w:rPr>
        <w:t>Senior</w:t>
      </w:r>
      <w:r w:rsidRPr="0024520B">
        <w:rPr>
          <w:rFonts w:eastAsia="Times New Roman" w:cs="Times New Roman"/>
          <w:kern w:val="2"/>
          <w:sz w:val="22"/>
          <w:szCs w:val="22"/>
          <w:lang w:eastAsia="zh-CN"/>
          <w14:ligatures w14:val="standardContextual"/>
        </w:rPr>
        <w:t xml:space="preserve"> Obligations” is defined in the Subordinate LT Indenture to mean LT Senior Obligations issued solely for the purpose of refunding all or any portion of the 2026A-1 Senior LT Bonds, any other LT Senior Obligations, the 2026B Subordinate LT Bonds, or any other LT Subordinate Parity Bonds; provided, however, that proceeds of such LT Senior Obligations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1EE2DFFC"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rPr>
        <w:t>“Senior LT Bond Year” is defined in the Senior LT Indenture to mean the period commencing on the date of issuance of the 2026A-1 Senior LT Bonds to March 1, 2027; and, thereafter, the period from March 2 of any calendar year to March 1 of the following calendar year.</w:t>
      </w:r>
    </w:p>
    <w:p w14:paraId="00B78CC2"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“Senior Debt” means, for any particular calculation date, the aggregate outstanding principal amount (or, if issued as capital appreciation bonds, the then accreted value), as of such calculation date, of the Senior Bonds and any Senior LT Parity Bonds.</w:t>
      </w:r>
    </w:p>
    <w:p w14:paraId="1C9FA986"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“Senior Debt to Taxable Value Ratio” means, as of any date of calculation, the ratio derived by dividing the then-outstanding principal amount of the Senior Debt by the most recent Taxable Value of the District, which ratio calculation shall be set forth in a written certificate of the District Representative provided to the Trustee. </w:t>
      </w:r>
    </w:p>
    <w:p w14:paraId="34373241"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 xml:space="preserve">“Senior LT Bond Fund” means the “Olympia Public Infrastructure District No. 2 Limited Tax General Obligation Bonds, Series 2026A-1, Senior LT Bond Fund,” established by the Senior LT Indenture for the purpose of paying the principal of, premium if any, and interest on the 2026A-1 Senior LT Bonds. </w:t>
      </w:r>
    </w:p>
    <w:p w14:paraId="448FABE9"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“Senior LT Interest Payment Date” is defined in the Senior LT Indenture to mean March 1 of each year, commencing March 1, 2027 and continuing for so long as the 2026A-1 Senior LT Bonds are Outstanding.</w:t>
      </w:r>
    </w:p>
    <w:p w14:paraId="56C2E5FE"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LT Obligations” means, collectively, the 2026A-1 Senior LT Bonds, any obligations constituting “Parity Bonds” under the Senior LT Indenture, and any other obligation of the District so designated by the District as a Senior Obligation (such that any ad valorem property taxes imposed for the payment thereof will constitute a Senior Obligation Mill Levy under the Subordinate LT Indenture), provided that such obligations (other than the 2026A-1 Senior LT Bonds) are required to be issued in accordance with the provisions of the Subordinate LT Indenture. Senior LT Obligations includes any obligation of the District issued as general obligation debt. Any Senior LT Obligations hereafter issued may be issued pursuant to such resolutions, indentures, or other documents as may be determined by the District, and shall be designated in such resolutions, indentures or other documents as constituting Senior LT Obligations under the Subordinate LT Indenture. Unless specifically designated as such by the District, obligations payable from an Unencumbered Debt Service Mill Levy shall not constitute Senior Obligations under the Senior LT Indenture. For the avoidance of doubt, the 2026A-2 SR Bonds do not constitute Senior LT Obligations under the Subordinate LT Indenture.</w:t>
      </w:r>
    </w:p>
    <w:p w14:paraId="0DFE296D"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 xml:space="preserve">“Senior LT Parity Bonds” means any bonds, notes, debentures, or other multiple fiscal year financial obligations having a lien upon the Senior LT Pledged Revenue or any part thereof on parity with the lien thereon of the 2026A-1 Senior LT Bonds, and any other obligation secured by a lien on any ad valorem property taxes of the District and designated by the District, in the resolutions, indentures, or other documents pursuant to which such obligations are issued, as constituting a Senior LT Parity Bond under the Senior LT Indenture, provided that such obligations are required to be issued in accordance with the Senior LT Indenture. Any Senior LT Parity Bonds hereafter issued may be issued pursuant to such resolutions, indentures, or other documents as may be determined by the District, and shall be designated in such resolutions, indentures or other documents as constituting Senior LT Parity Bonds under the Senior LT Indenture. Unless specifically designated as such by the District, obligations payable from an Unencumbered Debt Service Mill Levy shall not constitute Senior LT Parity Bonds under the Senior LT Indenture. For the avoidance of doubt, the 2026A-2 SR Bonds do not constitute Senior LT Parity Bonds under the Senior LT Indenture. </w:t>
      </w:r>
    </w:p>
    <w:p w14:paraId="6A880081"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LT Parity Bonds Maximum Surplus Amount” is defined in the Senior LT Indenture to mean with respect to any particular series of Senior LT Parity Bonds, an amount equal to 20% of the original par amount of such Senior LT Parity Bonds.</w:t>
      </w:r>
    </w:p>
    <w:p w14:paraId="7E8840C2"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LT Pledged Revenue” is defined in the Senior LT Indenture as the following:</w:t>
      </w:r>
    </w:p>
    <w:p w14:paraId="4C2941E5" w14:textId="77777777" w:rsidR="0024520B" w:rsidRPr="0024520B" w:rsidRDefault="0024520B" w:rsidP="00B471D8">
      <w:pPr>
        <w:numPr>
          <w:ilvl w:val="2"/>
          <w:numId w:val="13"/>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all Senior Property Tax Revenues;</w:t>
      </w:r>
    </w:p>
    <w:p w14:paraId="65D1CBED" w14:textId="77777777" w:rsidR="0024520B" w:rsidRPr="0024520B" w:rsidRDefault="0024520B" w:rsidP="00B471D8">
      <w:pPr>
        <w:numPr>
          <w:ilvl w:val="2"/>
          <w:numId w:val="13"/>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all Senior Pioneering Agreement Revenues, if any; and</w:t>
      </w:r>
    </w:p>
    <w:p w14:paraId="3C8925DB" w14:textId="77777777" w:rsidR="0024520B" w:rsidRPr="0024520B" w:rsidRDefault="0024520B" w:rsidP="00B471D8">
      <w:pPr>
        <w:numPr>
          <w:ilvl w:val="2"/>
          <w:numId w:val="13"/>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any other legally available moneys which the District determines, in its absolute discretion, to credit to the Senior LT Bond Fund.</w:t>
      </w:r>
    </w:p>
    <w:p w14:paraId="747E0577"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LT Project Fund” means the “Olympia Public Infrastructure District No. 2 Limited Tax General Obligation Bonds, Series 2026A-1, Senior LT Project Fund,” established by the Senior LT Indenture for the purpose of paying the Project Costs.</w:t>
      </w:r>
    </w:p>
    <w:p w14:paraId="21A4AE4D"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LT Refunding Parity Bonds” is defined in the Senior LT Indenture to mean Senior LT Parity Bonds issued solely for the purpose of refunding all or any portion of the 2026A-1 Senior LT Bonds, any other Senior LT Parity Bonds, or Subordinate LT Obligations; provided, however, that proceeds of such Senior LT Parity Bonds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45BF946B"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“Senior LT Trust Estate” is defined in the Senior LT Indenture as the moneys, securities, revenues, receipts, and funds transferred, pledged, and assigned to the Trustee pursuant to the Granting Clauses of the Senior LT Indenture.</w:t>
      </w:r>
    </w:p>
    <w:p w14:paraId="61AD9B8B"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Obligation Mill Levy” means the sum of the Senior Required Mill Levy and any other ad valorem property tax levy required to be imposed by the District for the payment of Senior LT Obligations.</w:t>
      </w:r>
    </w:p>
    <w:p w14:paraId="5C35190F"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Property Tax Revenues” means all moneys derived from imposition by the District of the Senior Required Mill Levy (including the allocation to the District of any uniform fees related to personal property). Senior Property Tax Revenues are net of the collection costs of the County and any tax refunds or abatements authorized by or on behalf of the County.</w:t>
      </w:r>
    </w:p>
    <w:p w14:paraId="7C0F2E0F"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 xml:space="preserve">“Senior LT Record Date” is defined in the Senior LT Indenture to mean the 15th day of the calendar month next preceding each Senior LT Interest Payment Date. </w:t>
      </w:r>
    </w:p>
    <w:p w14:paraId="6D66FEF1"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“Senior Required Mill Levy” an ad valorem property tax on the taxable property in the District each year in an amount which, if imposed by the District for collection in the current calendar year, after the deduction of the Administrative Expenses and Trustee Fees (each as defined herein), would generate Senior Property Tax Revenues sufficient to pay the principal of, premium if any, and interest on the 2026A-1 Senior LT Bonds as the same become due and payable (less any amount thereof for which amounts are then on deposit in the Senior LT Bond Fund) but not in excess of 0.004 per dollar of taxable value; provided, however, that for so long as the amount on deposit in the LT Surplus Fund is less than the Maximum Surplus Amount, the Senior Required Mill Levy shall be equal to 0.004 per dollar of taxable value, or such lesser amount which, if imposed by the District for collection in the current calendar year, after the deduction of the Administrative Expenses and Trustee Fees, would generate Senior Property Tax Revenues (A) sufficient to pay the principal of, premium if any, and interest on the 2026A-1 Senior LT Bonds as the same become due and payable, and to fully fund the LT Surplus Fund to the Maximum Surplus Amount, or (B) which, when combined with moneys then on deposit in the Senior LT Bond Fund and the LT Surplus Fund, will pay the 2026A-1 Senior LT Bonds in full in the Senior LT Bond Year such levy is collected; provided however, that pursuant to 17D-4-301(13) of the Utah Code, in the event of any statutory change in the methodology of assessment or collection of property taxes in a manner that reduces the Senior Property Tax Revenues, the District may charge a rate sufficient to receive the amount of property taxes the District would have received before the statutory change in order to pay the debt service on Outstanding 2026A-1 Senior LT Bonds.</w:t>
      </w:r>
    </w:p>
    <w:p w14:paraId="234F4961"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“Special Record Date” means the record date for determining Bond ownership for purposes of paying unpaid interest, as such date may be determined pursuant to the applicable Indenture.</w:t>
      </w:r>
    </w:p>
    <w:p w14:paraId="33BEE262"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“SR Bond Fund” means </w:t>
      </w:r>
      <w:r w:rsidRPr="0024520B">
        <w:rPr>
          <w:rFonts w:eastAsia="Calibri" w:cs="Times New Roman"/>
          <w:sz w:val="22"/>
        </w:rPr>
        <w:t>the “Olympia Public Infrastructure District No. 2 Special Revenue Bonds, Series 2026A-2, Bond Fund,” established by the SR Indenture for the purpose of paying the principal of, premium if any, and interest on the 2026A-2 SR Bonds.</w:t>
      </w:r>
    </w:p>
    <w:p w14:paraId="3CFFA2C4"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szCs w:val="22"/>
          <w:lang w:eastAsia="zh-CN"/>
        </w:rPr>
        <w:t xml:space="preserve">“SR Bond Year” </w:t>
      </w:r>
      <w:r w:rsidRPr="0024520B">
        <w:rPr>
          <w:rFonts w:eastAsia="Calibri" w:cs="Times New Roman"/>
          <w:sz w:val="22"/>
        </w:rPr>
        <w:t>is defined in the SR Indenture to mean the period commencing on the date of issuance of the 2026A-2 SR Bonds to December 1, 2026, and, thereafter, the period from December 2 of any calendar year to December 1 of the following calendar year.</w:t>
      </w:r>
    </w:p>
    <w:p w14:paraId="361418E3"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szCs w:val="22"/>
          <w:lang w:eastAsia="zh-CN"/>
        </w:rPr>
        <w:t xml:space="preserve">“SR Costs of Issuance Fund” is defined in the SR Indenture to </w:t>
      </w:r>
      <w:r w:rsidRPr="0024520B">
        <w:rPr>
          <w:rFonts w:eastAsia="Calibri" w:cs="Times New Roman"/>
          <w:sz w:val="22"/>
        </w:rPr>
        <w:t>means the “Olympia Public Infrastructure District No. 2 Special Revenue Bonds, Series 2026A-2, Costs of Issuance Fund,” established by the SR Indenture.</w:t>
      </w:r>
    </w:p>
    <w:p w14:paraId="3C0B9495"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“SR Interest Payment Date” is defined in the SR Indenture to mean December 1 of each year, commencing December 1, 2026 and continuing for so long as the Bonds are Outstanding.</w:t>
      </w:r>
    </w:p>
    <w:p w14:paraId="234FE2FC"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“SR Parity Bonds” </w:t>
      </w:r>
      <w:r w:rsidRPr="0024520B">
        <w:rPr>
          <w:rFonts w:eastAsia="Calibri" w:cs="Times New Roman"/>
          <w:sz w:val="22"/>
        </w:rPr>
        <w:t xml:space="preserve">means any bonds, notes, debentures, or other multiple fiscal year financial obligations having a lien upon the SR Pledged Revenue or any part thereof on parity with the lien thereon of the 2026A-2 SR Bonds and designated by the District, in the resolutions, indentures, or other documents pursuant to which such obligations are issued, as constituting a SR Parity Bond under the SR Indenture, provided that such obligations are required to be issued in accordance with the provisions of the SR Indenture. Any SR Parity Bonds hereafter issued may be issued pursuant to such resolutions, indentures, or other documents as may be determined by the District, and shall be designated in such resolutions, indentures or other documents as constituting SR Parity Bonds hereunder. For the avoidance of doubt, the </w:t>
      </w:r>
      <w:r w:rsidRPr="0024520B">
        <w:rPr>
          <w:rFonts w:eastAsia="Calibri" w:cs="Times New Roman"/>
          <w:sz w:val="22"/>
          <w:szCs w:val="22"/>
          <w:lang w:eastAsia="zh-CN"/>
        </w:rPr>
        <w:t>2026A-1 Senior LT Bond</w:t>
      </w:r>
      <w:r w:rsidRPr="0024520B">
        <w:rPr>
          <w:rFonts w:eastAsia="Calibri" w:cs="Times New Roman"/>
          <w:sz w:val="22"/>
        </w:rPr>
        <w:t>s do not constitute SR Parity Bonds under the SR Indenture.</w:t>
      </w:r>
    </w:p>
    <w:p w14:paraId="4AC3A2A1"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“SR Pledged Revenue” is defined in the SR Indenture as the following: </w:t>
      </w:r>
    </w:p>
    <w:p w14:paraId="4E42E676" w14:textId="77777777" w:rsidR="0024520B" w:rsidRPr="0024520B" w:rsidRDefault="0024520B" w:rsidP="00B471D8">
      <w:pPr>
        <w:numPr>
          <w:ilvl w:val="2"/>
          <w:numId w:val="13"/>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all Contract Fee Revenues; and</w:t>
      </w:r>
    </w:p>
    <w:p w14:paraId="77900CE3" w14:textId="77777777" w:rsidR="0024520B" w:rsidRPr="0024520B" w:rsidRDefault="0024520B" w:rsidP="00B471D8">
      <w:pPr>
        <w:numPr>
          <w:ilvl w:val="2"/>
          <w:numId w:val="13"/>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any other legally available moneys which the District determines, in its absolute discretion, to credit to the SR Bond Fund.</w:t>
      </w:r>
    </w:p>
    <w:p w14:paraId="6C4B605D"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“SR Project Fund” </w:t>
      </w:r>
      <w:r w:rsidRPr="0024520B">
        <w:rPr>
          <w:rFonts w:eastAsia="Calibri" w:cs="Times New Roman"/>
          <w:sz w:val="22"/>
        </w:rPr>
        <w:t>means the “Olympia Public Infrastructure District No. 2 Special Revenue Bonds, Series 2026A-2, Project Fund,” established by the provisions of the SR Indenture for the purpose of paying the Project Costs.</w:t>
      </w:r>
    </w:p>
    <w:p w14:paraId="22BCD263"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“SR Record Date” is defined in the SR Indenture to mean </w:t>
      </w:r>
      <w:r w:rsidRPr="0024520B">
        <w:rPr>
          <w:rFonts w:eastAsia="Calibri" w:cs="Times New Roman"/>
          <w:sz w:val="22"/>
        </w:rPr>
        <w:t>the 15th day of the calendar month next preceding the SR Interest Payment Date.</w:t>
      </w:r>
    </w:p>
    <w:p w14:paraId="40DFEA85"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“SR Trust Estate” is defined in the SR Indenture as </w:t>
      </w:r>
      <w:r w:rsidRPr="0024520B">
        <w:rPr>
          <w:rFonts w:eastAsia="Calibri" w:cs="Times New Roman"/>
          <w:sz w:val="22"/>
        </w:rPr>
        <w:t>the moneys, securities, revenues, receipts, and funds transferred, pledged, and assigned to the Trustee pursuant to the Granting Clauses in the SR Indenture.</w:t>
      </w:r>
    </w:p>
    <w:p w14:paraId="6934BFE3"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“State” means the State of Utah.</w:t>
      </w:r>
    </w:p>
    <w:p w14:paraId="27B263EC"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Interest Payment Date” is defined in the Subordinate LT Indenture to mean March 15 of each year, commencing March 15, 2027 and continuing for so long as the 2026B Subordinate LT Bonds are Outstanding.</w:t>
      </w:r>
    </w:p>
    <w:p w14:paraId="01B02343"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“Subordinate LT Bond Year” is defined in the Subordinate LT Indenture to mean the period commencing on the date of issuance of the 2026B Subordinate LT Bonds to March 15, 2027; and, thereafter, the period from March 16 of any calendar year to March 15 of the following calendar year.</w:t>
      </w:r>
    </w:p>
    <w:p w14:paraId="5D45829A"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“Subordinate LT Bond Fund” means the “Olympia Public Infrastructure District No. 2 Subordinate Limited Tax General Obligation Bonds, Series 2026B, Subordinate LT Bond Fund,” established by the Subordinate LT Indenture for the purpose of paying the principal of, premium if any, and interest on the 2026B Subordinate LT Bonds.</w:t>
      </w:r>
    </w:p>
    <w:p w14:paraId="4EB02FCE"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szCs w:val="22"/>
          <w:lang w:eastAsia="zh-CN"/>
        </w:rPr>
        <w:t>“Subordinate LT Obligations” means any bonds, notes, debentures, or other multiple fiscal year financial obligations having a lien upon the Senior LT Pledged Revenue or any part thereof junior and subordinate to the lien thereon of the 2026A-1 Senior LT Bonds, and any other obligation secured by a lien on any ad valorem property taxes of the District and designated by the District, in the resolutions, indentures, or other documents pursuant to which such obligations are issued, as constituting a Subordinate LT Obligation under the Senior LT Indenture, provided that such obligations are required to be issued in accordance with the Senior LT Indenture. Any Subordinate LT Obligations hereafter issued may be issued pursuant to such resolutions, indentures, or other documents as may be determined by the District.</w:t>
      </w:r>
      <w:r w:rsidRPr="0024520B">
        <w:rPr>
          <w:rFonts w:eastAsia="Calibri" w:cs="Times New Roman"/>
          <w:sz w:val="22"/>
        </w:rPr>
        <w:t xml:space="preserve"> For the avoidance of doubt, the 2026A-2 SR Bonds to do not constitute Subordinate LT Obligations under the Senior LT Indenture. </w:t>
      </w:r>
    </w:p>
    <w:p w14:paraId="5826C4DB"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LT Parity Bonds” means any bonds, notes, debentures, or other multiple fiscal year financial obligations having a lien upon the Subordinate LT Pledged Revenue or any part thereof on parity with the lien thereon of the 2026B Subordinate LT Bonds, and any other obligation secured by a lien on any ad valorem property taxes of the District and designated by the District, in the resolutions, indentures, or other documents pursuant to which such obligations are issued, as constituting a Subordinate LT Parity Bond under the Subordinate LT Indenture, provided that such obligations are required to be issued in accordance with the provisions of the Subordinate LT Indenture. Any Subordinate LT Parity Bonds hereafter issued may be issued pursuant to such resolutions, indentures, or other documents as may be determined by the District, and shall be designated in such resolutions, indentures or other documents as constituting Subordinate LT Parity Bonds under the Subordinate LT Indenture. Unless specifically designated as such by the District, obligations payable from an Unencumbered Debt Service Mill Levy shall not constitute Parity Bonds under the Subordinate LT Indenture. For the avoidance of doubt, the 2026A-2 SR Bonds do not constitute Subordinate LT Parity Bonds under the Subordinate LT Indenture.</w:t>
      </w:r>
    </w:p>
    <w:p w14:paraId="625AE949"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LT Pledged Revenue” means the following:</w:t>
      </w:r>
    </w:p>
    <w:p w14:paraId="54B48CA8" w14:textId="77777777" w:rsidR="0024520B" w:rsidRPr="0024520B" w:rsidRDefault="0024520B" w:rsidP="00B471D8">
      <w:pPr>
        <w:numPr>
          <w:ilvl w:val="2"/>
          <w:numId w:val="14"/>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all Subordinate Property Tax Revenues;</w:t>
      </w:r>
    </w:p>
    <w:p w14:paraId="2D84DB87" w14:textId="77777777" w:rsidR="0024520B" w:rsidRPr="0024520B" w:rsidRDefault="0024520B" w:rsidP="00B471D8">
      <w:pPr>
        <w:numPr>
          <w:ilvl w:val="2"/>
          <w:numId w:val="14"/>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all Subordinate Pioneering Agreement Revenues, if any; and</w:t>
      </w:r>
    </w:p>
    <w:p w14:paraId="5CE6A35B" w14:textId="77777777" w:rsidR="0024520B" w:rsidRPr="0024520B" w:rsidRDefault="0024520B" w:rsidP="00B471D8">
      <w:pPr>
        <w:numPr>
          <w:ilvl w:val="2"/>
          <w:numId w:val="14"/>
        </w:numPr>
        <w:spacing w:after="240" w:line="278" w:lineRule="auto"/>
        <w:jc w:val="both"/>
        <w:rPr>
          <w:rFonts w:eastAsia="Calibri" w:cs="Times New Roman"/>
          <w:sz w:val="22"/>
          <w:szCs w:val="22"/>
          <w:lang w:eastAsia="zh-CN"/>
        </w:rPr>
      </w:pPr>
      <w:r w:rsidRPr="0024520B">
        <w:rPr>
          <w:rFonts w:eastAsia="Calibri" w:cs="Times New Roman"/>
          <w:sz w:val="22"/>
          <w:szCs w:val="22"/>
          <w:lang w:eastAsia="zh-CN"/>
        </w:rPr>
        <w:t>any other legally available moneys which the District determines, in its absolute discretion, to credit to the Subordinate LT Bond Fund.</w:t>
      </w:r>
    </w:p>
    <w:p w14:paraId="1715C7AE"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LT Project Fund” means the “Olympia Public Infrastructure District No. 2 Subordinate Limited Tax General Obligation Bonds, Series 2026B, Subordinate LT Project Fund,” established by the Subordinate LT Indenture for the purpose of paying the Project Costs.</w:t>
      </w:r>
    </w:p>
    <w:p w14:paraId="399A2E16"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Pioneering Agreement Revenues” means all revenues received by the District pursuant to the Pioneering Agreement, after deduction of any amount thereof used, paid, pledged or otherwise applied to the paying of any Senior LT Obligations.</w:t>
      </w:r>
    </w:p>
    <w:p w14:paraId="6AE6CD98"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Property Tax Revenues” means all moneys derived from imposition by the District of the Subordinate Required Mill Levy (including the allocation to the District of any uniform fees related to personal property). Subordinate Property Tax Revenues are net of the collection costs of the County and any tax refunds or abatements authorized by or on behalf of the County.</w:t>
      </w:r>
    </w:p>
    <w:p w14:paraId="336A24A0"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LT Record Date” is defined in the Subordinate LT Indenture to mean the last day of the calendar month next preceding the Subordinate LT Interest Payment Date.</w:t>
      </w:r>
    </w:p>
    <w:p w14:paraId="0A0BD0E4"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“Subordinate LT Trust Estate” is defined in the Subordinate LT Indenture as the moneys, securities, revenues, receipts, and funds transferred, pledged, and assigned to the Trustee pursuant to the Granting Clauses of the Subordinate LT Indenture.</w:t>
      </w:r>
    </w:p>
    <w:p w14:paraId="0259683D"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rPr>
        <w:t>“Subordinate Required Mill Levy” means an ad valorem property tax on the taxable property in the District each year in an amount equal to (i) 0.004 per dollar of taxable value less the Senior Obligation Mill Levy, or (ii) such lesser amount which, if imposed by the District for collection in the current calendar year, would, after the deduction of the Administrative Expenses and Trustee Fees, generate Subordinate Property Tax Revenues which, when combined with moneys then on deposit in the Subordinate LT Bond Fund, will pay the 2026B Subordinate LT Bonds in full in the Subordinate LT Bond Year such levy is collected; provided however, that pursuant to 17D-4-301(13) of the Utah Code, in the event of any statutory change in the methodology of assessment or collection of property taxes in a manner that reduces the Subordinate Property Tax Revenues, the District may charge a rate sufficient to receive the amount of property taxes the District would have received before the statutory change in order to pay the debt service on Outstanding 2026B Subordinate LT Bonds.</w:t>
      </w:r>
    </w:p>
    <w:p w14:paraId="3B00A27C"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rPr>
        <w:t>“Subordinate SR Obligations” means any bonds, notes, debentures, or other multiple fiscal year financial obligations having a lien upon the SR Pledged Revenue or any part thereof junior and subordinate to the lien thereon of the 2026A-2 SR Bonds, and designated by the District, in the resolutions, indentures, or other documents pursuant to which such obligations are issued, as constituting a Subordinate SR Obligation hereunder, provided that such obligations are required to be issued in accordance with the provisions of the SR Indenture. Any Subordinate SR Obligations hereafter issued may be issued pursuant to such resolutions, indentures, or other documents as may be determined by the District. For the avoidance of doubt, the 2026A-1 Senior LT Bonds do not constitute Subordinate SR Obligations under the SR Indenture.</w:t>
      </w:r>
    </w:p>
    <w:p w14:paraId="22663CFA"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“Taxable Value” means the most recent assessed valuation of all taxable property of the District, as calculated and recorded by the County Assessor prior to November 1 of each year, or on such other date as may be established by law for the preparation of assessment rolls.</w:t>
      </w:r>
    </w:p>
    <w:p w14:paraId="473E09B4"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“Trustee” means Zions Bancorporation, National Association, in Midvale, Utah, in its capacity as trustee under the Senior LT Indenture, or any successor Trustee, appointed, qualified, and acting as trustee, paying agent, and bond registrar under the provisions of the Senior LT Indenture.</w:t>
      </w:r>
    </w:p>
    <w:p w14:paraId="320711C9"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 xml:space="preserve">“Trustee Fees” are defined in the Senior LT Indenture as the amount of the fees and expenses of the Trustee charged or incurred in connection with the performance of its ordinary services and duties under the Senior LT Indenture (and any other indenture entered into by the District in connection with Senior LT Parity Bonds or Subordinate LT Obligations), as the same become due and payable, as described in the Senior LT Indenture, but not in excess of $4,000 annually per bond issue then outstanding, commencing in calendar year 2026; and (ii) this definition does not include expenses incurred by the Trustee in connection with the performance of extraordinary services and duties as described in the Senior LT Indenture, which expenses shall be payable by the District in accordance with the provisions thereof. </w:t>
      </w:r>
    </w:p>
    <w:p w14:paraId="54422C3A" w14:textId="77777777" w:rsidR="0024520B" w:rsidRPr="0024520B" w:rsidRDefault="0024520B" w:rsidP="0024520B">
      <w:pPr>
        <w:spacing w:after="240"/>
        <w:ind w:firstLine="720"/>
        <w:jc w:val="both"/>
        <w:rPr>
          <w:rFonts w:eastAsia="Calibri" w:cs="Times New Roman"/>
          <w:sz w:val="22"/>
        </w:rPr>
      </w:pPr>
      <w:r w:rsidRPr="0024520B">
        <w:rPr>
          <w:rFonts w:eastAsia="Calibri" w:cs="Times New Roman"/>
          <w:sz w:val="22"/>
          <w:szCs w:val="22"/>
          <w:lang w:eastAsia="zh-CN"/>
        </w:rPr>
        <w:t xml:space="preserve">“Trustee Fees” are defined in the SR Indenture </w:t>
      </w:r>
      <w:r w:rsidRPr="0024520B">
        <w:rPr>
          <w:rFonts w:eastAsia="Calibri" w:cs="Times New Roman"/>
          <w:sz w:val="22"/>
        </w:rPr>
        <w:t xml:space="preserve">as the amount of the fees and expenses of the Trustee charged or incurred in connection with the performance of its ordinary services and duties under the SR Indenture (and under any other indenture entered into by the District in connection with Parity Bonds or Subordinate SR Obligations), as the same become due and payable, as described in the SR Indenture, but not in excess of $3,000 annually per bond issue then outstanding, commencing in calendar year 2026; provided however, that this definition does not include fees of the Trustee and expenses incurred by the Trustee in connection with the performance of extraordinary services and duties as described in the SR Indenture, which expenses shall be payable by the District in accordance with the provisions thereof. This definition does not include any fees and expenses of the Trustee charged or incurred in connection with the </w:t>
      </w:r>
      <w:r w:rsidRPr="0024520B">
        <w:rPr>
          <w:rFonts w:eastAsia="Calibri" w:cs="Times New Roman"/>
          <w:sz w:val="22"/>
          <w:szCs w:val="22"/>
          <w:lang w:eastAsia="zh-CN"/>
        </w:rPr>
        <w:t>2026A-1 Senior LT Bonds</w:t>
      </w:r>
      <w:r w:rsidRPr="0024520B">
        <w:rPr>
          <w:rFonts w:eastAsia="Calibri" w:cs="Times New Roman"/>
          <w:sz w:val="22"/>
        </w:rPr>
        <w:t>, which will be paid in accordance with the Senior LT Indenture.</w:t>
      </w:r>
    </w:p>
    <w:p w14:paraId="09A78F9B"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“Trustee Fees” are defined in the Subordinate LT Indenture as the amount of the fees and expenses of the Trustee charged or incurred in connection with the performance of its ordinary services and duties hereunder (and any other indenture entered into by the District in connection with Parity Bonds or Subordinate LT Obligations), as the same become due and payable, as described in the Subordinate LT Indenture, but not in excess of $3,000 annually per bond issue then outstanding, commencing in calendar year 2026; provided, however, that this definition does not include the fees of the Trustee and expenses incurred by the Trustee in connection with the performance of extraordinary services and duties as described in the Subordinate LT Indenture, which expenses shall be payable by the District in accordance with the provisions thereof.  This definition does not include any fees and expenses of the Trustee charged or incurred in connection with the 2026A-2 Special Revenue Bonds, which will be paid in accordance with the 2026A-2 SR Indenture.</w:t>
      </w:r>
    </w:p>
    <w:p w14:paraId="7C3CDB50"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“Underwriter” means D.A. Davidson &amp; Co., of Salt Lake City, Utah, the original purchaser of the Bonds.</w:t>
      </w:r>
    </w:p>
    <w:p w14:paraId="45B67A22"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“Utah Code” means the Utah Code Annotated 1953, as amended.</w:t>
      </w:r>
    </w:p>
    <w:p w14:paraId="04783DC0"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“2026A-1 Senior LT Bonds” means the District’s Limited Tax General Obligation Bonds, Series 2026A-1, in the aggregate principal amount of $[PAR A-1]</w:t>
      </w:r>
      <w:r w:rsidRPr="0024520B">
        <w:rPr>
          <w:rFonts w:eastAsia="Calibri" w:cs="Times New Roman"/>
          <w:sz w:val="22"/>
          <w:szCs w:val="22"/>
          <w:vertAlign w:val="superscript"/>
          <w:lang w:eastAsia="zh-CN"/>
        </w:rPr>
        <w:footnoteReference w:customMarkFollows="1" w:id="25"/>
        <w:t>*</w:t>
      </w:r>
      <w:r w:rsidRPr="0024520B">
        <w:rPr>
          <w:rFonts w:eastAsia="Calibri" w:cs="Times New Roman"/>
          <w:sz w:val="22"/>
          <w:szCs w:val="22"/>
          <w:lang w:eastAsia="zh-CN"/>
        </w:rPr>
        <w:t xml:space="preserve"> dated as of the date of issuance and issued by the District pursuant to the Senior LT Indenture.</w:t>
      </w:r>
    </w:p>
    <w:p w14:paraId="13E5A899" w14:textId="77777777" w:rsidR="0024520B" w:rsidRPr="0024520B" w:rsidRDefault="0024520B" w:rsidP="0024520B">
      <w:pPr>
        <w:spacing w:after="240"/>
        <w:ind w:firstLine="720"/>
        <w:jc w:val="both"/>
        <w:rPr>
          <w:rFonts w:eastAsia="Calibri" w:cs="Times New Roman"/>
          <w:sz w:val="22"/>
          <w:szCs w:val="22"/>
          <w:lang w:eastAsia="zh-CN"/>
        </w:rPr>
      </w:pPr>
      <w:r w:rsidRPr="0024520B">
        <w:rPr>
          <w:rFonts w:eastAsia="Calibri" w:cs="Times New Roman"/>
          <w:sz w:val="22"/>
          <w:szCs w:val="22"/>
          <w:lang w:eastAsia="zh-CN"/>
        </w:rPr>
        <w:t>“2026A-2 SR Bonds” means the District’s Special Revenue Bonds, Series 2026A-2, in the aggregate principal amount of $[PAR A-2]</w:t>
      </w:r>
      <w:r w:rsidRPr="0024520B">
        <w:rPr>
          <w:rFonts w:eastAsia="Calibri" w:cs="Times New Roman"/>
          <w:sz w:val="22"/>
          <w:szCs w:val="22"/>
          <w:vertAlign w:val="superscript"/>
          <w:lang w:eastAsia="zh-CN"/>
        </w:rPr>
        <w:t>*</w:t>
      </w:r>
      <w:r w:rsidRPr="0024520B">
        <w:rPr>
          <w:rFonts w:eastAsia="Calibri" w:cs="Times New Roman"/>
          <w:sz w:val="22"/>
          <w:szCs w:val="22"/>
          <w:lang w:eastAsia="zh-CN"/>
        </w:rPr>
        <w:t xml:space="preserve"> dated as of the date of issuance and issued by the District pursuant to the SR Indenture.</w:t>
      </w:r>
    </w:p>
    <w:p w14:paraId="6C81B1BF" w14:textId="77777777" w:rsidR="0024520B" w:rsidRPr="0024520B" w:rsidRDefault="0024520B" w:rsidP="0024520B">
      <w:pPr>
        <w:spacing w:after="240"/>
        <w:ind w:firstLine="720"/>
        <w:jc w:val="both"/>
        <w:rPr>
          <w:rFonts w:eastAsia="Calibri" w:cs="Times New Roman"/>
          <w:sz w:val="22"/>
          <w:lang w:eastAsia="zh-CN"/>
        </w:rPr>
      </w:pPr>
      <w:r w:rsidRPr="0024520B">
        <w:rPr>
          <w:rFonts w:eastAsia="Calibri" w:cs="Times New Roman"/>
          <w:sz w:val="22"/>
          <w:lang w:eastAsia="zh-CN"/>
        </w:rPr>
        <w:t>“2026B Subordinate LT Bonds” means the District’s Subordinate Limited Tax General Obligation Bonds, Series 2026B, issued in the aggregate principal amount of $[PAR-B]</w:t>
      </w:r>
      <w:r w:rsidRPr="0024520B">
        <w:rPr>
          <w:rFonts w:eastAsia="Calibri" w:cs="Times New Roman"/>
          <w:sz w:val="22"/>
          <w:szCs w:val="22"/>
          <w:vertAlign w:val="superscript"/>
          <w:lang w:eastAsia="zh-CN"/>
        </w:rPr>
        <w:footnoteReference w:customMarkFollows="1" w:id="26"/>
        <w:t>*</w:t>
      </w:r>
      <w:r w:rsidRPr="0024520B">
        <w:rPr>
          <w:rFonts w:eastAsia="Calibri" w:cs="Times New Roman"/>
          <w:sz w:val="22"/>
          <w:lang w:eastAsia="zh-CN"/>
        </w:rPr>
        <w:t xml:space="preserve"> dated as of the date of issuance and issued by the District pursuant to the Subordinate LT Indenture.</w:t>
      </w:r>
    </w:p>
    <w:p w14:paraId="468CE71F" w14:textId="77777777" w:rsidR="0024520B" w:rsidRPr="0024520B" w:rsidRDefault="0024520B" w:rsidP="0024520B">
      <w:pPr>
        <w:spacing w:after="160" w:line="278" w:lineRule="auto"/>
        <w:rPr>
          <w:rFonts w:eastAsia="Aptos" w:cs="Times New Roman"/>
          <w:kern w:val="2"/>
          <w:sz w:val="24"/>
          <w14:ligatures w14:val="standardContextual"/>
        </w:rPr>
      </w:pPr>
    </w:p>
    <w:p w14:paraId="06BE53EF" w14:textId="2E593142" w:rsidR="00A60723" w:rsidRDefault="00A60723" w:rsidP="00813F0B">
      <w:pPr>
        <w:rPr>
          <w:lang w:eastAsia="zh-CN"/>
        </w:rPr>
        <w:sectPr w:rsidR="00A60723" w:rsidSect="00E94F1A">
          <w:footerReference w:type="default" r:id="rId39"/>
          <w:pgSz w:w="12240" w:h="15840" w:code="1"/>
          <w:pgMar w:top="1440" w:right="1440" w:bottom="1440" w:left="1440" w:header="720" w:footer="720" w:gutter="0"/>
          <w:pgNumType w:start="1"/>
          <w:cols w:space="720"/>
          <w:docGrid w:linePitch="272"/>
        </w:sectPr>
      </w:pPr>
    </w:p>
    <w:p w14:paraId="6E091D86" w14:textId="2B0869A1" w:rsidR="00393600" w:rsidRPr="00DA2177" w:rsidRDefault="00C325F8" w:rsidP="0010077F">
      <w:pPr>
        <w:pStyle w:val="Heading1"/>
        <w:rPr>
          <w:rFonts w:cs="Times New Roman"/>
          <w:sz w:val="22"/>
          <w:szCs w:val="22"/>
        </w:rPr>
      </w:pPr>
      <w:bookmarkStart w:id="304" w:name="_Toc235521152"/>
      <w:r>
        <w:rPr>
          <w:rFonts w:eastAsia="Times New Roman" w:cs="Times New Roman"/>
          <w:sz w:val="22"/>
          <w:szCs w:val="22"/>
        </w:rPr>
        <w:t>APPENDIX D</w:t>
      </w:r>
      <w:r>
        <w:rPr>
          <w:rFonts w:cs="Times New Roman"/>
          <w:sz w:val="22"/>
          <w:szCs w:val="22"/>
        </w:rPr>
        <w:br/>
      </w:r>
      <w:r>
        <w:rPr>
          <w:rFonts w:cs="Times New Roman"/>
          <w:sz w:val="22"/>
          <w:szCs w:val="22"/>
        </w:rPr>
        <w:br/>
        <w:t>ECONOMIC AND DEMOGRAPHIC INFORMATION</w:t>
      </w:r>
      <w:bookmarkEnd w:id="304"/>
    </w:p>
    <w:p w14:paraId="5CA977ED" w14:textId="21522556" w:rsidR="00C13188" w:rsidRDefault="00C13188" w:rsidP="00C13188">
      <w:pPr>
        <w:pStyle w:val="00BodyText5"/>
      </w:pPr>
      <w:r>
        <w:t xml:space="preserve">The following demographic information is provided solely as background information regarding Salt Lake County (the “County”), the general area in which the District is located. The County is the economic and population center of the State. Based on 2020 Census data, the County has approximately 36% of the total population of the State. The State capital, Salt Lake City, is located in the County. </w:t>
      </w:r>
    </w:p>
    <w:p w14:paraId="4092136B" w14:textId="77777777" w:rsidR="00CF0E09" w:rsidRPr="00CF0E09" w:rsidRDefault="00CF0E09" w:rsidP="00CF0E09">
      <w:pPr>
        <w:keepNext/>
        <w:spacing w:after="240"/>
        <w:jc w:val="both"/>
        <w:rPr>
          <w:rFonts w:eastAsia="Times New Roman" w:cs="Times New Roman"/>
          <w:b/>
          <w:lang w:eastAsia="zh-CN"/>
        </w:rPr>
      </w:pPr>
      <w:bookmarkStart w:id="305" w:name="_Hlk198722414"/>
      <w:r w:rsidRPr="00CF0E09">
        <w:rPr>
          <w:rFonts w:eastAsia="Times New Roman" w:cs="Times New Roman"/>
          <w:b/>
          <w:lang w:eastAsia="zh-CN"/>
        </w:rPr>
        <w:t>County and State Population</w:t>
      </w:r>
    </w:p>
    <w:tbl>
      <w:tblPr>
        <w:tblW w:w="7490" w:type="dxa"/>
        <w:jc w:val="center"/>
        <w:tblLayout w:type="fixed"/>
        <w:tblCellMar>
          <w:left w:w="115" w:type="dxa"/>
          <w:right w:w="115" w:type="dxa"/>
        </w:tblCellMar>
        <w:tblLook w:val="04A0" w:firstRow="1" w:lastRow="0" w:firstColumn="1" w:lastColumn="0" w:noHBand="0" w:noVBand="1"/>
      </w:tblPr>
      <w:tblGrid>
        <w:gridCol w:w="1620"/>
        <w:gridCol w:w="1620"/>
        <w:gridCol w:w="1350"/>
        <w:gridCol w:w="1480"/>
        <w:gridCol w:w="1420"/>
      </w:tblGrid>
      <w:tr w:rsidR="00CF0E09" w:rsidRPr="00CF0E09" w14:paraId="0F230781" w14:textId="77777777" w:rsidTr="00377598">
        <w:trPr>
          <w:trHeight w:val="255"/>
          <w:jc w:val="center"/>
        </w:trPr>
        <w:tc>
          <w:tcPr>
            <w:tcW w:w="1620" w:type="dxa"/>
            <w:tcBorders>
              <w:top w:val="nil"/>
              <w:left w:val="nil"/>
              <w:bottom w:val="nil"/>
              <w:right w:val="nil"/>
            </w:tcBorders>
            <w:noWrap/>
            <w:vAlign w:val="bottom"/>
            <w:hideMark/>
          </w:tcPr>
          <w:p w14:paraId="3EFFC25E" w14:textId="77777777" w:rsidR="00CF0E09" w:rsidRPr="00CF0E09" w:rsidRDefault="00CF0E09" w:rsidP="00CF0E09">
            <w:pPr>
              <w:spacing w:after="40"/>
              <w:rPr>
                <w:rFonts w:eastAsia="Times New Roman" w:cs="Times New Roman"/>
                <w:szCs w:val="20"/>
                <w:u w:val="single"/>
              </w:rPr>
            </w:pPr>
            <w:r w:rsidRPr="00CF0E09">
              <w:rPr>
                <w:rFonts w:eastAsia="Times New Roman" w:cs="Times New Roman"/>
                <w:szCs w:val="20"/>
                <w:u w:val="single"/>
              </w:rPr>
              <w:t>Year</w:t>
            </w:r>
          </w:p>
        </w:tc>
        <w:tc>
          <w:tcPr>
            <w:tcW w:w="1620" w:type="dxa"/>
            <w:tcBorders>
              <w:top w:val="nil"/>
              <w:left w:val="nil"/>
              <w:bottom w:val="nil"/>
              <w:right w:val="nil"/>
            </w:tcBorders>
            <w:noWrap/>
            <w:vAlign w:val="bottom"/>
            <w:hideMark/>
          </w:tcPr>
          <w:p w14:paraId="74D06976" w14:textId="77777777" w:rsidR="00CF0E09" w:rsidRPr="00CF0E09" w:rsidRDefault="00CF0E09" w:rsidP="00CF0E09">
            <w:pPr>
              <w:spacing w:after="40"/>
              <w:jc w:val="center"/>
              <w:rPr>
                <w:rFonts w:eastAsia="Times New Roman" w:cs="Times New Roman"/>
                <w:szCs w:val="20"/>
                <w:u w:val="single"/>
              </w:rPr>
            </w:pPr>
            <w:r w:rsidRPr="00CF0E09">
              <w:rPr>
                <w:rFonts w:eastAsia="Times New Roman" w:cs="Times New Roman"/>
                <w:szCs w:val="20"/>
                <w:u w:val="single"/>
              </w:rPr>
              <w:t>County</w:t>
            </w:r>
          </w:p>
        </w:tc>
        <w:tc>
          <w:tcPr>
            <w:tcW w:w="1350" w:type="dxa"/>
            <w:tcBorders>
              <w:top w:val="nil"/>
              <w:left w:val="nil"/>
              <w:bottom w:val="nil"/>
              <w:right w:val="nil"/>
            </w:tcBorders>
            <w:noWrap/>
            <w:vAlign w:val="bottom"/>
            <w:hideMark/>
          </w:tcPr>
          <w:p w14:paraId="7A6AC17C" w14:textId="77777777" w:rsidR="00CF0E09" w:rsidRPr="00CF0E09" w:rsidRDefault="00CF0E09" w:rsidP="00CF0E09">
            <w:pPr>
              <w:spacing w:after="40"/>
              <w:jc w:val="center"/>
              <w:rPr>
                <w:rFonts w:eastAsia="Times New Roman" w:cs="Times New Roman"/>
                <w:szCs w:val="20"/>
                <w:u w:val="single"/>
              </w:rPr>
            </w:pPr>
            <w:r w:rsidRPr="00CF0E09">
              <w:rPr>
                <w:rFonts w:eastAsia="Times New Roman" w:cs="Times New Roman"/>
                <w:szCs w:val="20"/>
                <w:u w:val="single"/>
              </w:rPr>
              <w:t>% Change</w:t>
            </w:r>
          </w:p>
        </w:tc>
        <w:tc>
          <w:tcPr>
            <w:tcW w:w="1480" w:type="dxa"/>
            <w:tcBorders>
              <w:top w:val="nil"/>
              <w:left w:val="nil"/>
              <w:bottom w:val="nil"/>
              <w:right w:val="nil"/>
            </w:tcBorders>
            <w:noWrap/>
            <w:vAlign w:val="bottom"/>
            <w:hideMark/>
          </w:tcPr>
          <w:p w14:paraId="6C8DA85B" w14:textId="77777777" w:rsidR="00CF0E09" w:rsidRPr="00CF0E09" w:rsidRDefault="00CF0E09" w:rsidP="00CF0E09">
            <w:pPr>
              <w:spacing w:after="40"/>
              <w:jc w:val="center"/>
              <w:rPr>
                <w:rFonts w:eastAsia="Times New Roman" w:cs="Times New Roman"/>
                <w:szCs w:val="20"/>
                <w:u w:val="single"/>
              </w:rPr>
            </w:pPr>
            <w:r w:rsidRPr="00CF0E09">
              <w:rPr>
                <w:rFonts w:eastAsia="Times New Roman" w:cs="Times New Roman"/>
                <w:szCs w:val="20"/>
                <w:u w:val="single"/>
              </w:rPr>
              <w:t>State</w:t>
            </w:r>
          </w:p>
        </w:tc>
        <w:tc>
          <w:tcPr>
            <w:tcW w:w="1420" w:type="dxa"/>
            <w:tcBorders>
              <w:top w:val="nil"/>
              <w:left w:val="nil"/>
              <w:bottom w:val="nil"/>
              <w:right w:val="nil"/>
            </w:tcBorders>
            <w:noWrap/>
            <w:vAlign w:val="bottom"/>
            <w:hideMark/>
          </w:tcPr>
          <w:p w14:paraId="1180A412" w14:textId="77777777" w:rsidR="00CF0E09" w:rsidRPr="00CF0E09" w:rsidRDefault="00CF0E09" w:rsidP="00CF0E09">
            <w:pPr>
              <w:spacing w:after="40"/>
              <w:jc w:val="center"/>
              <w:rPr>
                <w:rFonts w:eastAsia="Times New Roman" w:cs="Times New Roman"/>
                <w:szCs w:val="20"/>
                <w:u w:val="single"/>
              </w:rPr>
            </w:pPr>
            <w:r w:rsidRPr="00CF0E09">
              <w:rPr>
                <w:rFonts w:eastAsia="Times New Roman" w:cs="Times New Roman"/>
                <w:szCs w:val="20"/>
                <w:u w:val="single"/>
              </w:rPr>
              <w:t>% Change</w:t>
            </w:r>
          </w:p>
        </w:tc>
      </w:tr>
      <w:tr w:rsidR="00CF0E09" w:rsidRPr="00CF0E09" w14:paraId="300BCE71" w14:textId="77777777" w:rsidTr="00377598">
        <w:trPr>
          <w:trHeight w:val="255"/>
          <w:jc w:val="center"/>
        </w:trPr>
        <w:tc>
          <w:tcPr>
            <w:tcW w:w="1620" w:type="dxa"/>
            <w:tcBorders>
              <w:top w:val="nil"/>
              <w:left w:val="nil"/>
              <w:bottom w:val="nil"/>
              <w:right w:val="nil"/>
            </w:tcBorders>
            <w:noWrap/>
            <w:vAlign w:val="bottom"/>
          </w:tcPr>
          <w:p w14:paraId="4DE3A5D9" w14:textId="77777777" w:rsidR="00CF0E09" w:rsidRPr="00CF0E09" w:rsidRDefault="00CF0E09" w:rsidP="00CF0E09">
            <w:pPr>
              <w:rPr>
                <w:rFonts w:eastAsia="Times New Roman" w:cs="Times New Roman"/>
                <w:szCs w:val="20"/>
              </w:rPr>
            </w:pPr>
            <w:r w:rsidRPr="00CF0E09">
              <w:rPr>
                <w:rFonts w:eastAsia="Times New Roman" w:cs="Times New Roman"/>
                <w:szCs w:val="20"/>
              </w:rPr>
              <w:t>2025 Estimate</w:t>
            </w:r>
          </w:p>
        </w:tc>
        <w:tc>
          <w:tcPr>
            <w:tcW w:w="1620" w:type="dxa"/>
            <w:tcBorders>
              <w:top w:val="nil"/>
              <w:left w:val="nil"/>
              <w:bottom w:val="nil"/>
              <w:right w:val="nil"/>
            </w:tcBorders>
            <w:noWrap/>
          </w:tcPr>
          <w:p w14:paraId="315E4256" w14:textId="77777777" w:rsidR="00CF0E09" w:rsidRPr="00CF0E09" w:rsidRDefault="00CF0E09" w:rsidP="00CF0E09">
            <w:pPr>
              <w:tabs>
                <w:tab w:val="decimal" w:pos="1105"/>
              </w:tabs>
              <w:jc w:val="both"/>
              <w:rPr>
                <w:rFonts w:eastAsia="Times New Roman" w:cs="Times New Roman"/>
              </w:rPr>
            </w:pPr>
            <w:r w:rsidRPr="00CF0E09">
              <w:rPr>
                <w:rFonts w:eastAsia="Times New Roman" w:cs="Times New Roman"/>
              </w:rPr>
              <w:t>1,220,916</w:t>
            </w:r>
          </w:p>
        </w:tc>
        <w:tc>
          <w:tcPr>
            <w:tcW w:w="1350" w:type="dxa"/>
            <w:tcBorders>
              <w:top w:val="nil"/>
              <w:left w:val="nil"/>
              <w:bottom w:val="nil"/>
              <w:right w:val="nil"/>
            </w:tcBorders>
            <w:noWrap/>
          </w:tcPr>
          <w:p w14:paraId="0823A22E" w14:textId="77777777" w:rsidR="00CF0E09" w:rsidRPr="00CF0E09" w:rsidRDefault="00CF0E09" w:rsidP="00CF0E09">
            <w:pPr>
              <w:tabs>
                <w:tab w:val="decimal" w:pos="495"/>
              </w:tabs>
              <w:jc w:val="both"/>
              <w:rPr>
                <w:rFonts w:eastAsia="Times New Roman" w:cs="Times New Roman"/>
              </w:rPr>
            </w:pPr>
            <w:r w:rsidRPr="00CF0E09">
              <w:rPr>
                <w:rFonts w:eastAsia="Times New Roman" w:cs="Times New Roman"/>
              </w:rPr>
              <w:t>0.28%</w:t>
            </w:r>
          </w:p>
        </w:tc>
        <w:tc>
          <w:tcPr>
            <w:tcW w:w="1480" w:type="dxa"/>
            <w:tcBorders>
              <w:top w:val="nil"/>
              <w:left w:val="nil"/>
              <w:bottom w:val="nil"/>
              <w:right w:val="nil"/>
            </w:tcBorders>
            <w:noWrap/>
          </w:tcPr>
          <w:p w14:paraId="5A117662" w14:textId="77777777" w:rsidR="00CF0E09" w:rsidRPr="00CF0E09" w:rsidRDefault="00CF0E09" w:rsidP="00CF0E09">
            <w:pPr>
              <w:tabs>
                <w:tab w:val="decimal" w:pos="1005"/>
              </w:tabs>
              <w:jc w:val="both"/>
              <w:rPr>
                <w:rFonts w:eastAsia="Times New Roman" w:cs="Times New Roman"/>
              </w:rPr>
            </w:pPr>
            <w:r w:rsidRPr="00CF0E09">
              <w:rPr>
                <w:rFonts w:eastAsia="Times New Roman" w:cs="Times New Roman"/>
              </w:rPr>
              <w:t>3,538,904</w:t>
            </w:r>
          </w:p>
        </w:tc>
        <w:tc>
          <w:tcPr>
            <w:tcW w:w="1420" w:type="dxa"/>
            <w:tcBorders>
              <w:top w:val="nil"/>
              <w:left w:val="nil"/>
              <w:bottom w:val="nil"/>
              <w:right w:val="nil"/>
            </w:tcBorders>
            <w:noWrap/>
          </w:tcPr>
          <w:p w14:paraId="6AF765DD" w14:textId="77777777" w:rsidR="00CF0E09" w:rsidRPr="00CF0E09" w:rsidRDefault="00CF0E09" w:rsidP="00CF0E09">
            <w:pPr>
              <w:tabs>
                <w:tab w:val="decimal" w:pos="507"/>
              </w:tabs>
              <w:rPr>
                <w:rFonts w:eastAsia="Times New Roman" w:cs="Times New Roman"/>
              </w:rPr>
            </w:pPr>
            <w:r w:rsidRPr="00CF0E09">
              <w:rPr>
                <w:rFonts w:eastAsia="Times New Roman" w:cs="Times New Roman"/>
              </w:rPr>
              <w:t>1.03%</w:t>
            </w:r>
          </w:p>
        </w:tc>
      </w:tr>
      <w:tr w:rsidR="00CF0E09" w:rsidRPr="00CF0E09" w14:paraId="590B0616" w14:textId="77777777" w:rsidTr="00377598">
        <w:trPr>
          <w:trHeight w:val="255"/>
          <w:jc w:val="center"/>
        </w:trPr>
        <w:tc>
          <w:tcPr>
            <w:tcW w:w="1620" w:type="dxa"/>
            <w:tcBorders>
              <w:top w:val="nil"/>
              <w:left w:val="nil"/>
              <w:bottom w:val="nil"/>
              <w:right w:val="nil"/>
            </w:tcBorders>
            <w:noWrap/>
            <w:vAlign w:val="bottom"/>
          </w:tcPr>
          <w:p w14:paraId="4FFB81F8" w14:textId="77777777" w:rsidR="00CF0E09" w:rsidRPr="00CF0E09" w:rsidRDefault="00CF0E09" w:rsidP="00CF0E09">
            <w:pPr>
              <w:rPr>
                <w:rFonts w:eastAsia="Times New Roman" w:cs="Times New Roman"/>
                <w:szCs w:val="20"/>
              </w:rPr>
            </w:pPr>
            <w:r w:rsidRPr="00CF0E09">
              <w:rPr>
                <w:rFonts w:eastAsia="Times New Roman" w:cs="Times New Roman"/>
                <w:szCs w:val="20"/>
              </w:rPr>
              <w:t>2024 Estimate</w:t>
            </w:r>
          </w:p>
        </w:tc>
        <w:tc>
          <w:tcPr>
            <w:tcW w:w="1620" w:type="dxa"/>
            <w:tcBorders>
              <w:top w:val="nil"/>
              <w:left w:val="nil"/>
              <w:bottom w:val="nil"/>
              <w:right w:val="nil"/>
            </w:tcBorders>
            <w:noWrap/>
          </w:tcPr>
          <w:p w14:paraId="7EB5D46B" w14:textId="77777777" w:rsidR="00CF0E09" w:rsidRPr="00CF0E09" w:rsidRDefault="00CF0E09" w:rsidP="00CF0E09">
            <w:pPr>
              <w:tabs>
                <w:tab w:val="decimal" w:pos="1105"/>
              </w:tabs>
              <w:jc w:val="both"/>
              <w:rPr>
                <w:rFonts w:eastAsia="Times New Roman" w:cs="Times New Roman"/>
              </w:rPr>
            </w:pPr>
            <w:r w:rsidRPr="00CF0E09">
              <w:rPr>
                <w:rFonts w:eastAsia="Times New Roman" w:cs="Times New Roman"/>
              </w:rPr>
              <w:t>1,217,454</w:t>
            </w:r>
          </w:p>
        </w:tc>
        <w:tc>
          <w:tcPr>
            <w:tcW w:w="1350" w:type="dxa"/>
            <w:tcBorders>
              <w:top w:val="nil"/>
              <w:left w:val="nil"/>
              <w:bottom w:val="nil"/>
              <w:right w:val="nil"/>
            </w:tcBorders>
            <w:noWrap/>
          </w:tcPr>
          <w:p w14:paraId="20A2F819" w14:textId="77777777" w:rsidR="00CF0E09" w:rsidRPr="00CF0E09" w:rsidRDefault="00CF0E09" w:rsidP="00CF0E09">
            <w:pPr>
              <w:tabs>
                <w:tab w:val="decimal" w:pos="495"/>
              </w:tabs>
              <w:jc w:val="both"/>
              <w:rPr>
                <w:rFonts w:eastAsia="Times New Roman" w:cs="Times New Roman"/>
              </w:rPr>
            </w:pPr>
            <w:r w:rsidRPr="00CF0E09">
              <w:rPr>
                <w:rFonts w:eastAsia="Times New Roman" w:cs="Times New Roman"/>
              </w:rPr>
              <w:t>0.99</w:t>
            </w:r>
          </w:p>
        </w:tc>
        <w:tc>
          <w:tcPr>
            <w:tcW w:w="1480" w:type="dxa"/>
            <w:tcBorders>
              <w:top w:val="nil"/>
              <w:left w:val="nil"/>
              <w:bottom w:val="nil"/>
              <w:right w:val="nil"/>
            </w:tcBorders>
            <w:noWrap/>
          </w:tcPr>
          <w:p w14:paraId="271487DD" w14:textId="77777777" w:rsidR="00CF0E09" w:rsidRPr="00CF0E09" w:rsidRDefault="00CF0E09" w:rsidP="00CF0E09">
            <w:pPr>
              <w:tabs>
                <w:tab w:val="decimal" w:pos="1005"/>
              </w:tabs>
              <w:jc w:val="both"/>
              <w:rPr>
                <w:rFonts w:eastAsia="Times New Roman" w:cs="Times New Roman"/>
              </w:rPr>
            </w:pPr>
            <w:r w:rsidRPr="00CF0E09">
              <w:rPr>
                <w:rFonts w:eastAsia="Times New Roman" w:cs="Times New Roman"/>
              </w:rPr>
              <w:t>3,502,983</w:t>
            </w:r>
          </w:p>
        </w:tc>
        <w:tc>
          <w:tcPr>
            <w:tcW w:w="1420" w:type="dxa"/>
            <w:tcBorders>
              <w:top w:val="nil"/>
              <w:left w:val="nil"/>
              <w:bottom w:val="nil"/>
              <w:right w:val="nil"/>
            </w:tcBorders>
            <w:noWrap/>
          </w:tcPr>
          <w:p w14:paraId="59ACE647" w14:textId="77777777" w:rsidR="00CF0E09" w:rsidRPr="00CF0E09" w:rsidRDefault="00CF0E09" w:rsidP="00CF0E09">
            <w:pPr>
              <w:tabs>
                <w:tab w:val="decimal" w:pos="507"/>
              </w:tabs>
              <w:rPr>
                <w:rFonts w:eastAsia="Times New Roman" w:cs="Times New Roman"/>
              </w:rPr>
            </w:pPr>
            <w:r w:rsidRPr="00CF0E09">
              <w:rPr>
                <w:rFonts w:eastAsia="Times New Roman" w:cs="Times New Roman"/>
              </w:rPr>
              <w:t>1.56</w:t>
            </w:r>
          </w:p>
        </w:tc>
      </w:tr>
      <w:tr w:rsidR="00CF0E09" w:rsidRPr="00CF0E09" w14:paraId="66881F81" w14:textId="77777777" w:rsidTr="00377598">
        <w:trPr>
          <w:trHeight w:val="255"/>
          <w:jc w:val="center"/>
        </w:trPr>
        <w:tc>
          <w:tcPr>
            <w:tcW w:w="1620" w:type="dxa"/>
            <w:tcBorders>
              <w:top w:val="nil"/>
              <w:left w:val="nil"/>
              <w:bottom w:val="nil"/>
              <w:right w:val="nil"/>
            </w:tcBorders>
            <w:noWrap/>
            <w:vAlign w:val="bottom"/>
          </w:tcPr>
          <w:p w14:paraId="16F56119" w14:textId="77777777" w:rsidR="00CF0E09" w:rsidRPr="00CF0E09" w:rsidRDefault="00CF0E09" w:rsidP="00CF0E09">
            <w:pPr>
              <w:rPr>
                <w:rFonts w:eastAsia="Times New Roman" w:cs="Times New Roman"/>
                <w:szCs w:val="20"/>
              </w:rPr>
            </w:pPr>
            <w:r w:rsidRPr="00CF0E09">
              <w:rPr>
                <w:rFonts w:eastAsia="Times New Roman" w:cs="Times New Roman"/>
                <w:szCs w:val="20"/>
              </w:rPr>
              <w:t>2023 Estimate</w:t>
            </w:r>
          </w:p>
        </w:tc>
        <w:tc>
          <w:tcPr>
            <w:tcW w:w="1620" w:type="dxa"/>
            <w:tcBorders>
              <w:top w:val="nil"/>
              <w:left w:val="nil"/>
              <w:bottom w:val="nil"/>
              <w:right w:val="nil"/>
            </w:tcBorders>
            <w:noWrap/>
          </w:tcPr>
          <w:p w14:paraId="5E9AAD29" w14:textId="77777777" w:rsidR="00CF0E09" w:rsidRPr="00CF0E09" w:rsidRDefault="00CF0E09" w:rsidP="00CF0E09">
            <w:pPr>
              <w:tabs>
                <w:tab w:val="decimal" w:pos="1105"/>
              </w:tabs>
              <w:jc w:val="both"/>
              <w:rPr>
                <w:rFonts w:eastAsia="Times New Roman" w:cs="Times New Roman"/>
                <w:szCs w:val="20"/>
              </w:rPr>
            </w:pPr>
            <w:r w:rsidRPr="00CF0E09">
              <w:rPr>
                <w:rFonts w:eastAsia="Times New Roman" w:cs="Times New Roman"/>
              </w:rPr>
              <w:t>1,205,509</w:t>
            </w:r>
          </w:p>
        </w:tc>
        <w:tc>
          <w:tcPr>
            <w:tcW w:w="1350" w:type="dxa"/>
            <w:tcBorders>
              <w:top w:val="nil"/>
              <w:left w:val="nil"/>
              <w:bottom w:val="nil"/>
              <w:right w:val="nil"/>
            </w:tcBorders>
            <w:noWrap/>
          </w:tcPr>
          <w:p w14:paraId="6EF1D6C2" w14:textId="77777777" w:rsidR="00CF0E09" w:rsidRPr="00CF0E09" w:rsidRDefault="00CF0E09" w:rsidP="00CF0E09">
            <w:pPr>
              <w:tabs>
                <w:tab w:val="decimal" w:pos="495"/>
              </w:tabs>
              <w:jc w:val="both"/>
              <w:rPr>
                <w:rFonts w:eastAsia="Times New Roman" w:cs="Times New Roman"/>
                <w:szCs w:val="20"/>
              </w:rPr>
            </w:pPr>
            <w:r w:rsidRPr="00CF0E09">
              <w:rPr>
                <w:rFonts w:eastAsia="Times New Roman" w:cs="Times New Roman"/>
              </w:rPr>
              <w:t>0.90</w:t>
            </w:r>
          </w:p>
        </w:tc>
        <w:tc>
          <w:tcPr>
            <w:tcW w:w="1480" w:type="dxa"/>
            <w:tcBorders>
              <w:top w:val="nil"/>
              <w:left w:val="nil"/>
              <w:bottom w:val="nil"/>
              <w:right w:val="nil"/>
            </w:tcBorders>
            <w:noWrap/>
          </w:tcPr>
          <w:p w14:paraId="4EC8BAA6" w14:textId="77777777" w:rsidR="00CF0E09" w:rsidRPr="00CF0E09" w:rsidRDefault="00CF0E09" w:rsidP="00CF0E09">
            <w:pPr>
              <w:tabs>
                <w:tab w:val="decimal" w:pos="1005"/>
              </w:tabs>
              <w:jc w:val="both"/>
              <w:rPr>
                <w:rFonts w:eastAsia="Times New Roman" w:cs="Times New Roman"/>
                <w:szCs w:val="20"/>
              </w:rPr>
            </w:pPr>
            <w:r w:rsidRPr="00CF0E09">
              <w:rPr>
                <w:rFonts w:eastAsia="Times New Roman" w:cs="Times New Roman"/>
              </w:rPr>
              <w:t>3,449,259</w:t>
            </w:r>
          </w:p>
        </w:tc>
        <w:tc>
          <w:tcPr>
            <w:tcW w:w="1420" w:type="dxa"/>
            <w:tcBorders>
              <w:top w:val="nil"/>
              <w:left w:val="nil"/>
              <w:bottom w:val="nil"/>
              <w:right w:val="nil"/>
            </w:tcBorders>
            <w:noWrap/>
          </w:tcPr>
          <w:p w14:paraId="05AD5AFC" w14:textId="77777777" w:rsidR="00CF0E09" w:rsidRPr="00CF0E09" w:rsidRDefault="00CF0E09" w:rsidP="00CF0E09">
            <w:pPr>
              <w:tabs>
                <w:tab w:val="decimal" w:pos="507"/>
              </w:tabs>
              <w:rPr>
                <w:rFonts w:eastAsia="Times New Roman" w:cs="Times New Roman"/>
                <w:szCs w:val="20"/>
              </w:rPr>
            </w:pPr>
            <w:r w:rsidRPr="00CF0E09">
              <w:rPr>
                <w:rFonts w:eastAsia="Times New Roman" w:cs="Times New Roman"/>
              </w:rPr>
              <w:t>1.63</w:t>
            </w:r>
          </w:p>
        </w:tc>
      </w:tr>
      <w:tr w:rsidR="00CF0E09" w:rsidRPr="00CF0E09" w14:paraId="59469637" w14:textId="77777777" w:rsidTr="00377598">
        <w:trPr>
          <w:trHeight w:val="255"/>
          <w:jc w:val="center"/>
        </w:trPr>
        <w:tc>
          <w:tcPr>
            <w:tcW w:w="1620" w:type="dxa"/>
            <w:tcBorders>
              <w:top w:val="nil"/>
              <w:left w:val="nil"/>
              <w:bottom w:val="nil"/>
              <w:right w:val="nil"/>
            </w:tcBorders>
            <w:noWrap/>
            <w:vAlign w:val="bottom"/>
          </w:tcPr>
          <w:p w14:paraId="0F2D8D47" w14:textId="77777777" w:rsidR="00CF0E09" w:rsidRPr="00CF0E09" w:rsidRDefault="00CF0E09" w:rsidP="00CF0E09">
            <w:pPr>
              <w:rPr>
                <w:rFonts w:eastAsia="Times New Roman" w:cs="Times New Roman"/>
                <w:szCs w:val="20"/>
              </w:rPr>
            </w:pPr>
            <w:bookmarkStart w:id="306" w:name="_Hlk170222950"/>
            <w:r w:rsidRPr="00CF0E09">
              <w:rPr>
                <w:rFonts w:eastAsia="Times New Roman" w:cs="Times New Roman"/>
                <w:szCs w:val="20"/>
              </w:rPr>
              <w:t>2022 Estimate</w:t>
            </w:r>
          </w:p>
        </w:tc>
        <w:tc>
          <w:tcPr>
            <w:tcW w:w="1620" w:type="dxa"/>
            <w:tcBorders>
              <w:top w:val="nil"/>
              <w:left w:val="nil"/>
              <w:bottom w:val="nil"/>
              <w:right w:val="nil"/>
            </w:tcBorders>
            <w:noWrap/>
          </w:tcPr>
          <w:p w14:paraId="6191A878" w14:textId="77777777" w:rsidR="00CF0E09" w:rsidRPr="00CF0E09" w:rsidRDefault="00CF0E09" w:rsidP="00CF0E09">
            <w:pPr>
              <w:tabs>
                <w:tab w:val="decimal" w:pos="1105"/>
              </w:tabs>
              <w:jc w:val="both"/>
              <w:rPr>
                <w:rFonts w:eastAsia="Times New Roman" w:cs="Times New Roman"/>
                <w:szCs w:val="20"/>
              </w:rPr>
            </w:pPr>
            <w:r w:rsidRPr="00CF0E09">
              <w:rPr>
                <w:rFonts w:eastAsia="Times New Roman" w:cs="Times New Roman"/>
              </w:rPr>
              <w:t>1,194,746</w:t>
            </w:r>
          </w:p>
        </w:tc>
        <w:tc>
          <w:tcPr>
            <w:tcW w:w="1350" w:type="dxa"/>
            <w:tcBorders>
              <w:top w:val="nil"/>
              <w:left w:val="nil"/>
              <w:bottom w:val="nil"/>
              <w:right w:val="nil"/>
            </w:tcBorders>
            <w:noWrap/>
          </w:tcPr>
          <w:p w14:paraId="2BF8EEF8" w14:textId="77777777" w:rsidR="00CF0E09" w:rsidRPr="00CF0E09" w:rsidRDefault="00CF0E09" w:rsidP="00CF0E09">
            <w:pPr>
              <w:tabs>
                <w:tab w:val="decimal" w:pos="495"/>
              </w:tabs>
              <w:jc w:val="both"/>
              <w:rPr>
                <w:rFonts w:eastAsia="Times New Roman" w:cs="Times New Roman"/>
                <w:szCs w:val="20"/>
              </w:rPr>
            </w:pPr>
            <w:r w:rsidRPr="00CF0E09">
              <w:rPr>
                <w:rFonts w:eastAsia="Times New Roman" w:cs="Times New Roman"/>
              </w:rPr>
              <w:t>0.68</w:t>
            </w:r>
          </w:p>
        </w:tc>
        <w:tc>
          <w:tcPr>
            <w:tcW w:w="1480" w:type="dxa"/>
            <w:tcBorders>
              <w:top w:val="nil"/>
              <w:left w:val="nil"/>
              <w:bottom w:val="nil"/>
              <w:right w:val="nil"/>
            </w:tcBorders>
            <w:noWrap/>
          </w:tcPr>
          <w:p w14:paraId="07F45EBD" w14:textId="77777777" w:rsidR="00CF0E09" w:rsidRPr="00CF0E09" w:rsidRDefault="00CF0E09" w:rsidP="00CF0E09">
            <w:pPr>
              <w:tabs>
                <w:tab w:val="decimal" w:pos="1005"/>
              </w:tabs>
              <w:jc w:val="both"/>
              <w:rPr>
                <w:rFonts w:eastAsia="Times New Roman" w:cs="Times New Roman"/>
                <w:szCs w:val="20"/>
              </w:rPr>
            </w:pPr>
            <w:r w:rsidRPr="00CF0E09">
              <w:rPr>
                <w:rFonts w:eastAsia="Times New Roman" w:cs="Times New Roman"/>
              </w:rPr>
              <w:t>3,393,928</w:t>
            </w:r>
          </w:p>
        </w:tc>
        <w:tc>
          <w:tcPr>
            <w:tcW w:w="1420" w:type="dxa"/>
            <w:tcBorders>
              <w:top w:val="nil"/>
              <w:left w:val="nil"/>
              <w:bottom w:val="nil"/>
              <w:right w:val="nil"/>
            </w:tcBorders>
            <w:noWrap/>
          </w:tcPr>
          <w:p w14:paraId="44E32671" w14:textId="77777777" w:rsidR="00CF0E09" w:rsidRPr="00CF0E09" w:rsidRDefault="00CF0E09" w:rsidP="00CF0E09">
            <w:pPr>
              <w:tabs>
                <w:tab w:val="decimal" w:pos="507"/>
              </w:tabs>
              <w:rPr>
                <w:rFonts w:eastAsia="Times New Roman" w:cs="Times New Roman"/>
                <w:szCs w:val="20"/>
              </w:rPr>
            </w:pPr>
            <w:r w:rsidRPr="00CF0E09">
              <w:rPr>
                <w:rFonts w:eastAsia="Times New Roman" w:cs="Times New Roman"/>
              </w:rPr>
              <w:t>1.62</w:t>
            </w:r>
          </w:p>
        </w:tc>
      </w:tr>
      <w:bookmarkEnd w:id="306"/>
      <w:tr w:rsidR="00CF0E09" w:rsidRPr="00CF0E09" w14:paraId="7F0A431E" w14:textId="77777777" w:rsidTr="00377598">
        <w:trPr>
          <w:trHeight w:val="255"/>
          <w:jc w:val="center"/>
        </w:trPr>
        <w:tc>
          <w:tcPr>
            <w:tcW w:w="1620" w:type="dxa"/>
            <w:tcBorders>
              <w:top w:val="nil"/>
              <w:left w:val="nil"/>
              <w:bottom w:val="nil"/>
              <w:right w:val="nil"/>
            </w:tcBorders>
            <w:noWrap/>
            <w:vAlign w:val="bottom"/>
          </w:tcPr>
          <w:p w14:paraId="03FD9BAB" w14:textId="77777777" w:rsidR="00CF0E09" w:rsidRPr="00CF0E09" w:rsidRDefault="00CF0E09" w:rsidP="00CF0E09">
            <w:pPr>
              <w:rPr>
                <w:rFonts w:eastAsia="Times New Roman" w:cs="Times New Roman"/>
                <w:szCs w:val="20"/>
              </w:rPr>
            </w:pPr>
            <w:r w:rsidRPr="00CF0E09">
              <w:rPr>
                <w:rFonts w:eastAsia="Times New Roman" w:cs="Times New Roman"/>
                <w:szCs w:val="20"/>
              </w:rPr>
              <w:t>2021 Estimate</w:t>
            </w:r>
          </w:p>
        </w:tc>
        <w:tc>
          <w:tcPr>
            <w:tcW w:w="1620" w:type="dxa"/>
            <w:tcBorders>
              <w:top w:val="nil"/>
              <w:left w:val="nil"/>
              <w:bottom w:val="nil"/>
              <w:right w:val="nil"/>
            </w:tcBorders>
            <w:noWrap/>
          </w:tcPr>
          <w:p w14:paraId="3349A0E0" w14:textId="77777777" w:rsidR="00CF0E09" w:rsidRPr="00CF0E09" w:rsidRDefault="00CF0E09" w:rsidP="00CF0E09">
            <w:pPr>
              <w:tabs>
                <w:tab w:val="decimal" w:pos="1105"/>
              </w:tabs>
              <w:jc w:val="both"/>
              <w:rPr>
                <w:rFonts w:eastAsia="Times New Roman" w:cs="Times New Roman"/>
                <w:szCs w:val="20"/>
              </w:rPr>
            </w:pPr>
            <w:r w:rsidRPr="00CF0E09">
              <w:rPr>
                <w:rFonts w:eastAsia="Times New Roman" w:cs="Times New Roman"/>
              </w:rPr>
              <w:t>1,186,648</w:t>
            </w:r>
          </w:p>
        </w:tc>
        <w:tc>
          <w:tcPr>
            <w:tcW w:w="1350" w:type="dxa"/>
            <w:tcBorders>
              <w:top w:val="nil"/>
              <w:left w:val="nil"/>
              <w:bottom w:val="nil"/>
              <w:right w:val="nil"/>
            </w:tcBorders>
            <w:noWrap/>
          </w:tcPr>
          <w:p w14:paraId="2AAD7C3B" w14:textId="77777777" w:rsidR="00CF0E09" w:rsidRPr="00CF0E09" w:rsidRDefault="00CF0E09" w:rsidP="00CF0E09">
            <w:pPr>
              <w:tabs>
                <w:tab w:val="decimal" w:pos="495"/>
              </w:tabs>
              <w:jc w:val="both"/>
              <w:rPr>
                <w:rFonts w:eastAsia="Times New Roman" w:cs="Times New Roman"/>
                <w:szCs w:val="20"/>
              </w:rPr>
            </w:pPr>
            <w:r w:rsidRPr="00CF0E09">
              <w:rPr>
                <w:rFonts w:eastAsia="Times New Roman" w:cs="Times New Roman"/>
              </w:rPr>
              <w:t>0.12</w:t>
            </w:r>
          </w:p>
        </w:tc>
        <w:tc>
          <w:tcPr>
            <w:tcW w:w="1480" w:type="dxa"/>
            <w:tcBorders>
              <w:top w:val="nil"/>
              <w:left w:val="nil"/>
              <w:bottom w:val="nil"/>
              <w:right w:val="nil"/>
            </w:tcBorders>
            <w:noWrap/>
          </w:tcPr>
          <w:p w14:paraId="5C83A884" w14:textId="77777777" w:rsidR="00CF0E09" w:rsidRPr="00CF0E09" w:rsidRDefault="00CF0E09" w:rsidP="00CF0E09">
            <w:pPr>
              <w:tabs>
                <w:tab w:val="decimal" w:pos="1005"/>
              </w:tabs>
              <w:jc w:val="both"/>
              <w:rPr>
                <w:rFonts w:eastAsia="Times New Roman" w:cs="Times New Roman"/>
                <w:szCs w:val="20"/>
              </w:rPr>
            </w:pPr>
            <w:r w:rsidRPr="00CF0E09">
              <w:rPr>
                <w:rFonts w:eastAsia="Times New Roman" w:cs="Times New Roman"/>
              </w:rPr>
              <w:t>3,339,874</w:t>
            </w:r>
          </w:p>
        </w:tc>
        <w:tc>
          <w:tcPr>
            <w:tcW w:w="1420" w:type="dxa"/>
            <w:tcBorders>
              <w:top w:val="nil"/>
              <w:left w:val="nil"/>
              <w:bottom w:val="nil"/>
              <w:right w:val="nil"/>
            </w:tcBorders>
            <w:noWrap/>
          </w:tcPr>
          <w:p w14:paraId="41E4BBED" w14:textId="77777777" w:rsidR="00CF0E09" w:rsidRPr="00CF0E09" w:rsidRDefault="00CF0E09" w:rsidP="00CF0E09">
            <w:pPr>
              <w:tabs>
                <w:tab w:val="decimal" w:pos="507"/>
              </w:tabs>
              <w:rPr>
                <w:rFonts w:eastAsia="Times New Roman" w:cs="Times New Roman"/>
                <w:szCs w:val="20"/>
              </w:rPr>
            </w:pPr>
            <w:r w:rsidRPr="00CF0E09">
              <w:rPr>
                <w:rFonts w:eastAsia="Times New Roman" w:cs="Times New Roman"/>
              </w:rPr>
              <w:t>2.09</w:t>
            </w:r>
          </w:p>
        </w:tc>
      </w:tr>
      <w:tr w:rsidR="00CF0E09" w:rsidRPr="00CF0E09" w14:paraId="360A0ED2" w14:textId="77777777" w:rsidTr="00377598">
        <w:trPr>
          <w:trHeight w:val="255"/>
          <w:jc w:val="center"/>
        </w:trPr>
        <w:tc>
          <w:tcPr>
            <w:tcW w:w="1620" w:type="dxa"/>
            <w:tcBorders>
              <w:top w:val="nil"/>
              <w:left w:val="nil"/>
              <w:bottom w:val="nil"/>
              <w:right w:val="nil"/>
            </w:tcBorders>
            <w:noWrap/>
            <w:vAlign w:val="bottom"/>
          </w:tcPr>
          <w:p w14:paraId="47BDD5CD" w14:textId="77777777" w:rsidR="00CF0E09" w:rsidRPr="00CF0E09" w:rsidRDefault="00CF0E09" w:rsidP="00CF0E09">
            <w:pPr>
              <w:rPr>
                <w:rFonts w:eastAsia="Times New Roman" w:cs="Times New Roman"/>
                <w:i/>
                <w:iCs/>
                <w:szCs w:val="20"/>
              </w:rPr>
            </w:pPr>
            <w:bookmarkStart w:id="307" w:name="_Hlk100306161"/>
            <w:r w:rsidRPr="00CF0E09">
              <w:rPr>
                <w:rFonts w:eastAsia="Times New Roman" w:cs="Times New Roman"/>
                <w:i/>
                <w:iCs/>
                <w:szCs w:val="20"/>
              </w:rPr>
              <w:t>2020 Census</w:t>
            </w:r>
          </w:p>
        </w:tc>
        <w:tc>
          <w:tcPr>
            <w:tcW w:w="1620" w:type="dxa"/>
            <w:tcBorders>
              <w:top w:val="nil"/>
              <w:left w:val="nil"/>
              <w:bottom w:val="nil"/>
              <w:right w:val="nil"/>
            </w:tcBorders>
            <w:noWrap/>
          </w:tcPr>
          <w:p w14:paraId="58BFF5B5" w14:textId="77777777" w:rsidR="00CF0E09" w:rsidRPr="00CF0E09" w:rsidRDefault="00CF0E09" w:rsidP="00CF0E09">
            <w:pPr>
              <w:tabs>
                <w:tab w:val="decimal" w:pos="1105"/>
              </w:tabs>
              <w:jc w:val="both"/>
              <w:rPr>
                <w:rFonts w:eastAsia="Times New Roman" w:cs="Times New Roman"/>
                <w:i/>
                <w:iCs/>
                <w:szCs w:val="20"/>
              </w:rPr>
            </w:pPr>
            <w:r w:rsidRPr="00CF0E09">
              <w:rPr>
                <w:rFonts w:eastAsia="Times New Roman" w:cs="Times New Roman"/>
                <w:i/>
                <w:iCs/>
                <w:szCs w:val="20"/>
              </w:rPr>
              <w:t>1,185,238</w:t>
            </w:r>
          </w:p>
        </w:tc>
        <w:tc>
          <w:tcPr>
            <w:tcW w:w="1350" w:type="dxa"/>
            <w:tcBorders>
              <w:top w:val="nil"/>
              <w:left w:val="nil"/>
              <w:bottom w:val="nil"/>
              <w:right w:val="nil"/>
            </w:tcBorders>
            <w:noWrap/>
          </w:tcPr>
          <w:p w14:paraId="57421198" w14:textId="77777777" w:rsidR="00CF0E09" w:rsidRPr="00CF0E09" w:rsidRDefault="00CF0E09" w:rsidP="00CF0E09">
            <w:pPr>
              <w:tabs>
                <w:tab w:val="decimal" w:pos="495"/>
              </w:tabs>
              <w:jc w:val="both"/>
              <w:rPr>
                <w:rFonts w:eastAsia="Times New Roman" w:cs="Times New Roman"/>
                <w:i/>
                <w:iCs/>
                <w:szCs w:val="20"/>
              </w:rPr>
            </w:pPr>
            <w:r w:rsidRPr="00CF0E09">
              <w:rPr>
                <w:rFonts w:eastAsia="Times New Roman" w:cs="Times New Roman"/>
                <w:i/>
                <w:iCs/>
                <w:szCs w:val="20"/>
              </w:rPr>
              <w:t>2.14</w:t>
            </w:r>
          </w:p>
        </w:tc>
        <w:tc>
          <w:tcPr>
            <w:tcW w:w="1480" w:type="dxa"/>
            <w:tcBorders>
              <w:top w:val="nil"/>
              <w:left w:val="nil"/>
              <w:bottom w:val="nil"/>
              <w:right w:val="nil"/>
            </w:tcBorders>
            <w:noWrap/>
          </w:tcPr>
          <w:p w14:paraId="1CA9E331" w14:textId="77777777" w:rsidR="00CF0E09" w:rsidRPr="00CF0E09" w:rsidRDefault="00CF0E09" w:rsidP="00CF0E09">
            <w:pPr>
              <w:tabs>
                <w:tab w:val="decimal" w:pos="1005"/>
              </w:tabs>
              <w:jc w:val="both"/>
              <w:rPr>
                <w:rFonts w:eastAsia="Times New Roman" w:cs="Times New Roman"/>
                <w:i/>
                <w:iCs/>
                <w:szCs w:val="20"/>
              </w:rPr>
            </w:pPr>
            <w:r w:rsidRPr="00CF0E09">
              <w:rPr>
                <w:rFonts w:eastAsia="Times New Roman" w:cs="Times New Roman"/>
                <w:i/>
                <w:iCs/>
                <w:szCs w:val="20"/>
              </w:rPr>
              <w:t>3,271,616</w:t>
            </w:r>
          </w:p>
        </w:tc>
        <w:tc>
          <w:tcPr>
            <w:tcW w:w="1420" w:type="dxa"/>
            <w:tcBorders>
              <w:top w:val="nil"/>
              <w:left w:val="nil"/>
              <w:bottom w:val="nil"/>
              <w:right w:val="nil"/>
            </w:tcBorders>
            <w:noWrap/>
          </w:tcPr>
          <w:p w14:paraId="3C7D82A7" w14:textId="77777777" w:rsidR="00CF0E09" w:rsidRPr="00CF0E09" w:rsidRDefault="00CF0E09" w:rsidP="00CF0E09">
            <w:pPr>
              <w:tabs>
                <w:tab w:val="decimal" w:pos="507"/>
              </w:tabs>
              <w:rPr>
                <w:rFonts w:eastAsia="Times New Roman" w:cs="Times New Roman"/>
                <w:i/>
                <w:iCs/>
                <w:szCs w:val="20"/>
              </w:rPr>
            </w:pPr>
            <w:r w:rsidRPr="00CF0E09">
              <w:rPr>
                <w:rFonts w:eastAsia="Times New Roman" w:cs="Times New Roman"/>
                <w:i/>
                <w:iCs/>
                <w:szCs w:val="20"/>
              </w:rPr>
              <w:t>2.05</w:t>
            </w:r>
          </w:p>
        </w:tc>
      </w:tr>
      <w:bookmarkEnd w:id="307"/>
      <w:tr w:rsidR="00CF0E09" w:rsidRPr="00CF0E09" w14:paraId="053E26D9" w14:textId="77777777" w:rsidTr="00377598">
        <w:trPr>
          <w:trHeight w:val="255"/>
          <w:jc w:val="center"/>
        </w:trPr>
        <w:tc>
          <w:tcPr>
            <w:tcW w:w="1620" w:type="dxa"/>
            <w:tcBorders>
              <w:top w:val="nil"/>
              <w:left w:val="nil"/>
              <w:bottom w:val="nil"/>
              <w:right w:val="nil"/>
            </w:tcBorders>
            <w:noWrap/>
            <w:vAlign w:val="bottom"/>
          </w:tcPr>
          <w:p w14:paraId="3AE75313" w14:textId="77777777" w:rsidR="00CF0E09" w:rsidRPr="00CF0E09" w:rsidRDefault="00CF0E09" w:rsidP="00CF0E09">
            <w:pPr>
              <w:rPr>
                <w:rFonts w:eastAsia="Times New Roman" w:cs="Times New Roman"/>
                <w:szCs w:val="20"/>
              </w:rPr>
            </w:pPr>
            <w:r w:rsidRPr="00CF0E09">
              <w:rPr>
                <w:rFonts w:eastAsia="Times New Roman" w:cs="Times New Roman"/>
                <w:szCs w:val="20"/>
              </w:rPr>
              <w:t>2019 Estimate</w:t>
            </w:r>
          </w:p>
        </w:tc>
        <w:tc>
          <w:tcPr>
            <w:tcW w:w="1620" w:type="dxa"/>
            <w:tcBorders>
              <w:top w:val="nil"/>
              <w:left w:val="nil"/>
              <w:bottom w:val="nil"/>
              <w:right w:val="nil"/>
            </w:tcBorders>
            <w:noWrap/>
          </w:tcPr>
          <w:p w14:paraId="576AD000" w14:textId="77777777" w:rsidR="00CF0E09" w:rsidRPr="00CF0E09" w:rsidRDefault="00CF0E09" w:rsidP="00CF0E09">
            <w:pPr>
              <w:tabs>
                <w:tab w:val="decimal" w:pos="1105"/>
              </w:tabs>
              <w:jc w:val="both"/>
              <w:rPr>
                <w:rFonts w:eastAsia="Times New Roman" w:cs="Times New Roman"/>
                <w:szCs w:val="20"/>
              </w:rPr>
            </w:pPr>
            <w:r w:rsidRPr="00CF0E09">
              <w:rPr>
                <w:rFonts w:eastAsia="Times New Roman" w:cs="Times New Roman"/>
                <w:szCs w:val="20"/>
              </w:rPr>
              <w:t>1,160,437</w:t>
            </w:r>
          </w:p>
        </w:tc>
        <w:tc>
          <w:tcPr>
            <w:tcW w:w="1350" w:type="dxa"/>
            <w:tcBorders>
              <w:top w:val="nil"/>
              <w:left w:val="nil"/>
              <w:bottom w:val="nil"/>
              <w:right w:val="nil"/>
            </w:tcBorders>
            <w:noWrap/>
          </w:tcPr>
          <w:p w14:paraId="37BA7082" w14:textId="77777777" w:rsidR="00CF0E09" w:rsidRPr="00CF0E09" w:rsidRDefault="00CF0E09" w:rsidP="00CF0E09">
            <w:pPr>
              <w:tabs>
                <w:tab w:val="decimal" w:pos="495"/>
              </w:tabs>
              <w:jc w:val="both"/>
              <w:rPr>
                <w:rFonts w:eastAsia="Times New Roman" w:cs="Times New Roman"/>
                <w:szCs w:val="20"/>
              </w:rPr>
            </w:pPr>
            <w:r w:rsidRPr="00CF0E09">
              <w:rPr>
                <w:rFonts w:eastAsia="Times New Roman" w:cs="Times New Roman"/>
                <w:szCs w:val="20"/>
              </w:rPr>
              <w:t>1.02</w:t>
            </w:r>
          </w:p>
        </w:tc>
        <w:tc>
          <w:tcPr>
            <w:tcW w:w="1480" w:type="dxa"/>
            <w:tcBorders>
              <w:top w:val="nil"/>
              <w:left w:val="nil"/>
              <w:bottom w:val="nil"/>
              <w:right w:val="nil"/>
            </w:tcBorders>
            <w:noWrap/>
          </w:tcPr>
          <w:p w14:paraId="067B0345" w14:textId="77777777" w:rsidR="00CF0E09" w:rsidRPr="00CF0E09" w:rsidRDefault="00CF0E09" w:rsidP="00CF0E09">
            <w:pPr>
              <w:tabs>
                <w:tab w:val="decimal" w:pos="1005"/>
              </w:tabs>
              <w:jc w:val="both"/>
              <w:rPr>
                <w:rFonts w:eastAsia="Times New Roman" w:cs="Times New Roman"/>
                <w:szCs w:val="20"/>
              </w:rPr>
            </w:pPr>
            <w:r w:rsidRPr="00CF0E09">
              <w:rPr>
                <w:rFonts w:eastAsia="Times New Roman" w:cs="Times New Roman"/>
                <w:szCs w:val="20"/>
              </w:rPr>
              <w:t>3,205,958</w:t>
            </w:r>
          </w:p>
        </w:tc>
        <w:tc>
          <w:tcPr>
            <w:tcW w:w="1420" w:type="dxa"/>
            <w:tcBorders>
              <w:top w:val="nil"/>
              <w:left w:val="nil"/>
              <w:bottom w:val="nil"/>
              <w:right w:val="nil"/>
            </w:tcBorders>
            <w:noWrap/>
          </w:tcPr>
          <w:p w14:paraId="383931F4" w14:textId="77777777" w:rsidR="00CF0E09" w:rsidRPr="00CF0E09" w:rsidRDefault="00CF0E09" w:rsidP="00CF0E09">
            <w:pPr>
              <w:tabs>
                <w:tab w:val="decimal" w:pos="507"/>
              </w:tabs>
              <w:rPr>
                <w:rFonts w:eastAsia="Times New Roman" w:cs="Times New Roman"/>
                <w:szCs w:val="20"/>
              </w:rPr>
            </w:pPr>
            <w:r w:rsidRPr="00CF0E09">
              <w:rPr>
                <w:rFonts w:eastAsia="Times New Roman" w:cs="Times New Roman"/>
                <w:szCs w:val="20"/>
              </w:rPr>
              <w:t>1.66</w:t>
            </w:r>
          </w:p>
        </w:tc>
      </w:tr>
      <w:tr w:rsidR="00CF0E09" w:rsidRPr="00CF0E09" w14:paraId="56E2C0F7" w14:textId="77777777" w:rsidTr="00377598">
        <w:trPr>
          <w:trHeight w:val="255"/>
          <w:jc w:val="center"/>
        </w:trPr>
        <w:tc>
          <w:tcPr>
            <w:tcW w:w="1620" w:type="dxa"/>
            <w:tcBorders>
              <w:top w:val="nil"/>
              <w:left w:val="nil"/>
              <w:bottom w:val="nil"/>
              <w:right w:val="nil"/>
            </w:tcBorders>
            <w:noWrap/>
            <w:vAlign w:val="bottom"/>
          </w:tcPr>
          <w:p w14:paraId="3C651811" w14:textId="77777777" w:rsidR="00CF0E09" w:rsidRPr="00CF0E09" w:rsidRDefault="00CF0E09" w:rsidP="00CF0E09">
            <w:pPr>
              <w:rPr>
                <w:rFonts w:eastAsia="Times New Roman" w:cs="Times New Roman"/>
                <w:szCs w:val="20"/>
              </w:rPr>
            </w:pPr>
            <w:r w:rsidRPr="00CF0E09">
              <w:rPr>
                <w:rFonts w:eastAsia="Times New Roman" w:cs="Times New Roman"/>
                <w:szCs w:val="20"/>
              </w:rPr>
              <w:t>2018 Estimate</w:t>
            </w:r>
          </w:p>
        </w:tc>
        <w:tc>
          <w:tcPr>
            <w:tcW w:w="1620" w:type="dxa"/>
            <w:tcBorders>
              <w:top w:val="nil"/>
              <w:left w:val="nil"/>
              <w:bottom w:val="nil"/>
              <w:right w:val="nil"/>
            </w:tcBorders>
            <w:noWrap/>
          </w:tcPr>
          <w:p w14:paraId="0D5917B9" w14:textId="77777777" w:rsidR="00CF0E09" w:rsidRPr="00CF0E09" w:rsidRDefault="00CF0E09" w:rsidP="00CF0E09">
            <w:pPr>
              <w:tabs>
                <w:tab w:val="decimal" w:pos="1105"/>
              </w:tabs>
              <w:jc w:val="both"/>
              <w:rPr>
                <w:rFonts w:eastAsia="Times New Roman" w:cs="Times New Roman"/>
                <w:szCs w:val="20"/>
              </w:rPr>
            </w:pPr>
            <w:r w:rsidRPr="00CF0E09">
              <w:rPr>
                <w:rFonts w:eastAsia="Times New Roman" w:cs="Times New Roman"/>
                <w:szCs w:val="20"/>
              </w:rPr>
              <w:t>1,148,692</w:t>
            </w:r>
          </w:p>
        </w:tc>
        <w:tc>
          <w:tcPr>
            <w:tcW w:w="1350" w:type="dxa"/>
            <w:tcBorders>
              <w:top w:val="nil"/>
              <w:left w:val="nil"/>
              <w:bottom w:val="nil"/>
              <w:right w:val="nil"/>
            </w:tcBorders>
            <w:noWrap/>
          </w:tcPr>
          <w:p w14:paraId="2DEFDBFD" w14:textId="77777777" w:rsidR="00CF0E09" w:rsidRPr="00CF0E09" w:rsidRDefault="00CF0E09" w:rsidP="00CF0E09">
            <w:pPr>
              <w:tabs>
                <w:tab w:val="decimal" w:pos="495"/>
              </w:tabs>
              <w:jc w:val="both"/>
              <w:rPr>
                <w:rFonts w:eastAsia="Times New Roman" w:cs="Times New Roman"/>
                <w:szCs w:val="20"/>
              </w:rPr>
            </w:pPr>
            <w:r w:rsidRPr="00CF0E09">
              <w:rPr>
                <w:rFonts w:eastAsia="Times New Roman" w:cs="Times New Roman"/>
                <w:szCs w:val="20"/>
              </w:rPr>
              <w:t>1.05</w:t>
            </w:r>
          </w:p>
        </w:tc>
        <w:tc>
          <w:tcPr>
            <w:tcW w:w="1480" w:type="dxa"/>
            <w:tcBorders>
              <w:top w:val="nil"/>
              <w:left w:val="nil"/>
              <w:bottom w:val="nil"/>
              <w:right w:val="nil"/>
            </w:tcBorders>
            <w:noWrap/>
          </w:tcPr>
          <w:p w14:paraId="65D75332" w14:textId="77777777" w:rsidR="00CF0E09" w:rsidRPr="00CF0E09" w:rsidRDefault="00CF0E09" w:rsidP="00CF0E09">
            <w:pPr>
              <w:tabs>
                <w:tab w:val="decimal" w:pos="1005"/>
              </w:tabs>
              <w:jc w:val="both"/>
              <w:rPr>
                <w:rFonts w:eastAsia="Times New Roman" w:cs="Times New Roman"/>
                <w:szCs w:val="20"/>
              </w:rPr>
            </w:pPr>
            <w:r w:rsidRPr="00CF0E09">
              <w:rPr>
                <w:rFonts w:eastAsia="Times New Roman" w:cs="Times New Roman"/>
                <w:szCs w:val="20"/>
              </w:rPr>
              <w:t>3,153,550</w:t>
            </w:r>
          </w:p>
        </w:tc>
        <w:tc>
          <w:tcPr>
            <w:tcW w:w="1420" w:type="dxa"/>
            <w:tcBorders>
              <w:top w:val="nil"/>
              <w:left w:val="nil"/>
              <w:bottom w:val="nil"/>
              <w:right w:val="nil"/>
            </w:tcBorders>
            <w:noWrap/>
          </w:tcPr>
          <w:p w14:paraId="109FA0A6" w14:textId="77777777" w:rsidR="00CF0E09" w:rsidRPr="00CF0E09" w:rsidRDefault="00CF0E09" w:rsidP="00CF0E09">
            <w:pPr>
              <w:tabs>
                <w:tab w:val="decimal" w:pos="507"/>
              </w:tabs>
              <w:rPr>
                <w:rFonts w:eastAsia="Times New Roman" w:cs="Times New Roman"/>
                <w:szCs w:val="20"/>
              </w:rPr>
            </w:pPr>
            <w:r w:rsidRPr="00CF0E09">
              <w:rPr>
                <w:rFonts w:eastAsia="Times New Roman" w:cs="Times New Roman"/>
                <w:szCs w:val="20"/>
              </w:rPr>
              <w:t>1.69</w:t>
            </w:r>
          </w:p>
        </w:tc>
      </w:tr>
      <w:tr w:rsidR="00CF0E09" w:rsidRPr="00CF0E09" w14:paraId="3F3811E8" w14:textId="77777777" w:rsidTr="00377598">
        <w:trPr>
          <w:trHeight w:val="255"/>
          <w:jc w:val="center"/>
        </w:trPr>
        <w:tc>
          <w:tcPr>
            <w:tcW w:w="1620" w:type="dxa"/>
            <w:tcBorders>
              <w:top w:val="nil"/>
              <w:left w:val="nil"/>
              <w:bottom w:val="nil"/>
              <w:right w:val="nil"/>
            </w:tcBorders>
            <w:noWrap/>
            <w:vAlign w:val="bottom"/>
          </w:tcPr>
          <w:p w14:paraId="5411BA91" w14:textId="77777777" w:rsidR="00CF0E09" w:rsidRPr="00CF0E09" w:rsidRDefault="00CF0E09" w:rsidP="00CF0E09">
            <w:pPr>
              <w:rPr>
                <w:rFonts w:eastAsia="Times New Roman" w:cs="Times New Roman"/>
                <w:szCs w:val="20"/>
              </w:rPr>
            </w:pPr>
            <w:r w:rsidRPr="00CF0E09">
              <w:rPr>
                <w:rFonts w:eastAsia="Times New Roman" w:cs="Times New Roman"/>
                <w:szCs w:val="20"/>
              </w:rPr>
              <w:t>2017 Estimate</w:t>
            </w:r>
          </w:p>
        </w:tc>
        <w:tc>
          <w:tcPr>
            <w:tcW w:w="1620" w:type="dxa"/>
            <w:tcBorders>
              <w:top w:val="nil"/>
              <w:left w:val="nil"/>
              <w:bottom w:val="nil"/>
              <w:right w:val="nil"/>
            </w:tcBorders>
            <w:noWrap/>
          </w:tcPr>
          <w:p w14:paraId="472F29A9" w14:textId="77777777" w:rsidR="00CF0E09" w:rsidRPr="00CF0E09" w:rsidRDefault="00CF0E09" w:rsidP="00CF0E09">
            <w:pPr>
              <w:tabs>
                <w:tab w:val="decimal" w:pos="1105"/>
              </w:tabs>
              <w:jc w:val="both"/>
              <w:rPr>
                <w:rFonts w:eastAsia="Times New Roman" w:cs="Times New Roman"/>
                <w:szCs w:val="20"/>
              </w:rPr>
            </w:pPr>
            <w:r w:rsidRPr="00CF0E09">
              <w:rPr>
                <w:rFonts w:eastAsia="Times New Roman" w:cs="Times New Roman"/>
                <w:szCs w:val="20"/>
              </w:rPr>
              <w:t>1,136,719</w:t>
            </w:r>
          </w:p>
        </w:tc>
        <w:tc>
          <w:tcPr>
            <w:tcW w:w="1350" w:type="dxa"/>
            <w:tcBorders>
              <w:top w:val="nil"/>
              <w:left w:val="nil"/>
              <w:bottom w:val="nil"/>
              <w:right w:val="nil"/>
            </w:tcBorders>
            <w:noWrap/>
          </w:tcPr>
          <w:p w14:paraId="775E2231" w14:textId="77777777" w:rsidR="00CF0E09" w:rsidRPr="00CF0E09" w:rsidRDefault="00CF0E09" w:rsidP="00CF0E09">
            <w:pPr>
              <w:tabs>
                <w:tab w:val="decimal" w:pos="495"/>
              </w:tabs>
              <w:jc w:val="both"/>
              <w:rPr>
                <w:rFonts w:eastAsia="Times New Roman" w:cs="Times New Roman"/>
                <w:szCs w:val="20"/>
              </w:rPr>
            </w:pPr>
            <w:r w:rsidRPr="00CF0E09">
              <w:rPr>
                <w:rFonts w:eastAsia="Times New Roman" w:cs="Times New Roman"/>
                <w:szCs w:val="20"/>
              </w:rPr>
              <w:t>1.48</w:t>
            </w:r>
          </w:p>
        </w:tc>
        <w:tc>
          <w:tcPr>
            <w:tcW w:w="1480" w:type="dxa"/>
            <w:tcBorders>
              <w:top w:val="nil"/>
              <w:left w:val="nil"/>
              <w:bottom w:val="nil"/>
              <w:right w:val="nil"/>
            </w:tcBorders>
            <w:noWrap/>
          </w:tcPr>
          <w:p w14:paraId="71529DEB" w14:textId="77777777" w:rsidR="00CF0E09" w:rsidRPr="00CF0E09" w:rsidRDefault="00CF0E09" w:rsidP="00CF0E09">
            <w:pPr>
              <w:tabs>
                <w:tab w:val="decimal" w:pos="1005"/>
              </w:tabs>
              <w:jc w:val="both"/>
              <w:rPr>
                <w:rFonts w:eastAsia="Times New Roman" w:cs="Times New Roman"/>
                <w:szCs w:val="20"/>
              </w:rPr>
            </w:pPr>
            <w:r w:rsidRPr="00CF0E09">
              <w:rPr>
                <w:rFonts w:eastAsia="Times New Roman" w:cs="Times New Roman"/>
                <w:szCs w:val="20"/>
              </w:rPr>
              <w:t>3,101,042</w:t>
            </w:r>
          </w:p>
        </w:tc>
        <w:tc>
          <w:tcPr>
            <w:tcW w:w="1420" w:type="dxa"/>
            <w:tcBorders>
              <w:top w:val="nil"/>
              <w:left w:val="nil"/>
              <w:bottom w:val="nil"/>
              <w:right w:val="nil"/>
            </w:tcBorders>
            <w:noWrap/>
          </w:tcPr>
          <w:p w14:paraId="098144C6" w14:textId="77777777" w:rsidR="00CF0E09" w:rsidRPr="00CF0E09" w:rsidRDefault="00CF0E09" w:rsidP="00CF0E09">
            <w:pPr>
              <w:tabs>
                <w:tab w:val="decimal" w:pos="507"/>
              </w:tabs>
              <w:rPr>
                <w:rFonts w:eastAsia="Times New Roman" w:cs="Times New Roman"/>
                <w:szCs w:val="20"/>
              </w:rPr>
            </w:pPr>
            <w:r w:rsidRPr="00CF0E09">
              <w:rPr>
                <w:rFonts w:eastAsia="Times New Roman" w:cs="Times New Roman"/>
                <w:szCs w:val="20"/>
              </w:rPr>
              <w:t>1.95</w:t>
            </w:r>
          </w:p>
        </w:tc>
      </w:tr>
      <w:tr w:rsidR="00CF0E09" w:rsidRPr="00CF0E09" w14:paraId="3F7D4A2F" w14:textId="77777777" w:rsidTr="00377598">
        <w:trPr>
          <w:trHeight w:val="255"/>
          <w:jc w:val="center"/>
        </w:trPr>
        <w:tc>
          <w:tcPr>
            <w:tcW w:w="1620" w:type="dxa"/>
            <w:tcBorders>
              <w:top w:val="nil"/>
              <w:left w:val="nil"/>
              <w:bottom w:val="nil"/>
              <w:right w:val="nil"/>
            </w:tcBorders>
            <w:noWrap/>
            <w:vAlign w:val="bottom"/>
            <w:hideMark/>
          </w:tcPr>
          <w:p w14:paraId="6513D10A" w14:textId="77777777" w:rsidR="00CF0E09" w:rsidRPr="00CF0E09" w:rsidRDefault="00CF0E09" w:rsidP="00CF0E09">
            <w:pPr>
              <w:rPr>
                <w:rFonts w:eastAsia="Times New Roman" w:cs="Times New Roman"/>
                <w:szCs w:val="20"/>
              </w:rPr>
            </w:pPr>
            <w:r w:rsidRPr="00CF0E09">
              <w:rPr>
                <w:rFonts w:eastAsia="Times New Roman" w:cs="Times New Roman"/>
                <w:szCs w:val="20"/>
              </w:rPr>
              <w:t>2016 Estimate</w:t>
            </w:r>
          </w:p>
        </w:tc>
        <w:tc>
          <w:tcPr>
            <w:tcW w:w="1620" w:type="dxa"/>
            <w:tcBorders>
              <w:top w:val="nil"/>
              <w:left w:val="nil"/>
              <w:bottom w:val="nil"/>
              <w:right w:val="nil"/>
            </w:tcBorders>
            <w:noWrap/>
            <w:hideMark/>
          </w:tcPr>
          <w:p w14:paraId="44474BB8" w14:textId="77777777" w:rsidR="00CF0E09" w:rsidRPr="00CF0E09" w:rsidRDefault="00CF0E09" w:rsidP="00CF0E09">
            <w:pPr>
              <w:tabs>
                <w:tab w:val="decimal" w:pos="1105"/>
              </w:tabs>
              <w:jc w:val="both"/>
              <w:rPr>
                <w:rFonts w:eastAsia="Times New Roman" w:cs="Times New Roman"/>
                <w:szCs w:val="20"/>
              </w:rPr>
            </w:pPr>
            <w:r w:rsidRPr="00CF0E09">
              <w:rPr>
                <w:rFonts w:eastAsia="Times New Roman" w:cs="Times New Roman"/>
                <w:szCs w:val="20"/>
              </w:rPr>
              <w:t>1,120,109</w:t>
            </w:r>
          </w:p>
        </w:tc>
        <w:tc>
          <w:tcPr>
            <w:tcW w:w="1350" w:type="dxa"/>
            <w:tcBorders>
              <w:top w:val="nil"/>
              <w:left w:val="nil"/>
              <w:bottom w:val="nil"/>
              <w:right w:val="nil"/>
            </w:tcBorders>
            <w:noWrap/>
            <w:hideMark/>
          </w:tcPr>
          <w:p w14:paraId="7E309893" w14:textId="77777777" w:rsidR="00CF0E09" w:rsidRPr="00CF0E09" w:rsidRDefault="00CF0E09" w:rsidP="00CF0E09">
            <w:pPr>
              <w:tabs>
                <w:tab w:val="decimal" w:pos="495"/>
              </w:tabs>
              <w:jc w:val="both"/>
              <w:rPr>
                <w:rFonts w:eastAsia="Times New Roman" w:cs="Times New Roman"/>
                <w:szCs w:val="20"/>
              </w:rPr>
            </w:pPr>
            <w:r w:rsidRPr="00CF0E09">
              <w:rPr>
                <w:rFonts w:eastAsia="Times New Roman" w:cs="Times New Roman"/>
                <w:szCs w:val="20"/>
              </w:rPr>
              <w:t>1.62</w:t>
            </w:r>
          </w:p>
        </w:tc>
        <w:tc>
          <w:tcPr>
            <w:tcW w:w="1480" w:type="dxa"/>
            <w:tcBorders>
              <w:top w:val="nil"/>
              <w:left w:val="nil"/>
              <w:bottom w:val="nil"/>
              <w:right w:val="nil"/>
            </w:tcBorders>
            <w:noWrap/>
            <w:hideMark/>
          </w:tcPr>
          <w:p w14:paraId="295A2B3A" w14:textId="77777777" w:rsidR="00CF0E09" w:rsidRPr="00CF0E09" w:rsidRDefault="00CF0E09" w:rsidP="00CF0E09">
            <w:pPr>
              <w:tabs>
                <w:tab w:val="decimal" w:pos="1005"/>
              </w:tabs>
              <w:jc w:val="both"/>
              <w:rPr>
                <w:rFonts w:eastAsia="Times New Roman" w:cs="Times New Roman"/>
                <w:szCs w:val="20"/>
              </w:rPr>
            </w:pPr>
            <w:r w:rsidRPr="00CF0E09">
              <w:rPr>
                <w:rFonts w:eastAsia="Times New Roman" w:cs="Times New Roman"/>
                <w:szCs w:val="20"/>
              </w:rPr>
              <w:t>3,041,868</w:t>
            </w:r>
          </w:p>
        </w:tc>
        <w:tc>
          <w:tcPr>
            <w:tcW w:w="1420" w:type="dxa"/>
            <w:tcBorders>
              <w:top w:val="nil"/>
              <w:left w:val="nil"/>
              <w:bottom w:val="nil"/>
              <w:right w:val="nil"/>
            </w:tcBorders>
            <w:noWrap/>
            <w:hideMark/>
          </w:tcPr>
          <w:p w14:paraId="0339123C" w14:textId="77777777" w:rsidR="00CF0E09" w:rsidRPr="00CF0E09" w:rsidRDefault="00CF0E09" w:rsidP="00CF0E09">
            <w:pPr>
              <w:tabs>
                <w:tab w:val="decimal" w:pos="507"/>
              </w:tabs>
              <w:rPr>
                <w:rFonts w:eastAsia="Times New Roman" w:cs="Times New Roman"/>
                <w:szCs w:val="20"/>
              </w:rPr>
            </w:pPr>
            <w:r w:rsidRPr="00CF0E09">
              <w:rPr>
                <w:rFonts w:eastAsia="Times New Roman" w:cs="Times New Roman"/>
                <w:szCs w:val="20"/>
              </w:rPr>
              <w:t>2.01</w:t>
            </w:r>
          </w:p>
        </w:tc>
      </w:tr>
      <w:tr w:rsidR="00CF0E09" w:rsidRPr="00CF0E09" w14:paraId="2F252AE2" w14:textId="77777777" w:rsidTr="00377598">
        <w:trPr>
          <w:trHeight w:val="255"/>
          <w:jc w:val="center"/>
        </w:trPr>
        <w:tc>
          <w:tcPr>
            <w:tcW w:w="1620" w:type="dxa"/>
            <w:tcBorders>
              <w:top w:val="nil"/>
              <w:left w:val="nil"/>
              <w:bottom w:val="nil"/>
              <w:right w:val="nil"/>
            </w:tcBorders>
            <w:noWrap/>
            <w:vAlign w:val="bottom"/>
          </w:tcPr>
          <w:p w14:paraId="4493C45E" w14:textId="77777777" w:rsidR="00CF0E09" w:rsidRPr="00CF0E09" w:rsidRDefault="00CF0E09" w:rsidP="00CF0E09">
            <w:pPr>
              <w:rPr>
                <w:rFonts w:eastAsia="Times New Roman" w:cs="Times New Roman"/>
                <w:szCs w:val="20"/>
              </w:rPr>
            </w:pPr>
          </w:p>
        </w:tc>
        <w:tc>
          <w:tcPr>
            <w:tcW w:w="1620" w:type="dxa"/>
            <w:tcBorders>
              <w:top w:val="nil"/>
              <w:left w:val="nil"/>
              <w:bottom w:val="nil"/>
              <w:right w:val="nil"/>
            </w:tcBorders>
            <w:noWrap/>
          </w:tcPr>
          <w:p w14:paraId="73E12C14" w14:textId="77777777" w:rsidR="00CF0E09" w:rsidRPr="00CF0E09" w:rsidRDefault="00CF0E09" w:rsidP="00CF0E09">
            <w:pPr>
              <w:tabs>
                <w:tab w:val="decimal" w:pos="1105"/>
              </w:tabs>
              <w:jc w:val="both"/>
              <w:rPr>
                <w:rFonts w:eastAsia="Times New Roman" w:cs="Times New Roman"/>
                <w:szCs w:val="20"/>
              </w:rPr>
            </w:pPr>
          </w:p>
        </w:tc>
        <w:tc>
          <w:tcPr>
            <w:tcW w:w="1350" w:type="dxa"/>
            <w:tcBorders>
              <w:top w:val="nil"/>
              <w:left w:val="nil"/>
              <w:bottom w:val="nil"/>
              <w:right w:val="nil"/>
            </w:tcBorders>
            <w:noWrap/>
          </w:tcPr>
          <w:p w14:paraId="2064E49E" w14:textId="77777777" w:rsidR="00CF0E09" w:rsidRPr="00CF0E09" w:rsidRDefault="00CF0E09" w:rsidP="00CF0E09">
            <w:pPr>
              <w:tabs>
                <w:tab w:val="decimal" w:pos="495"/>
              </w:tabs>
              <w:jc w:val="both"/>
              <w:rPr>
                <w:rFonts w:eastAsia="Times New Roman" w:cs="Times New Roman"/>
                <w:szCs w:val="20"/>
              </w:rPr>
            </w:pPr>
          </w:p>
        </w:tc>
        <w:tc>
          <w:tcPr>
            <w:tcW w:w="1480" w:type="dxa"/>
            <w:tcBorders>
              <w:top w:val="nil"/>
              <w:left w:val="nil"/>
              <w:bottom w:val="nil"/>
              <w:right w:val="nil"/>
            </w:tcBorders>
            <w:noWrap/>
          </w:tcPr>
          <w:p w14:paraId="59A343DC" w14:textId="77777777" w:rsidR="00CF0E09" w:rsidRPr="00CF0E09" w:rsidRDefault="00CF0E09" w:rsidP="00CF0E09">
            <w:pPr>
              <w:tabs>
                <w:tab w:val="decimal" w:pos="1005"/>
              </w:tabs>
              <w:jc w:val="both"/>
              <w:rPr>
                <w:rFonts w:eastAsia="Times New Roman" w:cs="Times New Roman"/>
                <w:szCs w:val="20"/>
              </w:rPr>
            </w:pPr>
          </w:p>
        </w:tc>
        <w:tc>
          <w:tcPr>
            <w:tcW w:w="1420" w:type="dxa"/>
            <w:tcBorders>
              <w:top w:val="nil"/>
              <w:left w:val="nil"/>
              <w:bottom w:val="nil"/>
              <w:right w:val="nil"/>
            </w:tcBorders>
            <w:noWrap/>
          </w:tcPr>
          <w:p w14:paraId="676F2D2E" w14:textId="77777777" w:rsidR="00CF0E09" w:rsidRPr="00CF0E09" w:rsidRDefault="00CF0E09" w:rsidP="00CF0E09">
            <w:pPr>
              <w:tabs>
                <w:tab w:val="decimal" w:pos="507"/>
              </w:tabs>
              <w:rPr>
                <w:rFonts w:eastAsia="Times New Roman" w:cs="Times New Roman"/>
                <w:szCs w:val="20"/>
              </w:rPr>
            </w:pPr>
          </w:p>
        </w:tc>
      </w:tr>
      <w:tr w:rsidR="00CF0E09" w:rsidRPr="00CF0E09" w14:paraId="0CBF8CDE" w14:textId="77777777" w:rsidTr="00377598">
        <w:trPr>
          <w:trHeight w:val="255"/>
          <w:jc w:val="center"/>
        </w:trPr>
        <w:tc>
          <w:tcPr>
            <w:tcW w:w="1620" w:type="dxa"/>
            <w:tcBorders>
              <w:top w:val="nil"/>
              <w:left w:val="nil"/>
              <w:bottom w:val="nil"/>
              <w:right w:val="nil"/>
            </w:tcBorders>
            <w:noWrap/>
            <w:vAlign w:val="bottom"/>
            <w:hideMark/>
          </w:tcPr>
          <w:p w14:paraId="3FEAEC87" w14:textId="77777777" w:rsidR="00CF0E09" w:rsidRPr="00CF0E09" w:rsidRDefault="00CF0E09" w:rsidP="00CF0E09">
            <w:pPr>
              <w:rPr>
                <w:rFonts w:eastAsia="Times New Roman" w:cs="Times New Roman"/>
                <w:i/>
                <w:iCs/>
                <w:szCs w:val="20"/>
              </w:rPr>
            </w:pPr>
            <w:r w:rsidRPr="00CF0E09">
              <w:rPr>
                <w:rFonts w:eastAsia="Times New Roman" w:cs="Times New Roman"/>
                <w:i/>
                <w:iCs/>
                <w:szCs w:val="20"/>
              </w:rPr>
              <w:t>2010 Census</w:t>
            </w:r>
          </w:p>
        </w:tc>
        <w:tc>
          <w:tcPr>
            <w:tcW w:w="1620" w:type="dxa"/>
            <w:tcBorders>
              <w:top w:val="nil"/>
              <w:left w:val="nil"/>
              <w:bottom w:val="nil"/>
              <w:right w:val="nil"/>
            </w:tcBorders>
            <w:noWrap/>
            <w:vAlign w:val="bottom"/>
            <w:hideMark/>
          </w:tcPr>
          <w:p w14:paraId="3280DB60" w14:textId="77777777" w:rsidR="00CF0E09" w:rsidRPr="00CF0E09" w:rsidRDefault="00CF0E09" w:rsidP="00CF0E09">
            <w:pPr>
              <w:tabs>
                <w:tab w:val="decimal" w:pos="1105"/>
              </w:tabs>
              <w:jc w:val="both"/>
              <w:rPr>
                <w:rFonts w:eastAsia="Times New Roman" w:cs="Times New Roman"/>
                <w:i/>
                <w:iCs/>
                <w:szCs w:val="20"/>
              </w:rPr>
            </w:pPr>
            <w:r w:rsidRPr="00CF0E09">
              <w:rPr>
                <w:rFonts w:eastAsia="Times New Roman" w:cs="Times New Roman"/>
                <w:i/>
                <w:iCs/>
                <w:szCs w:val="20"/>
              </w:rPr>
              <w:t>1,029,655</w:t>
            </w:r>
          </w:p>
        </w:tc>
        <w:tc>
          <w:tcPr>
            <w:tcW w:w="1350" w:type="dxa"/>
            <w:tcBorders>
              <w:top w:val="nil"/>
              <w:left w:val="nil"/>
              <w:bottom w:val="nil"/>
              <w:right w:val="nil"/>
            </w:tcBorders>
            <w:noWrap/>
            <w:vAlign w:val="bottom"/>
            <w:hideMark/>
          </w:tcPr>
          <w:p w14:paraId="146CADAC" w14:textId="77777777" w:rsidR="00CF0E09" w:rsidRPr="00CF0E09" w:rsidRDefault="00CF0E09" w:rsidP="00CF0E09">
            <w:pPr>
              <w:jc w:val="center"/>
              <w:rPr>
                <w:rFonts w:eastAsia="Times New Roman" w:cs="Times New Roman"/>
                <w:i/>
                <w:iCs/>
                <w:szCs w:val="20"/>
              </w:rPr>
            </w:pPr>
            <w:r w:rsidRPr="00CF0E09">
              <w:rPr>
                <w:rFonts w:eastAsia="Times New Roman" w:cs="Times New Roman"/>
                <w:i/>
                <w:iCs/>
                <w:szCs w:val="20"/>
              </w:rPr>
              <w:t>–</w:t>
            </w:r>
          </w:p>
        </w:tc>
        <w:tc>
          <w:tcPr>
            <w:tcW w:w="1480" w:type="dxa"/>
            <w:tcBorders>
              <w:top w:val="nil"/>
              <w:left w:val="nil"/>
              <w:bottom w:val="nil"/>
              <w:right w:val="nil"/>
            </w:tcBorders>
            <w:noWrap/>
            <w:vAlign w:val="bottom"/>
            <w:hideMark/>
          </w:tcPr>
          <w:p w14:paraId="284F5104" w14:textId="77777777" w:rsidR="00CF0E09" w:rsidRPr="00CF0E09" w:rsidRDefault="00CF0E09" w:rsidP="00CF0E09">
            <w:pPr>
              <w:tabs>
                <w:tab w:val="decimal" w:pos="1005"/>
              </w:tabs>
              <w:jc w:val="both"/>
              <w:rPr>
                <w:rFonts w:eastAsia="Times New Roman" w:cs="Times New Roman"/>
                <w:i/>
                <w:iCs/>
                <w:szCs w:val="20"/>
              </w:rPr>
            </w:pPr>
            <w:r w:rsidRPr="00CF0E09">
              <w:rPr>
                <w:rFonts w:eastAsia="Times New Roman" w:cs="Times New Roman"/>
                <w:i/>
                <w:iCs/>
                <w:szCs w:val="20"/>
              </w:rPr>
              <w:t>2,763,885</w:t>
            </w:r>
          </w:p>
        </w:tc>
        <w:tc>
          <w:tcPr>
            <w:tcW w:w="1420" w:type="dxa"/>
            <w:tcBorders>
              <w:top w:val="nil"/>
              <w:left w:val="nil"/>
              <w:bottom w:val="nil"/>
              <w:right w:val="nil"/>
            </w:tcBorders>
            <w:noWrap/>
            <w:vAlign w:val="bottom"/>
            <w:hideMark/>
          </w:tcPr>
          <w:p w14:paraId="05E3BC68" w14:textId="77777777" w:rsidR="00CF0E09" w:rsidRPr="00CF0E09" w:rsidRDefault="00CF0E09" w:rsidP="00CF0E09">
            <w:pPr>
              <w:jc w:val="center"/>
              <w:rPr>
                <w:rFonts w:eastAsia="Times New Roman" w:cs="Times New Roman"/>
                <w:i/>
                <w:iCs/>
                <w:szCs w:val="20"/>
              </w:rPr>
            </w:pPr>
            <w:r w:rsidRPr="00CF0E09">
              <w:rPr>
                <w:rFonts w:eastAsia="Times New Roman" w:cs="Times New Roman"/>
                <w:i/>
                <w:iCs/>
                <w:szCs w:val="20"/>
              </w:rPr>
              <w:t>–</w:t>
            </w:r>
          </w:p>
        </w:tc>
      </w:tr>
    </w:tbl>
    <w:p w14:paraId="2B8BE522" w14:textId="77777777" w:rsidR="00CF0E09" w:rsidRPr="00CF0E09" w:rsidRDefault="00CF0E09" w:rsidP="00CF0E09">
      <w:pPr>
        <w:tabs>
          <w:tab w:val="right" w:pos="2880"/>
        </w:tabs>
        <w:spacing w:after="80"/>
        <w:jc w:val="both"/>
        <w:rPr>
          <w:rFonts w:eastAsia="Times New Roman" w:cs="Times New Roman"/>
          <w:szCs w:val="20"/>
          <w:u w:val="single"/>
        </w:rPr>
      </w:pPr>
      <w:r w:rsidRPr="00CF0E09">
        <w:rPr>
          <w:rFonts w:eastAsia="Times New Roman" w:cs="Times New Roman"/>
          <w:szCs w:val="20"/>
          <w:u w:val="single"/>
        </w:rPr>
        <w:tab/>
      </w:r>
    </w:p>
    <w:p w14:paraId="30E223F1"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(Source:  U.S. Census Bureau, Population Division.) </w:t>
      </w:r>
    </w:p>
    <w:p w14:paraId="6E899F2D"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Note:  The 2010 and 2020 Census are as of April 1 of those years; the annual population estimates are as of July 1 of the year given.  Estimates are subject to change.  </w:t>
      </w:r>
    </w:p>
    <w:p w14:paraId="30AC7E41" w14:textId="77777777" w:rsidR="00CF0E09" w:rsidRPr="00CF0E09" w:rsidRDefault="00CF0E09" w:rsidP="00CF0E09">
      <w:pPr>
        <w:jc w:val="both"/>
        <w:rPr>
          <w:rFonts w:eastAsia="Times New Roman" w:cs="Times New Roman"/>
        </w:rPr>
      </w:pPr>
    </w:p>
    <w:p w14:paraId="647455A8" w14:textId="77777777" w:rsidR="00CF0E09" w:rsidRPr="00CF0E09" w:rsidRDefault="00CF0E09" w:rsidP="00CF0E09">
      <w:pPr>
        <w:keepNext/>
        <w:spacing w:after="240"/>
        <w:jc w:val="both"/>
        <w:rPr>
          <w:rFonts w:eastAsia="Times New Roman" w:cs="Times New Roman"/>
          <w:b/>
          <w:lang w:eastAsia="zh-CN"/>
        </w:rPr>
      </w:pPr>
      <w:r w:rsidRPr="00CF0E09">
        <w:rPr>
          <w:rFonts w:eastAsia="Times New Roman" w:cs="Times New Roman"/>
          <w:b/>
          <w:lang w:eastAsia="zh-CN"/>
        </w:rPr>
        <w:t>Rate of Unemployment – Annual Average</w:t>
      </w:r>
    </w:p>
    <w:tbl>
      <w:tblPr>
        <w:tblW w:w="0" w:type="auto"/>
        <w:jc w:val="center"/>
        <w:tblLayout w:type="fixed"/>
        <w:tblLook w:val="0000" w:firstRow="0" w:lastRow="0" w:firstColumn="0" w:lastColumn="0" w:noHBand="0" w:noVBand="0"/>
      </w:tblPr>
      <w:tblGrid>
        <w:gridCol w:w="1298"/>
        <w:gridCol w:w="1512"/>
        <w:gridCol w:w="1512"/>
        <w:gridCol w:w="1513"/>
      </w:tblGrid>
      <w:tr w:rsidR="00CF0E09" w:rsidRPr="00CF0E09" w14:paraId="61047B20" w14:textId="77777777" w:rsidTr="00377598">
        <w:trPr>
          <w:trHeight w:val="247"/>
          <w:jc w:val="center"/>
        </w:trPr>
        <w:tc>
          <w:tcPr>
            <w:tcW w:w="1298" w:type="dxa"/>
            <w:tcBorders>
              <w:top w:val="nil"/>
              <w:left w:val="nil"/>
              <w:bottom w:val="nil"/>
              <w:right w:val="nil"/>
            </w:tcBorders>
          </w:tcPr>
          <w:p w14:paraId="5E070A43" w14:textId="77777777" w:rsidR="00CF0E09" w:rsidRPr="00CF0E09" w:rsidRDefault="00CF0E09" w:rsidP="00CF0E09">
            <w:pPr>
              <w:autoSpaceDE w:val="0"/>
              <w:autoSpaceDN w:val="0"/>
              <w:adjustRightInd w:val="0"/>
              <w:spacing w:after="40"/>
              <w:jc w:val="center"/>
              <w:rPr>
                <w:rFonts w:eastAsia="Times New Roman" w:cs="Times New Roman"/>
                <w:color w:val="000000"/>
                <w:szCs w:val="20"/>
                <w:u w:val="single"/>
              </w:rPr>
            </w:pPr>
            <w:r w:rsidRPr="00CF0E09">
              <w:rPr>
                <w:rFonts w:eastAsia="Times New Roman" w:cs="Times New Roman"/>
                <w:color w:val="000000"/>
                <w:szCs w:val="20"/>
                <w:u w:val="single"/>
              </w:rPr>
              <w:t>Year</w:t>
            </w:r>
          </w:p>
        </w:tc>
        <w:tc>
          <w:tcPr>
            <w:tcW w:w="1512" w:type="dxa"/>
            <w:tcBorders>
              <w:top w:val="nil"/>
              <w:left w:val="nil"/>
              <w:bottom w:val="nil"/>
              <w:right w:val="nil"/>
            </w:tcBorders>
          </w:tcPr>
          <w:p w14:paraId="4F218C53" w14:textId="77777777" w:rsidR="00CF0E09" w:rsidRPr="00CF0E09" w:rsidRDefault="00CF0E09" w:rsidP="00CF0E09">
            <w:pPr>
              <w:autoSpaceDE w:val="0"/>
              <w:autoSpaceDN w:val="0"/>
              <w:adjustRightInd w:val="0"/>
              <w:spacing w:after="40"/>
              <w:jc w:val="center"/>
              <w:rPr>
                <w:rFonts w:eastAsia="Times New Roman" w:cs="Times New Roman"/>
                <w:color w:val="000000"/>
                <w:szCs w:val="20"/>
                <w:u w:val="single"/>
              </w:rPr>
            </w:pPr>
            <w:r w:rsidRPr="00CF0E09">
              <w:rPr>
                <w:rFonts w:eastAsia="Times New Roman" w:cs="Times New Roman"/>
                <w:color w:val="000000"/>
                <w:szCs w:val="20"/>
                <w:u w:val="single"/>
              </w:rPr>
              <w:t>County</w:t>
            </w:r>
          </w:p>
        </w:tc>
        <w:tc>
          <w:tcPr>
            <w:tcW w:w="1512" w:type="dxa"/>
            <w:tcBorders>
              <w:top w:val="nil"/>
              <w:left w:val="nil"/>
              <w:bottom w:val="nil"/>
              <w:right w:val="nil"/>
            </w:tcBorders>
          </w:tcPr>
          <w:p w14:paraId="551119C7" w14:textId="77777777" w:rsidR="00CF0E09" w:rsidRPr="00CF0E09" w:rsidRDefault="00CF0E09" w:rsidP="00CF0E09">
            <w:pPr>
              <w:autoSpaceDE w:val="0"/>
              <w:autoSpaceDN w:val="0"/>
              <w:adjustRightInd w:val="0"/>
              <w:spacing w:after="40"/>
              <w:jc w:val="center"/>
              <w:rPr>
                <w:rFonts w:eastAsia="Times New Roman" w:cs="Times New Roman"/>
                <w:color w:val="000000"/>
                <w:szCs w:val="20"/>
                <w:u w:val="single"/>
              </w:rPr>
            </w:pPr>
            <w:r w:rsidRPr="00CF0E09">
              <w:rPr>
                <w:rFonts w:eastAsia="Times New Roman" w:cs="Times New Roman"/>
                <w:color w:val="000000"/>
                <w:szCs w:val="20"/>
                <w:u w:val="single"/>
              </w:rPr>
              <w:t>State</w:t>
            </w:r>
          </w:p>
        </w:tc>
        <w:tc>
          <w:tcPr>
            <w:tcW w:w="1513" w:type="dxa"/>
            <w:tcBorders>
              <w:top w:val="nil"/>
              <w:left w:val="nil"/>
              <w:bottom w:val="nil"/>
              <w:right w:val="nil"/>
            </w:tcBorders>
          </w:tcPr>
          <w:p w14:paraId="0C16C807" w14:textId="77777777" w:rsidR="00CF0E09" w:rsidRPr="00CF0E09" w:rsidRDefault="00CF0E09" w:rsidP="00CF0E09">
            <w:pPr>
              <w:autoSpaceDE w:val="0"/>
              <w:autoSpaceDN w:val="0"/>
              <w:adjustRightInd w:val="0"/>
              <w:spacing w:after="40"/>
              <w:jc w:val="center"/>
              <w:rPr>
                <w:rFonts w:eastAsia="Times New Roman" w:cs="Times New Roman"/>
                <w:color w:val="000000"/>
                <w:szCs w:val="20"/>
                <w:u w:val="single"/>
              </w:rPr>
            </w:pPr>
            <w:r w:rsidRPr="00CF0E09">
              <w:rPr>
                <w:rFonts w:eastAsia="Times New Roman" w:cs="Times New Roman"/>
                <w:color w:val="000000"/>
                <w:szCs w:val="20"/>
                <w:u w:val="single"/>
              </w:rPr>
              <w:t>United States</w:t>
            </w:r>
          </w:p>
        </w:tc>
      </w:tr>
      <w:tr w:rsidR="00CF0E09" w:rsidRPr="00CF0E09" w14:paraId="011692EE" w14:textId="77777777" w:rsidTr="00377598">
        <w:trPr>
          <w:trHeight w:val="247"/>
          <w:jc w:val="center"/>
        </w:trPr>
        <w:tc>
          <w:tcPr>
            <w:tcW w:w="1298" w:type="dxa"/>
            <w:tcBorders>
              <w:top w:val="nil"/>
              <w:left w:val="nil"/>
              <w:bottom w:val="nil"/>
              <w:right w:val="nil"/>
            </w:tcBorders>
          </w:tcPr>
          <w:p w14:paraId="03F45884"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2024</w:t>
            </w:r>
          </w:p>
        </w:tc>
        <w:tc>
          <w:tcPr>
            <w:tcW w:w="1512" w:type="dxa"/>
            <w:tcBorders>
              <w:top w:val="nil"/>
              <w:left w:val="nil"/>
              <w:bottom w:val="nil"/>
              <w:right w:val="nil"/>
            </w:tcBorders>
          </w:tcPr>
          <w:p w14:paraId="4FF463EB" w14:textId="77777777" w:rsidR="00CF0E09" w:rsidRPr="00CF0E09" w:rsidRDefault="00CF0E09" w:rsidP="00CF0E09">
            <w:pPr>
              <w:tabs>
                <w:tab w:val="decimal" w:pos="571"/>
              </w:tabs>
              <w:rPr>
                <w:rFonts w:eastAsia="Times New Roman" w:cs="Times New Roman"/>
              </w:rPr>
            </w:pPr>
            <w:r w:rsidRPr="00CF0E09">
              <w:rPr>
                <w:rFonts w:eastAsia="Times New Roman" w:cs="Times New Roman"/>
              </w:rPr>
              <w:t>3.2%</w:t>
            </w:r>
          </w:p>
        </w:tc>
        <w:tc>
          <w:tcPr>
            <w:tcW w:w="1512" w:type="dxa"/>
            <w:tcBorders>
              <w:top w:val="nil"/>
              <w:left w:val="nil"/>
              <w:bottom w:val="nil"/>
              <w:right w:val="nil"/>
            </w:tcBorders>
          </w:tcPr>
          <w:p w14:paraId="6DAA0F67" w14:textId="77777777" w:rsidR="00CF0E09" w:rsidRPr="00CF0E09" w:rsidRDefault="00CF0E09" w:rsidP="00CF0E09">
            <w:pPr>
              <w:tabs>
                <w:tab w:val="decimal" w:pos="571"/>
              </w:tabs>
              <w:rPr>
                <w:rFonts w:eastAsia="Times New Roman" w:cs="Times New Roman"/>
              </w:rPr>
            </w:pPr>
            <w:r w:rsidRPr="00CF0E09">
              <w:rPr>
                <w:rFonts w:eastAsia="Times New Roman" w:cs="Times New Roman"/>
              </w:rPr>
              <w:t>3.2%</w:t>
            </w:r>
          </w:p>
        </w:tc>
        <w:tc>
          <w:tcPr>
            <w:tcW w:w="1513" w:type="dxa"/>
            <w:tcBorders>
              <w:top w:val="nil"/>
              <w:left w:val="nil"/>
              <w:bottom w:val="nil"/>
              <w:right w:val="nil"/>
            </w:tcBorders>
          </w:tcPr>
          <w:p w14:paraId="301DC4E0" w14:textId="77777777" w:rsidR="00CF0E09" w:rsidRPr="00CF0E09" w:rsidRDefault="00CF0E09" w:rsidP="00CF0E09">
            <w:pPr>
              <w:tabs>
                <w:tab w:val="decimal" w:pos="571"/>
              </w:tabs>
              <w:rPr>
                <w:rFonts w:eastAsia="Times New Roman" w:cs="Times New Roman"/>
              </w:rPr>
            </w:pPr>
            <w:r w:rsidRPr="00CF0E09">
              <w:rPr>
                <w:rFonts w:eastAsia="Times New Roman" w:cs="Times New Roman"/>
              </w:rPr>
              <w:t>4.0%</w:t>
            </w:r>
          </w:p>
        </w:tc>
      </w:tr>
      <w:tr w:rsidR="00CF0E09" w:rsidRPr="00CF0E09" w14:paraId="312E2B8A" w14:textId="77777777" w:rsidTr="00377598">
        <w:trPr>
          <w:trHeight w:val="247"/>
          <w:jc w:val="center"/>
        </w:trPr>
        <w:tc>
          <w:tcPr>
            <w:tcW w:w="1298" w:type="dxa"/>
            <w:tcBorders>
              <w:top w:val="nil"/>
              <w:left w:val="nil"/>
              <w:bottom w:val="nil"/>
              <w:right w:val="nil"/>
            </w:tcBorders>
          </w:tcPr>
          <w:p w14:paraId="5A0F67DC"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2023</w:t>
            </w:r>
          </w:p>
        </w:tc>
        <w:tc>
          <w:tcPr>
            <w:tcW w:w="1512" w:type="dxa"/>
            <w:tcBorders>
              <w:top w:val="nil"/>
              <w:left w:val="nil"/>
              <w:bottom w:val="nil"/>
              <w:right w:val="nil"/>
            </w:tcBorders>
          </w:tcPr>
          <w:p w14:paraId="1C1053FE"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2.7</w:t>
            </w:r>
          </w:p>
        </w:tc>
        <w:tc>
          <w:tcPr>
            <w:tcW w:w="1512" w:type="dxa"/>
            <w:tcBorders>
              <w:top w:val="nil"/>
              <w:left w:val="nil"/>
              <w:bottom w:val="nil"/>
              <w:right w:val="nil"/>
            </w:tcBorders>
          </w:tcPr>
          <w:p w14:paraId="3972F9E3"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2.7</w:t>
            </w:r>
          </w:p>
        </w:tc>
        <w:tc>
          <w:tcPr>
            <w:tcW w:w="1513" w:type="dxa"/>
            <w:tcBorders>
              <w:top w:val="nil"/>
              <w:left w:val="nil"/>
              <w:bottom w:val="nil"/>
              <w:right w:val="nil"/>
            </w:tcBorders>
          </w:tcPr>
          <w:p w14:paraId="0AE93F4D"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3.6</w:t>
            </w:r>
          </w:p>
        </w:tc>
      </w:tr>
      <w:tr w:rsidR="00CF0E09" w:rsidRPr="00CF0E09" w14:paraId="612D219F" w14:textId="77777777" w:rsidTr="00377598">
        <w:trPr>
          <w:trHeight w:val="247"/>
          <w:jc w:val="center"/>
        </w:trPr>
        <w:tc>
          <w:tcPr>
            <w:tcW w:w="1298" w:type="dxa"/>
            <w:tcBorders>
              <w:top w:val="nil"/>
              <w:left w:val="nil"/>
              <w:bottom w:val="nil"/>
              <w:right w:val="nil"/>
            </w:tcBorders>
          </w:tcPr>
          <w:p w14:paraId="53491A4F"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2022</w:t>
            </w:r>
          </w:p>
        </w:tc>
        <w:tc>
          <w:tcPr>
            <w:tcW w:w="1512" w:type="dxa"/>
            <w:tcBorders>
              <w:top w:val="nil"/>
              <w:left w:val="nil"/>
              <w:bottom w:val="nil"/>
              <w:right w:val="nil"/>
            </w:tcBorders>
          </w:tcPr>
          <w:p w14:paraId="368325FC"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2.4</w:t>
            </w:r>
          </w:p>
        </w:tc>
        <w:tc>
          <w:tcPr>
            <w:tcW w:w="1512" w:type="dxa"/>
            <w:tcBorders>
              <w:top w:val="nil"/>
              <w:left w:val="nil"/>
              <w:bottom w:val="nil"/>
              <w:right w:val="nil"/>
            </w:tcBorders>
          </w:tcPr>
          <w:p w14:paraId="605513DB"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2.4</w:t>
            </w:r>
          </w:p>
        </w:tc>
        <w:tc>
          <w:tcPr>
            <w:tcW w:w="1513" w:type="dxa"/>
            <w:tcBorders>
              <w:top w:val="nil"/>
              <w:left w:val="nil"/>
              <w:bottom w:val="nil"/>
              <w:right w:val="nil"/>
            </w:tcBorders>
          </w:tcPr>
          <w:p w14:paraId="3AE79432"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3.6</w:t>
            </w:r>
          </w:p>
        </w:tc>
      </w:tr>
      <w:tr w:rsidR="00CF0E09" w:rsidRPr="00CF0E09" w14:paraId="745337E9" w14:textId="77777777" w:rsidTr="00377598">
        <w:trPr>
          <w:trHeight w:val="247"/>
          <w:jc w:val="center"/>
        </w:trPr>
        <w:tc>
          <w:tcPr>
            <w:tcW w:w="1298" w:type="dxa"/>
            <w:tcBorders>
              <w:top w:val="nil"/>
              <w:left w:val="nil"/>
              <w:bottom w:val="nil"/>
              <w:right w:val="nil"/>
            </w:tcBorders>
          </w:tcPr>
          <w:p w14:paraId="1B6FBA57"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2021</w:t>
            </w:r>
          </w:p>
        </w:tc>
        <w:tc>
          <w:tcPr>
            <w:tcW w:w="1512" w:type="dxa"/>
            <w:tcBorders>
              <w:top w:val="nil"/>
              <w:left w:val="nil"/>
              <w:bottom w:val="nil"/>
              <w:right w:val="nil"/>
            </w:tcBorders>
          </w:tcPr>
          <w:p w14:paraId="284C4C76"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2.9</w:t>
            </w:r>
          </w:p>
        </w:tc>
        <w:tc>
          <w:tcPr>
            <w:tcW w:w="1512" w:type="dxa"/>
            <w:tcBorders>
              <w:top w:val="nil"/>
              <w:left w:val="nil"/>
              <w:bottom w:val="nil"/>
              <w:right w:val="nil"/>
            </w:tcBorders>
          </w:tcPr>
          <w:p w14:paraId="121E0ED5"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2.8</w:t>
            </w:r>
          </w:p>
        </w:tc>
        <w:tc>
          <w:tcPr>
            <w:tcW w:w="1513" w:type="dxa"/>
            <w:tcBorders>
              <w:top w:val="nil"/>
              <w:left w:val="nil"/>
              <w:bottom w:val="nil"/>
              <w:right w:val="nil"/>
            </w:tcBorders>
          </w:tcPr>
          <w:p w14:paraId="262BAB31"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5.3</w:t>
            </w:r>
          </w:p>
        </w:tc>
      </w:tr>
      <w:tr w:rsidR="00CF0E09" w:rsidRPr="00CF0E09" w14:paraId="5D5BCDB5" w14:textId="77777777" w:rsidTr="00377598">
        <w:trPr>
          <w:trHeight w:val="247"/>
          <w:jc w:val="center"/>
        </w:trPr>
        <w:tc>
          <w:tcPr>
            <w:tcW w:w="1298" w:type="dxa"/>
            <w:tcBorders>
              <w:top w:val="nil"/>
              <w:left w:val="nil"/>
              <w:bottom w:val="nil"/>
              <w:right w:val="nil"/>
            </w:tcBorders>
          </w:tcPr>
          <w:p w14:paraId="3794DFEE"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2020</w:t>
            </w:r>
          </w:p>
        </w:tc>
        <w:tc>
          <w:tcPr>
            <w:tcW w:w="1512" w:type="dxa"/>
            <w:tcBorders>
              <w:top w:val="nil"/>
              <w:left w:val="nil"/>
              <w:bottom w:val="nil"/>
              <w:right w:val="nil"/>
            </w:tcBorders>
          </w:tcPr>
          <w:p w14:paraId="655F71B8"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5.3</w:t>
            </w:r>
          </w:p>
        </w:tc>
        <w:tc>
          <w:tcPr>
            <w:tcW w:w="1512" w:type="dxa"/>
            <w:tcBorders>
              <w:top w:val="nil"/>
              <w:left w:val="nil"/>
              <w:bottom w:val="nil"/>
              <w:right w:val="nil"/>
            </w:tcBorders>
          </w:tcPr>
          <w:p w14:paraId="199A8BE5"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4.8</w:t>
            </w:r>
          </w:p>
        </w:tc>
        <w:tc>
          <w:tcPr>
            <w:tcW w:w="1513" w:type="dxa"/>
            <w:tcBorders>
              <w:top w:val="nil"/>
              <w:left w:val="nil"/>
              <w:bottom w:val="nil"/>
              <w:right w:val="nil"/>
            </w:tcBorders>
          </w:tcPr>
          <w:p w14:paraId="58F580D2"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8.1</w:t>
            </w:r>
          </w:p>
        </w:tc>
      </w:tr>
      <w:tr w:rsidR="00CF0E09" w:rsidRPr="00CF0E09" w14:paraId="3D8D2DF2" w14:textId="77777777" w:rsidTr="00377598">
        <w:trPr>
          <w:trHeight w:val="247"/>
          <w:jc w:val="center"/>
        </w:trPr>
        <w:tc>
          <w:tcPr>
            <w:tcW w:w="1298" w:type="dxa"/>
            <w:tcBorders>
              <w:top w:val="nil"/>
              <w:left w:val="nil"/>
              <w:bottom w:val="nil"/>
              <w:right w:val="nil"/>
            </w:tcBorders>
          </w:tcPr>
          <w:p w14:paraId="25EF754B"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2019</w:t>
            </w:r>
          </w:p>
        </w:tc>
        <w:tc>
          <w:tcPr>
            <w:tcW w:w="1512" w:type="dxa"/>
            <w:tcBorders>
              <w:top w:val="nil"/>
              <w:left w:val="nil"/>
              <w:bottom w:val="nil"/>
              <w:right w:val="nil"/>
            </w:tcBorders>
          </w:tcPr>
          <w:p w14:paraId="6E737E3B"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2.5</w:t>
            </w:r>
          </w:p>
        </w:tc>
        <w:tc>
          <w:tcPr>
            <w:tcW w:w="1512" w:type="dxa"/>
            <w:tcBorders>
              <w:top w:val="nil"/>
              <w:left w:val="nil"/>
              <w:bottom w:val="nil"/>
              <w:right w:val="nil"/>
            </w:tcBorders>
          </w:tcPr>
          <w:p w14:paraId="5FBEA248"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2.5</w:t>
            </w:r>
          </w:p>
        </w:tc>
        <w:tc>
          <w:tcPr>
            <w:tcW w:w="1513" w:type="dxa"/>
            <w:tcBorders>
              <w:top w:val="nil"/>
              <w:left w:val="nil"/>
              <w:bottom w:val="nil"/>
              <w:right w:val="nil"/>
            </w:tcBorders>
          </w:tcPr>
          <w:p w14:paraId="2F647FF2"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3.7</w:t>
            </w:r>
          </w:p>
        </w:tc>
      </w:tr>
      <w:tr w:rsidR="00CF0E09" w:rsidRPr="00CF0E09" w14:paraId="7925DDF1" w14:textId="77777777" w:rsidTr="00377598">
        <w:trPr>
          <w:trHeight w:val="247"/>
          <w:jc w:val="center"/>
        </w:trPr>
        <w:tc>
          <w:tcPr>
            <w:tcW w:w="1298" w:type="dxa"/>
            <w:tcBorders>
              <w:top w:val="nil"/>
              <w:left w:val="nil"/>
              <w:bottom w:val="nil"/>
              <w:right w:val="nil"/>
            </w:tcBorders>
          </w:tcPr>
          <w:p w14:paraId="6C287E3E"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2018</w:t>
            </w:r>
          </w:p>
        </w:tc>
        <w:tc>
          <w:tcPr>
            <w:tcW w:w="1512" w:type="dxa"/>
            <w:tcBorders>
              <w:top w:val="nil"/>
              <w:left w:val="nil"/>
              <w:bottom w:val="nil"/>
              <w:right w:val="nil"/>
            </w:tcBorders>
          </w:tcPr>
          <w:p w14:paraId="68800EDA"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2.9</w:t>
            </w:r>
          </w:p>
        </w:tc>
        <w:tc>
          <w:tcPr>
            <w:tcW w:w="1512" w:type="dxa"/>
            <w:tcBorders>
              <w:top w:val="nil"/>
              <w:left w:val="nil"/>
              <w:bottom w:val="nil"/>
              <w:right w:val="nil"/>
            </w:tcBorders>
          </w:tcPr>
          <w:p w14:paraId="13C6A4A1"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2.9</w:t>
            </w:r>
          </w:p>
        </w:tc>
        <w:tc>
          <w:tcPr>
            <w:tcW w:w="1513" w:type="dxa"/>
            <w:tcBorders>
              <w:top w:val="nil"/>
              <w:left w:val="nil"/>
              <w:bottom w:val="nil"/>
              <w:right w:val="nil"/>
            </w:tcBorders>
          </w:tcPr>
          <w:p w14:paraId="46A66963"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3.9</w:t>
            </w:r>
          </w:p>
        </w:tc>
      </w:tr>
      <w:tr w:rsidR="00CF0E09" w:rsidRPr="00CF0E09" w14:paraId="4069224D" w14:textId="77777777" w:rsidTr="00377598">
        <w:trPr>
          <w:trHeight w:val="247"/>
          <w:jc w:val="center"/>
        </w:trPr>
        <w:tc>
          <w:tcPr>
            <w:tcW w:w="1298" w:type="dxa"/>
            <w:tcBorders>
              <w:top w:val="nil"/>
              <w:left w:val="nil"/>
              <w:bottom w:val="nil"/>
              <w:right w:val="nil"/>
            </w:tcBorders>
          </w:tcPr>
          <w:p w14:paraId="3CC064BB"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2017</w:t>
            </w:r>
          </w:p>
        </w:tc>
        <w:tc>
          <w:tcPr>
            <w:tcW w:w="1512" w:type="dxa"/>
            <w:tcBorders>
              <w:top w:val="nil"/>
              <w:left w:val="nil"/>
              <w:bottom w:val="nil"/>
              <w:right w:val="nil"/>
            </w:tcBorders>
          </w:tcPr>
          <w:p w14:paraId="3BE52F47"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3.0</w:t>
            </w:r>
          </w:p>
        </w:tc>
        <w:tc>
          <w:tcPr>
            <w:tcW w:w="1512" w:type="dxa"/>
            <w:tcBorders>
              <w:top w:val="nil"/>
              <w:left w:val="nil"/>
              <w:bottom w:val="nil"/>
              <w:right w:val="nil"/>
            </w:tcBorders>
          </w:tcPr>
          <w:p w14:paraId="62538C5C"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3.1</w:t>
            </w:r>
          </w:p>
        </w:tc>
        <w:tc>
          <w:tcPr>
            <w:tcW w:w="1513" w:type="dxa"/>
            <w:tcBorders>
              <w:top w:val="nil"/>
              <w:left w:val="nil"/>
              <w:bottom w:val="nil"/>
              <w:right w:val="nil"/>
            </w:tcBorders>
          </w:tcPr>
          <w:p w14:paraId="3A3C8FE5"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4.4</w:t>
            </w:r>
          </w:p>
        </w:tc>
      </w:tr>
      <w:tr w:rsidR="00CF0E09" w:rsidRPr="00CF0E09" w14:paraId="40EF8814" w14:textId="77777777" w:rsidTr="00377598">
        <w:trPr>
          <w:trHeight w:val="247"/>
          <w:jc w:val="center"/>
        </w:trPr>
        <w:tc>
          <w:tcPr>
            <w:tcW w:w="1298" w:type="dxa"/>
            <w:tcBorders>
              <w:top w:val="nil"/>
              <w:left w:val="nil"/>
              <w:bottom w:val="nil"/>
              <w:right w:val="nil"/>
            </w:tcBorders>
          </w:tcPr>
          <w:p w14:paraId="1C55C336"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2016</w:t>
            </w:r>
          </w:p>
        </w:tc>
        <w:tc>
          <w:tcPr>
            <w:tcW w:w="1512" w:type="dxa"/>
            <w:tcBorders>
              <w:top w:val="nil"/>
              <w:left w:val="nil"/>
              <w:bottom w:val="nil"/>
              <w:right w:val="nil"/>
            </w:tcBorders>
          </w:tcPr>
          <w:p w14:paraId="212E9CED"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3.1</w:t>
            </w:r>
          </w:p>
        </w:tc>
        <w:tc>
          <w:tcPr>
            <w:tcW w:w="1512" w:type="dxa"/>
            <w:tcBorders>
              <w:top w:val="nil"/>
              <w:left w:val="nil"/>
              <w:bottom w:val="nil"/>
              <w:right w:val="nil"/>
            </w:tcBorders>
          </w:tcPr>
          <w:p w14:paraId="1446ED51"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3.3</w:t>
            </w:r>
          </w:p>
        </w:tc>
        <w:tc>
          <w:tcPr>
            <w:tcW w:w="1513" w:type="dxa"/>
            <w:tcBorders>
              <w:top w:val="nil"/>
              <w:left w:val="nil"/>
              <w:bottom w:val="nil"/>
              <w:right w:val="nil"/>
            </w:tcBorders>
          </w:tcPr>
          <w:p w14:paraId="000AFF44"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4.9</w:t>
            </w:r>
          </w:p>
        </w:tc>
      </w:tr>
      <w:tr w:rsidR="00CF0E09" w:rsidRPr="00CF0E09" w14:paraId="2EB20A73" w14:textId="77777777" w:rsidTr="00377598">
        <w:trPr>
          <w:trHeight w:val="247"/>
          <w:jc w:val="center"/>
        </w:trPr>
        <w:tc>
          <w:tcPr>
            <w:tcW w:w="1298" w:type="dxa"/>
            <w:tcBorders>
              <w:top w:val="nil"/>
              <w:left w:val="nil"/>
              <w:bottom w:val="nil"/>
              <w:right w:val="nil"/>
            </w:tcBorders>
          </w:tcPr>
          <w:p w14:paraId="40443FD5" w14:textId="77777777" w:rsidR="00CF0E09" w:rsidRPr="00CF0E09" w:rsidRDefault="00CF0E09" w:rsidP="00CF0E09">
            <w:pPr>
              <w:tabs>
                <w:tab w:val="decimal" w:pos="742"/>
              </w:tabs>
              <w:autoSpaceDE w:val="0"/>
              <w:autoSpaceDN w:val="0"/>
              <w:adjustRightInd w:val="0"/>
              <w:rPr>
                <w:rFonts w:eastAsia="Times New Roman" w:cs="Times New Roman"/>
                <w:color w:val="000000"/>
                <w:szCs w:val="20"/>
              </w:rPr>
            </w:pPr>
            <w:r w:rsidRPr="00CF0E09">
              <w:rPr>
                <w:rFonts w:eastAsia="Times New Roman" w:cs="Times New Roman"/>
                <w:color w:val="000000"/>
                <w:szCs w:val="20"/>
              </w:rPr>
              <w:t>2015</w:t>
            </w:r>
          </w:p>
        </w:tc>
        <w:tc>
          <w:tcPr>
            <w:tcW w:w="1512" w:type="dxa"/>
            <w:tcBorders>
              <w:top w:val="nil"/>
              <w:left w:val="nil"/>
              <w:bottom w:val="nil"/>
              <w:right w:val="nil"/>
            </w:tcBorders>
          </w:tcPr>
          <w:p w14:paraId="1551AA52"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3.3</w:t>
            </w:r>
          </w:p>
        </w:tc>
        <w:tc>
          <w:tcPr>
            <w:tcW w:w="1512" w:type="dxa"/>
            <w:tcBorders>
              <w:top w:val="nil"/>
              <w:left w:val="nil"/>
              <w:bottom w:val="nil"/>
              <w:right w:val="nil"/>
            </w:tcBorders>
          </w:tcPr>
          <w:p w14:paraId="78FFBA64"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3.5</w:t>
            </w:r>
          </w:p>
        </w:tc>
        <w:tc>
          <w:tcPr>
            <w:tcW w:w="1513" w:type="dxa"/>
            <w:tcBorders>
              <w:top w:val="nil"/>
              <w:left w:val="nil"/>
              <w:bottom w:val="nil"/>
              <w:right w:val="nil"/>
            </w:tcBorders>
          </w:tcPr>
          <w:p w14:paraId="059E8DC9" w14:textId="77777777" w:rsidR="00CF0E09" w:rsidRPr="00CF0E09" w:rsidRDefault="00CF0E09" w:rsidP="00CF0E09">
            <w:pPr>
              <w:tabs>
                <w:tab w:val="decimal" w:pos="571"/>
              </w:tabs>
              <w:rPr>
                <w:rFonts w:eastAsia="Times New Roman" w:cs="Times New Roman"/>
                <w:szCs w:val="20"/>
              </w:rPr>
            </w:pPr>
            <w:r w:rsidRPr="00CF0E09">
              <w:rPr>
                <w:rFonts w:eastAsia="Times New Roman" w:cs="Times New Roman"/>
              </w:rPr>
              <w:t>5.3</w:t>
            </w:r>
          </w:p>
        </w:tc>
      </w:tr>
    </w:tbl>
    <w:p w14:paraId="7F479A9E" w14:textId="77777777" w:rsidR="00CF0E09" w:rsidRPr="00CF0E09" w:rsidRDefault="00CF0E09" w:rsidP="00CF0E09">
      <w:pPr>
        <w:tabs>
          <w:tab w:val="right" w:pos="2880"/>
        </w:tabs>
        <w:spacing w:after="80"/>
        <w:jc w:val="both"/>
        <w:rPr>
          <w:rFonts w:eastAsia="Times New Roman" w:cs="Times New Roman"/>
          <w:szCs w:val="20"/>
          <w:u w:val="single"/>
        </w:rPr>
      </w:pPr>
      <w:r w:rsidRPr="00CF0E09">
        <w:rPr>
          <w:rFonts w:eastAsia="Times New Roman" w:cs="Times New Roman"/>
          <w:szCs w:val="20"/>
          <w:u w:val="single"/>
        </w:rPr>
        <w:tab/>
      </w:r>
    </w:p>
    <w:p w14:paraId="79038C1E"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(Source:  Utah Department of Workforce Services and the U.S. Department of Labor.) </w:t>
      </w:r>
    </w:p>
    <w:p w14:paraId="18234A52" w14:textId="77777777" w:rsidR="00CF0E09" w:rsidRPr="00CF0E09" w:rsidRDefault="00CF0E09" w:rsidP="00CF0E09">
      <w:pPr>
        <w:jc w:val="both"/>
        <w:rPr>
          <w:rFonts w:eastAsia="Times New Roman" w:cs="Times New Roman"/>
          <w:szCs w:val="20"/>
        </w:rPr>
      </w:pPr>
    </w:p>
    <w:p w14:paraId="1CE6E32A" w14:textId="77777777" w:rsidR="00CF0E09" w:rsidRPr="00CF0E09" w:rsidRDefault="00CF0E09" w:rsidP="00CF0E09">
      <w:pPr>
        <w:jc w:val="both"/>
        <w:rPr>
          <w:rFonts w:eastAsia="Times New Roman" w:cs="Times New Roman"/>
          <w:szCs w:val="20"/>
        </w:rPr>
      </w:pPr>
    </w:p>
    <w:p w14:paraId="60A57EA6" w14:textId="77777777" w:rsidR="00CF0E09" w:rsidRPr="00CF0E09" w:rsidRDefault="00CF0E09" w:rsidP="00CF0E09">
      <w:pPr>
        <w:rPr>
          <w:rFonts w:ascii="Times New Roman Bold" w:eastAsia="Times New Roman" w:hAnsi="Times New Roman Bold" w:cs="Times New Roman"/>
          <w:b/>
          <w:szCs w:val="20"/>
        </w:rPr>
      </w:pPr>
      <w:r w:rsidRPr="00CF0E09">
        <w:rPr>
          <w:rFonts w:ascii="Times New Roman Bold" w:eastAsia="Times New Roman" w:hAnsi="Times New Roman Bold" w:cs="Times New Roman"/>
          <w:b/>
          <w:szCs w:val="20"/>
        </w:rPr>
        <w:br w:type="page"/>
      </w:r>
    </w:p>
    <w:p w14:paraId="47F88F94" w14:textId="77777777" w:rsidR="00CF0E09" w:rsidRPr="00CF0E09" w:rsidRDefault="00CF0E09" w:rsidP="00CF0E09">
      <w:pPr>
        <w:keepNext/>
        <w:spacing w:after="240"/>
        <w:rPr>
          <w:rFonts w:eastAsia="Times New Roman" w:cs="Times New Roman"/>
          <w:b/>
          <w:lang w:eastAsia="zh-CN"/>
        </w:rPr>
      </w:pPr>
      <w:bookmarkStart w:id="308" w:name="_Hlk100306407"/>
      <w:r w:rsidRPr="00CF0E09">
        <w:rPr>
          <w:rFonts w:eastAsia="Times New Roman" w:cs="Times New Roman"/>
          <w:b/>
          <w:lang w:eastAsia="zh-CN"/>
        </w:rPr>
        <w:t>Economic Indicators in the County</w:t>
      </w:r>
    </w:p>
    <w:tbl>
      <w:tblPr>
        <w:tblW w:w="5097" w:type="pct"/>
        <w:tblLook w:val="04A0" w:firstRow="1" w:lastRow="0" w:firstColumn="1" w:lastColumn="0" w:noHBand="0" w:noVBand="1"/>
      </w:tblPr>
      <w:tblGrid>
        <w:gridCol w:w="4144"/>
        <w:gridCol w:w="1081"/>
        <w:gridCol w:w="1081"/>
        <w:gridCol w:w="1080"/>
        <w:gridCol w:w="1078"/>
        <w:gridCol w:w="1078"/>
      </w:tblGrid>
      <w:tr w:rsidR="00CF0E09" w:rsidRPr="00CF0E09" w14:paraId="56FB4199" w14:textId="77777777" w:rsidTr="00377598">
        <w:trPr>
          <w:trHeight w:val="264"/>
        </w:trPr>
        <w:tc>
          <w:tcPr>
            <w:tcW w:w="2171" w:type="pct"/>
            <w:tcBorders>
              <w:top w:val="nil"/>
              <w:left w:val="nil"/>
              <w:bottom w:val="nil"/>
              <w:right w:val="nil"/>
            </w:tcBorders>
            <w:noWrap/>
            <w:vAlign w:val="bottom"/>
            <w:hideMark/>
          </w:tcPr>
          <w:p w14:paraId="25A90279" w14:textId="77777777" w:rsidR="00CF0E09" w:rsidRPr="00CF0E09" w:rsidRDefault="00CF0E09" w:rsidP="00CF0E09">
            <w:pPr>
              <w:jc w:val="both"/>
              <w:rPr>
                <w:rFonts w:eastAsia="Times New Roman" w:cs="Times New Roman"/>
                <w:szCs w:val="20"/>
              </w:rPr>
            </w:pPr>
            <w:bookmarkStart w:id="309" w:name="_Hlk100306363"/>
            <w:bookmarkStart w:id="310" w:name="_Hlk104907643"/>
            <w:bookmarkStart w:id="311" w:name="_Hlk230339893"/>
            <w:r w:rsidRPr="00CF0E09">
              <w:rPr>
                <w:rFonts w:eastAsia="Times New Roman" w:cs="Times New Roman"/>
                <w:szCs w:val="20"/>
              </w:rPr>
              <w:t xml:space="preserve">LABOR FORCE </w:t>
            </w:r>
            <w:r w:rsidRPr="00CF0E09">
              <w:rPr>
                <w:rFonts w:eastAsia="Times New Roman" w:cs="Times New Roman"/>
                <w:szCs w:val="20"/>
                <w:vertAlign w:val="superscript"/>
              </w:rPr>
              <w:t>(1)</w:t>
            </w:r>
          </w:p>
        </w:tc>
        <w:tc>
          <w:tcPr>
            <w:tcW w:w="566" w:type="pct"/>
            <w:tcBorders>
              <w:top w:val="nil"/>
              <w:left w:val="nil"/>
              <w:bottom w:val="nil"/>
              <w:right w:val="nil"/>
            </w:tcBorders>
            <w:vAlign w:val="center"/>
          </w:tcPr>
          <w:p w14:paraId="5FD0B066"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bCs/>
                <w:szCs w:val="20"/>
                <w:u w:val="single"/>
              </w:rPr>
              <w:t>2025</w:t>
            </w:r>
          </w:p>
        </w:tc>
        <w:tc>
          <w:tcPr>
            <w:tcW w:w="566" w:type="pct"/>
            <w:tcBorders>
              <w:top w:val="nil"/>
              <w:left w:val="nil"/>
              <w:bottom w:val="nil"/>
              <w:right w:val="nil"/>
            </w:tcBorders>
            <w:vAlign w:val="center"/>
          </w:tcPr>
          <w:p w14:paraId="640C2E17"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bCs/>
                <w:szCs w:val="20"/>
                <w:u w:val="single"/>
              </w:rPr>
              <w:t>2024</w:t>
            </w:r>
          </w:p>
        </w:tc>
        <w:tc>
          <w:tcPr>
            <w:tcW w:w="566" w:type="pct"/>
            <w:tcBorders>
              <w:top w:val="nil"/>
              <w:left w:val="nil"/>
              <w:bottom w:val="nil"/>
              <w:right w:val="nil"/>
            </w:tcBorders>
            <w:noWrap/>
            <w:vAlign w:val="center"/>
            <w:hideMark/>
          </w:tcPr>
          <w:p w14:paraId="42511DEB"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bCs/>
                <w:szCs w:val="20"/>
                <w:u w:val="single"/>
              </w:rPr>
              <w:t>2023</w:t>
            </w:r>
          </w:p>
        </w:tc>
        <w:tc>
          <w:tcPr>
            <w:tcW w:w="565" w:type="pct"/>
            <w:tcBorders>
              <w:top w:val="nil"/>
              <w:left w:val="nil"/>
              <w:bottom w:val="nil"/>
              <w:right w:val="nil"/>
            </w:tcBorders>
            <w:noWrap/>
            <w:vAlign w:val="center"/>
            <w:hideMark/>
          </w:tcPr>
          <w:p w14:paraId="3CF599FC"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bCs/>
                <w:szCs w:val="20"/>
                <w:u w:val="single"/>
              </w:rPr>
              <w:t>2022</w:t>
            </w:r>
          </w:p>
        </w:tc>
        <w:tc>
          <w:tcPr>
            <w:tcW w:w="565" w:type="pct"/>
            <w:tcBorders>
              <w:top w:val="nil"/>
              <w:left w:val="nil"/>
              <w:bottom w:val="nil"/>
              <w:right w:val="nil"/>
            </w:tcBorders>
            <w:noWrap/>
            <w:vAlign w:val="center"/>
            <w:hideMark/>
          </w:tcPr>
          <w:p w14:paraId="35213BAE"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bCs/>
                <w:szCs w:val="20"/>
                <w:u w:val="single"/>
              </w:rPr>
              <w:t>2021</w:t>
            </w:r>
          </w:p>
        </w:tc>
      </w:tr>
      <w:tr w:rsidR="00CF0E09" w:rsidRPr="00CF0E09" w14:paraId="065BCA1A" w14:textId="77777777" w:rsidTr="00377598">
        <w:trPr>
          <w:trHeight w:val="264"/>
        </w:trPr>
        <w:tc>
          <w:tcPr>
            <w:tcW w:w="2171" w:type="pct"/>
            <w:tcBorders>
              <w:top w:val="nil"/>
              <w:left w:val="nil"/>
              <w:bottom w:val="nil"/>
              <w:right w:val="nil"/>
            </w:tcBorders>
            <w:noWrap/>
            <w:vAlign w:val="bottom"/>
            <w:hideMark/>
          </w:tcPr>
          <w:p w14:paraId="00107E0D"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Labor Force (annual average)</w:t>
            </w:r>
          </w:p>
        </w:tc>
        <w:tc>
          <w:tcPr>
            <w:tcW w:w="566" w:type="pct"/>
            <w:tcBorders>
              <w:top w:val="nil"/>
              <w:left w:val="nil"/>
              <w:bottom w:val="nil"/>
              <w:right w:val="nil"/>
            </w:tcBorders>
            <w:vAlign w:val="bottom"/>
          </w:tcPr>
          <w:p w14:paraId="13C068AE"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n/a</w:t>
            </w:r>
          </w:p>
        </w:tc>
        <w:tc>
          <w:tcPr>
            <w:tcW w:w="566" w:type="pct"/>
            <w:tcBorders>
              <w:top w:val="nil"/>
              <w:left w:val="nil"/>
              <w:bottom w:val="nil"/>
              <w:right w:val="nil"/>
            </w:tcBorders>
            <w:vAlign w:val="bottom"/>
          </w:tcPr>
          <w:p w14:paraId="577C9847" w14:textId="77777777" w:rsidR="00CF0E09" w:rsidRPr="00CF0E09" w:rsidRDefault="00CF0E09" w:rsidP="00CF0E09">
            <w:pPr>
              <w:jc w:val="center"/>
              <w:rPr>
                <w:rFonts w:eastAsia="Times New Roman" w:cs="Times New Roman"/>
                <w:szCs w:val="20"/>
              </w:rPr>
            </w:pPr>
            <w:r w:rsidRPr="00CF0E09">
              <w:rPr>
                <w:rFonts w:eastAsia="Times New Roman" w:cs="Times New Roman"/>
              </w:rPr>
              <w:t>693,444</w:t>
            </w:r>
          </w:p>
        </w:tc>
        <w:tc>
          <w:tcPr>
            <w:tcW w:w="566" w:type="pct"/>
            <w:tcBorders>
              <w:top w:val="nil"/>
              <w:left w:val="nil"/>
              <w:bottom w:val="nil"/>
              <w:right w:val="nil"/>
            </w:tcBorders>
            <w:noWrap/>
          </w:tcPr>
          <w:p w14:paraId="61EAC4B6" w14:textId="77777777" w:rsidR="00CF0E09" w:rsidRPr="00CF0E09" w:rsidRDefault="00CF0E09" w:rsidP="00CF0E09">
            <w:pPr>
              <w:jc w:val="center"/>
              <w:rPr>
                <w:rFonts w:eastAsia="Times New Roman" w:cs="Times New Roman"/>
                <w:szCs w:val="20"/>
              </w:rPr>
            </w:pPr>
            <w:r w:rsidRPr="00CF0E09">
              <w:rPr>
                <w:rFonts w:eastAsia="Times New Roman" w:cs="Times New Roman"/>
              </w:rPr>
              <w:t>681,550</w:t>
            </w:r>
          </w:p>
        </w:tc>
        <w:tc>
          <w:tcPr>
            <w:tcW w:w="565" w:type="pct"/>
            <w:tcBorders>
              <w:top w:val="nil"/>
              <w:left w:val="nil"/>
              <w:bottom w:val="nil"/>
              <w:right w:val="nil"/>
            </w:tcBorders>
            <w:noWrap/>
          </w:tcPr>
          <w:p w14:paraId="0689577B" w14:textId="77777777" w:rsidR="00CF0E09" w:rsidRPr="00CF0E09" w:rsidRDefault="00CF0E09" w:rsidP="00CF0E09">
            <w:pPr>
              <w:jc w:val="center"/>
              <w:rPr>
                <w:rFonts w:eastAsia="Times New Roman" w:cs="Times New Roman"/>
                <w:szCs w:val="20"/>
              </w:rPr>
            </w:pPr>
            <w:r w:rsidRPr="00CF0E09">
              <w:rPr>
                <w:rFonts w:eastAsia="Times New Roman" w:cs="Times New Roman"/>
              </w:rPr>
              <w:t>664,322</w:t>
            </w:r>
          </w:p>
        </w:tc>
        <w:tc>
          <w:tcPr>
            <w:tcW w:w="565" w:type="pct"/>
            <w:tcBorders>
              <w:top w:val="nil"/>
              <w:left w:val="nil"/>
              <w:bottom w:val="nil"/>
              <w:right w:val="nil"/>
            </w:tcBorders>
          </w:tcPr>
          <w:p w14:paraId="5DEDC999" w14:textId="77777777" w:rsidR="00CF0E09" w:rsidRPr="00CF0E09" w:rsidRDefault="00CF0E09" w:rsidP="00CF0E09">
            <w:pPr>
              <w:jc w:val="center"/>
              <w:rPr>
                <w:rFonts w:eastAsia="Times New Roman" w:cs="Times New Roman"/>
                <w:szCs w:val="20"/>
              </w:rPr>
            </w:pPr>
            <w:r w:rsidRPr="00CF0E09">
              <w:rPr>
                <w:rFonts w:eastAsia="Times New Roman" w:cs="Times New Roman"/>
              </w:rPr>
              <w:t>645,193</w:t>
            </w:r>
          </w:p>
        </w:tc>
      </w:tr>
      <w:tr w:rsidR="00CF0E09" w:rsidRPr="00CF0E09" w14:paraId="1EA755A7" w14:textId="77777777" w:rsidTr="00377598">
        <w:trPr>
          <w:trHeight w:val="264"/>
        </w:trPr>
        <w:tc>
          <w:tcPr>
            <w:tcW w:w="2171" w:type="pct"/>
            <w:tcBorders>
              <w:top w:val="nil"/>
              <w:left w:val="nil"/>
              <w:bottom w:val="nil"/>
              <w:right w:val="nil"/>
            </w:tcBorders>
            <w:noWrap/>
            <w:vAlign w:val="bottom"/>
            <w:hideMark/>
          </w:tcPr>
          <w:p w14:paraId="0A6500EB"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Employed (annual average)</w:t>
            </w:r>
          </w:p>
        </w:tc>
        <w:tc>
          <w:tcPr>
            <w:tcW w:w="566" w:type="pct"/>
            <w:tcBorders>
              <w:top w:val="nil"/>
              <w:left w:val="nil"/>
              <w:bottom w:val="nil"/>
              <w:right w:val="nil"/>
            </w:tcBorders>
            <w:vAlign w:val="bottom"/>
          </w:tcPr>
          <w:p w14:paraId="5FE0F70F"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n/a</w:t>
            </w:r>
          </w:p>
        </w:tc>
        <w:tc>
          <w:tcPr>
            <w:tcW w:w="566" w:type="pct"/>
            <w:tcBorders>
              <w:top w:val="nil"/>
              <w:left w:val="nil"/>
              <w:bottom w:val="nil"/>
              <w:right w:val="nil"/>
            </w:tcBorders>
            <w:vAlign w:val="bottom"/>
          </w:tcPr>
          <w:p w14:paraId="5472E36C" w14:textId="77777777" w:rsidR="00CF0E09" w:rsidRPr="00CF0E09" w:rsidRDefault="00CF0E09" w:rsidP="00CF0E09">
            <w:pPr>
              <w:jc w:val="center"/>
              <w:rPr>
                <w:rFonts w:eastAsia="Times New Roman" w:cs="Times New Roman"/>
                <w:szCs w:val="20"/>
              </w:rPr>
            </w:pPr>
            <w:r w:rsidRPr="00CF0E09">
              <w:rPr>
                <w:rFonts w:eastAsia="Times New Roman" w:cs="Times New Roman"/>
              </w:rPr>
              <w:t>671,267</w:t>
            </w:r>
          </w:p>
        </w:tc>
        <w:tc>
          <w:tcPr>
            <w:tcW w:w="566" w:type="pct"/>
            <w:tcBorders>
              <w:top w:val="nil"/>
              <w:left w:val="nil"/>
              <w:bottom w:val="nil"/>
              <w:right w:val="nil"/>
            </w:tcBorders>
            <w:noWrap/>
          </w:tcPr>
          <w:p w14:paraId="568B926E" w14:textId="77777777" w:rsidR="00CF0E09" w:rsidRPr="00CF0E09" w:rsidRDefault="00CF0E09" w:rsidP="00CF0E09">
            <w:pPr>
              <w:jc w:val="center"/>
              <w:rPr>
                <w:rFonts w:eastAsia="Times New Roman" w:cs="Times New Roman"/>
                <w:szCs w:val="20"/>
              </w:rPr>
            </w:pPr>
            <w:r w:rsidRPr="00CF0E09">
              <w:rPr>
                <w:rFonts w:eastAsia="Times New Roman" w:cs="Times New Roman"/>
              </w:rPr>
              <w:t>663,016</w:t>
            </w:r>
          </w:p>
        </w:tc>
        <w:tc>
          <w:tcPr>
            <w:tcW w:w="565" w:type="pct"/>
            <w:tcBorders>
              <w:top w:val="nil"/>
              <w:left w:val="nil"/>
              <w:bottom w:val="nil"/>
              <w:right w:val="nil"/>
            </w:tcBorders>
            <w:noWrap/>
          </w:tcPr>
          <w:p w14:paraId="437D6AE4" w14:textId="77777777" w:rsidR="00CF0E09" w:rsidRPr="00CF0E09" w:rsidRDefault="00CF0E09" w:rsidP="00CF0E09">
            <w:pPr>
              <w:jc w:val="center"/>
              <w:rPr>
                <w:rFonts w:eastAsia="Times New Roman" w:cs="Times New Roman"/>
                <w:szCs w:val="20"/>
              </w:rPr>
            </w:pPr>
            <w:r w:rsidRPr="00CF0E09">
              <w:rPr>
                <w:rFonts w:eastAsia="Times New Roman" w:cs="Times New Roman"/>
              </w:rPr>
              <w:t>648,471</w:t>
            </w:r>
          </w:p>
        </w:tc>
        <w:tc>
          <w:tcPr>
            <w:tcW w:w="565" w:type="pct"/>
            <w:tcBorders>
              <w:top w:val="nil"/>
              <w:left w:val="nil"/>
              <w:bottom w:val="nil"/>
              <w:right w:val="nil"/>
            </w:tcBorders>
          </w:tcPr>
          <w:p w14:paraId="3D7A7A01" w14:textId="77777777" w:rsidR="00CF0E09" w:rsidRPr="00CF0E09" w:rsidRDefault="00CF0E09" w:rsidP="00CF0E09">
            <w:pPr>
              <w:jc w:val="center"/>
              <w:rPr>
                <w:rFonts w:eastAsia="Times New Roman" w:cs="Times New Roman"/>
                <w:szCs w:val="20"/>
              </w:rPr>
            </w:pPr>
            <w:r w:rsidRPr="00CF0E09">
              <w:rPr>
                <w:rFonts w:eastAsia="Times New Roman" w:cs="Times New Roman"/>
              </w:rPr>
              <w:t>626,701</w:t>
            </w:r>
          </w:p>
        </w:tc>
      </w:tr>
      <w:tr w:rsidR="00CF0E09" w:rsidRPr="00CF0E09" w14:paraId="591F7406" w14:textId="77777777" w:rsidTr="00377598">
        <w:trPr>
          <w:trHeight w:val="264"/>
        </w:trPr>
        <w:tc>
          <w:tcPr>
            <w:tcW w:w="2171" w:type="pct"/>
            <w:tcBorders>
              <w:top w:val="nil"/>
              <w:left w:val="nil"/>
              <w:bottom w:val="nil"/>
              <w:right w:val="nil"/>
            </w:tcBorders>
            <w:noWrap/>
            <w:vAlign w:val="bottom"/>
            <w:hideMark/>
          </w:tcPr>
          <w:p w14:paraId="148DA09E"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Unemployed (annual average)</w:t>
            </w:r>
          </w:p>
        </w:tc>
        <w:tc>
          <w:tcPr>
            <w:tcW w:w="566" w:type="pct"/>
            <w:tcBorders>
              <w:top w:val="nil"/>
              <w:left w:val="nil"/>
              <w:bottom w:val="nil"/>
              <w:right w:val="nil"/>
            </w:tcBorders>
            <w:vAlign w:val="bottom"/>
          </w:tcPr>
          <w:p w14:paraId="185782AD"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n/a</w:t>
            </w:r>
          </w:p>
        </w:tc>
        <w:tc>
          <w:tcPr>
            <w:tcW w:w="566" w:type="pct"/>
            <w:tcBorders>
              <w:top w:val="nil"/>
              <w:left w:val="nil"/>
              <w:bottom w:val="nil"/>
              <w:right w:val="nil"/>
            </w:tcBorders>
            <w:vAlign w:val="bottom"/>
          </w:tcPr>
          <w:p w14:paraId="703CDFF1" w14:textId="77777777" w:rsidR="00CF0E09" w:rsidRPr="00CF0E09" w:rsidRDefault="00CF0E09" w:rsidP="00CF0E09">
            <w:pPr>
              <w:jc w:val="center"/>
              <w:rPr>
                <w:rFonts w:eastAsia="Times New Roman" w:cs="Times New Roman"/>
                <w:szCs w:val="20"/>
              </w:rPr>
            </w:pPr>
            <w:r w:rsidRPr="00CF0E09">
              <w:rPr>
                <w:rFonts w:eastAsia="Times New Roman" w:cs="Times New Roman"/>
              </w:rPr>
              <w:t>21,177</w:t>
            </w:r>
          </w:p>
        </w:tc>
        <w:tc>
          <w:tcPr>
            <w:tcW w:w="566" w:type="pct"/>
            <w:tcBorders>
              <w:top w:val="nil"/>
              <w:left w:val="nil"/>
              <w:bottom w:val="nil"/>
              <w:right w:val="nil"/>
            </w:tcBorders>
            <w:noWrap/>
          </w:tcPr>
          <w:p w14:paraId="6A680A1F" w14:textId="77777777" w:rsidR="00CF0E09" w:rsidRPr="00CF0E09" w:rsidRDefault="00CF0E09" w:rsidP="00CF0E09">
            <w:pPr>
              <w:jc w:val="center"/>
              <w:rPr>
                <w:rFonts w:eastAsia="Times New Roman" w:cs="Times New Roman"/>
                <w:szCs w:val="20"/>
              </w:rPr>
            </w:pPr>
            <w:r w:rsidRPr="00CF0E09">
              <w:rPr>
                <w:rFonts w:eastAsia="Times New Roman" w:cs="Times New Roman"/>
              </w:rPr>
              <w:t>18,534</w:t>
            </w:r>
          </w:p>
        </w:tc>
        <w:tc>
          <w:tcPr>
            <w:tcW w:w="565" w:type="pct"/>
            <w:tcBorders>
              <w:top w:val="nil"/>
              <w:left w:val="nil"/>
              <w:bottom w:val="nil"/>
              <w:right w:val="nil"/>
            </w:tcBorders>
            <w:noWrap/>
          </w:tcPr>
          <w:p w14:paraId="345944EB" w14:textId="77777777" w:rsidR="00CF0E09" w:rsidRPr="00CF0E09" w:rsidRDefault="00CF0E09" w:rsidP="00CF0E09">
            <w:pPr>
              <w:jc w:val="center"/>
              <w:rPr>
                <w:rFonts w:eastAsia="Times New Roman" w:cs="Times New Roman"/>
                <w:szCs w:val="20"/>
              </w:rPr>
            </w:pPr>
            <w:r w:rsidRPr="00CF0E09">
              <w:rPr>
                <w:rFonts w:eastAsia="Times New Roman" w:cs="Times New Roman"/>
              </w:rPr>
              <w:t>15,851</w:t>
            </w:r>
          </w:p>
        </w:tc>
        <w:tc>
          <w:tcPr>
            <w:tcW w:w="565" w:type="pct"/>
            <w:tcBorders>
              <w:top w:val="nil"/>
              <w:left w:val="nil"/>
              <w:bottom w:val="nil"/>
              <w:right w:val="nil"/>
            </w:tcBorders>
          </w:tcPr>
          <w:p w14:paraId="5FB5B64C" w14:textId="77777777" w:rsidR="00CF0E09" w:rsidRPr="00CF0E09" w:rsidRDefault="00CF0E09" w:rsidP="00CF0E09">
            <w:pPr>
              <w:jc w:val="center"/>
              <w:rPr>
                <w:rFonts w:eastAsia="Times New Roman" w:cs="Times New Roman"/>
                <w:szCs w:val="20"/>
              </w:rPr>
            </w:pPr>
            <w:r w:rsidRPr="00CF0E09">
              <w:rPr>
                <w:rFonts w:eastAsia="Times New Roman" w:cs="Times New Roman"/>
              </w:rPr>
              <w:t>18,492</w:t>
            </w:r>
          </w:p>
        </w:tc>
      </w:tr>
      <w:tr w:rsidR="00CF0E09" w:rsidRPr="00CF0E09" w14:paraId="2756795C" w14:textId="77777777" w:rsidTr="00377598">
        <w:trPr>
          <w:trHeight w:val="264"/>
        </w:trPr>
        <w:tc>
          <w:tcPr>
            <w:tcW w:w="2171" w:type="pct"/>
            <w:tcBorders>
              <w:top w:val="nil"/>
              <w:left w:val="nil"/>
              <w:bottom w:val="nil"/>
              <w:right w:val="nil"/>
            </w:tcBorders>
            <w:noWrap/>
            <w:vAlign w:val="bottom"/>
            <w:hideMark/>
          </w:tcPr>
          <w:p w14:paraId="26B2F208"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Average Employment (Non-Farm Jobs)</w:t>
            </w:r>
          </w:p>
        </w:tc>
        <w:tc>
          <w:tcPr>
            <w:tcW w:w="566" w:type="pct"/>
            <w:tcBorders>
              <w:top w:val="nil"/>
              <w:left w:val="nil"/>
              <w:bottom w:val="nil"/>
              <w:right w:val="nil"/>
            </w:tcBorders>
            <w:vAlign w:val="bottom"/>
          </w:tcPr>
          <w:p w14:paraId="39FBED4E"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820,278</w:t>
            </w:r>
          </w:p>
        </w:tc>
        <w:tc>
          <w:tcPr>
            <w:tcW w:w="566" w:type="pct"/>
            <w:tcBorders>
              <w:top w:val="nil"/>
              <w:left w:val="nil"/>
              <w:bottom w:val="nil"/>
              <w:right w:val="nil"/>
            </w:tcBorders>
            <w:vAlign w:val="bottom"/>
          </w:tcPr>
          <w:p w14:paraId="10CB9F5B" w14:textId="77777777" w:rsidR="00CF0E09" w:rsidRPr="00CF0E09" w:rsidRDefault="00CF0E09" w:rsidP="00CF0E09">
            <w:pPr>
              <w:jc w:val="center"/>
              <w:rPr>
                <w:rFonts w:eastAsia="Times New Roman" w:cs="Times New Roman"/>
                <w:szCs w:val="20"/>
              </w:rPr>
            </w:pPr>
            <w:r w:rsidRPr="00CF0E09">
              <w:rPr>
                <w:rFonts w:eastAsia="Times New Roman" w:cs="Times New Roman"/>
              </w:rPr>
              <w:t>808,015</w:t>
            </w:r>
          </w:p>
        </w:tc>
        <w:tc>
          <w:tcPr>
            <w:tcW w:w="566" w:type="pct"/>
            <w:tcBorders>
              <w:top w:val="nil"/>
              <w:left w:val="nil"/>
              <w:bottom w:val="nil"/>
              <w:right w:val="nil"/>
            </w:tcBorders>
            <w:noWrap/>
          </w:tcPr>
          <w:p w14:paraId="6EAD2D9D" w14:textId="77777777" w:rsidR="00CF0E09" w:rsidRPr="00CF0E09" w:rsidRDefault="00CF0E09" w:rsidP="00CF0E09">
            <w:pPr>
              <w:jc w:val="center"/>
              <w:rPr>
                <w:rFonts w:eastAsia="Times New Roman" w:cs="Times New Roman"/>
                <w:szCs w:val="20"/>
              </w:rPr>
            </w:pPr>
            <w:r w:rsidRPr="00CF0E09">
              <w:rPr>
                <w:rFonts w:eastAsia="Times New Roman" w:cs="Times New Roman"/>
              </w:rPr>
              <w:t>800,225</w:t>
            </w:r>
          </w:p>
        </w:tc>
        <w:tc>
          <w:tcPr>
            <w:tcW w:w="565" w:type="pct"/>
            <w:tcBorders>
              <w:top w:val="nil"/>
              <w:left w:val="nil"/>
              <w:bottom w:val="nil"/>
              <w:right w:val="nil"/>
            </w:tcBorders>
            <w:noWrap/>
          </w:tcPr>
          <w:p w14:paraId="04BBCBC9" w14:textId="77777777" w:rsidR="00CF0E09" w:rsidRPr="00CF0E09" w:rsidRDefault="00CF0E09" w:rsidP="00CF0E09">
            <w:pPr>
              <w:jc w:val="center"/>
              <w:rPr>
                <w:rFonts w:eastAsia="Times New Roman" w:cs="Times New Roman"/>
                <w:szCs w:val="20"/>
              </w:rPr>
            </w:pPr>
            <w:r w:rsidRPr="00CF0E09">
              <w:rPr>
                <w:rFonts w:eastAsia="Times New Roman" w:cs="Times New Roman"/>
              </w:rPr>
              <w:t>783,881</w:t>
            </w:r>
          </w:p>
        </w:tc>
        <w:tc>
          <w:tcPr>
            <w:tcW w:w="565" w:type="pct"/>
            <w:tcBorders>
              <w:top w:val="nil"/>
              <w:left w:val="nil"/>
              <w:bottom w:val="nil"/>
              <w:right w:val="nil"/>
            </w:tcBorders>
          </w:tcPr>
          <w:p w14:paraId="3385994A" w14:textId="77777777" w:rsidR="00CF0E09" w:rsidRPr="00CF0E09" w:rsidRDefault="00CF0E09" w:rsidP="00CF0E09">
            <w:pPr>
              <w:jc w:val="center"/>
              <w:rPr>
                <w:rFonts w:eastAsia="Times New Roman" w:cs="Times New Roman"/>
                <w:szCs w:val="20"/>
              </w:rPr>
            </w:pPr>
            <w:r w:rsidRPr="00CF0E09">
              <w:rPr>
                <w:rFonts w:eastAsia="Times New Roman" w:cs="Times New Roman"/>
              </w:rPr>
              <w:t>750,123</w:t>
            </w:r>
          </w:p>
        </w:tc>
      </w:tr>
      <w:tr w:rsidR="00CF0E09" w:rsidRPr="00CF0E09" w14:paraId="403F9C0D" w14:textId="77777777" w:rsidTr="00377598">
        <w:trPr>
          <w:trHeight w:val="264"/>
        </w:trPr>
        <w:tc>
          <w:tcPr>
            <w:tcW w:w="2171" w:type="pct"/>
            <w:tcBorders>
              <w:top w:val="nil"/>
              <w:left w:val="nil"/>
              <w:bottom w:val="nil"/>
              <w:right w:val="nil"/>
            </w:tcBorders>
            <w:noWrap/>
            <w:vAlign w:val="bottom"/>
            <w:hideMark/>
          </w:tcPr>
          <w:p w14:paraId="3B7A9138"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   % Change Prior Year</w:t>
            </w:r>
          </w:p>
        </w:tc>
        <w:tc>
          <w:tcPr>
            <w:tcW w:w="566" w:type="pct"/>
            <w:tcBorders>
              <w:top w:val="nil"/>
              <w:left w:val="nil"/>
              <w:bottom w:val="nil"/>
              <w:right w:val="nil"/>
            </w:tcBorders>
            <w:vAlign w:val="bottom"/>
          </w:tcPr>
          <w:p w14:paraId="6821E02B" w14:textId="77777777" w:rsidR="00CF0E09" w:rsidRPr="00CF0E09" w:rsidRDefault="00CF0E09" w:rsidP="00CF0E09">
            <w:pPr>
              <w:jc w:val="center"/>
              <w:rPr>
                <w:rFonts w:eastAsia="Times New Roman" w:cs="Times New Roman"/>
                <w:i/>
                <w:iCs/>
                <w:szCs w:val="20"/>
              </w:rPr>
            </w:pPr>
            <w:r w:rsidRPr="00CF0E09">
              <w:rPr>
                <w:rFonts w:eastAsia="Times New Roman" w:cs="Times New Roman"/>
                <w:i/>
                <w:iCs/>
                <w:szCs w:val="20"/>
              </w:rPr>
              <w:t>1.52</w:t>
            </w:r>
          </w:p>
        </w:tc>
        <w:tc>
          <w:tcPr>
            <w:tcW w:w="566" w:type="pct"/>
            <w:tcBorders>
              <w:top w:val="nil"/>
              <w:left w:val="nil"/>
              <w:bottom w:val="nil"/>
              <w:right w:val="nil"/>
            </w:tcBorders>
            <w:vAlign w:val="bottom"/>
          </w:tcPr>
          <w:p w14:paraId="76A1AEC1" w14:textId="77777777" w:rsidR="00CF0E09" w:rsidRPr="00CF0E09" w:rsidRDefault="00CF0E09" w:rsidP="00CF0E09">
            <w:pPr>
              <w:jc w:val="center"/>
              <w:rPr>
                <w:rFonts w:eastAsia="Times New Roman" w:cs="Times New Roman"/>
                <w:i/>
                <w:szCs w:val="20"/>
              </w:rPr>
            </w:pPr>
            <w:r w:rsidRPr="00CF0E09">
              <w:rPr>
                <w:rFonts w:eastAsia="Times New Roman" w:cs="Times New Roman"/>
                <w:i/>
                <w:iCs/>
                <w:szCs w:val="20"/>
              </w:rPr>
              <w:t>0.98</w:t>
            </w:r>
          </w:p>
        </w:tc>
        <w:tc>
          <w:tcPr>
            <w:tcW w:w="566" w:type="pct"/>
            <w:tcBorders>
              <w:top w:val="nil"/>
              <w:left w:val="nil"/>
              <w:bottom w:val="nil"/>
              <w:right w:val="nil"/>
            </w:tcBorders>
            <w:noWrap/>
            <w:vAlign w:val="bottom"/>
          </w:tcPr>
          <w:p w14:paraId="33BA19DA" w14:textId="77777777" w:rsidR="00CF0E09" w:rsidRPr="00CF0E09" w:rsidRDefault="00CF0E09" w:rsidP="00CF0E09">
            <w:pPr>
              <w:jc w:val="center"/>
              <w:rPr>
                <w:rFonts w:eastAsia="Times New Roman" w:cs="Times New Roman"/>
                <w:i/>
                <w:szCs w:val="20"/>
              </w:rPr>
            </w:pPr>
            <w:r w:rsidRPr="00CF0E09">
              <w:rPr>
                <w:rFonts w:eastAsia="Times New Roman" w:cs="Times New Roman"/>
                <w:i/>
                <w:iCs/>
                <w:szCs w:val="20"/>
              </w:rPr>
              <w:t>2.09</w:t>
            </w:r>
          </w:p>
        </w:tc>
        <w:tc>
          <w:tcPr>
            <w:tcW w:w="565" w:type="pct"/>
            <w:tcBorders>
              <w:top w:val="nil"/>
              <w:left w:val="nil"/>
              <w:bottom w:val="nil"/>
              <w:right w:val="nil"/>
            </w:tcBorders>
            <w:noWrap/>
            <w:vAlign w:val="bottom"/>
          </w:tcPr>
          <w:p w14:paraId="057E7DDD" w14:textId="77777777" w:rsidR="00CF0E09" w:rsidRPr="00CF0E09" w:rsidRDefault="00CF0E09" w:rsidP="00CF0E09">
            <w:pPr>
              <w:jc w:val="center"/>
              <w:rPr>
                <w:rFonts w:eastAsia="Times New Roman" w:cs="Times New Roman"/>
                <w:i/>
                <w:szCs w:val="20"/>
              </w:rPr>
            </w:pPr>
            <w:r w:rsidRPr="00CF0E09">
              <w:rPr>
                <w:rFonts w:eastAsia="Times New Roman" w:cs="Times New Roman"/>
                <w:i/>
                <w:iCs/>
                <w:szCs w:val="20"/>
              </w:rPr>
              <w:t>4.50</w:t>
            </w:r>
          </w:p>
        </w:tc>
        <w:tc>
          <w:tcPr>
            <w:tcW w:w="565" w:type="pct"/>
            <w:tcBorders>
              <w:top w:val="nil"/>
              <w:left w:val="nil"/>
              <w:bottom w:val="nil"/>
              <w:right w:val="nil"/>
            </w:tcBorders>
            <w:noWrap/>
            <w:vAlign w:val="bottom"/>
          </w:tcPr>
          <w:p w14:paraId="60AF4D91" w14:textId="77777777" w:rsidR="00CF0E09" w:rsidRPr="00CF0E09" w:rsidRDefault="00CF0E09" w:rsidP="00CF0E09">
            <w:pPr>
              <w:jc w:val="center"/>
              <w:rPr>
                <w:rFonts w:eastAsia="Times New Roman" w:cs="Times New Roman"/>
                <w:i/>
                <w:szCs w:val="20"/>
              </w:rPr>
            </w:pPr>
            <w:r w:rsidRPr="00CF0E09">
              <w:rPr>
                <w:rFonts w:eastAsia="Times New Roman" w:cs="Times New Roman"/>
                <w:i/>
                <w:iCs/>
                <w:szCs w:val="20"/>
              </w:rPr>
              <w:t>4.08</w:t>
            </w:r>
          </w:p>
        </w:tc>
      </w:tr>
      <w:tr w:rsidR="00CF0E09" w:rsidRPr="00CF0E09" w14:paraId="0A51F077" w14:textId="77777777" w:rsidTr="00377598">
        <w:trPr>
          <w:trHeight w:val="264"/>
        </w:trPr>
        <w:tc>
          <w:tcPr>
            <w:tcW w:w="2171" w:type="pct"/>
            <w:tcBorders>
              <w:top w:val="nil"/>
              <w:left w:val="nil"/>
              <w:bottom w:val="nil"/>
              <w:right w:val="nil"/>
            </w:tcBorders>
            <w:noWrap/>
            <w:vAlign w:val="bottom"/>
            <w:hideMark/>
          </w:tcPr>
          <w:p w14:paraId="63527989" w14:textId="77777777" w:rsidR="00CF0E09" w:rsidRPr="00CF0E09" w:rsidRDefault="00CF0E09" w:rsidP="00CF0E09">
            <w:pPr>
              <w:jc w:val="both"/>
              <w:rPr>
                <w:rFonts w:eastAsia="Times New Roman" w:cs="Times New Roman"/>
                <w:i/>
                <w:iCs/>
                <w:szCs w:val="20"/>
              </w:rPr>
            </w:pPr>
            <w:r w:rsidRPr="00CF0E09">
              <w:rPr>
                <w:rFonts w:eastAsia="Times New Roman" w:cs="Times New Roman"/>
                <w:i/>
                <w:iCs/>
                <w:szCs w:val="20"/>
              </w:rPr>
              <w:t>Average Employment by Sector:</w:t>
            </w:r>
          </w:p>
        </w:tc>
        <w:tc>
          <w:tcPr>
            <w:tcW w:w="566" w:type="pct"/>
            <w:tcBorders>
              <w:top w:val="nil"/>
              <w:left w:val="nil"/>
              <w:bottom w:val="nil"/>
              <w:right w:val="nil"/>
            </w:tcBorders>
            <w:vAlign w:val="bottom"/>
          </w:tcPr>
          <w:p w14:paraId="6E0D5C4D" w14:textId="77777777" w:rsidR="00CF0E09" w:rsidRPr="00CF0E09" w:rsidRDefault="00CF0E09" w:rsidP="00CF0E09">
            <w:pPr>
              <w:jc w:val="center"/>
              <w:rPr>
                <w:rFonts w:eastAsia="Times New Roman" w:cs="Times New Roman"/>
                <w:szCs w:val="20"/>
              </w:rPr>
            </w:pPr>
          </w:p>
        </w:tc>
        <w:tc>
          <w:tcPr>
            <w:tcW w:w="566" w:type="pct"/>
            <w:tcBorders>
              <w:top w:val="nil"/>
              <w:left w:val="nil"/>
              <w:bottom w:val="nil"/>
              <w:right w:val="nil"/>
            </w:tcBorders>
            <w:vAlign w:val="bottom"/>
          </w:tcPr>
          <w:p w14:paraId="119AE685" w14:textId="77777777" w:rsidR="00CF0E09" w:rsidRPr="00CF0E09" w:rsidRDefault="00CF0E09" w:rsidP="00CF0E09">
            <w:pPr>
              <w:jc w:val="center"/>
              <w:rPr>
                <w:rFonts w:eastAsia="Times New Roman" w:cs="Times New Roman"/>
                <w:szCs w:val="20"/>
              </w:rPr>
            </w:pPr>
          </w:p>
        </w:tc>
        <w:tc>
          <w:tcPr>
            <w:tcW w:w="566" w:type="pct"/>
            <w:tcBorders>
              <w:top w:val="nil"/>
              <w:left w:val="nil"/>
              <w:bottom w:val="nil"/>
              <w:right w:val="nil"/>
            </w:tcBorders>
            <w:noWrap/>
            <w:vAlign w:val="bottom"/>
          </w:tcPr>
          <w:p w14:paraId="7E8A2932" w14:textId="77777777" w:rsidR="00CF0E09" w:rsidRPr="00CF0E09" w:rsidRDefault="00CF0E09" w:rsidP="00CF0E09">
            <w:pPr>
              <w:jc w:val="center"/>
              <w:rPr>
                <w:rFonts w:eastAsia="Times New Roman" w:cs="Times New Roman"/>
                <w:szCs w:val="20"/>
              </w:rPr>
            </w:pPr>
          </w:p>
        </w:tc>
        <w:tc>
          <w:tcPr>
            <w:tcW w:w="565" w:type="pct"/>
            <w:tcBorders>
              <w:top w:val="nil"/>
              <w:left w:val="nil"/>
              <w:bottom w:val="nil"/>
              <w:right w:val="nil"/>
            </w:tcBorders>
            <w:noWrap/>
            <w:vAlign w:val="bottom"/>
          </w:tcPr>
          <w:p w14:paraId="155B5BCD" w14:textId="77777777" w:rsidR="00CF0E09" w:rsidRPr="00CF0E09" w:rsidRDefault="00CF0E09" w:rsidP="00CF0E09">
            <w:pPr>
              <w:jc w:val="center"/>
              <w:rPr>
                <w:rFonts w:eastAsia="Times New Roman" w:cs="Times New Roman"/>
                <w:szCs w:val="20"/>
              </w:rPr>
            </w:pPr>
          </w:p>
        </w:tc>
        <w:tc>
          <w:tcPr>
            <w:tcW w:w="565" w:type="pct"/>
            <w:tcBorders>
              <w:top w:val="nil"/>
              <w:left w:val="nil"/>
              <w:bottom w:val="nil"/>
              <w:right w:val="nil"/>
            </w:tcBorders>
            <w:noWrap/>
            <w:vAlign w:val="bottom"/>
          </w:tcPr>
          <w:p w14:paraId="6CDD8C08" w14:textId="77777777" w:rsidR="00CF0E09" w:rsidRPr="00CF0E09" w:rsidRDefault="00CF0E09" w:rsidP="00CF0E09">
            <w:pPr>
              <w:jc w:val="center"/>
              <w:rPr>
                <w:rFonts w:eastAsia="Times New Roman" w:cs="Times New Roman"/>
                <w:szCs w:val="20"/>
              </w:rPr>
            </w:pPr>
          </w:p>
        </w:tc>
      </w:tr>
      <w:tr w:rsidR="00CF0E09" w:rsidRPr="00CF0E09" w14:paraId="1B2C85A7" w14:textId="77777777" w:rsidTr="00377598">
        <w:trPr>
          <w:trHeight w:val="264"/>
        </w:trPr>
        <w:tc>
          <w:tcPr>
            <w:tcW w:w="2171" w:type="pct"/>
            <w:tcBorders>
              <w:top w:val="nil"/>
              <w:left w:val="nil"/>
              <w:bottom w:val="nil"/>
              <w:right w:val="nil"/>
            </w:tcBorders>
            <w:noWrap/>
            <w:vAlign w:val="bottom"/>
            <w:hideMark/>
          </w:tcPr>
          <w:p w14:paraId="0482CBE4"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Agriculture, Forestry, Fishing &amp; Hunting</w:t>
            </w:r>
          </w:p>
        </w:tc>
        <w:tc>
          <w:tcPr>
            <w:tcW w:w="566" w:type="pct"/>
            <w:tcBorders>
              <w:top w:val="nil"/>
              <w:left w:val="nil"/>
              <w:bottom w:val="nil"/>
              <w:right w:val="nil"/>
            </w:tcBorders>
          </w:tcPr>
          <w:p w14:paraId="28D4A852"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562 </w:t>
            </w:r>
          </w:p>
        </w:tc>
        <w:tc>
          <w:tcPr>
            <w:tcW w:w="566" w:type="pct"/>
            <w:tcBorders>
              <w:top w:val="nil"/>
              <w:left w:val="nil"/>
              <w:bottom w:val="nil"/>
              <w:right w:val="nil"/>
            </w:tcBorders>
          </w:tcPr>
          <w:p w14:paraId="014A1800"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572 </w:t>
            </w:r>
          </w:p>
        </w:tc>
        <w:tc>
          <w:tcPr>
            <w:tcW w:w="566" w:type="pct"/>
            <w:tcBorders>
              <w:top w:val="nil"/>
              <w:left w:val="nil"/>
              <w:bottom w:val="nil"/>
              <w:right w:val="nil"/>
            </w:tcBorders>
            <w:noWrap/>
            <w:vAlign w:val="bottom"/>
          </w:tcPr>
          <w:p w14:paraId="1287730C"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600</w:t>
            </w:r>
          </w:p>
        </w:tc>
        <w:tc>
          <w:tcPr>
            <w:tcW w:w="565" w:type="pct"/>
            <w:tcBorders>
              <w:top w:val="nil"/>
              <w:left w:val="nil"/>
              <w:bottom w:val="nil"/>
              <w:right w:val="nil"/>
            </w:tcBorders>
            <w:noWrap/>
            <w:vAlign w:val="bottom"/>
          </w:tcPr>
          <w:p w14:paraId="71554BEE"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505 </w:t>
            </w:r>
          </w:p>
        </w:tc>
        <w:tc>
          <w:tcPr>
            <w:tcW w:w="565" w:type="pct"/>
            <w:tcBorders>
              <w:top w:val="nil"/>
              <w:left w:val="nil"/>
              <w:bottom w:val="nil"/>
              <w:right w:val="nil"/>
            </w:tcBorders>
            <w:noWrap/>
            <w:vAlign w:val="bottom"/>
          </w:tcPr>
          <w:p w14:paraId="704ED41E"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433 </w:t>
            </w:r>
          </w:p>
        </w:tc>
      </w:tr>
      <w:tr w:rsidR="00CF0E09" w:rsidRPr="00CF0E09" w14:paraId="3007F6F5" w14:textId="77777777" w:rsidTr="00377598">
        <w:trPr>
          <w:trHeight w:val="264"/>
        </w:trPr>
        <w:tc>
          <w:tcPr>
            <w:tcW w:w="2171" w:type="pct"/>
            <w:tcBorders>
              <w:top w:val="nil"/>
              <w:left w:val="nil"/>
              <w:bottom w:val="nil"/>
              <w:right w:val="nil"/>
            </w:tcBorders>
            <w:noWrap/>
            <w:vAlign w:val="bottom"/>
            <w:hideMark/>
          </w:tcPr>
          <w:p w14:paraId="161009CC"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Mining</w:t>
            </w:r>
          </w:p>
        </w:tc>
        <w:tc>
          <w:tcPr>
            <w:tcW w:w="566" w:type="pct"/>
            <w:tcBorders>
              <w:top w:val="nil"/>
              <w:left w:val="nil"/>
              <w:bottom w:val="nil"/>
              <w:right w:val="nil"/>
            </w:tcBorders>
          </w:tcPr>
          <w:p w14:paraId="00549E72"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3,252 </w:t>
            </w:r>
          </w:p>
        </w:tc>
        <w:tc>
          <w:tcPr>
            <w:tcW w:w="566" w:type="pct"/>
            <w:tcBorders>
              <w:top w:val="nil"/>
              <w:left w:val="nil"/>
              <w:bottom w:val="nil"/>
              <w:right w:val="nil"/>
            </w:tcBorders>
          </w:tcPr>
          <w:p w14:paraId="494F2BE4"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3,476 </w:t>
            </w:r>
          </w:p>
        </w:tc>
        <w:tc>
          <w:tcPr>
            <w:tcW w:w="566" w:type="pct"/>
            <w:tcBorders>
              <w:top w:val="nil"/>
              <w:left w:val="nil"/>
              <w:bottom w:val="nil"/>
              <w:right w:val="nil"/>
            </w:tcBorders>
            <w:noWrap/>
            <w:vAlign w:val="bottom"/>
          </w:tcPr>
          <w:p w14:paraId="7D53B7AC"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3,419</w:t>
            </w:r>
          </w:p>
        </w:tc>
        <w:tc>
          <w:tcPr>
            <w:tcW w:w="565" w:type="pct"/>
            <w:tcBorders>
              <w:top w:val="nil"/>
              <w:left w:val="nil"/>
              <w:bottom w:val="nil"/>
              <w:right w:val="nil"/>
            </w:tcBorders>
            <w:noWrap/>
            <w:vAlign w:val="bottom"/>
          </w:tcPr>
          <w:p w14:paraId="0FBA34A7"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3,101 </w:t>
            </w:r>
          </w:p>
        </w:tc>
        <w:tc>
          <w:tcPr>
            <w:tcW w:w="565" w:type="pct"/>
            <w:tcBorders>
              <w:top w:val="nil"/>
              <w:left w:val="nil"/>
              <w:bottom w:val="nil"/>
              <w:right w:val="nil"/>
            </w:tcBorders>
            <w:vAlign w:val="bottom"/>
          </w:tcPr>
          <w:p w14:paraId="7582A52F"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2,711 </w:t>
            </w:r>
          </w:p>
        </w:tc>
      </w:tr>
      <w:tr w:rsidR="00CF0E09" w:rsidRPr="00CF0E09" w14:paraId="75E522E4" w14:textId="77777777" w:rsidTr="00377598">
        <w:trPr>
          <w:trHeight w:val="264"/>
        </w:trPr>
        <w:tc>
          <w:tcPr>
            <w:tcW w:w="2171" w:type="pct"/>
            <w:tcBorders>
              <w:top w:val="nil"/>
              <w:left w:val="nil"/>
              <w:bottom w:val="nil"/>
              <w:right w:val="nil"/>
            </w:tcBorders>
            <w:noWrap/>
            <w:vAlign w:val="bottom"/>
            <w:hideMark/>
          </w:tcPr>
          <w:p w14:paraId="3C99EAA6"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Utilities</w:t>
            </w:r>
          </w:p>
        </w:tc>
        <w:tc>
          <w:tcPr>
            <w:tcW w:w="566" w:type="pct"/>
            <w:tcBorders>
              <w:top w:val="nil"/>
              <w:left w:val="nil"/>
              <w:bottom w:val="nil"/>
              <w:right w:val="nil"/>
            </w:tcBorders>
          </w:tcPr>
          <w:p w14:paraId="77CBAD61"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2,918 </w:t>
            </w:r>
          </w:p>
        </w:tc>
        <w:tc>
          <w:tcPr>
            <w:tcW w:w="566" w:type="pct"/>
            <w:tcBorders>
              <w:top w:val="nil"/>
              <w:left w:val="nil"/>
              <w:bottom w:val="nil"/>
              <w:right w:val="nil"/>
            </w:tcBorders>
          </w:tcPr>
          <w:p w14:paraId="5BC76297"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2,755 </w:t>
            </w:r>
          </w:p>
        </w:tc>
        <w:tc>
          <w:tcPr>
            <w:tcW w:w="566" w:type="pct"/>
            <w:tcBorders>
              <w:top w:val="nil"/>
              <w:left w:val="nil"/>
              <w:bottom w:val="nil"/>
              <w:right w:val="nil"/>
            </w:tcBorders>
            <w:noWrap/>
            <w:vAlign w:val="bottom"/>
          </w:tcPr>
          <w:p w14:paraId="0B1E1A8B"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2,674</w:t>
            </w:r>
          </w:p>
        </w:tc>
        <w:tc>
          <w:tcPr>
            <w:tcW w:w="565" w:type="pct"/>
            <w:tcBorders>
              <w:top w:val="nil"/>
              <w:left w:val="nil"/>
              <w:bottom w:val="nil"/>
              <w:right w:val="nil"/>
            </w:tcBorders>
            <w:noWrap/>
            <w:vAlign w:val="bottom"/>
          </w:tcPr>
          <w:p w14:paraId="1CECF840"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2,621 </w:t>
            </w:r>
          </w:p>
        </w:tc>
        <w:tc>
          <w:tcPr>
            <w:tcW w:w="565" w:type="pct"/>
            <w:tcBorders>
              <w:top w:val="nil"/>
              <w:left w:val="nil"/>
              <w:bottom w:val="nil"/>
              <w:right w:val="nil"/>
            </w:tcBorders>
            <w:vAlign w:val="bottom"/>
          </w:tcPr>
          <w:p w14:paraId="49FC7A1A"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2,540 </w:t>
            </w:r>
          </w:p>
        </w:tc>
      </w:tr>
      <w:tr w:rsidR="00CF0E09" w:rsidRPr="00CF0E09" w14:paraId="41FAF6C0" w14:textId="77777777" w:rsidTr="00377598">
        <w:trPr>
          <w:trHeight w:val="264"/>
        </w:trPr>
        <w:tc>
          <w:tcPr>
            <w:tcW w:w="2171" w:type="pct"/>
            <w:tcBorders>
              <w:top w:val="nil"/>
              <w:left w:val="nil"/>
              <w:bottom w:val="nil"/>
              <w:right w:val="nil"/>
            </w:tcBorders>
            <w:noWrap/>
            <w:vAlign w:val="bottom"/>
            <w:hideMark/>
          </w:tcPr>
          <w:p w14:paraId="727870CC"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Construction</w:t>
            </w:r>
          </w:p>
        </w:tc>
        <w:tc>
          <w:tcPr>
            <w:tcW w:w="566" w:type="pct"/>
            <w:tcBorders>
              <w:top w:val="nil"/>
              <w:left w:val="nil"/>
              <w:bottom w:val="nil"/>
              <w:right w:val="nil"/>
            </w:tcBorders>
          </w:tcPr>
          <w:p w14:paraId="118C3893"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56,396 </w:t>
            </w:r>
          </w:p>
        </w:tc>
        <w:tc>
          <w:tcPr>
            <w:tcW w:w="566" w:type="pct"/>
            <w:tcBorders>
              <w:top w:val="nil"/>
              <w:left w:val="nil"/>
              <w:bottom w:val="nil"/>
              <w:right w:val="nil"/>
            </w:tcBorders>
          </w:tcPr>
          <w:p w14:paraId="4B63199F"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55,073 </w:t>
            </w:r>
          </w:p>
        </w:tc>
        <w:tc>
          <w:tcPr>
            <w:tcW w:w="566" w:type="pct"/>
            <w:tcBorders>
              <w:top w:val="nil"/>
              <w:left w:val="nil"/>
              <w:bottom w:val="nil"/>
              <w:right w:val="nil"/>
            </w:tcBorders>
            <w:noWrap/>
            <w:vAlign w:val="bottom"/>
          </w:tcPr>
          <w:p w14:paraId="33DAC7C6"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54,136</w:t>
            </w:r>
          </w:p>
        </w:tc>
        <w:tc>
          <w:tcPr>
            <w:tcW w:w="565" w:type="pct"/>
            <w:tcBorders>
              <w:top w:val="nil"/>
              <w:left w:val="nil"/>
              <w:bottom w:val="nil"/>
              <w:right w:val="nil"/>
            </w:tcBorders>
            <w:noWrap/>
            <w:vAlign w:val="bottom"/>
          </w:tcPr>
          <w:p w14:paraId="6B2EB6B1"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52,254 </w:t>
            </w:r>
          </w:p>
        </w:tc>
        <w:tc>
          <w:tcPr>
            <w:tcW w:w="565" w:type="pct"/>
            <w:tcBorders>
              <w:top w:val="nil"/>
              <w:left w:val="nil"/>
              <w:bottom w:val="nil"/>
              <w:right w:val="nil"/>
            </w:tcBorders>
            <w:vAlign w:val="bottom"/>
          </w:tcPr>
          <w:p w14:paraId="7A23943E"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49,403 </w:t>
            </w:r>
          </w:p>
        </w:tc>
      </w:tr>
      <w:tr w:rsidR="00CF0E09" w:rsidRPr="00CF0E09" w14:paraId="0B90616E" w14:textId="77777777" w:rsidTr="00377598">
        <w:trPr>
          <w:trHeight w:val="264"/>
        </w:trPr>
        <w:tc>
          <w:tcPr>
            <w:tcW w:w="2171" w:type="pct"/>
            <w:tcBorders>
              <w:top w:val="nil"/>
              <w:left w:val="nil"/>
              <w:bottom w:val="nil"/>
              <w:right w:val="nil"/>
            </w:tcBorders>
            <w:noWrap/>
            <w:vAlign w:val="bottom"/>
            <w:hideMark/>
          </w:tcPr>
          <w:p w14:paraId="53D8F0B3"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Manufacturing</w:t>
            </w:r>
          </w:p>
        </w:tc>
        <w:tc>
          <w:tcPr>
            <w:tcW w:w="566" w:type="pct"/>
            <w:tcBorders>
              <w:top w:val="nil"/>
              <w:left w:val="nil"/>
              <w:bottom w:val="nil"/>
              <w:right w:val="nil"/>
            </w:tcBorders>
          </w:tcPr>
          <w:p w14:paraId="4496F1C5"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62,657 </w:t>
            </w:r>
          </w:p>
        </w:tc>
        <w:tc>
          <w:tcPr>
            <w:tcW w:w="566" w:type="pct"/>
            <w:tcBorders>
              <w:top w:val="nil"/>
              <w:left w:val="nil"/>
              <w:bottom w:val="nil"/>
              <w:right w:val="nil"/>
            </w:tcBorders>
          </w:tcPr>
          <w:p w14:paraId="6DC5FE3C"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60,989 </w:t>
            </w:r>
          </w:p>
        </w:tc>
        <w:tc>
          <w:tcPr>
            <w:tcW w:w="566" w:type="pct"/>
            <w:tcBorders>
              <w:top w:val="nil"/>
              <w:left w:val="nil"/>
              <w:bottom w:val="nil"/>
              <w:right w:val="nil"/>
            </w:tcBorders>
            <w:noWrap/>
            <w:vAlign w:val="bottom"/>
          </w:tcPr>
          <w:p w14:paraId="5FB744AC"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61,937</w:t>
            </w:r>
          </w:p>
        </w:tc>
        <w:tc>
          <w:tcPr>
            <w:tcW w:w="565" w:type="pct"/>
            <w:tcBorders>
              <w:top w:val="nil"/>
              <w:left w:val="nil"/>
              <w:bottom w:val="nil"/>
              <w:right w:val="nil"/>
            </w:tcBorders>
            <w:noWrap/>
            <w:vAlign w:val="bottom"/>
          </w:tcPr>
          <w:p w14:paraId="14D26483"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61,233 </w:t>
            </w:r>
          </w:p>
        </w:tc>
        <w:tc>
          <w:tcPr>
            <w:tcW w:w="565" w:type="pct"/>
            <w:tcBorders>
              <w:top w:val="nil"/>
              <w:left w:val="nil"/>
              <w:bottom w:val="nil"/>
              <w:right w:val="nil"/>
            </w:tcBorders>
            <w:vAlign w:val="bottom"/>
          </w:tcPr>
          <w:p w14:paraId="6666A9E3"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58,412 </w:t>
            </w:r>
          </w:p>
        </w:tc>
      </w:tr>
      <w:tr w:rsidR="00CF0E09" w:rsidRPr="00CF0E09" w14:paraId="55284FE4" w14:textId="77777777" w:rsidTr="00377598">
        <w:trPr>
          <w:trHeight w:val="264"/>
        </w:trPr>
        <w:tc>
          <w:tcPr>
            <w:tcW w:w="2171" w:type="pct"/>
            <w:tcBorders>
              <w:top w:val="nil"/>
              <w:left w:val="nil"/>
              <w:bottom w:val="nil"/>
              <w:right w:val="nil"/>
            </w:tcBorders>
            <w:noWrap/>
            <w:vAlign w:val="bottom"/>
            <w:hideMark/>
          </w:tcPr>
          <w:p w14:paraId="3CF66505"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Wholesale Trade</w:t>
            </w:r>
          </w:p>
        </w:tc>
        <w:tc>
          <w:tcPr>
            <w:tcW w:w="566" w:type="pct"/>
            <w:tcBorders>
              <w:top w:val="nil"/>
              <w:left w:val="nil"/>
              <w:bottom w:val="nil"/>
              <w:right w:val="nil"/>
            </w:tcBorders>
          </w:tcPr>
          <w:p w14:paraId="538E4329"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39,434 </w:t>
            </w:r>
          </w:p>
        </w:tc>
        <w:tc>
          <w:tcPr>
            <w:tcW w:w="566" w:type="pct"/>
            <w:tcBorders>
              <w:top w:val="nil"/>
              <w:left w:val="nil"/>
              <w:bottom w:val="nil"/>
              <w:right w:val="nil"/>
            </w:tcBorders>
          </w:tcPr>
          <w:p w14:paraId="13B36DA4"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40,100 </w:t>
            </w:r>
          </w:p>
        </w:tc>
        <w:tc>
          <w:tcPr>
            <w:tcW w:w="566" w:type="pct"/>
            <w:tcBorders>
              <w:top w:val="nil"/>
              <w:left w:val="nil"/>
              <w:bottom w:val="nil"/>
              <w:right w:val="nil"/>
            </w:tcBorders>
            <w:noWrap/>
            <w:vAlign w:val="bottom"/>
          </w:tcPr>
          <w:p w14:paraId="6581D5B6"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38,399</w:t>
            </w:r>
          </w:p>
        </w:tc>
        <w:tc>
          <w:tcPr>
            <w:tcW w:w="565" w:type="pct"/>
            <w:tcBorders>
              <w:top w:val="nil"/>
              <w:left w:val="nil"/>
              <w:bottom w:val="nil"/>
              <w:right w:val="nil"/>
            </w:tcBorders>
            <w:noWrap/>
            <w:vAlign w:val="bottom"/>
          </w:tcPr>
          <w:p w14:paraId="40F09C9B"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36,899 </w:t>
            </w:r>
          </w:p>
        </w:tc>
        <w:tc>
          <w:tcPr>
            <w:tcW w:w="565" w:type="pct"/>
            <w:tcBorders>
              <w:top w:val="nil"/>
              <w:left w:val="nil"/>
              <w:bottom w:val="nil"/>
              <w:right w:val="nil"/>
            </w:tcBorders>
            <w:vAlign w:val="bottom"/>
          </w:tcPr>
          <w:p w14:paraId="69B4B8F4"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34,826 </w:t>
            </w:r>
          </w:p>
        </w:tc>
      </w:tr>
      <w:tr w:rsidR="00CF0E09" w:rsidRPr="00CF0E09" w14:paraId="2F377FBC" w14:textId="77777777" w:rsidTr="00377598">
        <w:trPr>
          <w:trHeight w:val="264"/>
        </w:trPr>
        <w:tc>
          <w:tcPr>
            <w:tcW w:w="2171" w:type="pct"/>
            <w:tcBorders>
              <w:top w:val="nil"/>
              <w:left w:val="nil"/>
              <w:bottom w:val="nil"/>
              <w:right w:val="nil"/>
            </w:tcBorders>
            <w:noWrap/>
            <w:vAlign w:val="bottom"/>
            <w:hideMark/>
          </w:tcPr>
          <w:p w14:paraId="068DC336"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Retail Trade</w:t>
            </w:r>
          </w:p>
        </w:tc>
        <w:tc>
          <w:tcPr>
            <w:tcW w:w="566" w:type="pct"/>
            <w:tcBorders>
              <w:top w:val="nil"/>
              <w:left w:val="nil"/>
              <w:bottom w:val="nil"/>
              <w:right w:val="nil"/>
            </w:tcBorders>
          </w:tcPr>
          <w:p w14:paraId="078698E1"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71,110 </w:t>
            </w:r>
          </w:p>
        </w:tc>
        <w:tc>
          <w:tcPr>
            <w:tcW w:w="566" w:type="pct"/>
            <w:tcBorders>
              <w:top w:val="nil"/>
              <w:left w:val="nil"/>
              <w:bottom w:val="nil"/>
              <w:right w:val="nil"/>
            </w:tcBorders>
          </w:tcPr>
          <w:p w14:paraId="51A3B44C"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73,066 </w:t>
            </w:r>
          </w:p>
        </w:tc>
        <w:tc>
          <w:tcPr>
            <w:tcW w:w="566" w:type="pct"/>
            <w:tcBorders>
              <w:top w:val="nil"/>
              <w:left w:val="nil"/>
              <w:bottom w:val="nil"/>
              <w:right w:val="nil"/>
            </w:tcBorders>
            <w:noWrap/>
            <w:vAlign w:val="bottom"/>
          </w:tcPr>
          <w:p w14:paraId="1048A92B"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73,842</w:t>
            </w:r>
          </w:p>
        </w:tc>
        <w:tc>
          <w:tcPr>
            <w:tcW w:w="565" w:type="pct"/>
            <w:tcBorders>
              <w:top w:val="nil"/>
              <w:left w:val="nil"/>
              <w:bottom w:val="nil"/>
              <w:right w:val="nil"/>
            </w:tcBorders>
            <w:noWrap/>
            <w:vAlign w:val="bottom"/>
          </w:tcPr>
          <w:p w14:paraId="4E8E9D21"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75,693 </w:t>
            </w:r>
          </w:p>
        </w:tc>
        <w:tc>
          <w:tcPr>
            <w:tcW w:w="565" w:type="pct"/>
            <w:tcBorders>
              <w:top w:val="nil"/>
              <w:left w:val="nil"/>
              <w:bottom w:val="nil"/>
              <w:right w:val="nil"/>
            </w:tcBorders>
            <w:vAlign w:val="bottom"/>
          </w:tcPr>
          <w:p w14:paraId="502ED1E8"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75,837 </w:t>
            </w:r>
          </w:p>
        </w:tc>
      </w:tr>
      <w:tr w:rsidR="00CF0E09" w:rsidRPr="00CF0E09" w14:paraId="594232E0" w14:textId="77777777" w:rsidTr="00377598">
        <w:trPr>
          <w:trHeight w:val="264"/>
        </w:trPr>
        <w:tc>
          <w:tcPr>
            <w:tcW w:w="2171" w:type="pct"/>
            <w:tcBorders>
              <w:top w:val="nil"/>
              <w:left w:val="nil"/>
              <w:bottom w:val="nil"/>
              <w:right w:val="nil"/>
            </w:tcBorders>
            <w:noWrap/>
            <w:vAlign w:val="bottom"/>
            <w:hideMark/>
          </w:tcPr>
          <w:p w14:paraId="7F2C0996"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Transportation and Warehousing</w:t>
            </w:r>
          </w:p>
        </w:tc>
        <w:tc>
          <w:tcPr>
            <w:tcW w:w="566" w:type="pct"/>
            <w:tcBorders>
              <w:top w:val="nil"/>
              <w:left w:val="nil"/>
              <w:bottom w:val="nil"/>
              <w:right w:val="nil"/>
            </w:tcBorders>
          </w:tcPr>
          <w:p w14:paraId="5778CBD5"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51,115 </w:t>
            </w:r>
          </w:p>
        </w:tc>
        <w:tc>
          <w:tcPr>
            <w:tcW w:w="566" w:type="pct"/>
            <w:tcBorders>
              <w:top w:val="nil"/>
              <w:left w:val="nil"/>
              <w:bottom w:val="nil"/>
              <w:right w:val="nil"/>
            </w:tcBorders>
          </w:tcPr>
          <w:p w14:paraId="50308C76"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50,974 </w:t>
            </w:r>
          </w:p>
        </w:tc>
        <w:tc>
          <w:tcPr>
            <w:tcW w:w="566" w:type="pct"/>
            <w:tcBorders>
              <w:top w:val="nil"/>
              <w:left w:val="nil"/>
              <w:bottom w:val="nil"/>
              <w:right w:val="nil"/>
            </w:tcBorders>
            <w:noWrap/>
            <w:vAlign w:val="bottom"/>
          </w:tcPr>
          <w:p w14:paraId="71895BC9"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50,935</w:t>
            </w:r>
          </w:p>
        </w:tc>
        <w:tc>
          <w:tcPr>
            <w:tcW w:w="565" w:type="pct"/>
            <w:tcBorders>
              <w:top w:val="nil"/>
              <w:left w:val="nil"/>
              <w:bottom w:val="nil"/>
              <w:right w:val="nil"/>
            </w:tcBorders>
            <w:noWrap/>
            <w:vAlign w:val="bottom"/>
          </w:tcPr>
          <w:p w14:paraId="3D9334D1"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48,540 </w:t>
            </w:r>
          </w:p>
        </w:tc>
        <w:tc>
          <w:tcPr>
            <w:tcW w:w="565" w:type="pct"/>
            <w:tcBorders>
              <w:top w:val="nil"/>
              <w:left w:val="nil"/>
              <w:bottom w:val="nil"/>
              <w:right w:val="nil"/>
            </w:tcBorders>
            <w:vAlign w:val="bottom"/>
          </w:tcPr>
          <w:p w14:paraId="535E0713"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46,635 </w:t>
            </w:r>
          </w:p>
        </w:tc>
      </w:tr>
      <w:tr w:rsidR="00CF0E09" w:rsidRPr="00CF0E09" w14:paraId="668BEE24" w14:textId="77777777" w:rsidTr="00377598">
        <w:trPr>
          <w:trHeight w:val="264"/>
        </w:trPr>
        <w:tc>
          <w:tcPr>
            <w:tcW w:w="2171" w:type="pct"/>
            <w:tcBorders>
              <w:top w:val="nil"/>
              <w:left w:val="nil"/>
              <w:bottom w:val="nil"/>
              <w:right w:val="nil"/>
            </w:tcBorders>
            <w:noWrap/>
            <w:vAlign w:val="bottom"/>
            <w:hideMark/>
          </w:tcPr>
          <w:p w14:paraId="5BA6A672"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Information</w:t>
            </w:r>
          </w:p>
        </w:tc>
        <w:tc>
          <w:tcPr>
            <w:tcW w:w="566" w:type="pct"/>
            <w:tcBorders>
              <w:top w:val="nil"/>
              <w:left w:val="nil"/>
              <w:bottom w:val="nil"/>
              <w:right w:val="nil"/>
            </w:tcBorders>
          </w:tcPr>
          <w:p w14:paraId="234C52E9"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24,010 </w:t>
            </w:r>
          </w:p>
        </w:tc>
        <w:tc>
          <w:tcPr>
            <w:tcW w:w="566" w:type="pct"/>
            <w:tcBorders>
              <w:top w:val="nil"/>
              <w:left w:val="nil"/>
              <w:bottom w:val="nil"/>
              <w:right w:val="nil"/>
            </w:tcBorders>
          </w:tcPr>
          <w:p w14:paraId="421572E9"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23,459 </w:t>
            </w:r>
          </w:p>
        </w:tc>
        <w:tc>
          <w:tcPr>
            <w:tcW w:w="566" w:type="pct"/>
            <w:tcBorders>
              <w:top w:val="nil"/>
              <w:left w:val="nil"/>
              <w:bottom w:val="nil"/>
              <w:right w:val="nil"/>
            </w:tcBorders>
            <w:noWrap/>
            <w:vAlign w:val="bottom"/>
          </w:tcPr>
          <w:p w14:paraId="4BE62C4F"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24,260</w:t>
            </w:r>
          </w:p>
        </w:tc>
        <w:tc>
          <w:tcPr>
            <w:tcW w:w="565" w:type="pct"/>
            <w:tcBorders>
              <w:top w:val="nil"/>
              <w:left w:val="nil"/>
              <w:bottom w:val="nil"/>
              <w:right w:val="nil"/>
            </w:tcBorders>
            <w:noWrap/>
            <w:vAlign w:val="bottom"/>
          </w:tcPr>
          <w:p w14:paraId="583EC078"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24,535 </w:t>
            </w:r>
          </w:p>
        </w:tc>
        <w:tc>
          <w:tcPr>
            <w:tcW w:w="565" w:type="pct"/>
            <w:tcBorders>
              <w:top w:val="nil"/>
              <w:left w:val="nil"/>
              <w:bottom w:val="nil"/>
              <w:right w:val="nil"/>
            </w:tcBorders>
            <w:vAlign w:val="bottom"/>
          </w:tcPr>
          <w:p w14:paraId="7A6A9967"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21,586 </w:t>
            </w:r>
          </w:p>
        </w:tc>
      </w:tr>
      <w:tr w:rsidR="00CF0E09" w:rsidRPr="00CF0E09" w14:paraId="440FBAAC" w14:textId="77777777" w:rsidTr="00377598">
        <w:trPr>
          <w:trHeight w:val="264"/>
        </w:trPr>
        <w:tc>
          <w:tcPr>
            <w:tcW w:w="2171" w:type="pct"/>
            <w:tcBorders>
              <w:top w:val="nil"/>
              <w:left w:val="nil"/>
              <w:bottom w:val="nil"/>
              <w:right w:val="nil"/>
            </w:tcBorders>
            <w:noWrap/>
            <w:vAlign w:val="bottom"/>
            <w:hideMark/>
          </w:tcPr>
          <w:p w14:paraId="213BC04F"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Finance and Insurance</w:t>
            </w:r>
          </w:p>
        </w:tc>
        <w:tc>
          <w:tcPr>
            <w:tcW w:w="566" w:type="pct"/>
            <w:tcBorders>
              <w:top w:val="nil"/>
              <w:left w:val="nil"/>
              <w:bottom w:val="nil"/>
              <w:right w:val="nil"/>
            </w:tcBorders>
          </w:tcPr>
          <w:p w14:paraId="0C4D5964"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52,216 </w:t>
            </w:r>
          </w:p>
        </w:tc>
        <w:tc>
          <w:tcPr>
            <w:tcW w:w="566" w:type="pct"/>
            <w:tcBorders>
              <w:top w:val="nil"/>
              <w:left w:val="nil"/>
              <w:bottom w:val="nil"/>
              <w:right w:val="nil"/>
            </w:tcBorders>
          </w:tcPr>
          <w:p w14:paraId="0E6AF7C5"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51,877 </w:t>
            </w:r>
          </w:p>
        </w:tc>
        <w:tc>
          <w:tcPr>
            <w:tcW w:w="566" w:type="pct"/>
            <w:tcBorders>
              <w:top w:val="nil"/>
              <w:left w:val="nil"/>
              <w:bottom w:val="nil"/>
              <w:right w:val="nil"/>
            </w:tcBorders>
            <w:noWrap/>
            <w:vAlign w:val="bottom"/>
          </w:tcPr>
          <w:p w14:paraId="38AFFB03"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51,142</w:t>
            </w:r>
          </w:p>
        </w:tc>
        <w:tc>
          <w:tcPr>
            <w:tcW w:w="565" w:type="pct"/>
            <w:tcBorders>
              <w:top w:val="nil"/>
              <w:left w:val="nil"/>
              <w:bottom w:val="nil"/>
              <w:right w:val="nil"/>
            </w:tcBorders>
            <w:noWrap/>
            <w:vAlign w:val="bottom"/>
          </w:tcPr>
          <w:p w14:paraId="523D6FA4"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51,666 </w:t>
            </w:r>
          </w:p>
        </w:tc>
        <w:tc>
          <w:tcPr>
            <w:tcW w:w="565" w:type="pct"/>
            <w:tcBorders>
              <w:top w:val="nil"/>
              <w:left w:val="nil"/>
              <w:bottom w:val="nil"/>
              <w:right w:val="nil"/>
            </w:tcBorders>
            <w:vAlign w:val="bottom"/>
          </w:tcPr>
          <w:p w14:paraId="19F0C058"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51,570 </w:t>
            </w:r>
          </w:p>
        </w:tc>
      </w:tr>
      <w:tr w:rsidR="00CF0E09" w:rsidRPr="00CF0E09" w14:paraId="10EA93D0" w14:textId="77777777" w:rsidTr="00377598">
        <w:trPr>
          <w:trHeight w:val="264"/>
        </w:trPr>
        <w:tc>
          <w:tcPr>
            <w:tcW w:w="2171" w:type="pct"/>
            <w:tcBorders>
              <w:top w:val="nil"/>
              <w:left w:val="nil"/>
              <w:bottom w:val="nil"/>
              <w:right w:val="nil"/>
            </w:tcBorders>
            <w:noWrap/>
            <w:vAlign w:val="bottom"/>
            <w:hideMark/>
          </w:tcPr>
          <w:p w14:paraId="2A7935FF"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Real Estate and Rental and Leasing</w:t>
            </w:r>
          </w:p>
        </w:tc>
        <w:tc>
          <w:tcPr>
            <w:tcW w:w="566" w:type="pct"/>
            <w:tcBorders>
              <w:top w:val="nil"/>
              <w:left w:val="nil"/>
              <w:bottom w:val="nil"/>
              <w:right w:val="nil"/>
            </w:tcBorders>
          </w:tcPr>
          <w:p w14:paraId="0719457E"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13,597 </w:t>
            </w:r>
          </w:p>
        </w:tc>
        <w:tc>
          <w:tcPr>
            <w:tcW w:w="566" w:type="pct"/>
            <w:tcBorders>
              <w:top w:val="nil"/>
              <w:left w:val="nil"/>
              <w:bottom w:val="nil"/>
              <w:right w:val="nil"/>
            </w:tcBorders>
          </w:tcPr>
          <w:p w14:paraId="6F8B9BAF"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12,882 </w:t>
            </w:r>
          </w:p>
        </w:tc>
        <w:tc>
          <w:tcPr>
            <w:tcW w:w="566" w:type="pct"/>
            <w:tcBorders>
              <w:top w:val="nil"/>
              <w:left w:val="nil"/>
              <w:bottom w:val="nil"/>
              <w:right w:val="nil"/>
            </w:tcBorders>
            <w:noWrap/>
            <w:vAlign w:val="bottom"/>
          </w:tcPr>
          <w:p w14:paraId="59E06928"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12,605</w:t>
            </w:r>
          </w:p>
        </w:tc>
        <w:tc>
          <w:tcPr>
            <w:tcW w:w="565" w:type="pct"/>
            <w:tcBorders>
              <w:top w:val="nil"/>
              <w:left w:val="nil"/>
              <w:bottom w:val="nil"/>
              <w:right w:val="nil"/>
            </w:tcBorders>
            <w:noWrap/>
            <w:vAlign w:val="bottom"/>
          </w:tcPr>
          <w:p w14:paraId="112F029E"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12,320 </w:t>
            </w:r>
          </w:p>
        </w:tc>
        <w:tc>
          <w:tcPr>
            <w:tcW w:w="565" w:type="pct"/>
            <w:tcBorders>
              <w:top w:val="nil"/>
              <w:left w:val="nil"/>
              <w:bottom w:val="nil"/>
              <w:right w:val="nil"/>
            </w:tcBorders>
            <w:vAlign w:val="bottom"/>
          </w:tcPr>
          <w:p w14:paraId="53842E21"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11,964 </w:t>
            </w:r>
          </w:p>
        </w:tc>
      </w:tr>
      <w:tr w:rsidR="00CF0E09" w:rsidRPr="00CF0E09" w14:paraId="57EF5D57" w14:textId="77777777" w:rsidTr="00377598">
        <w:trPr>
          <w:trHeight w:val="264"/>
        </w:trPr>
        <w:tc>
          <w:tcPr>
            <w:tcW w:w="2171" w:type="pct"/>
            <w:tcBorders>
              <w:top w:val="nil"/>
              <w:left w:val="nil"/>
              <w:bottom w:val="nil"/>
              <w:right w:val="nil"/>
            </w:tcBorders>
            <w:noWrap/>
            <w:vAlign w:val="bottom"/>
            <w:hideMark/>
          </w:tcPr>
          <w:p w14:paraId="123554A7"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Professional, Scientific &amp; Technical Services</w:t>
            </w:r>
          </w:p>
        </w:tc>
        <w:tc>
          <w:tcPr>
            <w:tcW w:w="566" w:type="pct"/>
            <w:tcBorders>
              <w:top w:val="nil"/>
              <w:left w:val="nil"/>
              <w:bottom w:val="nil"/>
              <w:right w:val="nil"/>
            </w:tcBorders>
          </w:tcPr>
          <w:p w14:paraId="22FD4617"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75,902 </w:t>
            </w:r>
          </w:p>
        </w:tc>
        <w:tc>
          <w:tcPr>
            <w:tcW w:w="566" w:type="pct"/>
            <w:tcBorders>
              <w:top w:val="nil"/>
              <w:left w:val="nil"/>
              <w:bottom w:val="nil"/>
              <w:right w:val="nil"/>
            </w:tcBorders>
          </w:tcPr>
          <w:p w14:paraId="69769567"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76,023 </w:t>
            </w:r>
          </w:p>
        </w:tc>
        <w:tc>
          <w:tcPr>
            <w:tcW w:w="566" w:type="pct"/>
            <w:tcBorders>
              <w:top w:val="nil"/>
              <w:left w:val="nil"/>
              <w:bottom w:val="nil"/>
              <w:right w:val="nil"/>
            </w:tcBorders>
            <w:noWrap/>
            <w:vAlign w:val="bottom"/>
          </w:tcPr>
          <w:p w14:paraId="054E8157"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75,975</w:t>
            </w:r>
          </w:p>
        </w:tc>
        <w:tc>
          <w:tcPr>
            <w:tcW w:w="565" w:type="pct"/>
            <w:tcBorders>
              <w:top w:val="nil"/>
              <w:left w:val="nil"/>
              <w:bottom w:val="nil"/>
              <w:right w:val="nil"/>
            </w:tcBorders>
            <w:noWrap/>
            <w:vAlign w:val="bottom"/>
          </w:tcPr>
          <w:p w14:paraId="2FC48FD1"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73,906 </w:t>
            </w:r>
          </w:p>
        </w:tc>
        <w:tc>
          <w:tcPr>
            <w:tcW w:w="565" w:type="pct"/>
            <w:tcBorders>
              <w:top w:val="nil"/>
              <w:left w:val="nil"/>
              <w:bottom w:val="nil"/>
              <w:right w:val="nil"/>
            </w:tcBorders>
            <w:vAlign w:val="bottom"/>
          </w:tcPr>
          <w:p w14:paraId="22CE1B05"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67,717 </w:t>
            </w:r>
          </w:p>
        </w:tc>
      </w:tr>
      <w:tr w:rsidR="00CF0E09" w:rsidRPr="00CF0E09" w14:paraId="6AECEC00" w14:textId="77777777" w:rsidTr="00377598">
        <w:trPr>
          <w:trHeight w:val="264"/>
        </w:trPr>
        <w:tc>
          <w:tcPr>
            <w:tcW w:w="2171" w:type="pct"/>
            <w:tcBorders>
              <w:top w:val="nil"/>
              <w:left w:val="nil"/>
              <w:bottom w:val="nil"/>
              <w:right w:val="nil"/>
            </w:tcBorders>
            <w:noWrap/>
            <w:vAlign w:val="bottom"/>
            <w:hideMark/>
          </w:tcPr>
          <w:p w14:paraId="14DCBA3C"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Management of Companies and Enterprises</w:t>
            </w:r>
          </w:p>
        </w:tc>
        <w:tc>
          <w:tcPr>
            <w:tcW w:w="566" w:type="pct"/>
            <w:tcBorders>
              <w:top w:val="nil"/>
              <w:left w:val="nil"/>
              <w:bottom w:val="nil"/>
              <w:right w:val="nil"/>
            </w:tcBorders>
          </w:tcPr>
          <w:p w14:paraId="72E14B4A"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17,381 </w:t>
            </w:r>
          </w:p>
        </w:tc>
        <w:tc>
          <w:tcPr>
            <w:tcW w:w="566" w:type="pct"/>
            <w:tcBorders>
              <w:top w:val="nil"/>
              <w:left w:val="nil"/>
              <w:bottom w:val="nil"/>
              <w:right w:val="nil"/>
            </w:tcBorders>
          </w:tcPr>
          <w:p w14:paraId="48123843"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16,898 </w:t>
            </w:r>
          </w:p>
        </w:tc>
        <w:tc>
          <w:tcPr>
            <w:tcW w:w="566" w:type="pct"/>
            <w:tcBorders>
              <w:top w:val="nil"/>
              <w:left w:val="nil"/>
              <w:bottom w:val="nil"/>
              <w:right w:val="nil"/>
            </w:tcBorders>
            <w:noWrap/>
            <w:vAlign w:val="bottom"/>
          </w:tcPr>
          <w:p w14:paraId="7E054F35"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16,780</w:t>
            </w:r>
          </w:p>
        </w:tc>
        <w:tc>
          <w:tcPr>
            <w:tcW w:w="565" w:type="pct"/>
            <w:tcBorders>
              <w:top w:val="nil"/>
              <w:left w:val="nil"/>
              <w:bottom w:val="nil"/>
              <w:right w:val="nil"/>
            </w:tcBorders>
            <w:noWrap/>
            <w:vAlign w:val="bottom"/>
          </w:tcPr>
          <w:p w14:paraId="2CBCA189"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16,336 </w:t>
            </w:r>
          </w:p>
        </w:tc>
        <w:tc>
          <w:tcPr>
            <w:tcW w:w="565" w:type="pct"/>
            <w:tcBorders>
              <w:top w:val="nil"/>
              <w:left w:val="nil"/>
              <w:bottom w:val="nil"/>
              <w:right w:val="nil"/>
            </w:tcBorders>
            <w:vAlign w:val="bottom"/>
          </w:tcPr>
          <w:p w14:paraId="5B8DD338"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16,041 </w:t>
            </w:r>
          </w:p>
        </w:tc>
      </w:tr>
      <w:tr w:rsidR="00CF0E09" w:rsidRPr="00CF0E09" w14:paraId="4F91362B" w14:textId="77777777" w:rsidTr="00377598">
        <w:trPr>
          <w:trHeight w:val="264"/>
        </w:trPr>
        <w:tc>
          <w:tcPr>
            <w:tcW w:w="2171" w:type="pct"/>
            <w:tcBorders>
              <w:top w:val="nil"/>
              <w:left w:val="nil"/>
              <w:bottom w:val="nil"/>
              <w:right w:val="nil"/>
            </w:tcBorders>
            <w:noWrap/>
            <w:vAlign w:val="bottom"/>
            <w:hideMark/>
          </w:tcPr>
          <w:p w14:paraId="1E26A1FB" w14:textId="77777777" w:rsidR="00CF0E09" w:rsidRPr="00CF0E09" w:rsidRDefault="00CF0E09" w:rsidP="00CF0E09">
            <w:pPr>
              <w:rPr>
                <w:rFonts w:eastAsia="Times New Roman" w:cs="Times New Roman"/>
                <w:szCs w:val="20"/>
              </w:rPr>
            </w:pPr>
            <w:r w:rsidRPr="00CF0E09">
              <w:rPr>
                <w:rFonts w:eastAsia="Times New Roman" w:cs="Times New Roman"/>
                <w:szCs w:val="20"/>
              </w:rPr>
              <w:t xml:space="preserve">Administrative, Support, Waste </w:t>
            </w:r>
            <w:r w:rsidRPr="00CF0E09">
              <w:rPr>
                <w:rFonts w:eastAsia="Times New Roman" w:cs="Times New Roman"/>
                <w:szCs w:val="20"/>
              </w:rPr>
              <w:br/>
              <w:t xml:space="preserve">     Management, &amp; Remediation</w:t>
            </w:r>
          </w:p>
        </w:tc>
        <w:tc>
          <w:tcPr>
            <w:tcW w:w="566" w:type="pct"/>
            <w:tcBorders>
              <w:top w:val="nil"/>
              <w:left w:val="nil"/>
              <w:bottom w:val="nil"/>
              <w:right w:val="nil"/>
            </w:tcBorders>
          </w:tcPr>
          <w:p w14:paraId="4B20D5E7"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52,095 </w:t>
            </w:r>
          </w:p>
        </w:tc>
        <w:tc>
          <w:tcPr>
            <w:tcW w:w="566" w:type="pct"/>
            <w:tcBorders>
              <w:top w:val="nil"/>
              <w:left w:val="nil"/>
              <w:bottom w:val="nil"/>
              <w:right w:val="nil"/>
            </w:tcBorders>
          </w:tcPr>
          <w:p w14:paraId="45BACFD7"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49,971 </w:t>
            </w:r>
          </w:p>
        </w:tc>
        <w:tc>
          <w:tcPr>
            <w:tcW w:w="566" w:type="pct"/>
            <w:tcBorders>
              <w:top w:val="nil"/>
              <w:left w:val="nil"/>
              <w:bottom w:val="nil"/>
              <w:right w:val="nil"/>
            </w:tcBorders>
            <w:noWrap/>
            <w:vAlign w:val="bottom"/>
          </w:tcPr>
          <w:p w14:paraId="2AC44B8A"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51,294</w:t>
            </w:r>
          </w:p>
        </w:tc>
        <w:tc>
          <w:tcPr>
            <w:tcW w:w="565" w:type="pct"/>
            <w:tcBorders>
              <w:top w:val="nil"/>
              <w:left w:val="nil"/>
              <w:bottom w:val="nil"/>
              <w:right w:val="nil"/>
            </w:tcBorders>
            <w:noWrap/>
            <w:vAlign w:val="bottom"/>
          </w:tcPr>
          <w:p w14:paraId="4792BE35"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52,504 </w:t>
            </w:r>
          </w:p>
        </w:tc>
        <w:tc>
          <w:tcPr>
            <w:tcW w:w="565" w:type="pct"/>
            <w:tcBorders>
              <w:top w:val="nil"/>
              <w:left w:val="nil"/>
              <w:bottom w:val="nil"/>
              <w:right w:val="nil"/>
            </w:tcBorders>
            <w:vAlign w:val="bottom"/>
          </w:tcPr>
          <w:p w14:paraId="6397BF42"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50,714 </w:t>
            </w:r>
          </w:p>
        </w:tc>
      </w:tr>
      <w:tr w:rsidR="00CF0E09" w:rsidRPr="00CF0E09" w14:paraId="1BEEC082" w14:textId="77777777" w:rsidTr="00377598">
        <w:trPr>
          <w:trHeight w:val="264"/>
        </w:trPr>
        <w:tc>
          <w:tcPr>
            <w:tcW w:w="2171" w:type="pct"/>
            <w:tcBorders>
              <w:top w:val="nil"/>
              <w:left w:val="nil"/>
              <w:bottom w:val="nil"/>
              <w:right w:val="nil"/>
            </w:tcBorders>
            <w:noWrap/>
            <w:vAlign w:val="bottom"/>
            <w:hideMark/>
          </w:tcPr>
          <w:p w14:paraId="10D7FEBE"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Education Services</w:t>
            </w:r>
          </w:p>
        </w:tc>
        <w:tc>
          <w:tcPr>
            <w:tcW w:w="566" w:type="pct"/>
            <w:tcBorders>
              <w:top w:val="nil"/>
              <w:left w:val="nil"/>
              <w:bottom w:val="nil"/>
              <w:right w:val="nil"/>
            </w:tcBorders>
          </w:tcPr>
          <w:p w14:paraId="495480CF"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71,383 </w:t>
            </w:r>
          </w:p>
        </w:tc>
        <w:tc>
          <w:tcPr>
            <w:tcW w:w="566" w:type="pct"/>
            <w:tcBorders>
              <w:top w:val="nil"/>
              <w:left w:val="nil"/>
              <w:bottom w:val="nil"/>
              <w:right w:val="nil"/>
            </w:tcBorders>
          </w:tcPr>
          <w:p w14:paraId="49DE7178"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68,673 </w:t>
            </w:r>
          </w:p>
        </w:tc>
        <w:tc>
          <w:tcPr>
            <w:tcW w:w="566" w:type="pct"/>
            <w:tcBorders>
              <w:top w:val="nil"/>
              <w:left w:val="nil"/>
              <w:bottom w:val="nil"/>
              <w:right w:val="nil"/>
            </w:tcBorders>
            <w:noWrap/>
            <w:vAlign w:val="bottom"/>
          </w:tcPr>
          <w:p w14:paraId="75B3F47D"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66,619</w:t>
            </w:r>
          </w:p>
        </w:tc>
        <w:tc>
          <w:tcPr>
            <w:tcW w:w="565" w:type="pct"/>
            <w:tcBorders>
              <w:top w:val="nil"/>
              <w:left w:val="nil"/>
              <w:bottom w:val="nil"/>
              <w:right w:val="nil"/>
            </w:tcBorders>
            <w:noWrap/>
            <w:vAlign w:val="bottom"/>
          </w:tcPr>
          <w:p w14:paraId="13B74ED5"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65,262 </w:t>
            </w:r>
          </w:p>
        </w:tc>
        <w:tc>
          <w:tcPr>
            <w:tcW w:w="565" w:type="pct"/>
            <w:tcBorders>
              <w:top w:val="nil"/>
              <w:left w:val="nil"/>
              <w:bottom w:val="nil"/>
              <w:right w:val="nil"/>
            </w:tcBorders>
            <w:vAlign w:val="bottom"/>
          </w:tcPr>
          <w:p w14:paraId="7A57F8BF"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62,248 </w:t>
            </w:r>
          </w:p>
        </w:tc>
      </w:tr>
      <w:tr w:rsidR="00CF0E09" w:rsidRPr="00CF0E09" w14:paraId="242297D3" w14:textId="77777777" w:rsidTr="00377598">
        <w:trPr>
          <w:trHeight w:val="264"/>
        </w:trPr>
        <w:tc>
          <w:tcPr>
            <w:tcW w:w="2171" w:type="pct"/>
            <w:tcBorders>
              <w:top w:val="nil"/>
              <w:left w:val="nil"/>
              <w:bottom w:val="nil"/>
              <w:right w:val="nil"/>
            </w:tcBorders>
            <w:noWrap/>
            <w:vAlign w:val="bottom"/>
            <w:hideMark/>
          </w:tcPr>
          <w:p w14:paraId="315BFE4A"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Health Care and Social Assistance</w:t>
            </w:r>
          </w:p>
        </w:tc>
        <w:tc>
          <w:tcPr>
            <w:tcW w:w="566" w:type="pct"/>
            <w:tcBorders>
              <w:top w:val="nil"/>
              <w:left w:val="nil"/>
              <w:bottom w:val="nil"/>
              <w:right w:val="nil"/>
            </w:tcBorders>
          </w:tcPr>
          <w:p w14:paraId="3137262A"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97,477 </w:t>
            </w:r>
          </w:p>
        </w:tc>
        <w:tc>
          <w:tcPr>
            <w:tcW w:w="566" w:type="pct"/>
            <w:tcBorders>
              <w:top w:val="nil"/>
              <w:left w:val="nil"/>
              <w:bottom w:val="nil"/>
              <w:right w:val="nil"/>
            </w:tcBorders>
          </w:tcPr>
          <w:p w14:paraId="2BBFE576"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93,654 </w:t>
            </w:r>
          </w:p>
        </w:tc>
        <w:tc>
          <w:tcPr>
            <w:tcW w:w="566" w:type="pct"/>
            <w:tcBorders>
              <w:top w:val="nil"/>
              <w:left w:val="nil"/>
              <w:bottom w:val="nil"/>
              <w:right w:val="nil"/>
            </w:tcBorders>
            <w:noWrap/>
            <w:vAlign w:val="bottom"/>
          </w:tcPr>
          <w:p w14:paraId="7BD2AF4A"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90,862</w:t>
            </w:r>
          </w:p>
        </w:tc>
        <w:tc>
          <w:tcPr>
            <w:tcW w:w="565" w:type="pct"/>
            <w:tcBorders>
              <w:top w:val="nil"/>
              <w:left w:val="nil"/>
              <w:bottom w:val="nil"/>
              <w:right w:val="nil"/>
            </w:tcBorders>
            <w:noWrap/>
            <w:vAlign w:val="bottom"/>
          </w:tcPr>
          <w:p w14:paraId="5C9B9867"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86,331 </w:t>
            </w:r>
          </w:p>
        </w:tc>
        <w:tc>
          <w:tcPr>
            <w:tcW w:w="565" w:type="pct"/>
            <w:tcBorders>
              <w:top w:val="nil"/>
              <w:left w:val="nil"/>
              <w:bottom w:val="nil"/>
              <w:right w:val="nil"/>
            </w:tcBorders>
            <w:vAlign w:val="bottom"/>
          </w:tcPr>
          <w:p w14:paraId="58327E42"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83,898 </w:t>
            </w:r>
          </w:p>
        </w:tc>
      </w:tr>
      <w:tr w:rsidR="00CF0E09" w:rsidRPr="00CF0E09" w14:paraId="224BD705" w14:textId="77777777" w:rsidTr="00377598">
        <w:trPr>
          <w:trHeight w:val="264"/>
        </w:trPr>
        <w:tc>
          <w:tcPr>
            <w:tcW w:w="2171" w:type="pct"/>
            <w:tcBorders>
              <w:top w:val="nil"/>
              <w:left w:val="nil"/>
              <w:bottom w:val="nil"/>
              <w:right w:val="nil"/>
            </w:tcBorders>
            <w:noWrap/>
            <w:vAlign w:val="bottom"/>
            <w:hideMark/>
          </w:tcPr>
          <w:p w14:paraId="5E273811"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Arts, Entertainment, and Recreation</w:t>
            </w:r>
          </w:p>
        </w:tc>
        <w:tc>
          <w:tcPr>
            <w:tcW w:w="566" w:type="pct"/>
            <w:tcBorders>
              <w:top w:val="nil"/>
              <w:left w:val="nil"/>
              <w:bottom w:val="nil"/>
              <w:right w:val="nil"/>
            </w:tcBorders>
          </w:tcPr>
          <w:p w14:paraId="219EC9C8"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13,965 </w:t>
            </w:r>
          </w:p>
        </w:tc>
        <w:tc>
          <w:tcPr>
            <w:tcW w:w="566" w:type="pct"/>
            <w:tcBorders>
              <w:top w:val="nil"/>
              <w:left w:val="nil"/>
              <w:bottom w:val="nil"/>
              <w:right w:val="nil"/>
            </w:tcBorders>
          </w:tcPr>
          <w:p w14:paraId="63AFBCD2"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13,241 </w:t>
            </w:r>
          </w:p>
        </w:tc>
        <w:tc>
          <w:tcPr>
            <w:tcW w:w="566" w:type="pct"/>
            <w:tcBorders>
              <w:top w:val="nil"/>
              <w:left w:val="nil"/>
              <w:bottom w:val="nil"/>
              <w:right w:val="nil"/>
            </w:tcBorders>
            <w:noWrap/>
            <w:vAlign w:val="bottom"/>
          </w:tcPr>
          <w:p w14:paraId="67EBA2D9"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12,260</w:t>
            </w:r>
          </w:p>
        </w:tc>
        <w:tc>
          <w:tcPr>
            <w:tcW w:w="565" w:type="pct"/>
            <w:tcBorders>
              <w:top w:val="nil"/>
              <w:left w:val="nil"/>
              <w:bottom w:val="nil"/>
              <w:right w:val="nil"/>
            </w:tcBorders>
            <w:noWrap/>
            <w:vAlign w:val="bottom"/>
          </w:tcPr>
          <w:p w14:paraId="55D34183"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11,306 </w:t>
            </w:r>
          </w:p>
        </w:tc>
        <w:tc>
          <w:tcPr>
            <w:tcW w:w="565" w:type="pct"/>
            <w:tcBorders>
              <w:top w:val="nil"/>
              <w:left w:val="nil"/>
              <w:bottom w:val="nil"/>
              <w:right w:val="nil"/>
            </w:tcBorders>
            <w:vAlign w:val="bottom"/>
          </w:tcPr>
          <w:p w14:paraId="248520E6"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9,691 </w:t>
            </w:r>
          </w:p>
        </w:tc>
      </w:tr>
      <w:tr w:rsidR="00CF0E09" w:rsidRPr="00CF0E09" w14:paraId="31E1CAA7" w14:textId="77777777" w:rsidTr="00377598">
        <w:trPr>
          <w:trHeight w:val="264"/>
        </w:trPr>
        <w:tc>
          <w:tcPr>
            <w:tcW w:w="2171" w:type="pct"/>
            <w:tcBorders>
              <w:top w:val="nil"/>
              <w:left w:val="nil"/>
              <w:bottom w:val="nil"/>
              <w:right w:val="nil"/>
            </w:tcBorders>
            <w:noWrap/>
            <w:vAlign w:val="bottom"/>
            <w:hideMark/>
          </w:tcPr>
          <w:p w14:paraId="5284AEE3"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Accommodation and Food Services</w:t>
            </w:r>
          </w:p>
        </w:tc>
        <w:tc>
          <w:tcPr>
            <w:tcW w:w="566" w:type="pct"/>
            <w:tcBorders>
              <w:top w:val="nil"/>
              <w:left w:val="nil"/>
              <w:bottom w:val="nil"/>
              <w:right w:val="nil"/>
            </w:tcBorders>
          </w:tcPr>
          <w:p w14:paraId="47360CA9"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57,009 </w:t>
            </w:r>
          </w:p>
        </w:tc>
        <w:tc>
          <w:tcPr>
            <w:tcW w:w="566" w:type="pct"/>
            <w:tcBorders>
              <w:top w:val="nil"/>
              <w:left w:val="nil"/>
              <w:bottom w:val="nil"/>
              <w:right w:val="nil"/>
            </w:tcBorders>
          </w:tcPr>
          <w:p w14:paraId="7F909332"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57,213 </w:t>
            </w:r>
          </w:p>
        </w:tc>
        <w:tc>
          <w:tcPr>
            <w:tcW w:w="566" w:type="pct"/>
            <w:tcBorders>
              <w:top w:val="nil"/>
              <w:left w:val="nil"/>
              <w:bottom w:val="nil"/>
              <w:right w:val="nil"/>
            </w:tcBorders>
            <w:noWrap/>
            <w:vAlign w:val="bottom"/>
          </w:tcPr>
          <w:p w14:paraId="686BE344"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56,703</w:t>
            </w:r>
          </w:p>
        </w:tc>
        <w:tc>
          <w:tcPr>
            <w:tcW w:w="565" w:type="pct"/>
            <w:tcBorders>
              <w:top w:val="nil"/>
              <w:left w:val="nil"/>
              <w:bottom w:val="nil"/>
              <w:right w:val="nil"/>
            </w:tcBorders>
            <w:noWrap/>
            <w:vAlign w:val="bottom"/>
          </w:tcPr>
          <w:p w14:paraId="0DFA9C85"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53,976 </w:t>
            </w:r>
          </w:p>
        </w:tc>
        <w:tc>
          <w:tcPr>
            <w:tcW w:w="565" w:type="pct"/>
            <w:tcBorders>
              <w:top w:val="nil"/>
              <w:left w:val="nil"/>
              <w:bottom w:val="nil"/>
              <w:right w:val="nil"/>
            </w:tcBorders>
            <w:vAlign w:val="bottom"/>
          </w:tcPr>
          <w:p w14:paraId="6253549C"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48,396 </w:t>
            </w:r>
          </w:p>
        </w:tc>
      </w:tr>
      <w:tr w:rsidR="00CF0E09" w:rsidRPr="00CF0E09" w14:paraId="45F11296" w14:textId="77777777" w:rsidTr="00377598">
        <w:trPr>
          <w:trHeight w:val="264"/>
        </w:trPr>
        <w:tc>
          <w:tcPr>
            <w:tcW w:w="2171" w:type="pct"/>
            <w:tcBorders>
              <w:top w:val="nil"/>
              <w:left w:val="nil"/>
              <w:bottom w:val="nil"/>
              <w:right w:val="nil"/>
            </w:tcBorders>
            <w:noWrap/>
            <w:vAlign w:val="bottom"/>
            <w:hideMark/>
          </w:tcPr>
          <w:p w14:paraId="3E282450" w14:textId="77777777" w:rsidR="00CF0E09" w:rsidRPr="00CF0E09" w:rsidRDefault="00CF0E09" w:rsidP="00CF0E09">
            <w:pPr>
              <w:rPr>
                <w:rFonts w:eastAsia="Times New Roman" w:cs="Times New Roman"/>
                <w:szCs w:val="20"/>
              </w:rPr>
            </w:pPr>
            <w:r w:rsidRPr="00CF0E09">
              <w:rPr>
                <w:rFonts w:eastAsia="Times New Roman" w:cs="Times New Roman"/>
                <w:szCs w:val="20"/>
              </w:rPr>
              <w:t>Other Services and Unclassified Establishments</w:t>
            </w:r>
          </w:p>
        </w:tc>
        <w:tc>
          <w:tcPr>
            <w:tcW w:w="566" w:type="pct"/>
            <w:tcBorders>
              <w:top w:val="nil"/>
              <w:left w:val="nil"/>
              <w:bottom w:val="nil"/>
              <w:right w:val="nil"/>
            </w:tcBorders>
          </w:tcPr>
          <w:p w14:paraId="2505DB05"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23,334 </w:t>
            </w:r>
          </w:p>
        </w:tc>
        <w:tc>
          <w:tcPr>
            <w:tcW w:w="566" w:type="pct"/>
            <w:tcBorders>
              <w:top w:val="nil"/>
              <w:left w:val="nil"/>
              <w:bottom w:val="nil"/>
              <w:right w:val="nil"/>
            </w:tcBorders>
          </w:tcPr>
          <w:p w14:paraId="6CB00D01"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23,209 </w:t>
            </w:r>
          </w:p>
        </w:tc>
        <w:tc>
          <w:tcPr>
            <w:tcW w:w="566" w:type="pct"/>
            <w:tcBorders>
              <w:top w:val="nil"/>
              <w:left w:val="nil"/>
              <w:bottom w:val="nil"/>
              <w:right w:val="nil"/>
            </w:tcBorders>
            <w:noWrap/>
            <w:vAlign w:val="bottom"/>
          </w:tcPr>
          <w:p w14:paraId="38EFD66D"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23,147</w:t>
            </w:r>
          </w:p>
        </w:tc>
        <w:tc>
          <w:tcPr>
            <w:tcW w:w="565" w:type="pct"/>
            <w:tcBorders>
              <w:top w:val="nil"/>
              <w:left w:val="nil"/>
              <w:bottom w:val="nil"/>
              <w:right w:val="nil"/>
            </w:tcBorders>
            <w:noWrap/>
            <w:vAlign w:val="bottom"/>
          </w:tcPr>
          <w:p w14:paraId="6401DF33"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22,902 </w:t>
            </w:r>
          </w:p>
        </w:tc>
        <w:tc>
          <w:tcPr>
            <w:tcW w:w="565" w:type="pct"/>
            <w:tcBorders>
              <w:top w:val="nil"/>
              <w:left w:val="nil"/>
              <w:bottom w:val="nil"/>
              <w:right w:val="nil"/>
            </w:tcBorders>
            <w:vAlign w:val="bottom"/>
          </w:tcPr>
          <w:p w14:paraId="36DC8BEF"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22,348 </w:t>
            </w:r>
          </w:p>
        </w:tc>
      </w:tr>
      <w:tr w:rsidR="00CF0E09" w:rsidRPr="00CF0E09" w14:paraId="30FE6BED" w14:textId="77777777" w:rsidTr="00377598">
        <w:trPr>
          <w:trHeight w:val="264"/>
        </w:trPr>
        <w:tc>
          <w:tcPr>
            <w:tcW w:w="2171" w:type="pct"/>
            <w:tcBorders>
              <w:top w:val="nil"/>
              <w:left w:val="nil"/>
              <w:bottom w:val="nil"/>
              <w:right w:val="nil"/>
            </w:tcBorders>
            <w:noWrap/>
            <w:vAlign w:val="bottom"/>
            <w:hideMark/>
          </w:tcPr>
          <w:p w14:paraId="4C62D843"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Public Administration</w:t>
            </w:r>
          </w:p>
        </w:tc>
        <w:tc>
          <w:tcPr>
            <w:tcW w:w="566" w:type="pct"/>
            <w:tcBorders>
              <w:top w:val="nil"/>
              <w:left w:val="nil"/>
              <w:bottom w:val="nil"/>
              <w:right w:val="nil"/>
            </w:tcBorders>
          </w:tcPr>
          <w:p w14:paraId="070F5F08"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34,466 </w:t>
            </w:r>
          </w:p>
        </w:tc>
        <w:tc>
          <w:tcPr>
            <w:tcW w:w="566" w:type="pct"/>
            <w:tcBorders>
              <w:top w:val="nil"/>
              <w:left w:val="nil"/>
              <w:bottom w:val="nil"/>
              <w:right w:val="nil"/>
            </w:tcBorders>
          </w:tcPr>
          <w:p w14:paraId="73BD5D77"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33,911 </w:t>
            </w:r>
          </w:p>
        </w:tc>
        <w:tc>
          <w:tcPr>
            <w:tcW w:w="566" w:type="pct"/>
            <w:tcBorders>
              <w:top w:val="nil"/>
              <w:left w:val="nil"/>
              <w:bottom w:val="nil"/>
              <w:right w:val="nil"/>
            </w:tcBorders>
            <w:noWrap/>
            <w:vAlign w:val="bottom"/>
          </w:tcPr>
          <w:p w14:paraId="42B79AD6"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32,634</w:t>
            </w:r>
          </w:p>
        </w:tc>
        <w:tc>
          <w:tcPr>
            <w:tcW w:w="565" w:type="pct"/>
            <w:tcBorders>
              <w:top w:val="nil"/>
              <w:left w:val="nil"/>
              <w:bottom w:val="nil"/>
              <w:right w:val="nil"/>
            </w:tcBorders>
            <w:noWrap/>
            <w:vAlign w:val="bottom"/>
          </w:tcPr>
          <w:p w14:paraId="18BBE048"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31,989 </w:t>
            </w:r>
          </w:p>
        </w:tc>
        <w:tc>
          <w:tcPr>
            <w:tcW w:w="565" w:type="pct"/>
            <w:tcBorders>
              <w:top w:val="nil"/>
              <w:left w:val="nil"/>
              <w:bottom w:val="nil"/>
              <w:right w:val="nil"/>
            </w:tcBorders>
            <w:vAlign w:val="bottom"/>
          </w:tcPr>
          <w:p w14:paraId="7A97EA24"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31,155 </w:t>
            </w:r>
          </w:p>
        </w:tc>
      </w:tr>
      <w:tr w:rsidR="00CF0E09" w:rsidRPr="00CF0E09" w14:paraId="358E7FB3" w14:textId="77777777" w:rsidTr="00377598">
        <w:trPr>
          <w:trHeight w:val="264"/>
        </w:trPr>
        <w:tc>
          <w:tcPr>
            <w:tcW w:w="2171" w:type="pct"/>
            <w:tcBorders>
              <w:top w:val="nil"/>
              <w:left w:val="nil"/>
              <w:bottom w:val="nil"/>
              <w:right w:val="nil"/>
            </w:tcBorders>
            <w:noWrap/>
            <w:vAlign w:val="bottom"/>
            <w:hideMark/>
          </w:tcPr>
          <w:p w14:paraId="2B7F3EE3"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Total Establishments</w:t>
            </w:r>
          </w:p>
        </w:tc>
        <w:tc>
          <w:tcPr>
            <w:tcW w:w="566" w:type="pct"/>
            <w:tcBorders>
              <w:top w:val="nil"/>
              <w:left w:val="nil"/>
              <w:bottom w:val="nil"/>
              <w:right w:val="nil"/>
            </w:tcBorders>
          </w:tcPr>
          <w:p w14:paraId="4B9C517F"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68,084 </w:t>
            </w:r>
          </w:p>
        </w:tc>
        <w:tc>
          <w:tcPr>
            <w:tcW w:w="566" w:type="pct"/>
            <w:tcBorders>
              <w:top w:val="nil"/>
              <w:left w:val="nil"/>
              <w:bottom w:val="nil"/>
              <w:right w:val="nil"/>
            </w:tcBorders>
          </w:tcPr>
          <w:p w14:paraId="46EF5678"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67,171 </w:t>
            </w:r>
          </w:p>
        </w:tc>
        <w:tc>
          <w:tcPr>
            <w:tcW w:w="566" w:type="pct"/>
            <w:tcBorders>
              <w:top w:val="nil"/>
              <w:left w:val="nil"/>
              <w:bottom w:val="nil"/>
              <w:right w:val="nil"/>
            </w:tcBorders>
            <w:noWrap/>
            <w:vAlign w:val="bottom"/>
          </w:tcPr>
          <w:p w14:paraId="66D5118F"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65,069</w:t>
            </w:r>
          </w:p>
        </w:tc>
        <w:tc>
          <w:tcPr>
            <w:tcW w:w="565" w:type="pct"/>
            <w:tcBorders>
              <w:top w:val="nil"/>
              <w:left w:val="nil"/>
              <w:bottom w:val="nil"/>
              <w:right w:val="nil"/>
            </w:tcBorders>
            <w:noWrap/>
            <w:vAlign w:val="bottom"/>
          </w:tcPr>
          <w:p w14:paraId="170F7E3B"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62,762 </w:t>
            </w:r>
          </w:p>
        </w:tc>
        <w:tc>
          <w:tcPr>
            <w:tcW w:w="565" w:type="pct"/>
            <w:tcBorders>
              <w:top w:val="nil"/>
              <w:left w:val="nil"/>
              <w:bottom w:val="nil"/>
              <w:right w:val="nil"/>
            </w:tcBorders>
            <w:vAlign w:val="bottom"/>
          </w:tcPr>
          <w:p w14:paraId="486A6AC2"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 xml:space="preserve">62,346 </w:t>
            </w:r>
          </w:p>
        </w:tc>
      </w:tr>
      <w:tr w:rsidR="00CF0E09" w:rsidRPr="00CF0E09" w14:paraId="5A5EEF36" w14:textId="77777777" w:rsidTr="00377598">
        <w:trPr>
          <w:trHeight w:val="264"/>
        </w:trPr>
        <w:tc>
          <w:tcPr>
            <w:tcW w:w="2171" w:type="pct"/>
            <w:tcBorders>
              <w:top w:val="nil"/>
              <w:left w:val="nil"/>
              <w:bottom w:val="nil"/>
              <w:right w:val="nil"/>
            </w:tcBorders>
            <w:noWrap/>
            <w:vAlign w:val="bottom"/>
            <w:hideMark/>
          </w:tcPr>
          <w:p w14:paraId="36C5CD18"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Total Wages ($Millions)</w:t>
            </w:r>
          </w:p>
        </w:tc>
        <w:tc>
          <w:tcPr>
            <w:tcW w:w="566" w:type="pct"/>
            <w:tcBorders>
              <w:top w:val="nil"/>
              <w:left w:val="nil"/>
              <w:bottom w:val="nil"/>
              <w:right w:val="nil"/>
            </w:tcBorders>
          </w:tcPr>
          <w:p w14:paraId="5D59EE1B" w14:textId="77777777" w:rsidR="00CF0E09" w:rsidRPr="00CF0E09" w:rsidRDefault="00CF0E09" w:rsidP="00CF0E09">
            <w:pPr>
              <w:jc w:val="center"/>
              <w:rPr>
                <w:rFonts w:eastAsia="Times New Roman" w:cs="Times New Roman"/>
                <w:szCs w:val="20"/>
              </w:rPr>
            </w:pPr>
            <w:r w:rsidRPr="00CF0E09">
              <w:rPr>
                <w:rFonts w:eastAsia="Times New Roman" w:cs="Times New Roman"/>
              </w:rPr>
              <w:t>65,197.9</w:t>
            </w:r>
          </w:p>
        </w:tc>
        <w:tc>
          <w:tcPr>
            <w:tcW w:w="566" w:type="pct"/>
            <w:tcBorders>
              <w:top w:val="nil"/>
              <w:left w:val="nil"/>
              <w:bottom w:val="nil"/>
              <w:right w:val="nil"/>
            </w:tcBorders>
          </w:tcPr>
          <w:p w14:paraId="5E105A39" w14:textId="77777777" w:rsidR="00CF0E09" w:rsidRPr="00CF0E09" w:rsidRDefault="00CF0E09" w:rsidP="00CF0E09">
            <w:pPr>
              <w:jc w:val="center"/>
              <w:rPr>
                <w:rFonts w:eastAsia="Times New Roman" w:cs="Times New Roman"/>
                <w:szCs w:val="20"/>
              </w:rPr>
            </w:pPr>
            <w:r w:rsidRPr="00CF0E09">
              <w:rPr>
                <w:rFonts w:eastAsia="Times New Roman" w:cs="Times New Roman"/>
              </w:rPr>
              <w:t>61,501.2</w:t>
            </w:r>
          </w:p>
        </w:tc>
        <w:tc>
          <w:tcPr>
            <w:tcW w:w="566" w:type="pct"/>
            <w:tcBorders>
              <w:top w:val="nil"/>
              <w:left w:val="nil"/>
              <w:bottom w:val="nil"/>
              <w:right w:val="nil"/>
            </w:tcBorders>
            <w:vAlign w:val="bottom"/>
          </w:tcPr>
          <w:p w14:paraId="3462236F"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58,435.7</w:t>
            </w:r>
          </w:p>
        </w:tc>
        <w:tc>
          <w:tcPr>
            <w:tcW w:w="565" w:type="pct"/>
            <w:tcBorders>
              <w:top w:val="nil"/>
              <w:left w:val="nil"/>
              <w:bottom w:val="nil"/>
              <w:right w:val="nil"/>
            </w:tcBorders>
            <w:vAlign w:val="center"/>
          </w:tcPr>
          <w:p w14:paraId="33F6344A"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54,673.5</w:t>
            </w:r>
          </w:p>
        </w:tc>
        <w:tc>
          <w:tcPr>
            <w:tcW w:w="565" w:type="pct"/>
            <w:tcBorders>
              <w:top w:val="nil"/>
              <w:left w:val="nil"/>
              <w:bottom w:val="nil"/>
              <w:right w:val="nil"/>
            </w:tcBorders>
            <w:vAlign w:val="center"/>
          </w:tcPr>
          <w:p w14:paraId="0740C1FE"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49,206.1</w:t>
            </w:r>
          </w:p>
        </w:tc>
      </w:tr>
      <w:bookmarkEnd w:id="309"/>
    </w:tbl>
    <w:p w14:paraId="070BBE77" w14:textId="77777777" w:rsidR="00CF0E09" w:rsidRPr="00CF0E09" w:rsidRDefault="00CF0E09" w:rsidP="00CF0E09">
      <w:pPr>
        <w:jc w:val="both"/>
        <w:rPr>
          <w:rFonts w:eastAsia="Times New Roman" w:cs="Times New Roman"/>
          <w:szCs w:val="20"/>
        </w:rPr>
      </w:pPr>
    </w:p>
    <w:tbl>
      <w:tblPr>
        <w:tblW w:w="5096" w:type="pct"/>
        <w:tblLayout w:type="fixed"/>
        <w:tblCellMar>
          <w:left w:w="115" w:type="dxa"/>
          <w:right w:w="115" w:type="dxa"/>
        </w:tblCellMar>
        <w:tblLook w:val="04A0" w:firstRow="1" w:lastRow="0" w:firstColumn="1" w:lastColumn="0" w:noHBand="0" w:noVBand="1"/>
      </w:tblPr>
      <w:tblGrid>
        <w:gridCol w:w="3141"/>
        <w:gridCol w:w="1290"/>
        <w:gridCol w:w="1278"/>
        <w:gridCol w:w="1278"/>
        <w:gridCol w:w="1278"/>
        <w:gridCol w:w="1275"/>
      </w:tblGrid>
      <w:tr w:rsidR="00CF0E09" w:rsidRPr="00CF0E09" w14:paraId="12215C29" w14:textId="77777777" w:rsidTr="00377598">
        <w:trPr>
          <w:trHeight w:val="264"/>
        </w:trPr>
        <w:tc>
          <w:tcPr>
            <w:tcW w:w="1646" w:type="pct"/>
            <w:tcBorders>
              <w:top w:val="nil"/>
              <w:left w:val="nil"/>
              <w:bottom w:val="nil"/>
              <w:right w:val="nil"/>
            </w:tcBorders>
            <w:noWrap/>
            <w:vAlign w:val="bottom"/>
            <w:hideMark/>
          </w:tcPr>
          <w:p w14:paraId="68969885" w14:textId="77777777" w:rsidR="00CF0E09" w:rsidRPr="00CF0E09" w:rsidRDefault="00CF0E09" w:rsidP="00CF0E09">
            <w:pPr>
              <w:jc w:val="both"/>
              <w:rPr>
                <w:rFonts w:eastAsia="Times New Roman" w:cs="Times New Roman"/>
                <w:bCs/>
                <w:szCs w:val="20"/>
              </w:rPr>
            </w:pPr>
            <w:r w:rsidRPr="00CF0E09">
              <w:rPr>
                <w:rFonts w:eastAsia="Times New Roman" w:cs="Times New Roman"/>
                <w:bCs/>
                <w:szCs w:val="20"/>
              </w:rPr>
              <w:t>INCOME AND WAGES</w:t>
            </w:r>
          </w:p>
        </w:tc>
        <w:tc>
          <w:tcPr>
            <w:tcW w:w="676" w:type="pct"/>
            <w:tcBorders>
              <w:top w:val="nil"/>
              <w:left w:val="nil"/>
              <w:bottom w:val="nil"/>
              <w:right w:val="nil"/>
            </w:tcBorders>
            <w:vAlign w:val="bottom"/>
          </w:tcPr>
          <w:p w14:paraId="7466167B"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bCs/>
                <w:szCs w:val="20"/>
                <w:u w:val="single"/>
              </w:rPr>
              <w:t>2025</w:t>
            </w:r>
          </w:p>
        </w:tc>
        <w:tc>
          <w:tcPr>
            <w:tcW w:w="670" w:type="pct"/>
            <w:tcBorders>
              <w:top w:val="nil"/>
              <w:left w:val="nil"/>
              <w:bottom w:val="nil"/>
              <w:right w:val="nil"/>
            </w:tcBorders>
            <w:noWrap/>
            <w:hideMark/>
          </w:tcPr>
          <w:p w14:paraId="0B7969AB"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u w:val="single"/>
              </w:rPr>
              <w:t>2024</w:t>
            </w:r>
          </w:p>
        </w:tc>
        <w:tc>
          <w:tcPr>
            <w:tcW w:w="670" w:type="pct"/>
            <w:tcBorders>
              <w:top w:val="nil"/>
              <w:left w:val="nil"/>
              <w:bottom w:val="nil"/>
              <w:right w:val="nil"/>
            </w:tcBorders>
            <w:noWrap/>
            <w:hideMark/>
          </w:tcPr>
          <w:p w14:paraId="4BD777B3"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u w:val="single"/>
              </w:rPr>
              <w:t>2023</w:t>
            </w:r>
          </w:p>
        </w:tc>
        <w:tc>
          <w:tcPr>
            <w:tcW w:w="670" w:type="pct"/>
            <w:tcBorders>
              <w:top w:val="nil"/>
              <w:left w:val="nil"/>
              <w:bottom w:val="nil"/>
              <w:right w:val="nil"/>
            </w:tcBorders>
            <w:noWrap/>
            <w:hideMark/>
          </w:tcPr>
          <w:p w14:paraId="2417D8CF"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u w:val="single"/>
              </w:rPr>
              <w:t>2022</w:t>
            </w:r>
          </w:p>
        </w:tc>
        <w:tc>
          <w:tcPr>
            <w:tcW w:w="668" w:type="pct"/>
            <w:tcBorders>
              <w:top w:val="nil"/>
              <w:left w:val="nil"/>
              <w:bottom w:val="nil"/>
              <w:right w:val="nil"/>
            </w:tcBorders>
            <w:noWrap/>
            <w:hideMark/>
          </w:tcPr>
          <w:p w14:paraId="41E53B51" w14:textId="77777777" w:rsidR="00CF0E09" w:rsidRPr="00CF0E09" w:rsidRDefault="00CF0E09" w:rsidP="00CF0E09">
            <w:pPr>
              <w:jc w:val="center"/>
              <w:rPr>
                <w:rFonts w:eastAsia="Times New Roman" w:cs="Times New Roman"/>
                <w:bCs/>
                <w:szCs w:val="20"/>
                <w:u w:val="single"/>
              </w:rPr>
            </w:pPr>
            <w:r w:rsidRPr="00CF0E09">
              <w:rPr>
                <w:rFonts w:eastAsia="Times New Roman" w:cs="Times New Roman"/>
                <w:u w:val="single"/>
              </w:rPr>
              <w:t>2021</w:t>
            </w:r>
          </w:p>
        </w:tc>
      </w:tr>
      <w:tr w:rsidR="00CF0E09" w:rsidRPr="00CF0E09" w14:paraId="22ECD085" w14:textId="77777777" w:rsidTr="00377598">
        <w:trPr>
          <w:trHeight w:val="264"/>
        </w:trPr>
        <w:tc>
          <w:tcPr>
            <w:tcW w:w="1646" w:type="pct"/>
            <w:tcBorders>
              <w:top w:val="nil"/>
              <w:left w:val="nil"/>
              <w:bottom w:val="nil"/>
              <w:right w:val="nil"/>
            </w:tcBorders>
            <w:noWrap/>
            <w:vAlign w:val="bottom"/>
            <w:hideMark/>
          </w:tcPr>
          <w:p w14:paraId="24D93A2F"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Total Personal Income ($000) </w:t>
            </w:r>
            <w:r w:rsidRPr="00CF0E09">
              <w:rPr>
                <w:rFonts w:eastAsia="Times New Roman" w:cs="Times New Roman"/>
                <w:szCs w:val="20"/>
                <w:vertAlign w:val="superscript"/>
              </w:rPr>
              <w:t>(2)</w:t>
            </w:r>
          </w:p>
        </w:tc>
        <w:tc>
          <w:tcPr>
            <w:tcW w:w="676" w:type="pct"/>
            <w:tcBorders>
              <w:top w:val="nil"/>
              <w:left w:val="nil"/>
              <w:bottom w:val="nil"/>
              <w:right w:val="nil"/>
            </w:tcBorders>
          </w:tcPr>
          <w:p w14:paraId="3C99D3C6" w14:textId="77777777" w:rsidR="00CF0E09" w:rsidRPr="00CF0E09" w:rsidRDefault="00CF0E09" w:rsidP="00CF0E09">
            <w:pPr>
              <w:jc w:val="center"/>
              <w:rPr>
                <w:rFonts w:eastAsia="Times New Roman" w:cs="Times New Roman"/>
                <w:szCs w:val="20"/>
              </w:rPr>
            </w:pPr>
            <w:r w:rsidRPr="00CF0E09">
              <w:rPr>
                <w:rFonts w:eastAsia="Times New Roman" w:cs="Times New Roman"/>
              </w:rPr>
              <w:t>n/a</w:t>
            </w:r>
          </w:p>
        </w:tc>
        <w:tc>
          <w:tcPr>
            <w:tcW w:w="670" w:type="pct"/>
            <w:tcBorders>
              <w:top w:val="nil"/>
              <w:left w:val="nil"/>
              <w:bottom w:val="nil"/>
              <w:right w:val="nil"/>
            </w:tcBorders>
            <w:noWrap/>
          </w:tcPr>
          <w:p w14:paraId="745E1D55"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$91,748,267 </w:t>
            </w:r>
          </w:p>
        </w:tc>
        <w:tc>
          <w:tcPr>
            <w:tcW w:w="670" w:type="pct"/>
            <w:tcBorders>
              <w:top w:val="nil"/>
              <w:left w:val="nil"/>
              <w:bottom w:val="nil"/>
              <w:right w:val="nil"/>
            </w:tcBorders>
          </w:tcPr>
          <w:p w14:paraId="59982DE1"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$86,904,107 </w:t>
            </w:r>
          </w:p>
        </w:tc>
        <w:tc>
          <w:tcPr>
            <w:tcW w:w="670" w:type="pct"/>
            <w:tcBorders>
              <w:top w:val="nil"/>
              <w:left w:val="nil"/>
              <w:bottom w:val="nil"/>
              <w:right w:val="nil"/>
            </w:tcBorders>
          </w:tcPr>
          <w:p w14:paraId="3E24EF13"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$80,769,549 </w:t>
            </w:r>
          </w:p>
        </w:tc>
        <w:tc>
          <w:tcPr>
            <w:tcW w:w="668" w:type="pct"/>
            <w:tcBorders>
              <w:top w:val="nil"/>
              <w:left w:val="nil"/>
              <w:bottom w:val="nil"/>
              <w:right w:val="nil"/>
            </w:tcBorders>
          </w:tcPr>
          <w:p w14:paraId="29F479AE"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$76,936,492 </w:t>
            </w:r>
          </w:p>
        </w:tc>
      </w:tr>
      <w:tr w:rsidR="00CF0E09" w:rsidRPr="00CF0E09" w14:paraId="337A569E" w14:textId="77777777" w:rsidTr="00377598">
        <w:trPr>
          <w:trHeight w:val="264"/>
        </w:trPr>
        <w:tc>
          <w:tcPr>
            <w:tcW w:w="1646" w:type="pct"/>
            <w:tcBorders>
              <w:top w:val="nil"/>
              <w:left w:val="nil"/>
              <w:bottom w:val="nil"/>
              <w:right w:val="nil"/>
            </w:tcBorders>
            <w:noWrap/>
            <w:vAlign w:val="bottom"/>
            <w:hideMark/>
          </w:tcPr>
          <w:p w14:paraId="72083CA7"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Per Capita Income </w:t>
            </w:r>
            <w:r w:rsidRPr="00CF0E09">
              <w:rPr>
                <w:rFonts w:eastAsia="Times New Roman" w:cs="Times New Roman"/>
                <w:szCs w:val="20"/>
                <w:vertAlign w:val="superscript"/>
              </w:rPr>
              <w:t>(2)</w:t>
            </w:r>
          </w:p>
        </w:tc>
        <w:tc>
          <w:tcPr>
            <w:tcW w:w="676" w:type="pct"/>
            <w:tcBorders>
              <w:top w:val="nil"/>
              <w:left w:val="nil"/>
              <w:bottom w:val="nil"/>
              <w:right w:val="nil"/>
            </w:tcBorders>
          </w:tcPr>
          <w:p w14:paraId="410BD7AA" w14:textId="77777777" w:rsidR="00CF0E09" w:rsidRPr="00CF0E09" w:rsidRDefault="00CF0E09" w:rsidP="00CF0E09">
            <w:pPr>
              <w:jc w:val="center"/>
              <w:rPr>
                <w:rFonts w:eastAsia="Times New Roman" w:cs="Times New Roman"/>
                <w:szCs w:val="20"/>
              </w:rPr>
            </w:pPr>
            <w:r w:rsidRPr="00CF0E09">
              <w:rPr>
                <w:rFonts w:eastAsia="Times New Roman" w:cs="Times New Roman"/>
              </w:rPr>
              <w:t>n/a</w:t>
            </w:r>
          </w:p>
        </w:tc>
        <w:tc>
          <w:tcPr>
            <w:tcW w:w="670" w:type="pct"/>
            <w:tcBorders>
              <w:top w:val="nil"/>
              <w:left w:val="nil"/>
              <w:bottom w:val="nil"/>
              <w:right w:val="nil"/>
            </w:tcBorders>
            <w:noWrap/>
          </w:tcPr>
          <w:p w14:paraId="7E5D7E7A"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75,434 </w:t>
            </w:r>
          </w:p>
        </w:tc>
        <w:tc>
          <w:tcPr>
            <w:tcW w:w="670" w:type="pct"/>
            <w:tcBorders>
              <w:top w:val="nil"/>
              <w:left w:val="nil"/>
              <w:bottom w:val="nil"/>
              <w:right w:val="nil"/>
            </w:tcBorders>
          </w:tcPr>
          <w:p w14:paraId="63CA19D6"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72,387 </w:t>
            </w:r>
          </w:p>
        </w:tc>
        <w:tc>
          <w:tcPr>
            <w:tcW w:w="670" w:type="pct"/>
            <w:tcBorders>
              <w:top w:val="nil"/>
              <w:left w:val="nil"/>
              <w:bottom w:val="nil"/>
              <w:right w:val="nil"/>
            </w:tcBorders>
          </w:tcPr>
          <w:p w14:paraId="5B4E08F9"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67,745 </w:t>
            </w:r>
          </w:p>
        </w:tc>
        <w:tc>
          <w:tcPr>
            <w:tcW w:w="668" w:type="pct"/>
            <w:tcBorders>
              <w:top w:val="nil"/>
              <w:left w:val="nil"/>
              <w:bottom w:val="nil"/>
              <w:right w:val="nil"/>
            </w:tcBorders>
          </w:tcPr>
          <w:p w14:paraId="5BBB1751" w14:textId="77777777" w:rsidR="00CF0E09" w:rsidRPr="00CF0E09" w:rsidRDefault="00CF0E09" w:rsidP="00CF0E09">
            <w:pPr>
              <w:jc w:val="center"/>
              <w:rPr>
                <w:rFonts w:eastAsia="Times New Roman" w:cs="Times New Roman"/>
                <w:szCs w:val="20"/>
              </w:rPr>
            </w:pPr>
            <w:r w:rsidRPr="00CF0E09">
              <w:rPr>
                <w:rFonts w:eastAsia="Times New Roman" w:cs="Times New Roman"/>
              </w:rPr>
              <w:t xml:space="preserve">64,843 </w:t>
            </w:r>
          </w:p>
        </w:tc>
      </w:tr>
      <w:tr w:rsidR="00CF0E09" w:rsidRPr="00CF0E09" w14:paraId="6D7E620B" w14:textId="77777777" w:rsidTr="00377598">
        <w:trPr>
          <w:trHeight w:val="264"/>
        </w:trPr>
        <w:tc>
          <w:tcPr>
            <w:tcW w:w="1646" w:type="pct"/>
            <w:tcBorders>
              <w:top w:val="nil"/>
              <w:left w:val="nil"/>
              <w:bottom w:val="nil"/>
              <w:right w:val="nil"/>
            </w:tcBorders>
            <w:noWrap/>
            <w:vAlign w:val="bottom"/>
            <w:hideMark/>
          </w:tcPr>
          <w:p w14:paraId="7759BD38"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Median Household Income </w:t>
            </w:r>
            <w:r w:rsidRPr="00CF0E09">
              <w:rPr>
                <w:rFonts w:eastAsia="Times New Roman" w:cs="Times New Roman"/>
                <w:szCs w:val="20"/>
                <w:vertAlign w:val="superscript"/>
              </w:rPr>
              <w:t>(1)</w:t>
            </w:r>
          </w:p>
        </w:tc>
        <w:tc>
          <w:tcPr>
            <w:tcW w:w="676" w:type="pct"/>
            <w:tcBorders>
              <w:top w:val="nil"/>
              <w:left w:val="nil"/>
              <w:bottom w:val="nil"/>
              <w:right w:val="nil"/>
            </w:tcBorders>
          </w:tcPr>
          <w:p w14:paraId="48BCF4AB" w14:textId="77777777" w:rsidR="00CF0E09" w:rsidRPr="00CF0E09" w:rsidRDefault="00CF0E09" w:rsidP="00CF0E09">
            <w:pPr>
              <w:jc w:val="center"/>
              <w:rPr>
                <w:rFonts w:eastAsia="Times New Roman" w:cs="Times New Roman"/>
                <w:szCs w:val="20"/>
              </w:rPr>
            </w:pPr>
            <w:r w:rsidRPr="00CF0E09">
              <w:rPr>
                <w:rFonts w:eastAsia="Times New Roman" w:cs="Times New Roman"/>
              </w:rPr>
              <w:t>n/a</w:t>
            </w:r>
          </w:p>
        </w:tc>
        <w:tc>
          <w:tcPr>
            <w:tcW w:w="670" w:type="pct"/>
            <w:tcBorders>
              <w:top w:val="nil"/>
              <w:left w:val="nil"/>
              <w:bottom w:val="nil"/>
              <w:right w:val="nil"/>
            </w:tcBorders>
            <w:noWrap/>
          </w:tcPr>
          <w:p w14:paraId="1403308C" w14:textId="77777777" w:rsidR="00CF0E09" w:rsidRPr="00CF0E09" w:rsidRDefault="00CF0E09" w:rsidP="00CF0E09">
            <w:pPr>
              <w:jc w:val="center"/>
              <w:rPr>
                <w:rFonts w:eastAsia="Times New Roman" w:cs="Times New Roman"/>
                <w:szCs w:val="20"/>
              </w:rPr>
            </w:pPr>
            <w:r w:rsidRPr="00CF0E09">
              <w:rPr>
                <w:rFonts w:eastAsia="Times New Roman" w:cs="Times New Roman"/>
              </w:rPr>
              <w:t>99,008</w:t>
            </w:r>
          </w:p>
        </w:tc>
        <w:tc>
          <w:tcPr>
            <w:tcW w:w="670" w:type="pct"/>
            <w:tcBorders>
              <w:top w:val="nil"/>
              <w:left w:val="nil"/>
              <w:bottom w:val="nil"/>
              <w:right w:val="nil"/>
            </w:tcBorders>
          </w:tcPr>
          <w:p w14:paraId="596A17F7" w14:textId="77777777" w:rsidR="00CF0E09" w:rsidRPr="00CF0E09" w:rsidRDefault="00CF0E09" w:rsidP="00CF0E09">
            <w:pPr>
              <w:jc w:val="center"/>
              <w:rPr>
                <w:rFonts w:eastAsia="Times New Roman" w:cs="Times New Roman"/>
                <w:szCs w:val="20"/>
              </w:rPr>
            </w:pPr>
            <w:r w:rsidRPr="00CF0E09">
              <w:rPr>
                <w:rFonts w:eastAsia="Times New Roman" w:cs="Times New Roman"/>
              </w:rPr>
              <w:t>94,658</w:t>
            </w:r>
          </w:p>
        </w:tc>
        <w:tc>
          <w:tcPr>
            <w:tcW w:w="670" w:type="pct"/>
            <w:tcBorders>
              <w:top w:val="nil"/>
              <w:left w:val="nil"/>
              <w:bottom w:val="nil"/>
              <w:right w:val="nil"/>
            </w:tcBorders>
          </w:tcPr>
          <w:p w14:paraId="562645E8" w14:textId="77777777" w:rsidR="00CF0E09" w:rsidRPr="00CF0E09" w:rsidRDefault="00CF0E09" w:rsidP="00CF0E09">
            <w:pPr>
              <w:jc w:val="center"/>
              <w:rPr>
                <w:rFonts w:eastAsia="Times New Roman" w:cs="Times New Roman"/>
                <w:szCs w:val="20"/>
              </w:rPr>
            </w:pPr>
            <w:r w:rsidRPr="00CF0E09">
              <w:rPr>
                <w:rFonts w:eastAsia="Times New Roman" w:cs="Times New Roman"/>
              </w:rPr>
              <w:t>91,713</w:t>
            </w:r>
          </w:p>
        </w:tc>
        <w:tc>
          <w:tcPr>
            <w:tcW w:w="668" w:type="pct"/>
            <w:tcBorders>
              <w:top w:val="nil"/>
              <w:left w:val="nil"/>
              <w:bottom w:val="nil"/>
              <w:right w:val="nil"/>
            </w:tcBorders>
          </w:tcPr>
          <w:p w14:paraId="1554B3B2" w14:textId="77777777" w:rsidR="00CF0E09" w:rsidRPr="00CF0E09" w:rsidRDefault="00CF0E09" w:rsidP="00CF0E09">
            <w:pPr>
              <w:jc w:val="center"/>
              <w:rPr>
                <w:rFonts w:eastAsia="Times New Roman" w:cs="Times New Roman"/>
                <w:szCs w:val="20"/>
              </w:rPr>
            </w:pPr>
            <w:r w:rsidRPr="00CF0E09">
              <w:rPr>
                <w:rFonts w:eastAsia="Times New Roman" w:cs="Times New Roman"/>
              </w:rPr>
              <w:t>80,676</w:t>
            </w:r>
          </w:p>
        </w:tc>
      </w:tr>
      <w:tr w:rsidR="00CF0E09" w:rsidRPr="00CF0E09" w14:paraId="545DF6CE" w14:textId="77777777" w:rsidTr="00377598">
        <w:trPr>
          <w:trHeight w:val="264"/>
        </w:trPr>
        <w:tc>
          <w:tcPr>
            <w:tcW w:w="1646" w:type="pct"/>
            <w:tcBorders>
              <w:top w:val="nil"/>
              <w:left w:val="nil"/>
              <w:bottom w:val="nil"/>
              <w:right w:val="nil"/>
            </w:tcBorders>
            <w:noWrap/>
            <w:vAlign w:val="bottom"/>
            <w:hideMark/>
          </w:tcPr>
          <w:p w14:paraId="24842A8C"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Average Monthly Nonfarm Wage </w:t>
            </w:r>
            <w:r w:rsidRPr="00CF0E09">
              <w:rPr>
                <w:rFonts w:eastAsia="Times New Roman" w:cs="Times New Roman"/>
                <w:szCs w:val="20"/>
                <w:vertAlign w:val="superscript"/>
              </w:rPr>
              <w:t>(1)</w:t>
            </w:r>
          </w:p>
        </w:tc>
        <w:tc>
          <w:tcPr>
            <w:tcW w:w="676" w:type="pct"/>
            <w:tcBorders>
              <w:top w:val="nil"/>
              <w:left w:val="nil"/>
              <w:bottom w:val="nil"/>
              <w:right w:val="nil"/>
            </w:tcBorders>
            <w:vAlign w:val="bottom"/>
          </w:tcPr>
          <w:p w14:paraId="7D60FBB9" w14:textId="77777777" w:rsidR="00CF0E09" w:rsidRPr="00CF0E09" w:rsidRDefault="00CF0E09" w:rsidP="00CF0E09">
            <w:pPr>
              <w:jc w:val="center"/>
              <w:rPr>
                <w:rFonts w:eastAsia="Times New Roman" w:cs="Times New Roman"/>
                <w:szCs w:val="20"/>
              </w:rPr>
            </w:pPr>
            <w:r w:rsidRPr="00CF0E09">
              <w:rPr>
                <w:rFonts w:eastAsia="Times New Roman" w:cs="Times New Roman"/>
                <w:szCs w:val="20"/>
              </w:rPr>
              <w:t>$6,624</w:t>
            </w:r>
          </w:p>
        </w:tc>
        <w:tc>
          <w:tcPr>
            <w:tcW w:w="670" w:type="pct"/>
            <w:tcBorders>
              <w:top w:val="nil"/>
              <w:left w:val="nil"/>
              <w:bottom w:val="nil"/>
              <w:right w:val="nil"/>
            </w:tcBorders>
          </w:tcPr>
          <w:p w14:paraId="0CA5D143" w14:textId="77777777" w:rsidR="00CF0E09" w:rsidRPr="00CF0E09" w:rsidRDefault="00CF0E09" w:rsidP="00CF0E09">
            <w:pPr>
              <w:jc w:val="center"/>
              <w:rPr>
                <w:rFonts w:eastAsia="Times New Roman" w:cs="Times New Roman"/>
                <w:szCs w:val="20"/>
              </w:rPr>
            </w:pPr>
            <w:r w:rsidRPr="00CF0E09">
              <w:rPr>
                <w:rFonts w:eastAsia="Times New Roman" w:cs="Times New Roman"/>
              </w:rPr>
              <w:t>6,343</w:t>
            </w:r>
          </w:p>
        </w:tc>
        <w:tc>
          <w:tcPr>
            <w:tcW w:w="670" w:type="pct"/>
            <w:tcBorders>
              <w:top w:val="nil"/>
              <w:left w:val="nil"/>
              <w:bottom w:val="nil"/>
              <w:right w:val="nil"/>
            </w:tcBorders>
          </w:tcPr>
          <w:p w14:paraId="50599DED" w14:textId="77777777" w:rsidR="00CF0E09" w:rsidRPr="00CF0E09" w:rsidRDefault="00CF0E09" w:rsidP="00CF0E09">
            <w:pPr>
              <w:jc w:val="center"/>
              <w:rPr>
                <w:rFonts w:eastAsia="Times New Roman" w:cs="Times New Roman"/>
                <w:szCs w:val="20"/>
              </w:rPr>
            </w:pPr>
            <w:r w:rsidRPr="00CF0E09">
              <w:rPr>
                <w:rFonts w:eastAsia="Times New Roman" w:cs="Times New Roman"/>
              </w:rPr>
              <w:t>6,085</w:t>
            </w:r>
          </w:p>
        </w:tc>
        <w:tc>
          <w:tcPr>
            <w:tcW w:w="670" w:type="pct"/>
            <w:tcBorders>
              <w:top w:val="nil"/>
              <w:left w:val="nil"/>
              <w:bottom w:val="nil"/>
              <w:right w:val="nil"/>
            </w:tcBorders>
          </w:tcPr>
          <w:p w14:paraId="190C7BD8" w14:textId="77777777" w:rsidR="00CF0E09" w:rsidRPr="00CF0E09" w:rsidRDefault="00CF0E09" w:rsidP="00CF0E09">
            <w:pPr>
              <w:jc w:val="center"/>
              <w:rPr>
                <w:rFonts w:eastAsia="Times New Roman" w:cs="Times New Roman"/>
                <w:szCs w:val="20"/>
              </w:rPr>
            </w:pPr>
            <w:r w:rsidRPr="00CF0E09">
              <w:rPr>
                <w:rFonts w:eastAsia="Times New Roman" w:cs="Times New Roman"/>
              </w:rPr>
              <w:t>5,812</w:t>
            </w:r>
          </w:p>
        </w:tc>
        <w:tc>
          <w:tcPr>
            <w:tcW w:w="668" w:type="pct"/>
            <w:tcBorders>
              <w:top w:val="nil"/>
              <w:left w:val="nil"/>
              <w:bottom w:val="nil"/>
              <w:right w:val="nil"/>
            </w:tcBorders>
          </w:tcPr>
          <w:p w14:paraId="0EF7D2C8" w14:textId="77777777" w:rsidR="00CF0E09" w:rsidRPr="00CF0E09" w:rsidRDefault="00CF0E09" w:rsidP="00CF0E09">
            <w:pPr>
              <w:jc w:val="center"/>
              <w:rPr>
                <w:rFonts w:eastAsia="Times New Roman" w:cs="Times New Roman"/>
                <w:szCs w:val="20"/>
              </w:rPr>
            </w:pPr>
            <w:r w:rsidRPr="00CF0E09">
              <w:rPr>
                <w:rFonts w:eastAsia="Times New Roman" w:cs="Times New Roman"/>
              </w:rPr>
              <w:t>5,466</w:t>
            </w:r>
          </w:p>
        </w:tc>
      </w:tr>
      <w:tr w:rsidR="00CF0E09" w:rsidRPr="00CF0E09" w14:paraId="6B26F0A6" w14:textId="77777777" w:rsidTr="00377598">
        <w:trPr>
          <w:trHeight w:val="264"/>
        </w:trPr>
        <w:tc>
          <w:tcPr>
            <w:tcW w:w="1646" w:type="pct"/>
            <w:tcBorders>
              <w:top w:val="nil"/>
              <w:left w:val="nil"/>
              <w:bottom w:val="nil"/>
              <w:right w:val="nil"/>
            </w:tcBorders>
            <w:noWrap/>
            <w:vAlign w:val="bottom"/>
            <w:hideMark/>
          </w:tcPr>
          <w:p w14:paraId="33D226DC" w14:textId="77777777" w:rsidR="00CF0E09" w:rsidRPr="00CF0E09" w:rsidRDefault="00CF0E09" w:rsidP="00CF0E09">
            <w:pPr>
              <w:jc w:val="both"/>
              <w:rPr>
                <w:rFonts w:eastAsia="Times New Roman" w:cs="Times New Roman"/>
                <w:szCs w:val="20"/>
              </w:rPr>
            </w:pPr>
          </w:p>
        </w:tc>
        <w:tc>
          <w:tcPr>
            <w:tcW w:w="676" w:type="pct"/>
            <w:tcBorders>
              <w:top w:val="nil"/>
              <w:left w:val="nil"/>
              <w:bottom w:val="nil"/>
              <w:right w:val="nil"/>
            </w:tcBorders>
            <w:vAlign w:val="bottom"/>
          </w:tcPr>
          <w:p w14:paraId="2029A096" w14:textId="77777777" w:rsidR="00CF0E09" w:rsidRPr="00CF0E09" w:rsidRDefault="00CF0E09" w:rsidP="00CF0E09">
            <w:pPr>
              <w:jc w:val="center"/>
              <w:rPr>
                <w:rFonts w:eastAsia="Times New Roman" w:cs="Times New Roman"/>
                <w:szCs w:val="20"/>
              </w:rPr>
            </w:pPr>
          </w:p>
        </w:tc>
        <w:tc>
          <w:tcPr>
            <w:tcW w:w="670" w:type="pct"/>
            <w:tcBorders>
              <w:top w:val="nil"/>
              <w:left w:val="nil"/>
              <w:bottom w:val="nil"/>
              <w:right w:val="nil"/>
            </w:tcBorders>
            <w:noWrap/>
          </w:tcPr>
          <w:p w14:paraId="78026C16" w14:textId="77777777" w:rsidR="00CF0E09" w:rsidRPr="00CF0E09" w:rsidRDefault="00CF0E09" w:rsidP="00CF0E09">
            <w:pPr>
              <w:jc w:val="center"/>
              <w:rPr>
                <w:rFonts w:eastAsia="Times New Roman" w:cs="Times New Roman"/>
                <w:szCs w:val="20"/>
              </w:rPr>
            </w:pPr>
          </w:p>
        </w:tc>
        <w:tc>
          <w:tcPr>
            <w:tcW w:w="670" w:type="pct"/>
            <w:tcBorders>
              <w:top w:val="nil"/>
              <w:left w:val="nil"/>
              <w:bottom w:val="nil"/>
              <w:right w:val="nil"/>
            </w:tcBorders>
            <w:noWrap/>
          </w:tcPr>
          <w:p w14:paraId="0FF980C8" w14:textId="77777777" w:rsidR="00CF0E09" w:rsidRPr="00CF0E09" w:rsidRDefault="00CF0E09" w:rsidP="00CF0E09">
            <w:pPr>
              <w:jc w:val="center"/>
              <w:rPr>
                <w:rFonts w:eastAsia="Times New Roman" w:cs="Times New Roman"/>
                <w:szCs w:val="20"/>
              </w:rPr>
            </w:pPr>
          </w:p>
        </w:tc>
        <w:tc>
          <w:tcPr>
            <w:tcW w:w="670" w:type="pct"/>
            <w:tcBorders>
              <w:top w:val="nil"/>
              <w:left w:val="nil"/>
              <w:bottom w:val="nil"/>
              <w:right w:val="nil"/>
            </w:tcBorders>
            <w:noWrap/>
          </w:tcPr>
          <w:p w14:paraId="71CE24A3" w14:textId="77777777" w:rsidR="00CF0E09" w:rsidRPr="00CF0E09" w:rsidRDefault="00CF0E09" w:rsidP="00CF0E09">
            <w:pPr>
              <w:jc w:val="center"/>
              <w:rPr>
                <w:rFonts w:eastAsia="Times New Roman" w:cs="Times New Roman"/>
                <w:szCs w:val="20"/>
              </w:rPr>
            </w:pPr>
          </w:p>
        </w:tc>
        <w:tc>
          <w:tcPr>
            <w:tcW w:w="668" w:type="pct"/>
            <w:tcBorders>
              <w:top w:val="nil"/>
              <w:left w:val="nil"/>
              <w:bottom w:val="nil"/>
              <w:right w:val="nil"/>
            </w:tcBorders>
            <w:noWrap/>
          </w:tcPr>
          <w:p w14:paraId="0C6072F6" w14:textId="77777777" w:rsidR="00CF0E09" w:rsidRPr="00CF0E09" w:rsidRDefault="00CF0E09" w:rsidP="00CF0E09">
            <w:pPr>
              <w:jc w:val="center"/>
              <w:rPr>
                <w:rFonts w:eastAsia="Times New Roman" w:cs="Times New Roman"/>
                <w:szCs w:val="20"/>
              </w:rPr>
            </w:pPr>
          </w:p>
        </w:tc>
      </w:tr>
      <w:tr w:rsidR="00CF0E09" w:rsidRPr="00CF0E09" w14:paraId="61BD4D8B" w14:textId="77777777" w:rsidTr="00377598">
        <w:trPr>
          <w:trHeight w:val="264"/>
        </w:trPr>
        <w:tc>
          <w:tcPr>
            <w:tcW w:w="1646" w:type="pct"/>
            <w:tcBorders>
              <w:top w:val="nil"/>
              <w:left w:val="nil"/>
              <w:bottom w:val="nil"/>
              <w:right w:val="nil"/>
            </w:tcBorders>
            <w:noWrap/>
            <w:vAlign w:val="bottom"/>
            <w:hideMark/>
          </w:tcPr>
          <w:p w14:paraId="4FEB13BA" w14:textId="77777777" w:rsidR="00CF0E09" w:rsidRPr="00CF0E09" w:rsidRDefault="00CF0E09" w:rsidP="00CF0E09">
            <w:pPr>
              <w:jc w:val="both"/>
              <w:rPr>
                <w:rFonts w:eastAsia="Times New Roman" w:cs="Times New Roman"/>
                <w:bCs/>
                <w:szCs w:val="20"/>
              </w:rPr>
            </w:pPr>
            <w:r w:rsidRPr="00CF0E09">
              <w:rPr>
                <w:rFonts w:eastAsia="Times New Roman" w:cs="Times New Roman"/>
                <w:bCs/>
                <w:szCs w:val="20"/>
              </w:rPr>
              <w:t>SALES &amp; CONSTRUCTION</w:t>
            </w:r>
          </w:p>
        </w:tc>
        <w:tc>
          <w:tcPr>
            <w:tcW w:w="676" w:type="pct"/>
            <w:tcBorders>
              <w:top w:val="nil"/>
              <w:left w:val="nil"/>
              <w:bottom w:val="nil"/>
              <w:right w:val="nil"/>
            </w:tcBorders>
            <w:vAlign w:val="bottom"/>
          </w:tcPr>
          <w:p w14:paraId="0860B77E" w14:textId="77777777" w:rsidR="00CF0E09" w:rsidRPr="00CF0E09" w:rsidRDefault="00CF0E09" w:rsidP="00CF0E09">
            <w:pPr>
              <w:jc w:val="center"/>
              <w:rPr>
                <w:rFonts w:eastAsia="Times New Roman" w:cs="Times New Roman"/>
                <w:szCs w:val="20"/>
                <w:u w:val="single"/>
              </w:rPr>
            </w:pPr>
            <w:r w:rsidRPr="00CF0E09">
              <w:rPr>
                <w:rFonts w:eastAsia="Times New Roman" w:cs="Times New Roman"/>
                <w:szCs w:val="20"/>
                <w:u w:val="single"/>
              </w:rPr>
              <w:t>2025</w:t>
            </w:r>
          </w:p>
        </w:tc>
        <w:tc>
          <w:tcPr>
            <w:tcW w:w="670" w:type="pct"/>
            <w:tcBorders>
              <w:top w:val="nil"/>
              <w:left w:val="nil"/>
              <w:bottom w:val="nil"/>
              <w:right w:val="nil"/>
            </w:tcBorders>
          </w:tcPr>
          <w:p w14:paraId="016C05FD" w14:textId="77777777" w:rsidR="00CF0E09" w:rsidRPr="00CF0E09" w:rsidRDefault="00CF0E09" w:rsidP="00CF0E09">
            <w:pPr>
              <w:jc w:val="center"/>
              <w:rPr>
                <w:rFonts w:eastAsia="Times New Roman" w:cs="Times New Roman"/>
                <w:szCs w:val="20"/>
                <w:u w:val="single"/>
              </w:rPr>
            </w:pPr>
            <w:r w:rsidRPr="00CF0E09">
              <w:rPr>
                <w:rFonts w:eastAsia="Times New Roman" w:cs="Times New Roman"/>
                <w:u w:val="single"/>
              </w:rPr>
              <w:t>2024</w:t>
            </w:r>
          </w:p>
        </w:tc>
        <w:tc>
          <w:tcPr>
            <w:tcW w:w="670" w:type="pct"/>
            <w:tcBorders>
              <w:top w:val="nil"/>
              <w:left w:val="nil"/>
              <w:bottom w:val="nil"/>
              <w:right w:val="nil"/>
            </w:tcBorders>
          </w:tcPr>
          <w:p w14:paraId="282E6AA4" w14:textId="77777777" w:rsidR="00CF0E09" w:rsidRPr="00CF0E09" w:rsidRDefault="00CF0E09" w:rsidP="00CF0E09">
            <w:pPr>
              <w:jc w:val="center"/>
              <w:rPr>
                <w:rFonts w:eastAsia="Times New Roman" w:cs="Times New Roman"/>
                <w:szCs w:val="20"/>
                <w:u w:val="single"/>
              </w:rPr>
            </w:pPr>
            <w:r w:rsidRPr="00CF0E09">
              <w:rPr>
                <w:rFonts w:eastAsia="Times New Roman" w:cs="Times New Roman"/>
                <w:u w:val="single"/>
              </w:rPr>
              <w:t>2023</w:t>
            </w:r>
          </w:p>
        </w:tc>
        <w:tc>
          <w:tcPr>
            <w:tcW w:w="670" w:type="pct"/>
            <w:tcBorders>
              <w:top w:val="nil"/>
              <w:left w:val="nil"/>
              <w:bottom w:val="nil"/>
              <w:right w:val="nil"/>
            </w:tcBorders>
          </w:tcPr>
          <w:p w14:paraId="17BDE41B" w14:textId="77777777" w:rsidR="00CF0E09" w:rsidRPr="00CF0E09" w:rsidRDefault="00CF0E09" w:rsidP="00CF0E09">
            <w:pPr>
              <w:jc w:val="center"/>
              <w:rPr>
                <w:rFonts w:eastAsia="Times New Roman" w:cs="Times New Roman"/>
                <w:szCs w:val="20"/>
                <w:u w:val="single"/>
              </w:rPr>
            </w:pPr>
            <w:r w:rsidRPr="00CF0E09">
              <w:rPr>
                <w:rFonts w:eastAsia="Times New Roman" w:cs="Times New Roman"/>
                <w:u w:val="single"/>
              </w:rPr>
              <w:t>2022</w:t>
            </w:r>
          </w:p>
        </w:tc>
        <w:tc>
          <w:tcPr>
            <w:tcW w:w="668" w:type="pct"/>
            <w:tcBorders>
              <w:top w:val="nil"/>
              <w:left w:val="nil"/>
              <w:bottom w:val="nil"/>
              <w:right w:val="nil"/>
            </w:tcBorders>
          </w:tcPr>
          <w:p w14:paraId="6AE4AC92" w14:textId="77777777" w:rsidR="00CF0E09" w:rsidRPr="00CF0E09" w:rsidRDefault="00CF0E09" w:rsidP="00CF0E09">
            <w:pPr>
              <w:jc w:val="center"/>
              <w:rPr>
                <w:rFonts w:eastAsia="Times New Roman" w:cs="Times New Roman"/>
                <w:szCs w:val="20"/>
                <w:u w:val="single"/>
              </w:rPr>
            </w:pPr>
            <w:r w:rsidRPr="00CF0E09">
              <w:rPr>
                <w:rFonts w:eastAsia="Times New Roman" w:cs="Times New Roman"/>
                <w:u w:val="single"/>
              </w:rPr>
              <w:t>2021</w:t>
            </w:r>
          </w:p>
        </w:tc>
      </w:tr>
      <w:tr w:rsidR="00CF0E09" w:rsidRPr="00CF0E09" w14:paraId="6B75522D" w14:textId="77777777" w:rsidTr="00377598">
        <w:trPr>
          <w:trHeight w:val="264"/>
        </w:trPr>
        <w:tc>
          <w:tcPr>
            <w:tcW w:w="1646" w:type="pct"/>
            <w:tcBorders>
              <w:top w:val="nil"/>
              <w:left w:val="nil"/>
              <w:bottom w:val="nil"/>
              <w:right w:val="nil"/>
            </w:tcBorders>
            <w:vAlign w:val="bottom"/>
            <w:hideMark/>
          </w:tcPr>
          <w:p w14:paraId="3654B054" w14:textId="77777777" w:rsidR="00CF0E09" w:rsidRPr="00CF0E09" w:rsidRDefault="00CF0E09" w:rsidP="00CF0E09">
            <w:pPr>
              <w:jc w:val="both"/>
              <w:rPr>
                <w:rFonts w:eastAsia="Times New Roman" w:cs="Times New Roman"/>
                <w:color w:val="000000"/>
                <w:szCs w:val="20"/>
              </w:rPr>
            </w:pPr>
            <w:r w:rsidRPr="00CF0E09">
              <w:rPr>
                <w:rFonts w:eastAsia="Times New Roman" w:cs="Times New Roman"/>
                <w:color w:val="000000"/>
                <w:szCs w:val="20"/>
              </w:rPr>
              <w:t xml:space="preserve">Gross Taxable Sales ($000,000) </w:t>
            </w:r>
            <w:r w:rsidRPr="00CF0E09">
              <w:rPr>
                <w:rFonts w:eastAsia="Times New Roman" w:cs="Times New Roman"/>
                <w:color w:val="000000"/>
                <w:szCs w:val="20"/>
                <w:vertAlign w:val="superscript"/>
              </w:rPr>
              <w:t>(3)</w:t>
            </w:r>
          </w:p>
        </w:tc>
        <w:tc>
          <w:tcPr>
            <w:tcW w:w="676" w:type="pct"/>
            <w:tcBorders>
              <w:top w:val="nil"/>
              <w:left w:val="nil"/>
              <w:bottom w:val="nil"/>
              <w:right w:val="nil"/>
            </w:tcBorders>
          </w:tcPr>
          <w:p w14:paraId="69FD5065" w14:textId="77777777" w:rsidR="00CF0E09" w:rsidRPr="00CF0E09" w:rsidRDefault="00CF0E09" w:rsidP="00CF0E09">
            <w:pPr>
              <w:jc w:val="center"/>
              <w:rPr>
                <w:rFonts w:eastAsia="Times New Roman" w:cs="Times New Roman"/>
                <w:szCs w:val="20"/>
              </w:rPr>
            </w:pPr>
            <w:r w:rsidRPr="00CF0E09">
              <w:rPr>
                <w:rFonts w:eastAsia="Times New Roman" w:cs="Times New Roman"/>
              </w:rPr>
              <w:t>43,966.8</w:t>
            </w:r>
          </w:p>
        </w:tc>
        <w:tc>
          <w:tcPr>
            <w:tcW w:w="670" w:type="pct"/>
            <w:tcBorders>
              <w:top w:val="nil"/>
              <w:left w:val="nil"/>
              <w:bottom w:val="nil"/>
              <w:right w:val="nil"/>
            </w:tcBorders>
            <w:noWrap/>
          </w:tcPr>
          <w:p w14:paraId="36021047" w14:textId="77777777" w:rsidR="00CF0E09" w:rsidRPr="00CF0E09" w:rsidRDefault="00CF0E09" w:rsidP="00CF0E09">
            <w:pPr>
              <w:jc w:val="center"/>
              <w:rPr>
                <w:rFonts w:eastAsia="Times New Roman" w:cs="Times New Roman"/>
                <w:szCs w:val="20"/>
              </w:rPr>
            </w:pPr>
            <w:r w:rsidRPr="00CF0E09">
              <w:rPr>
                <w:rFonts w:eastAsia="Times New Roman" w:cs="Times New Roman"/>
              </w:rPr>
              <w:t>42,782.1</w:t>
            </w:r>
          </w:p>
        </w:tc>
        <w:tc>
          <w:tcPr>
            <w:tcW w:w="670" w:type="pct"/>
            <w:tcBorders>
              <w:top w:val="nil"/>
              <w:left w:val="nil"/>
              <w:bottom w:val="nil"/>
              <w:right w:val="nil"/>
            </w:tcBorders>
            <w:noWrap/>
          </w:tcPr>
          <w:p w14:paraId="0837489E" w14:textId="77777777" w:rsidR="00CF0E09" w:rsidRPr="00CF0E09" w:rsidRDefault="00CF0E09" w:rsidP="00CF0E09">
            <w:pPr>
              <w:jc w:val="center"/>
              <w:rPr>
                <w:rFonts w:eastAsia="Times New Roman" w:cs="Times New Roman"/>
                <w:szCs w:val="20"/>
              </w:rPr>
            </w:pPr>
            <w:r w:rsidRPr="00CF0E09">
              <w:rPr>
                <w:rFonts w:eastAsia="Times New Roman" w:cs="Times New Roman"/>
              </w:rPr>
              <w:t>41,950.6</w:t>
            </w:r>
          </w:p>
        </w:tc>
        <w:tc>
          <w:tcPr>
            <w:tcW w:w="670" w:type="pct"/>
            <w:tcBorders>
              <w:top w:val="nil"/>
              <w:left w:val="nil"/>
              <w:bottom w:val="nil"/>
              <w:right w:val="nil"/>
            </w:tcBorders>
            <w:noWrap/>
          </w:tcPr>
          <w:p w14:paraId="4BE97A30" w14:textId="77777777" w:rsidR="00CF0E09" w:rsidRPr="00CF0E09" w:rsidRDefault="00CF0E09" w:rsidP="00CF0E09">
            <w:pPr>
              <w:jc w:val="center"/>
              <w:rPr>
                <w:rFonts w:eastAsia="Times New Roman" w:cs="Times New Roman"/>
                <w:szCs w:val="20"/>
              </w:rPr>
            </w:pPr>
            <w:r w:rsidRPr="00CF0E09">
              <w:rPr>
                <w:rFonts w:eastAsia="Times New Roman" w:cs="Times New Roman"/>
              </w:rPr>
              <w:t>41,687.3</w:t>
            </w:r>
          </w:p>
        </w:tc>
        <w:tc>
          <w:tcPr>
            <w:tcW w:w="668" w:type="pct"/>
            <w:tcBorders>
              <w:top w:val="nil"/>
              <w:left w:val="nil"/>
              <w:bottom w:val="nil"/>
              <w:right w:val="nil"/>
            </w:tcBorders>
            <w:noWrap/>
          </w:tcPr>
          <w:p w14:paraId="57016465" w14:textId="77777777" w:rsidR="00CF0E09" w:rsidRPr="00CF0E09" w:rsidRDefault="00CF0E09" w:rsidP="00CF0E09">
            <w:pPr>
              <w:jc w:val="center"/>
              <w:rPr>
                <w:rFonts w:eastAsia="Times New Roman" w:cs="Times New Roman"/>
                <w:szCs w:val="20"/>
              </w:rPr>
            </w:pPr>
            <w:r w:rsidRPr="00CF0E09">
              <w:rPr>
                <w:rFonts w:eastAsia="Times New Roman" w:cs="Times New Roman"/>
              </w:rPr>
              <w:t>37,173.7</w:t>
            </w:r>
          </w:p>
        </w:tc>
      </w:tr>
      <w:tr w:rsidR="00CF0E09" w:rsidRPr="00CF0E09" w14:paraId="5DC29CF2" w14:textId="77777777" w:rsidTr="00377598">
        <w:trPr>
          <w:trHeight w:val="264"/>
        </w:trPr>
        <w:tc>
          <w:tcPr>
            <w:tcW w:w="1646" w:type="pct"/>
            <w:tcBorders>
              <w:top w:val="nil"/>
              <w:left w:val="nil"/>
              <w:bottom w:val="nil"/>
              <w:right w:val="nil"/>
            </w:tcBorders>
            <w:vAlign w:val="center"/>
            <w:hideMark/>
          </w:tcPr>
          <w:p w14:paraId="0EDE803C" w14:textId="77777777" w:rsidR="00CF0E09" w:rsidRPr="00CF0E09" w:rsidRDefault="00CF0E09" w:rsidP="00CF0E09">
            <w:pPr>
              <w:jc w:val="both"/>
              <w:rPr>
                <w:rFonts w:eastAsia="Times New Roman" w:cs="Times New Roman"/>
                <w:color w:val="000000"/>
                <w:szCs w:val="20"/>
              </w:rPr>
            </w:pPr>
            <w:r w:rsidRPr="00CF0E09">
              <w:rPr>
                <w:rFonts w:eastAsia="Times New Roman" w:cs="Times New Roman"/>
                <w:color w:val="000000"/>
                <w:szCs w:val="20"/>
              </w:rPr>
              <w:t xml:space="preserve">New Dwelling Units </w:t>
            </w:r>
            <w:r w:rsidRPr="00CF0E09">
              <w:rPr>
                <w:rFonts w:eastAsia="Times New Roman" w:cs="Times New Roman"/>
                <w:color w:val="000000"/>
                <w:szCs w:val="20"/>
                <w:vertAlign w:val="superscript"/>
              </w:rPr>
              <w:t>(4)</w:t>
            </w:r>
          </w:p>
        </w:tc>
        <w:tc>
          <w:tcPr>
            <w:tcW w:w="676" w:type="pct"/>
            <w:tcBorders>
              <w:top w:val="nil"/>
              <w:left w:val="nil"/>
              <w:bottom w:val="nil"/>
              <w:right w:val="nil"/>
            </w:tcBorders>
          </w:tcPr>
          <w:p w14:paraId="08EA4941" w14:textId="77777777" w:rsidR="00CF0E09" w:rsidRPr="00CF0E09" w:rsidRDefault="00CF0E09" w:rsidP="00CF0E09">
            <w:pPr>
              <w:jc w:val="center"/>
              <w:rPr>
                <w:rFonts w:eastAsia="Times New Roman" w:cs="Times New Roman"/>
                <w:szCs w:val="20"/>
              </w:rPr>
            </w:pPr>
            <w:r w:rsidRPr="00CF0E09">
              <w:rPr>
                <w:rFonts w:eastAsia="Times New Roman" w:cs="Times New Roman"/>
              </w:rPr>
              <w:t>7,253</w:t>
            </w:r>
          </w:p>
        </w:tc>
        <w:tc>
          <w:tcPr>
            <w:tcW w:w="670" w:type="pct"/>
            <w:tcBorders>
              <w:top w:val="nil"/>
              <w:left w:val="nil"/>
              <w:bottom w:val="nil"/>
              <w:right w:val="nil"/>
            </w:tcBorders>
            <w:noWrap/>
          </w:tcPr>
          <w:p w14:paraId="1F08F2B8" w14:textId="77777777" w:rsidR="00CF0E09" w:rsidRPr="00CF0E09" w:rsidRDefault="00CF0E09" w:rsidP="00CF0E09">
            <w:pPr>
              <w:jc w:val="center"/>
              <w:rPr>
                <w:rFonts w:eastAsia="Times New Roman" w:cs="Times New Roman"/>
                <w:szCs w:val="20"/>
              </w:rPr>
            </w:pPr>
            <w:r w:rsidRPr="00CF0E09">
              <w:rPr>
                <w:rFonts w:eastAsia="Times New Roman" w:cs="Times New Roman"/>
              </w:rPr>
              <w:t>4,093</w:t>
            </w:r>
          </w:p>
        </w:tc>
        <w:tc>
          <w:tcPr>
            <w:tcW w:w="670" w:type="pct"/>
            <w:tcBorders>
              <w:top w:val="nil"/>
              <w:left w:val="nil"/>
              <w:bottom w:val="nil"/>
              <w:right w:val="nil"/>
            </w:tcBorders>
            <w:noWrap/>
          </w:tcPr>
          <w:p w14:paraId="355447D9" w14:textId="77777777" w:rsidR="00CF0E09" w:rsidRPr="00CF0E09" w:rsidRDefault="00CF0E09" w:rsidP="00CF0E09">
            <w:pPr>
              <w:jc w:val="center"/>
              <w:rPr>
                <w:rFonts w:eastAsia="Times New Roman" w:cs="Times New Roman"/>
                <w:szCs w:val="20"/>
              </w:rPr>
            </w:pPr>
            <w:r w:rsidRPr="00CF0E09">
              <w:rPr>
                <w:rFonts w:eastAsia="Times New Roman" w:cs="Times New Roman"/>
              </w:rPr>
              <w:t>8,824</w:t>
            </w:r>
          </w:p>
        </w:tc>
        <w:tc>
          <w:tcPr>
            <w:tcW w:w="670" w:type="pct"/>
            <w:tcBorders>
              <w:top w:val="nil"/>
              <w:left w:val="nil"/>
              <w:bottom w:val="nil"/>
              <w:right w:val="nil"/>
            </w:tcBorders>
            <w:noWrap/>
          </w:tcPr>
          <w:p w14:paraId="7D5522D9" w14:textId="77777777" w:rsidR="00CF0E09" w:rsidRPr="00CF0E09" w:rsidRDefault="00CF0E09" w:rsidP="00CF0E09">
            <w:pPr>
              <w:jc w:val="center"/>
              <w:rPr>
                <w:rFonts w:eastAsia="Times New Roman" w:cs="Times New Roman"/>
                <w:szCs w:val="20"/>
              </w:rPr>
            </w:pPr>
            <w:r w:rsidRPr="00CF0E09">
              <w:rPr>
                <w:rFonts w:eastAsia="Times New Roman" w:cs="Times New Roman"/>
              </w:rPr>
              <w:t>8,864</w:t>
            </w:r>
          </w:p>
        </w:tc>
        <w:tc>
          <w:tcPr>
            <w:tcW w:w="668" w:type="pct"/>
            <w:tcBorders>
              <w:top w:val="nil"/>
              <w:left w:val="nil"/>
              <w:bottom w:val="nil"/>
              <w:right w:val="nil"/>
            </w:tcBorders>
            <w:noWrap/>
          </w:tcPr>
          <w:p w14:paraId="4626E8ED" w14:textId="77777777" w:rsidR="00CF0E09" w:rsidRPr="00CF0E09" w:rsidRDefault="00CF0E09" w:rsidP="00CF0E09">
            <w:pPr>
              <w:jc w:val="center"/>
              <w:rPr>
                <w:rFonts w:eastAsia="Times New Roman" w:cs="Times New Roman"/>
                <w:szCs w:val="20"/>
              </w:rPr>
            </w:pPr>
            <w:r w:rsidRPr="00CF0E09">
              <w:rPr>
                <w:rFonts w:eastAsia="Times New Roman" w:cs="Times New Roman"/>
              </w:rPr>
              <w:t>11,037</w:t>
            </w:r>
          </w:p>
        </w:tc>
      </w:tr>
      <w:tr w:rsidR="00CF0E09" w:rsidRPr="00CF0E09" w14:paraId="54C3CB52" w14:textId="77777777" w:rsidTr="00377598">
        <w:trPr>
          <w:trHeight w:val="264"/>
        </w:trPr>
        <w:tc>
          <w:tcPr>
            <w:tcW w:w="1646" w:type="pct"/>
            <w:tcBorders>
              <w:top w:val="nil"/>
              <w:left w:val="nil"/>
              <w:bottom w:val="nil"/>
              <w:right w:val="nil"/>
            </w:tcBorders>
            <w:vAlign w:val="center"/>
            <w:hideMark/>
          </w:tcPr>
          <w:p w14:paraId="0E0BC962" w14:textId="77777777" w:rsidR="00CF0E09" w:rsidRPr="00CF0E09" w:rsidRDefault="00CF0E09" w:rsidP="00CF0E09">
            <w:pPr>
              <w:jc w:val="both"/>
              <w:rPr>
                <w:rFonts w:eastAsia="Times New Roman" w:cs="Times New Roman"/>
                <w:color w:val="000000"/>
                <w:szCs w:val="20"/>
              </w:rPr>
            </w:pPr>
            <w:r w:rsidRPr="00CF0E09">
              <w:rPr>
                <w:rFonts w:eastAsia="Times New Roman" w:cs="Times New Roman"/>
                <w:color w:val="000000"/>
                <w:szCs w:val="20"/>
              </w:rPr>
              <w:t xml:space="preserve">Total Construction Value ($000) </w:t>
            </w:r>
            <w:r w:rsidRPr="00CF0E09">
              <w:rPr>
                <w:rFonts w:eastAsia="Times New Roman" w:cs="Times New Roman"/>
                <w:color w:val="000000"/>
                <w:szCs w:val="20"/>
                <w:vertAlign w:val="superscript"/>
              </w:rPr>
              <w:t>(4)</w:t>
            </w:r>
          </w:p>
        </w:tc>
        <w:tc>
          <w:tcPr>
            <w:tcW w:w="676" w:type="pct"/>
            <w:tcBorders>
              <w:top w:val="nil"/>
              <w:left w:val="nil"/>
              <w:bottom w:val="nil"/>
              <w:right w:val="nil"/>
            </w:tcBorders>
          </w:tcPr>
          <w:p w14:paraId="7539636E" w14:textId="77777777" w:rsidR="00CF0E09" w:rsidRPr="00CF0E09" w:rsidRDefault="00CF0E09" w:rsidP="00CF0E09">
            <w:pPr>
              <w:jc w:val="center"/>
              <w:rPr>
                <w:rFonts w:eastAsia="Times New Roman" w:cs="Times New Roman"/>
                <w:szCs w:val="20"/>
              </w:rPr>
            </w:pPr>
            <w:r w:rsidRPr="00CF0E09">
              <w:rPr>
                <w:rFonts w:eastAsia="Times New Roman" w:cs="Times New Roman"/>
              </w:rPr>
              <w:t>3,955,821.0</w:t>
            </w:r>
          </w:p>
        </w:tc>
        <w:tc>
          <w:tcPr>
            <w:tcW w:w="670" w:type="pct"/>
            <w:tcBorders>
              <w:top w:val="nil"/>
              <w:left w:val="nil"/>
              <w:bottom w:val="nil"/>
              <w:right w:val="nil"/>
            </w:tcBorders>
            <w:noWrap/>
          </w:tcPr>
          <w:p w14:paraId="35A860F5" w14:textId="77777777" w:rsidR="00CF0E09" w:rsidRPr="00CF0E09" w:rsidRDefault="00CF0E09" w:rsidP="00CF0E09">
            <w:pPr>
              <w:jc w:val="center"/>
              <w:rPr>
                <w:rFonts w:eastAsia="Times New Roman" w:cs="Times New Roman"/>
                <w:szCs w:val="20"/>
              </w:rPr>
            </w:pPr>
            <w:r w:rsidRPr="00CF0E09">
              <w:rPr>
                <w:rFonts w:eastAsia="Times New Roman" w:cs="Times New Roman"/>
              </w:rPr>
              <w:t>3,565,252.3</w:t>
            </w:r>
          </w:p>
        </w:tc>
        <w:tc>
          <w:tcPr>
            <w:tcW w:w="670" w:type="pct"/>
            <w:tcBorders>
              <w:top w:val="nil"/>
              <w:left w:val="nil"/>
              <w:bottom w:val="nil"/>
              <w:right w:val="nil"/>
            </w:tcBorders>
            <w:noWrap/>
          </w:tcPr>
          <w:p w14:paraId="179C635C" w14:textId="77777777" w:rsidR="00CF0E09" w:rsidRPr="00CF0E09" w:rsidRDefault="00CF0E09" w:rsidP="00CF0E09">
            <w:pPr>
              <w:jc w:val="center"/>
              <w:rPr>
                <w:rFonts w:eastAsia="Times New Roman" w:cs="Times New Roman"/>
                <w:szCs w:val="20"/>
              </w:rPr>
            </w:pPr>
            <w:r w:rsidRPr="00CF0E09">
              <w:rPr>
                <w:rFonts w:eastAsia="Times New Roman" w:cs="Times New Roman"/>
              </w:rPr>
              <w:t>4,463,195.5</w:t>
            </w:r>
          </w:p>
        </w:tc>
        <w:tc>
          <w:tcPr>
            <w:tcW w:w="670" w:type="pct"/>
            <w:tcBorders>
              <w:top w:val="nil"/>
              <w:left w:val="nil"/>
              <w:bottom w:val="nil"/>
              <w:right w:val="nil"/>
            </w:tcBorders>
            <w:noWrap/>
          </w:tcPr>
          <w:p w14:paraId="659C776B" w14:textId="77777777" w:rsidR="00CF0E09" w:rsidRPr="00CF0E09" w:rsidRDefault="00CF0E09" w:rsidP="00CF0E09">
            <w:pPr>
              <w:jc w:val="center"/>
              <w:rPr>
                <w:rFonts w:eastAsia="Times New Roman" w:cs="Times New Roman"/>
                <w:szCs w:val="20"/>
              </w:rPr>
            </w:pPr>
            <w:r w:rsidRPr="00CF0E09">
              <w:rPr>
                <w:rFonts w:eastAsia="Times New Roman" w:cs="Times New Roman"/>
              </w:rPr>
              <w:t>3,992,958.0</w:t>
            </w:r>
          </w:p>
        </w:tc>
        <w:tc>
          <w:tcPr>
            <w:tcW w:w="668" w:type="pct"/>
            <w:tcBorders>
              <w:top w:val="nil"/>
              <w:left w:val="nil"/>
              <w:bottom w:val="nil"/>
              <w:right w:val="nil"/>
            </w:tcBorders>
            <w:noWrap/>
          </w:tcPr>
          <w:p w14:paraId="3E9E2A26" w14:textId="77777777" w:rsidR="00CF0E09" w:rsidRPr="00CF0E09" w:rsidRDefault="00CF0E09" w:rsidP="00CF0E09">
            <w:pPr>
              <w:jc w:val="center"/>
              <w:rPr>
                <w:rFonts w:eastAsia="Times New Roman" w:cs="Times New Roman"/>
                <w:szCs w:val="20"/>
              </w:rPr>
            </w:pPr>
            <w:r w:rsidRPr="00CF0E09">
              <w:rPr>
                <w:rFonts w:eastAsia="Times New Roman" w:cs="Times New Roman"/>
              </w:rPr>
              <w:t>4,343,554.3</w:t>
            </w:r>
          </w:p>
        </w:tc>
      </w:tr>
      <w:tr w:rsidR="00CF0E09" w:rsidRPr="00CF0E09" w14:paraId="7051B50F" w14:textId="77777777" w:rsidTr="00377598">
        <w:trPr>
          <w:trHeight w:val="264"/>
        </w:trPr>
        <w:tc>
          <w:tcPr>
            <w:tcW w:w="1646" w:type="pct"/>
            <w:tcBorders>
              <w:top w:val="nil"/>
              <w:left w:val="nil"/>
              <w:bottom w:val="nil"/>
              <w:right w:val="nil"/>
            </w:tcBorders>
            <w:vAlign w:val="center"/>
            <w:hideMark/>
          </w:tcPr>
          <w:p w14:paraId="765BE89F" w14:textId="77777777" w:rsidR="00CF0E09" w:rsidRPr="00CF0E09" w:rsidRDefault="00CF0E09" w:rsidP="00CF0E09">
            <w:pPr>
              <w:jc w:val="both"/>
              <w:rPr>
                <w:rFonts w:eastAsia="Times New Roman" w:cs="Times New Roman"/>
                <w:color w:val="000000"/>
                <w:szCs w:val="20"/>
              </w:rPr>
            </w:pPr>
            <w:r w:rsidRPr="00CF0E09">
              <w:rPr>
                <w:rFonts w:eastAsia="Times New Roman" w:cs="Times New Roman"/>
                <w:color w:val="000000"/>
                <w:szCs w:val="20"/>
              </w:rPr>
              <w:t xml:space="preserve">New Residential Value ($000) </w:t>
            </w:r>
            <w:r w:rsidRPr="00CF0E09">
              <w:rPr>
                <w:rFonts w:eastAsia="Times New Roman" w:cs="Times New Roman"/>
                <w:color w:val="000000"/>
                <w:szCs w:val="20"/>
                <w:vertAlign w:val="superscript"/>
              </w:rPr>
              <w:t>(4)</w:t>
            </w:r>
          </w:p>
        </w:tc>
        <w:tc>
          <w:tcPr>
            <w:tcW w:w="676" w:type="pct"/>
            <w:tcBorders>
              <w:top w:val="nil"/>
              <w:left w:val="nil"/>
              <w:bottom w:val="nil"/>
              <w:right w:val="nil"/>
            </w:tcBorders>
          </w:tcPr>
          <w:p w14:paraId="3EF801D1" w14:textId="77777777" w:rsidR="00CF0E09" w:rsidRPr="00CF0E09" w:rsidRDefault="00CF0E09" w:rsidP="00CF0E09">
            <w:pPr>
              <w:jc w:val="center"/>
              <w:rPr>
                <w:rFonts w:eastAsia="Times New Roman" w:cs="Times New Roman"/>
                <w:szCs w:val="20"/>
              </w:rPr>
            </w:pPr>
            <w:r w:rsidRPr="00CF0E09">
              <w:rPr>
                <w:rFonts w:eastAsia="Times New Roman" w:cs="Times New Roman"/>
              </w:rPr>
              <w:t>1,821,054.7</w:t>
            </w:r>
          </w:p>
        </w:tc>
        <w:tc>
          <w:tcPr>
            <w:tcW w:w="670" w:type="pct"/>
            <w:tcBorders>
              <w:top w:val="nil"/>
              <w:left w:val="nil"/>
              <w:bottom w:val="nil"/>
              <w:right w:val="nil"/>
            </w:tcBorders>
            <w:noWrap/>
          </w:tcPr>
          <w:p w14:paraId="4B6A71B0" w14:textId="77777777" w:rsidR="00CF0E09" w:rsidRPr="00CF0E09" w:rsidRDefault="00CF0E09" w:rsidP="00CF0E09">
            <w:pPr>
              <w:jc w:val="center"/>
              <w:rPr>
                <w:rFonts w:eastAsia="Times New Roman" w:cs="Times New Roman"/>
                <w:szCs w:val="20"/>
              </w:rPr>
            </w:pPr>
            <w:r w:rsidRPr="00CF0E09">
              <w:rPr>
                <w:rFonts w:eastAsia="Times New Roman" w:cs="Times New Roman"/>
              </w:rPr>
              <w:t>1,015,070.2</w:t>
            </w:r>
          </w:p>
        </w:tc>
        <w:tc>
          <w:tcPr>
            <w:tcW w:w="670" w:type="pct"/>
            <w:tcBorders>
              <w:top w:val="nil"/>
              <w:left w:val="nil"/>
              <w:bottom w:val="nil"/>
              <w:right w:val="nil"/>
            </w:tcBorders>
            <w:noWrap/>
          </w:tcPr>
          <w:p w14:paraId="4D9840B5" w14:textId="77777777" w:rsidR="00CF0E09" w:rsidRPr="00CF0E09" w:rsidRDefault="00CF0E09" w:rsidP="00CF0E09">
            <w:pPr>
              <w:jc w:val="center"/>
              <w:rPr>
                <w:rFonts w:eastAsia="Times New Roman" w:cs="Times New Roman"/>
                <w:szCs w:val="20"/>
              </w:rPr>
            </w:pPr>
            <w:r w:rsidRPr="00CF0E09">
              <w:rPr>
                <w:rFonts w:eastAsia="Times New Roman" w:cs="Times New Roman"/>
              </w:rPr>
              <w:t>2,147,646.1</w:t>
            </w:r>
          </w:p>
        </w:tc>
        <w:tc>
          <w:tcPr>
            <w:tcW w:w="670" w:type="pct"/>
            <w:tcBorders>
              <w:top w:val="nil"/>
              <w:left w:val="nil"/>
              <w:bottom w:val="nil"/>
              <w:right w:val="nil"/>
            </w:tcBorders>
            <w:noWrap/>
          </w:tcPr>
          <w:p w14:paraId="64F73C70" w14:textId="77777777" w:rsidR="00CF0E09" w:rsidRPr="00CF0E09" w:rsidRDefault="00CF0E09" w:rsidP="00CF0E09">
            <w:pPr>
              <w:jc w:val="center"/>
              <w:rPr>
                <w:rFonts w:eastAsia="Times New Roman" w:cs="Times New Roman"/>
                <w:szCs w:val="20"/>
              </w:rPr>
            </w:pPr>
            <w:r w:rsidRPr="00CF0E09">
              <w:rPr>
                <w:rFonts w:eastAsia="Times New Roman" w:cs="Times New Roman"/>
              </w:rPr>
              <w:t>1,711,278.5</w:t>
            </w:r>
          </w:p>
        </w:tc>
        <w:tc>
          <w:tcPr>
            <w:tcW w:w="668" w:type="pct"/>
            <w:tcBorders>
              <w:top w:val="nil"/>
              <w:left w:val="nil"/>
              <w:bottom w:val="nil"/>
              <w:right w:val="nil"/>
            </w:tcBorders>
            <w:noWrap/>
          </w:tcPr>
          <w:p w14:paraId="7BD688F9" w14:textId="77777777" w:rsidR="00CF0E09" w:rsidRPr="00CF0E09" w:rsidRDefault="00CF0E09" w:rsidP="00CF0E09">
            <w:pPr>
              <w:jc w:val="center"/>
              <w:rPr>
                <w:rFonts w:eastAsia="Times New Roman" w:cs="Times New Roman"/>
                <w:szCs w:val="20"/>
              </w:rPr>
            </w:pPr>
            <w:r w:rsidRPr="00CF0E09">
              <w:rPr>
                <w:rFonts w:eastAsia="Times New Roman" w:cs="Times New Roman"/>
              </w:rPr>
              <w:t>2,153,788.4</w:t>
            </w:r>
          </w:p>
        </w:tc>
      </w:tr>
      <w:tr w:rsidR="00CF0E09" w:rsidRPr="00CF0E09" w14:paraId="5EAB1105" w14:textId="77777777" w:rsidTr="00377598">
        <w:trPr>
          <w:trHeight w:val="264"/>
        </w:trPr>
        <w:tc>
          <w:tcPr>
            <w:tcW w:w="1646" w:type="pct"/>
            <w:tcBorders>
              <w:top w:val="nil"/>
              <w:left w:val="nil"/>
              <w:bottom w:val="nil"/>
              <w:right w:val="nil"/>
            </w:tcBorders>
            <w:noWrap/>
            <w:vAlign w:val="bottom"/>
            <w:hideMark/>
          </w:tcPr>
          <w:p w14:paraId="099C035A"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New Nonresidential Value ($000) </w:t>
            </w:r>
            <w:r w:rsidRPr="00CF0E09">
              <w:rPr>
                <w:rFonts w:eastAsia="Times New Roman" w:cs="Times New Roman"/>
                <w:color w:val="000000"/>
                <w:szCs w:val="20"/>
                <w:vertAlign w:val="superscript"/>
              </w:rPr>
              <w:t>(4)</w:t>
            </w:r>
          </w:p>
        </w:tc>
        <w:tc>
          <w:tcPr>
            <w:tcW w:w="676" w:type="pct"/>
            <w:tcBorders>
              <w:top w:val="nil"/>
              <w:left w:val="nil"/>
              <w:bottom w:val="nil"/>
              <w:right w:val="nil"/>
            </w:tcBorders>
          </w:tcPr>
          <w:p w14:paraId="413953C2" w14:textId="77777777" w:rsidR="00CF0E09" w:rsidRPr="00CF0E09" w:rsidRDefault="00CF0E09" w:rsidP="00CF0E09">
            <w:pPr>
              <w:jc w:val="center"/>
              <w:rPr>
                <w:rFonts w:eastAsia="Times New Roman" w:cs="Times New Roman"/>
                <w:szCs w:val="20"/>
              </w:rPr>
            </w:pPr>
            <w:r w:rsidRPr="00CF0E09">
              <w:rPr>
                <w:rFonts w:eastAsia="Times New Roman" w:cs="Times New Roman"/>
              </w:rPr>
              <w:t>1,153,450.7</w:t>
            </w:r>
          </w:p>
        </w:tc>
        <w:tc>
          <w:tcPr>
            <w:tcW w:w="670" w:type="pct"/>
            <w:tcBorders>
              <w:top w:val="nil"/>
              <w:left w:val="nil"/>
              <w:bottom w:val="nil"/>
              <w:right w:val="nil"/>
            </w:tcBorders>
            <w:noWrap/>
          </w:tcPr>
          <w:p w14:paraId="4F4F1EEE" w14:textId="77777777" w:rsidR="00CF0E09" w:rsidRPr="00CF0E09" w:rsidRDefault="00CF0E09" w:rsidP="00CF0E09">
            <w:pPr>
              <w:jc w:val="center"/>
              <w:rPr>
                <w:rFonts w:eastAsia="Times New Roman" w:cs="Times New Roman"/>
                <w:szCs w:val="20"/>
              </w:rPr>
            </w:pPr>
            <w:r w:rsidRPr="00CF0E09">
              <w:rPr>
                <w:rFonts w:eastAsia="Times New Roman" w:cs="Times New Roman"/>
              </w:rPr>
              <w:t>637,834.0</w:t>
            </w:r>
          </w:p>
        </w:tc>
        <w:tc>
          <w:tcPr>
            <w:tcW w:w="670" w:type="pct"/>
            <w:tcBorders>
              <w:top w:val="nil"/>
              <w:left w:val="nil"/>
              <w:bottom w:val="nil"/>
              <w:right w:val="nil"/>
            </w:tcBorders>
            <w:noWrap/>
          </w:tcPr>
          <w:p w14:paraId="2962680E" w14:textId="77777777" w:rsidR="00CF0E09" w:rsidRPr="00CF0E09" w:rsidRDefault="00CF0E09" w:rsidP="00CF0E09">
            <w:pPr>
              <w:jc w:val="center"/>
              <w:rPr>
                <w:rFonts w:eastAsia="Times New Roman" w:cs="Times New Roman"/>
                <w:szCs w:val="20"/>
              </w:rPr>
            </w:pPr>
            <w:r w:rsidRPr="00CF0E09">
              <w:rPr>
                <w:rFonts w:eastAsia="Times New Roman" w:cs="Times New Roman"/>
              </w:rPr>
              <w:t>910,557.6</w:t>
            </w:r>
          </w:p>
        </w:tc>
        <w:tc>
          <w:tcPr>
            <w:tcW w:w="670" w:type="pct"/>
            <w:tcBorders>
              <w:top w:val="nil"/>
              <w:left w:val="nil"/>
              <w:bottom w:val="nil"/>
              <w:right w:val="nil"/>
            </w:tcBorders>
            <w:noWrap/>
          </w:tcPr>
          <w:p w14:paraId="3F3EA186" w14:textId="77777777" w:rsidR="00CF0E09" w:rsidRPr="00CF0E09" w:rsidRDefault="00CF0E09" w:rsidP="00CF0E09">
            <w:pPr>
              <w:jc w:val="center"/>
              <w:rPr>
                <w:rFonts w:eastAsia="Times New Roman" w:cs="Times New Roman"/>
                <w:szCs w:val="20"/>
              </w:rPr>
            </w:pPr>
            <w:r w:rsidRPr="00CF0E09">
              <w:rPr>
                <w:rFonts w:eastAsia="Times New Roman" w:cs="Times New Roman"/>
              </w:rPr>
              <w:t>1,303,331.3</w:t>
            </w:r>
          </w:p>
        </w:tc>
        <w:tc>
          <w:tcPr>
            <w:tcW w:w="668" w:type="pct"/>
            <w:tcBorders>
              <w:top w:val="nil"/>
              <w:left w:val="nil"/>
              <w:bottom w:val="nil"/>
              <w:right w:val="nil"/>
            </w:tcBorders>
            <w:noWrap/>
          </w:tcPr>
          <w:p w14:paraId="60C7739C" w14:textId="77777777" w:rsidR="00CF0E09" w:rsidRPr="00CF0E09" w:rsidRDefault="00CF0E09" w:rsidP="00CF0E09">
            <w:pPr>
              <w:jc w:val="center"/>
              <w:rPr>
                <w:rFonts w:eastAsia="Times New Roman" w:cs="Times New Roman"/>
                <w:szCs w:val="20"/>
              </w:rPr>
            </w:pPr>
            <w:r w:rsidRPr="00CF0E09">
              <w:rPr>
                <w:rFonts w:eastAsia="Times New Roman" w:cs="Times New Roman"/>
              </w:rPr>
              <w:t>1,056,514.3</w:t>
            </w:r>
          </w:p>
        </w:tc>
      </w:tr>
    </w:tbl>
    <w:bookmarkEnd w:id="305"/>
    <w:bookmarkEnd w:id="310"/>
    <w:p w14:paraId="63B8D57D" w14:textId="77777777" w:rsidR="00CF0E09" w:rsidRPr="00CF0E09" w:rsidRDefault="00CF0E09" w:rsidP="00CF0E09">
      <w:pPr>
        <w:keepNext/>
        <w:tabs>
          <w:tab w:val="right" w:pos="2880"/>
        </w:tabs>
        <w:spacing w:after="80"/>
        <w:jc w:val="both"/>
        <w:rPr>
          <w:rFonts w:eastAsia="Times New Roman" w:cs="Times New Roman"/>
          <w:szCs w:val="20"/>
          <w:u w:val="single"/>
        </w:rPr>
      </w:pPr>
      <w:r w:rsidRPr="00CF0E09">
        <w:rPr>
          <w:rFonts w:eastAsia="Times New Roman" w:cs="Times New Roman"/>
          <w:szCs w:val="20"/>
          <w:u w:val="single"/>
        </w:rPr>
        <w:tab/>
      </w:r>
    </w:p>
    <w:p w14:paraId="44E31319"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(Sources:  (1) Utah Department of Workforce Services; (2) U.S. Department of Commerce, Bureau of Economic Analysis, last updated February 2026; (3) Utah State Tax Commission; (4) University of Utah Ivory-Boyer Construction Database; Total Construction Value includes additions/alterations/repairs.)</w:t>
      </w:r>
      <w:bookmarkEnd w:id="308"/>
      <w:r w:rsidRPr="00CF0E09">
        <w:rPr>
          <w:rFonts w:eastAsia="Times New Roman" w:cs="Times New Roman"/>
          <w:szCs w:val="20"/>
        </w:rPr>
        <w:t xml:space="preserve">  </w:t>
      </w:r>
    </w:p>
    <w:bookmarkEnd w:id="311"/>
    <w:p w14:paraId="56607521" w14:textId="77777777" w:rsidR="00CF0E09" w:rsidRPr="00CF0E09" w:rsidRDefault="00CF0E09" w:rsidP="00CF0E09">
      <w:pPr>
        <w:jc w:val="both"/>
        <w:rPr>
          <w:rFonts w:eastAsia="Times New Roman" w:cs="Times New Roman"/>
          <w:b/>
          <w:szCs w:val="20"/>
        </w:rPr>
      </w:pPr>
      <w:r w:rsidRPr="00CF0E09">
        <w:rPr>
          <w:rFonts w:eastAsia="Times New Roman" w:cs="Times New Roman"/>
          <w:b/>
          <w:szCs w:val="20"/>
        </w:rPr>
        <w:br w:type="page"/>
      </w:r>
    </w:p>
    <w:p w14:paraId="4D7A6507" w14:textId="77777777" w:rsidR="00CF0E09" w:rsidRPr="00CF0E09" w:rsidRDefault="00CF0E09" w:rsidP="00CF0E09">
      <w:pPr>
        <w:keepNext/>
        <w:spacing w:after="60"/>
        <w:jc w:val="both"/>
        <w:rPr>
          <w:rFonts w:eastAsia="Times New Roman" w:cs="Times New Roman"/>
          <w:b/>
          <w:lang w:eastAsia="zh-CN"/>
        </w:rPr>
      </w:pPr>
      <w:r w:rsidRPr="00CF0E09">
        <w:rPr>
          <w:rFonts w:eastAsia="Times New Roman" w:cs="Times New Roman"/>
          <w:b/>
          <w:lang w:eastAsia="zh-CN"/>
        </w:rPr>
        <w:t>Major Employers in the County</w:t>
      </w:r>
    </w:p>
    <w:p w14:paraId="6B82A8EA" w14:textId="77777777" w:rsidR="00CF0E09" w:rsidRPr="00CF0E09" w:rsidRDefault="00CF0E09" w:rsidP="00CF0E09">
      <w:pPr>
        <w:jc w:val="both"/>
        <w:rPr>
          <w:rFonts w:eastAsia="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933"/>
        <w:gridCol w:w="3602"/>
        <w:gridCol w:w="1825"/>
      </w:tblGrid>
      <w:tr w:rsidR="00CF0E09" w:rsidRPr="00CF0E09" w14:paraId="4D1F300D" w14:textId="77777777" w:rsidTr="00377598">
        <w:tc>
          <w:tcPr>
            <w:tcW w:w="2101" w:type="pct"/>
            <w:noWrap/>
            <w:vAlign w:val="bottom"/>
            <w:hideMark/>
          </w:tcPr>
          <w:p w14:paraId="0E96FE04" w14:textId="77777777" w:rsidR="00CF0E09" w:rsidRPr="00CF0E09" w:rsidRDefault="00CF0E09" w:rsidP="00CF0E09">
            <w:pPr>
              <w:spacing w:after="40"/>
              <w:jc w:val="center"/>
              <w:rPr>
                <w:rFonts w:eastAsia="Times New Roman" w:cs="Times New Roman"/>
                <w:bCs/>
                <w:iCs/>
                <w:u w:val="single"/>
              </w:rPr>
            </w:pPr>
            <w:r w:rsidRPr="00CF0E09">
              <w:rPr>
                <w:rFonts w:eastAsia="Times New Roman" w:cs="Times New Roman"/>
                <w:bCs/>
                <w:iCs/>
                <w:u w:val="single"/>
              </w:rPr>
              <w:t>Company</w:t>
            </w:r>
          </w:p>
        </w:tc>
        <w:tc>
          <w:tcPr>
            <w:tcW w:w="1924" w:type="pct"/>
            <w:noWrap/>
            <w:vAlign w:val="bottom"/>
            <w:hideMark/>
          </w:tcPr>
          <w:p w14:paraId="519B8D3C" w14:textId="77777777" w:rsidR="00CF0E09" w:rsidRPr="00CF0E09" w:rsidRDefault="00CF0E09" w:rsidP="00CF0E09">
            <w:pPr>
              <w:spacing w:after="40"/>
              <w:jc w:val="center"/>
              <w:rPr>
                <w:rFonts w:eastAsia="Times New Roman" w:cs="Times New Roman"/>
                <w:bCs/>
                <w:iCs/>
                <w:u w:val="single"/>
              </w:rPr>
            </w:pPr>
            <w:r w:rsidRPr="00CF0E09">
              <w:rPr>
                <w:rFonts w:eastAsia="Times New Roman" w:cs="Times New Roman"/>
                <w:bCs/>
                <w:iCs/>
                <w:u w:val="single"/>
              </w:rPr>
              <w:t>Industry</w:t>
            </w:r>
          </w:p>
        </w:tc>
        <w:tc>
          <w:tcPr>
            <w:tcW w:w="975" w:type="pct"/>
            <w:noWrap/>
            <w:vAlign w:val="bottom"/>
            <w:hideMark/>
          </w:tcPr>
          <w:p w14:paraId="57860FF6" w14:textId="77777777" w:rsidR="00CF0E09" w:rsidRPr="00CF0E09" w:rsidRDefault="00CF0E09" w:rsidP="00CF0E09">
            <w:pPr>
              <w:spacing w:after="40"/>
              <w:jc w:val="center"/>
              <w:rPr>
                <w:rFonts w:eastAsia="Times New Roman" w:cs="Times New Roman"/>
                <w:bCs/>
                <w:iCs/>
                <w:u w:val="single"/>
              </w:rPr>
            </w:pPr>
            <w:r w:rsidRPr="00CF0E09">
              <w:rPr>
                <w:rFonts w:eastAsia="Times New Roman" w:cs="Times New Roman"/>
                <w:bCs/>
                <w:iCs/>
                <w:u w:val="single"/>
              </w:rPr>
              <w:t>Employment Range</w:t>
            </w:r>
          </w:p>
        </w:tc>
      </w:tr>
      <w:tr w:rsidR="00CF0E09" w:rsidRPr="00CF0E09" w14:paraId="7EE2B5BF" w14:textId="77777777" w:rsidTr="00377598">
        <w:tc>
          <w:tcPr>
            <w:tcW w:w="2101" w:type="pct"/>
            <w:noWrap/>
          </w:tcPr>
          <w:p w14:paraId="40833AD7" w14:textId="77777777" w:rsidR="00CF0E09" w:rsidRPr="00CF0E09" w:rsidRDefault="00CF0E09" w:rsidP="00CF0E09">
            <w:pPr>
              <w:jc w:val="both"/>
              <w:rPr>
                <w:rFonts w:eastAsia="Times New Roman" w:cs="Times New Roman"/>
              </w:rPr>
            </w:pPr>
            <w:r w:rsidRPr="00CF0E09">
              <w:rPr>
                <w:rFonts w:eastAsia="Times New Roman" w:cs="Times New Roman"/>
                <w:color w:val="000000"/>
              </w:rPr>
              <w:t>University of Utah</w:t>
            </w:r>
          </w:p>
        </w:tc>
        <w:tc>
          <w:tcPr>
            <w:tcW w:w="1924" w:type="pct"/>
            <w:noWrap/>
          </w:tcPr>
          <w:p w14:paraId="057514F6" w14:textId="77777777" w:rsidR="00CF0E09" w:rsidRPr="00CF0E09" w:rsidRDefault="00CF0E09" w:rsidP="00CF0E09">
            <w:pPr>
              <w:jc w:val="both"/>
              <w:rPr>
                <w:rFonts w:eastAsia="Times New Roman" w:cs="Times New Roman"/>
              </w:rPr>
            </w:pPr>
            <w:r w:rsidRPr="00CF0E09">
              <w:rPr>
                <w:rFonts w:eastAsia="Times New Roman" w:cs="Times New Roman"/>
                <w:color w:val="000000"/>
              </w:rPr>
              <w:t>Higher Education</w:t>
            </w:r>
          </w:p>
        </w:tc>
        <w:tc>
          <w:tcPr>
            <w:tcW w:w="975" w:type="pct"/>
            <w:noWrap/>
            <w:vAlign w:val="center"/>
          </w:tcPr>
          <w:p w14:paraId="77B1E673" w14:textId="77777777" w:rsidR="00CF0E09" w:rsidRPr="00CF0E09" w:rsidRDefault="00CF0E09" w:rsidP="00CF0E09">
            <w:pPr>
              <w:jc w:val="center"/>
              <w:rPr>
                <w:rFonts w:eastAsia="Times New Roman" w:cs="Times New Roman"/>
              </w:rPr>
            </w:pPr>
            <w:r w:rsidRPr="00CF0E09">
              <w:rPr>
                <w:rFonts w:eastAsia="Times New Roman" w:cs="Times New Roman"/>
                <w:color w:val="000000"/>
              </w:rPr>
              <w:t>20,000+</w:t>
            </w:r>
          </w:p>
        </w:tc>
      </w:tr>
      <w:tr w:rsidR="00CF0E09" w:rsidRPr="00CF0E09" w14:paraId="2F8EC615" w14:textId="77777777" w:rsidTr="00377598">
        <w:tc>
          <w:tcPr>
            <w:tcW w:w="2101" w:type="pct"/>
            <w:noWrap/>
          </w:tcPr>
          <w:p w14:paraId="5A6356D9" w14:textId="77777777" w:rsidR="00CF0E09" w:rsidRPr="00CF0E09" w:rsidRDefault="00CF0E09" w:rsidP="00CF0E09">
            <w:pPr>
              <w:jc w:val="both"/>
              <w:rPr>
                <w:rFonts w:eastAsia="Times New Roman" w:cs="Times New Roman"/>
                <w:color w:val="000000"/>
              </w:rPr>
            </w:pPr>
            <w:r w:rsidRPr="00CF0E09">
              <w:rPr>
                <w:rFonts w:eastAsia="Times New Roman" w:cs="Times New Roman"/>
                <w:color w:val="000000"/>
              </w:rPr>
              <w:t>Intermountain Health Care</w:t>
            </w:r>
          </w:p>
        </w:tc>
        <w:tc>
          <w:tcPr>
            <w:tcW w:w="1924" w:type="pct"/>
            <w:noWrap/>
          </w:tcPr>
          <w:p w14:paraId="3007A36A" w14:textId="77777777" w:rsidR="00CF0E09" w:rsidRPr="00CF0E09" w:rsidRDefault="00CF0E09" w:rsidP="00CF0E09">
            <w:pPr>
              <w:jc w:val="both"/>
              <w:rPr>
                <w:rFonts w:eastAsia="Times New Roman" w:cs="Times New Roman"/>
                <w:color w:val="000000"/>
              </w:rPr>
            </w:pPr>
            <w:r w:rsidRPr="00CF0E09">
              <w:rPr>
                <w:rFonts w:eastAsia="Times New Roman" w:cs="Times New Roman"/>
                <w:color w:val="000000"/>
              </w:rPr>
              <w:t>Health Care</w:t>
            </w:r>
          </w:p>
        </w:tc>
        <w:tc>
          <w:tcPr>
            <w:tcW w:w="975" w:type="pct"/>
            <w:noWrap/>
          </w:tcPr>
          <w:p w14:paraId="3014F885" w14:textId="77777777" w:rsidR="00CF0E09" w:rsidRPr="00CF0E09" w:rsidRDefault="00CF0E09" w:rsidP="00CF0E09">
            <w:pPr>
              <w:jc w:val="center"/>
              <w:rPr>
                <w:rFonts w:eastAsia="Times New Roman" w:cs="Times New Roman"/>
                <w:color w:val="000000"/>
              </w:rPr>
            </w:pPr>
            <w:r w:rsidRPr="00CF0E09">
              <w:rPr>
                <w:rFonts w:eastAsia="Times New Roman" w:cs="Times New Roman"/>
                <w:color w:val="000000"/>
              </w:rPr>
              <w:t>20,000+</w:t>
            </w:r>
          </w:p>
        </w:tc>
      </w:tr>
      <w:tr w:rsidR="00CF0E09" w:rsidRPr="00CF0E09" w14:paraId="4684A2F2" w14:textId="77777777" w:rsidTr="00377598">
        <w:tc>
          <w:tcPr>
            <w:tcW w:w="2101" w:type="pct"/>
            <w:noWrap/>
          </w:tcPr>
          <w:p w14:paraId="1351DD36" w14:textId="77777777" w:rsidR="00CF0E09" w:rsidRPr="00CF0E09" w:rsidRDefault="00CF0E09" w:rsidP="00CF0E09">
            <w:pPr>
              <w:jc w:val="both"/>
              <w:rPr>
                <w:rFonts w:eastAsia="Times New Roman" w:cs="Times New Roman"/>
                <w:color w:val="000000"/>
              </w:rPr>
            </w:pPr>
            <w:r w:rsidRPr="00CF0E09">
              <w:rPr>
                <w:rFonts w:eastAsia="Times New Roman" w:cs="Times New Roman"/>
              </w:rPr>
              <w:t>State of Utah</w:t>
            </w:r>
          </w:p>
        </w:tc>
        <w:tc>
          <w:tcPr>
            <w:tcW w:w="1924" w:type="pct"/>
            <w:noWrap/>
          </w:tcPr>
          <w:p w14:paraId="46A02254" w14:textId="77777777" w:rsidR="00CF0E09" w:rsidRPr="00CF0E09" w:rsidRDefault="00CF0E09" w:rsidP="00CF0E09">
            <w:pPr>
              <w:jc w:val="both"/>
              <w:rPr>
                <w:rFonts w:eastAsia="Times New Roman" w:cs="Times New Roman"/>
                <w:color w:val="000000"/>
              </w:rPr>
            </w:pPr>
            <w:r w:rsidRPr="00CF0E09">
              <w:rPr>
                <w:rFonts w:eastAsia="Times New Roman" w:cs="Times New Roman"/>
              </w:rPr>
              <w:t>State Government</w:t>
            </w:r>
          </w:p>
        </w:tc>
        <w:tc>
          <w:tcPr>
            <w:tcW w:w="975" w:type="pct"/>
            <w:noWrap/>
          </w:tcPr>
          <w:p w14:paraId="0851D5D3"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10,000-14,999</w:t>
            </w:r>
          </w:p>
        </w:tc>
      </w:tr>
      <w:tr w:rsidR="00CF0E09" w:rsidRPr="00CF0E09" w14:paraId="0BA71BF1" w14:textId="77777777" w:rsidTr="00377598">
        <w:tc>
          <w:tcPr>
            <w:tcW w:w="2101" w:type="pct"/>
            <w:noWrap/>
          </w:tcPr>
          <w:p w14:paraId="696BE698" w14:textId="77777777" w:rsidR="00CF0E09" w:rsidRPr="00CF0E09" w:rsidRDefault="00CF0E09" w:rsidP="00CF0E09">
            <w:pPr>
              <w:jc w:val="both"/>
              <w:rPr>
                <w:rFonts w:eastAsia="Times New Roman" w:cs="Times New Roman"/>
                <w:color w:val="000000"/>
              </w:rPr>
            </w:pPr>
            <w:r w:rsidRPr="00CF0E09">
              <w:rPr>
                <w:rFonts w:eastAsia="Times New Roman" w:cs="Times New Roman"/>
              </w:rPr>
              <w:t>Granite School District</w:t>
            </w:r>
          </w:p>
        </w:tc>
        <w:tc>
          <w:tcPr>
            <w:tcW w:w="1924" w:type="pct"/>
            <w:noWrap/>
          </w:tcPr>
          <w:p w14:paraId="6B7A3666" w14:textId="77777777" w:rsidR="00CF0E09" w:rsidRPr="00CF0E09" w:rsidRDefault="00CF0E09" w:rsidP="00CF0E09">
            <w:pPr>
              <w:jc w:val="both"/>
              <w:rPr>
                <w:rFonts w:eastAsia="Times New Roman" w:cs="Times New Roman"/>
                <w:color w:val="000000"/>
              </w:rPr>
            </w:pPr>
            <w:r w:rsidRPr="00CF0E09">
              <w:rPr>
                <w:rFonts w:eastAsia="Times New Roman" w:cs="Times New Roman"/>
              </w:rPr>
              <w:t>Public Education</w:t>
            </w:r>
          </w:p>
        </w:tc>
        <w:tc>
          <w:tcPr>
            <w:tcW w:w="975" w:type="pct"/>
            <w:noWrap/>
          </w:tcPr>
          <w:p w14:paraId="4A85D772" w14:textId="77777777" w:rsidR="00CF0E09" w:rsidRPr="00CF0E09" w:rsidRDefault="00CF0E09" w:rsidP="00CF0E09">
            <w:pPr>
              <w:jc w:val="center"/>
              <w:rPr>
                <w:rFonts w:eastAsia="Times New Roman" w:cs="Times New Roman"/>
                <w:color w:val="000000"/>
              </w:rPr>
            </w:pPr>
            <w:r w:rsidRPr="00CF0E09">
              <w:rPr>
                <w:rFonts w:eastAsia="Times New Roman" w:cs="Times New Roman"/>
              </w:rPr>
              <w:t>7,000-9,999</w:t>
            </w:r>
          </w:p>
        </w:tc>
      </w:tr>
      <w:tr w:rsidR="00CF0E09" w:rsidRPr="00CF0E09" w14:paraId="75BA5FD8" w14:textId="77777777" w:rsidTr="00377598">
        <w:tc>
          <w:tcPr>
            <w:tcW w:w="2101" w:type="pct"/>
            <w:noWrap/>
          </w:tcPr>
          <w:p w14:paraId="24E792C4" w14:textId="77777777" w:rsidR="00CF0E09" w:rsidRPr="00CF0E09" w:rsidRDefault="00CF0E09" w:rsidP="00CF0E09">
            <w:pPr>
              <w:jc w:val="both"/>
              <w:rPr>
                <w:rFonts w:eastAsia="Times New Roman" w:cs="Times New Roman"/>
                <w:color w:val="000000"/>
              </w:rPr>
            </w:pPr>
            <w:r w:rsidRPr="00CF0E09">
              <w:rPr>
                <w:rFonts w:eastAsia="Times New Roman" w:cs="Times New Roman"/>
              </w:rPr>
              <w:t>Jordan School District</w:t>
            </w:r>
          </w:p>
        </w:tc>
        <w:tc>
          <w:tcPr>
            <w:tcW w:w="1924" w:type="pct"/>
            <w:noWrap/>
          </w:tcPr>
          <w:p w14:paraId="62F6351B" w14:textId="77777777" w:rsidR="00CF0E09" w:rsidRPr="00CF0E09" w:rsidRDefault="00CF0E09" w:rsidP="00CF0E09">
            <w:pPr>
              <w:jc w:val="both"/>
              <w:rPr>
                <w:rFonts w:eastAsia="Times New Roman" w:cs="Times New Roman"/>
                <w:color w:val="000000"/>
              </w:rPr>
            </w:pPr>
            <w:r w:rsidRPr="00CF0E09">
              <w:rPr>
                <w:rFonts w:eastAsia="Times New Roman" w:cs="Times New Roman"/>
              </w:rPr>
              <w:t>Public Education</w:t>
            </w:r>
          </w:p>
        </w:tc>
        <w:tc>
          <w:tcPr>
            <w:tcW w:w="975" w:type="pct"/>
            <w:noWrap/>
          </w:tcPr>
          <w:p w14:paraId="1A6026BA" w14:textId="77777777" w:rsidR="00CF0E09" w:rsidRPr="00CF0E09" w:rsidRDefault="00CF0E09" w:rsidP="00CF0E09">
            <w:pPr>
              <w:jc w:val="center"/>
              <w:rPr>
                <w:rFonts w:eastAsia="Times New Roman" w:cs="Times New Roman"/>
                <w:color w:val="000000"/>
              </w:rPr>
            </w:pPr>
            <w:r w:rsidRPr="00CF0E09">
              <w:rPr>
                <w:rFonts w:eastAsia="Times New Roman" w:cs="Times New Roman"/>
              </w:rPr>
              <w:t>7,000-9,999</w:t>
            </w:r>
          </w:p>
        </w:tc>
      </w:tr>
      <w:tr w:rsidR="00CF0E09" w:rsidRPr="00CF0E09" w14:paraId="7488BB5F" w14:textId="77777777" w:rsidTr="00377598">
        <w:tc>
          <w:tcPr>
            <w:tcW w:w="2101" w:type="pct"/>
            <w:noWrap/>
          </w:tcPr>
          <w:p w14:paraId="09FBDD1B" w14:textId="77777777" w:rsidR="00CF0E09" w:rsidRPr="00CF0E09" w:rsidRDefault="00CF0E09" w:rsidP="00CF0E09">
            <w:pPr>
              <w:jc w:val="both"/>
              <w:rPr>
                <w:rFonts w:eastAsia="Times New Roman" w:cs="Times New Roman"/>
                <w:color w:val="000000"/>
              </w:rPr>
            </w:pPr>
            <w:r w:rsidRPr="00CF0E09">
              <w:rPr>
                <w:rFonts w:eastAsia="Times New Roman" w:cs="Times New Roman"/>
              </w:rPr>
              <w:t>Amazon.com</w:t>
            </w:r>
          </w:p>
        </w:tc>
        <w:tc>
          <w:tcPr>
            <w:tcW w:w="1924" w:type="pct"/>
            <w:noWrap/>
          </w:tcPr>
          <w:p w14:paraId="1E5DFD33" w14:textId="77777777" w:rsidR="00CF0E09" w:rsidRPr="00CF0E09" w:rsidRDefault="00CF0E09" w:rsidP="00CF0E09">
            <w:pPr>
              <w:jc w:val="both"/>
              <w:rPr>
                <w:rFonts w:eastAsia="Times New Roman" w:cs="Times New Roman"/>
                <w:color w:val="000000"/>
              </w:rPr>
            </w:pPr>
            <w:r w:rsidRPr="00CF0E09">
              <w:rPr>
                <w:rFonts w:eastAsia="Times New Roman" w:cs="Times New Roman"/>
              </w:rPr>
              <w:t>Local Messengers and Delivery</w:t>
            </w:r>
          </w:p>
        </w:tc>
        <w:tc>
          <w:tcPr>
            <w:tcW w:w="975" w:type="pct"/>
            <w:noWrap/>
          </w:tcPr>
          <w:p w14:paraId="16C73D56" w14:textId="77777777" w:rsidR="00CF0E09" w:rsidRPr="00CF0E09" w:rsidRDefault="00CF0E09" w:rsidP="00CF0E09">
            <w:pPr>
              <w:jc w:val="center"/>
              <w:rPr>
                <w:rFonts w:eastAsia="Times New Roman" w:cs="Times New Roman"/>
                <w:color w:val="000000"/>
              </w:rPr>
            </w:pPr>
            <w:r w:rsidRPr="00CF0E09">
              <w:rPr>
                <w:rFonts w:eastAsia="Times New Roman" w:cs="Times New Roman"/>
              </w:rPr>
              <w:t>7,000-9,999</w:t>
            </w:r>
          </w:p>
        </w:tc>
      </w:tr>
      <w:tr w:rsidR="00CF0E09" w:rsidRPr="00CF0E09" w14:paraId="5BAB10AA" w14:textId="77777777" w:rsidTr="00377598">
        <w:tc>
          <w:tcPr>
            <w:tcW w:w="2101" w:type="pct"/>
            <w:noWrap/>
          </w:tcPr>
          <w:p w14:paraId="3C890F04" w14:textId="77777777" w:rsidR="00CF0E09" w:rsidRPr="00CF0E09" w:rsidRDefault="00CF0E09" w:rsidP="00CF0E09">
            <w:pPr>
              <w:jc w:val="both"/>
              <w:rPr>
                <w:rFonts w:eastAsia="Times New Roman" w:cs="Times New Roman"/>
                <w:color w:val="000000"/>
              </w:rPr>
            </w:pPr>
            <w:r w:rsidRPr="00CF0E09">
              <w:rPr>
                <w:rFonts w:eastAsia="Times New Roman" w:cs="Times New Roman"/>
              </w:rPr>
              <w:t>Salt Lake County</w:t>
            </w:r>
          </w:p>
        </w:tc>
        <w:tc>
          <w:tcPr>
            <w:tcW w:w="1924" w:type="pct"/>
            <w:noWrap/>
          </w:tcPr>
          <w:p w14:paraId="7111EEAE" w14:textId="77777777" w:rsidR="00CF0E09" w:rsidRPr="00CF0E09" w:rsidRDefault="00CF0E09" w:rsidP="00CF0E09">
            <w:pPr>
              <w:jc w:val="both"/>
              <w:rPr>
                <w:rFonts w:eastAsia="Times New Roman" w:cs="Times New Roman"/>
                <w:color w:val="000000"/>
              </w:rPr>
            </w:pPr>
            <w:r w:rsidRPr="00CF0E09">
              <w:rPr>
                <w:rFonts w:eastAsia="Times New Roman" w:cs="Times New Roman"/>
              </w:rPr>
              <w:t>Local Government</w:t>
            </w:r>
          </w:p>
        </w:tc>
        <w:tc>
          <w:tcPr>
            <w:tcW w:w="975" w:type="pct"/>
            <w:noWrap/>
          </w:tcPr>
          <w:p w14:paraId="57FE8E6F" w14:textId="77777777" w:rsidR="00CF0E09" w:rsidRPr="00CF0E09" w:rsidRDefault="00CF0E09" w:rsidP="00CF0E09">
            <w:pPr>
              <w:jc w:val="center"/>
              <w:rPr>
                <w:rFonts w:eastAsia="Times New Roman" w:cs="Times New Roman"/>
                <w:color w:val="000000"/>
              </w:rPr>
            </w:pPr>
            <w:r w:rsidRPr="00CF0E09">
              <w:rPr>
                <w:rFonts w:eastAsia="Times New Roman" w:cs="Times New Roman"/>
              </w:rPr>
              <w:t>5,000-6,999</w:t>
            </w:r>
          </w:p>
        </w:tc>
      </w:tr>
      <w:tr w:rsidR="00CF0E09" w:rsidRPr="00CF0E09" w14:paraId="10FC359C" w14:textId="77777777" w:rsidTr="00377598">
        <w:tc>
          <w:tcPr>
            <w:tcW w:w="2101" w:type="pct"/>
            <w:noWrap/>
          </w:tcPr>
          <w:p w14:paraId="4CAB2984" w14:textId="77777777" w:rsidR="00CF0E09" w:rsidRPr="00CF0E09" w:rsidRDefault="00CF0E09" w:rsidP="00CF0E09">
            <w:pPr>
              <w:jc w:val="both"/>
              <w:rPr>
                <w:rFonts w:eastAsia="Times New Roman" w:cs="Times New Roman"/>
                <w:color w:val="000000"/>
              </w:rPr>
            </w:pPr>
            <w:r w:rsidRPr="00CF0E09">
              <w:rPr>
                <w:rFonts w:eastAsia="Times New Roman" w:cs="Times New Roman"/>
              </w:rPr>
              <w:t>Wal-Mart Associates</w:t>
            </w:r>
          </w:p>
        </w:tc>
        <w:tc>
          <w:tcPr>
            <w:tcW w:w="1924" w:type="pct"/>
            <w:noWrap/>
          </w:tcPr>
          <w:p w14:paraId="5D648C09" w14:textId="77777777" w:rsidR="00CF0E09" w:rsidRPr="00CF0E09" w:rsidRDefault="00CF0E09" w:rsidP="00CF0E09">
            <w:pPr>
              <w:jc w:val="both"/>
              <w:rPr>
                <w:rFonts w:eastAsia="Times New Roman" w:cs="Times New Roman"/>
                <w:color w:val="000000"/>
              </w:rPr>
            </w:pPr>
            <w:r w:rsidRPr="00CF0E09">
              <w:rPr>
                <w:rFonts w:eastAsia="Times New Roman" w:cs="Times New Roman"/>
              </w:rPr>
              <w:t>Warehouse Clubs and Supercenters</w:t>
            </w:r>
          </w:p>
        </w:tc>
        <w:tc>
          <w:tcPr>
            <w:tcW w:w="975" w:type="pct"/>
            <w:noWrap/>
          </w:tcPr>
          <w:p w14:paraId="755D225D" w14:textId="77777777" w:rsidR="00CF0E09" w:rsidRPr="00CF0E09" w:rsidRDefault="00CF0E09" w:rsidP="00CF0E09">
            <w:pPr>
              <w:jc w:val="center"/>
              <w:rPr>
                <w:rFonts w:eastAsia="Times New Roman" w:cs="Times New Roman"/>
                <w:color w:val="000000"/>
              </w:rPr>
            </w:pPr>
            <w:r w:rsidRPr="00CF0E09">
              <w:rPr>
                <w:rFonts w:eastAsia="Times New Roman" w:cs="Times New Roman"/>
              </w:rPr>
              <w:t>5,000-6,999</w:t>
            </w:r>
          </w:p>
        </w:tc>
      </w:tr>
      <w:tr w:rsidR="00CF0E09" w:rsidRPr="00CF0E09" w14:paraId="6E98FD15" w14:textId="77777777" w:rsidTr="00377598">
        <w:tc>
          <w:tcPr>
            <w:tcW w:w="2101" w:type="pct"/>
            <w:noWrap/>
          </w:tcPr>
          <w:p w14:paraId="36A163D6" w14:textId="77777777" w:rsidR="00CF0E09" w:rsidRPr="00CF0E09" w:rsidRDefault="00CF0E09" w:rsidP="00CF0E09">
            <w:pPr>
              <w:jc w:val="both"/>
              <w:rPr>
                <w:rFonts w:eastAsia="Times New Roman" w:cs="Times New Roman"/>
                <w:color w:val="000000"/>
              </w:rPr>
            </w:pPr>
            <w:r w:rsidRPr="00CF0E09">
              <w:rPr>
                <w:rFonts w:eastAsia="Times New Roman" w:cs="Times New Roman"/>
              </w:rPr>
              <w:t>Delta Airlines</w:t>
            </w:r>
          </w:p>
        </w:tc>
        <w:tc>
          <w:tcPr>
            <w:tcW w:w="1924" w:type="pct"/>
            <w:noWrap/>
          </w:tcPr>
          <w:p w14:paraId="687FCB20" w14:textId="77777777" w:rsidR="00CF0E09" w:rsidRPr="00CF0E09" w:rsidRDefault="00CF0E09" w:rsidP="00CF0E09">
            <w:pPr>
              <w:jc w:val="both"/>
              <w:rPr>
                <w:rFonts w:eastAsia="Times New Roman" w:cs="Times New Roman"/>
                <w:color w:val="000000"/>
              </w:rPr>
            </w:pPr>
            <w:r w:rsidRPr="00CF0E09">
              <w:rPr>
                <w:rFonts w:eastAsia="Times New Roman" w:cs="Times New Roman"/>
              </w:rPr>
              <w:t>Passenger Air Transportation</w:t>
            </w:r>
          </w:p>
        </w:tc>
        <w:tc>
          <w:tcPr>
            <w:tcW w:w="975" w:type="pct"/>
            <w:noWrap/>
          </w:tcPr>
          <w:p w14:paraId="09A08849" w14:textId="77777777" w:rsidR="00CF0E09" w:rsidRPr="00CF0E09" w:rsidRDefault="00CF0E09" w:rsidP="00CF0E09">
            <w:pPr>
              <w:jc w:val="center"/>
              <w:rPr>
                <w:rFonts w:eastAsia="Times New Roman" w:cs="Times New Roman"/>
                <w:color w:val="000000"/>
              </w:rPr>
            </w:pPr>
            <w:r w:rsidRPr="00CF0E09">
              <w:rPr>
                <w:rFonts w:eastAsia="Times New Roman" w:cs="Times New Roman"/>
              </w:rPr>
              <w:t>5,000-6,999</w:t>
            </w:r>
          </w:p>
        </w:tc>
      </w:tr>
      <w:tr w:rsidR="00CF0E09" w:rsidRPr="00CF0E09" w14:paraId="2DBC9237" w14:textId="77777777" w:rsidTr="00377598">
        <w:tc>
          <w:tcPr>
            <w:tcW w:w="2101" w:type="pct"/>
            <w:noWrap/>
          </w:tcPr>
          <w:p w14:paraId="7E32010A" w14:textId="77777777" w:rsidR="00CF0E09" w:rsidRPr="00CF0E09" w:rsidRDefault="00CF0E09" w:rsidP="00CF0E09">
            <w:pPr>
              <w:jc w:val="both"/>
              <w:rPr>
                <w:rFonts w:eastAsia="Times New Roman" w:cs="Times New Roman"/>
                <w:color w:val="000000"/>
              </w:rPr>
            </w:pPr>
            <w:r w:rsidRPr="00CF0E09">
              <w:rPr>
                <w:rFonts w:eastAsia="Times New Roman" w:cs="Times New Roman"/>
              </w:rPr>
              <w:t>Canyons School District</w:t>
            </w:r>
          </w:p>
        </w:tc>
        <w:tc>
          <w:tcPr>
            <w:tcW w:w="1924" w:type="pct"/>
            <w:noWrap/>
          </w:tcPr>
          <w:p w14:paraId="5F5EEAEC" w14:textId="77777777" w:rsidR="00CF0E09" w:rsidRPr="00CF0E09" w:rsidRDefault="00CF0E09" w:rsidP="00CF0E09">
            <w:pPr>
              <w:jc w:val="both"/>
              <w:rPr>
                <w:rFonts w:eastAsia="Times New Roman" w:cs="Times New Roman"/>
                <w:color w:val="000000"/>
              </w:rPr>
            </w:pPr>
            <w:r w:rsidRPr="00CF0E09">
              <w:rPr>
                <w:rFonts w:eastAsia="Times New Roman" w:cs="Times New Roman"/>
              </w:rPr>
              <w:t>Public Education</w:t>
            </w:r>
          </w:p>
        </w:tc>
        <w:tc>
          <w:tcPr>
            <w:tcW w:w="975" w:type="pct"/>
            <w:noWrap/>
          </w:tcPr>
          <w:p w14:paraId="5767372D" w14:textId="77777777" w:rsidR="00CF0E09" w:rsidRPr="00CF0E09" w:rsidRDefault="00CF0E09" w:rsidP="00CF0E09">
            <w:pPr>
              <w:jc w:val="center"/>
              <w:rPr>
                <w:rFonts w:eastAsia="Times New Roman" w:cs="Times New Roman"/>
                <w:color w:val="000000"/>
              </w:rPr>
            </w:pPr>
            <w:r w:rsidRPr="00CF0E09">
              <w:rPr>
                <w:rFonts w:eastAsia="Times New Roman" w:cs="Times New Roman"/>
              </w:rPr>
              <w:t>4,000-4,999</w:t>
            </w:r>
          </w:p>
        </w:tc>
      </w:tr>
      <w:tr w:rsidR="00CF0E09" w:rsidRPr="00CF0E09" w14:paraId="7E55D916" w14:textId="77777777" w:rsidTr="00377598">
        <w:tc>
          <w:tcPr>
            <w:tcW w:w="2101" w:type="pct"/>
            <w:noWrap/>
          </w:tcPr>
          <w:p w14:paraId="36420BCB" w14:textId="77777777" w:rsidR="00CF0E09" w:rsidRPr="00CF0E09" w:rsidRDefault="00CF0E09" w:rsidP="00CF0E09">
            <w:pPr>
              <w:jc w:val="both"/>
              <w:rPr>
                <w:rFonts w:eastAsia="Times New Roman" w:cs="Times New Roman"/>
                <w:color w:val="000000"/>
              </w:rPr>
            </w:pPr>
            <w:r w:rsidRPr="00CF0E09">
              <w:rPr>
                <w:rFonts w:eastAsia="Times New Roman" w:cs="Times New Roman"/>
              </w:rPr>
              <w:t>ARUP Laboratories</w:t>
            </w:r>
          </w:p>
        </w:tc>
        <w:tc>
          <w:tcPr>
            <w:tcW w:w="1924" w:type="pct"/>
            <w:noWrap/>
          </w:tcPr>
          <w:p w14:paraId="1ECB2CFC" w14:textId="77777777" w:rsidR="00CF0E09" w:rsidRPr="00CF0E09" w:rsidRDefault="00CF0E09" w:rsidP="00CF0E09">
            <w:pPr>
              <w:jc w:val="both"/>
              <w:rPr>
                <w:rFonts w:eastAsia="Times New Roman" w:cs="Times New Roman"/>
                <w:color w:val="000000"/>
              </w:rPr>
            </w:pPr>
            <w:r w:rsidRPr="00CF0E09">
              <w:rPr>
                <w:rFonts w:eastAsia="Times New Roman" w:cs="Times New Roman"/>
              </w:rPr>
              <w:t>Medical Laboratories</w:t>
            </w:r>
          </w:p>
        </w:tc>
        <w:tc>
          <w:tcPr>
            <w:tcW w:w="975" w:type="pct"/>
            <w:noWrap/>
          </w:tcPr>
          <w:p w14:paraId="738988E6" w14:textId="77777777" w:rsidR="00CF0E09" w:rsidRPr="00CF0E09" w:rsidRDefault="00CF0E09" w:rsidP="00CF0E09">
            <w:pPr>
              <w:jc w:val="center"/>
              <w:rPr>
                <w:rFonts w:eastAsia="Times New Roman" w:cs="Times New Roman"/>
                <w:color w:val="000000"/>
              </w:rPr>
            </w:pPr>
            <w:r w:rsidRPr="00CF0E09">
              <w:rPr>
                <w:rFonts w:eastAsia="Times New Roman" w:cs="Times New Roman"/>
              </w:rPr>
              <w:t>4,000-4,999</w:t>
            </w:r>
          </w:p>
        </w:tc>
      </w:tr>
      <w:tr w:rsidR="00CF0E09" w:rsidRPr="00CF0E09" w14:paraId="01AB348A" w14:textId="77777777" w:rsidTr="00377598">
        <w:tc>
          <w:tcPr>
            <w:tcW w:w="2101" w:type="pct"/>
            <w:noWrap/>
          </w:tcPr>
          <w:p w14:paraId="3E7612CF" w14:textId="77777777" w:rsidR="00CF0E09" w:rsidRPr="00CF0E09" w:rsidRDefault="00CF0E09" w:rsidP="00CF0E09">
            <w:pPr>
              <w:jc w:val="both"/>
              <w:rPr>
                <w:rFonts w:eastAsia="Times New Roman" w:cs="Times New Roman"/>
                <w:color w:val="000000"/>
              </w:rPr>
            </w:pPr>
            <w:r w:rsidRPr="00CF0E09">
              <w:rPr>
                <w:rFonts w:eastAsia="Times New Roman" w:cs="Times New Roman"/>
              </w:rPr>
              <w:t>Salt Lake City</w:t>
            </w:r>
          </w:p>
        </w:tc>
        <w:tc>
          <w:tcPr>
            <w:tcW w:w="1924" w:type="pct"/>
            <w:noWrap/>
          </w:tcPr>
          <w:p w14:paraId="52BC65BE" w14:textId="77777777" w:rsidR="00CF0E09" w:rsidRPr="00CF0E09" w:rsidRDefault="00CF0E09" w:rsidP="00CF0E09">
            <w:pPr>
              <w:jc w:val="both"/>
              <w:rPr>
                <w:rFonts w:eastAsia="Times New Roman" w:cs="Times New Roman"/>
                <w:color w:val="000000"/>
              </w:rPr>
            </w:pPr>
            <w:r w:rsidRPr="00CF0E09">
              <w:rPr>
                <w:rFonts w:eastAsia="Times New Roman" w:cs="Times New Roman"/>
              </w:rPr>
              <w:t>Local Government</w:t>
            </w:r>
          </w:p>
        </w:tc>
        <w:tc>
          <w:tcPr>
            <w:tcW w:w="975" w:type="pct"/>
            <w:noWrap/>
          </w:tcPr>
          <w:p w14:paraId="2097FBFF" w14:textId="77777777" w:rsidR="00CF0E09" w:rsidRPr="00CF0E09" w:rsidRDefault="00CF0E09" w:rsidP="00CF0E09">
            <w:pPr>
              <w:jc w:val="center"/>
              <w:rPr>
                <w:rFonts w:eastAsia="Times New Roman" w:cs="Times New Roman"/>
                <w:color w:val="000000"/>
              </w:rPr>
            </w:pPr>
            <w:r w:rsidRPr="00CF0E09">
              <w:rPr>
                <w:rFonts w:eastAsia="Times New Roman" w:cs="Times New Roman"/>
              </w:rPr>
              <w:t>3,000-3,999</w:t>
            </w:r>
          </w:p>
        </w:tc>
      </w:tr>
      <w:tr w:rsidR="00CF0E09" w:rsidRPr="00CF0E09" w14:paraId="3BA4DBCC" w14:textId="77777777" w:rsidTr="00377598">
        <w:tc>
          <w:tcPr>
            <w:tcW w:w="2101" w:type="pct"/>
            <w:noWrap/>
          </w:tcPr>
          <w:p w14:paraId="200B4FE0" w14:textId="77777777" w:rsidR="00CF0E09" w:rsidRPr="00CF0E09" w:rsidRDefault="00CF0E09" w:rsidP="00CF0E09">
            <w:pPr>
              <w:jc w:val="both"/>
              <w:rPr>
                <w:rFonts w:eastAsia="Times New Roman" w:cs="Times New Roman"/>
                <w:color w:val="000000"/>
              </w:rPr>
            </w:pPr>
            <w:r w:rsidRPr="00CF0E09">
              <w:rPr>
                <w:rFonts w:eastAsia="Times New Roman" w:cs="Times New Roman"/>
              </w:rPr>
              <w:t>VA Salt Lake City Health Care</w:t>
            </w:r>
          </w:p>
        </w:tc>
        <w:tc>
          <w:tcPr>
            <w:tcW w:w="1924" w:type="pct"/>
            <w:noWrap/>
          </w:tcPr>
          <w:p w14:paraId="6D0411A0" w14:textId="77777777" w:rsidR="00CF0E09" w:rsidRPr="00CF0E09" w:rsidRDefault="00CF0E09" w:rsidP="00CF0E09">
            <w:pPr>
              <w:jc w:val="both"/>
              <w:rPr>
                <w:rFonts w:eastAsia="Times New Roman" w:cs="Times New Roman"/>
                <w:color w:val="000000"/>
              </w:rPr>
            </w:pPr>
            <w:r w:rsidRPr="00CF0E09">
              <w:rPr>
                <w:rFonts w:eastAsia="Times New Roman" w:cs="Times New Roman"/>
              </w:rPr>
              <w:t>Hospitals</w:t>
            </w:r>
          </w:p>
        </w:tc>
        <w:tc>
          <w:tcPr>
            <w:tcW w:w="975" w:type="pct"/>
            <w:noWrap/>
          </w:tcPr>
          <w:p w14:paraId="50252262" w14:textId="77777777" w:rsidR="00CF0E09" w:rsidRPr="00CF0E09" w:rsidRDefault="00CF0E09" w:rsidP="00CF0E09">
            <w:pPr>
              <w:jc w:val="center"/>
              <w:rPr>
                <w:rFonts w:eastAsia="Times New Roman" w:cs="Times New Roman"/>
                <w:color w:val="000000"/>
              </w:rPr>
            </w:pPr>
            <w:r w:rsidRPr="00CF0E09">
              <w:rPr>
                <w:rFonts w:eastAsia="Times New Roman" w:cs="Times New Roman"/>
              </w:rPr>
              <w:t>3,000-3,999</w:t>
            </w:r>
          </w:p>
        </w:tc>
      </w:tr>
      <w:tr w:rsidR="00CF0E09" w:rsidRPr="00CF0E09" w14:paraId="43FEA550" w14:textId="77777777" w:rsidTr="00377598">
        <w:tc>
          <w:tcPr>
            <w:tcW w:w="2101" w:type="pct"/>
            <w:noWrap/>
          </w:tcPr>
          <w:p w14:paraId="3E9104EA" w14:textId="77777777" w:rsidR="00CF0E09" w:rsidRPr="00CF0E09" w:rsidRDefault="00CF0E09" w:rsidP="00CF0E09">
            <w:pPr>
              <w:jc w:val="both"/>
              <w:rPr>
                <w:rFonts w:eastAsia="Times New Roman" w:cs="Times New Roman"/>
                <w:color w:val="000000"/>
              </w:rPr>
            </w:pPr>
            <w:r w:rsidRPr="00CF0E09">
              <w:rPr>
                <w:rFonts w:eastAsia="Times New Roman" w:cs="Times New Roman"/>
              </w:rPr>
              <w:t>Smith's</w:t>
            </w:r>
          </w:p>
        </w:tc>
        <w:tc>
          <w:tcPr>
            <w:tcW w:w="1924" w:type="pct"/>
            <w:noWrap/>
          </w:tcPr>
          <w:p w14:paraId="5C765CBF" w14:textId="77777777" w:rsidR="00CF0E09" w:rsidRPr="00CF0E09" w:rsidRDefault="00CF0E09" w:rsidP="00CF0E09">
            <w:pPr>
              <w:jc w:val="both"/>
              <w:rPr>
                <w:rFonts w:eastAsia="Times New Roman" w:cs="Times New Roman"/>
                <w:color w:val="000000"/>
              </w:rPr>
            </w:pPr>
            <w:r w:rsidRPr="00CF0E09">
              <w:rPr>
                <w:rFonts w:eastAsia="Times New Roman" w:cs="Times New Roman"/>
              </w:rPr>
              <w:t>Supermarkets</w:t>
            </w:r>
          </w:p>
        </w:tc>
        <w:tc>
          <w:tcPr>
            <w:tcW w:w="975" w:type="pct"/>
            <w:noWrap/>
          </w:tcPr>
          <w:p w14:paraId="43D10020" w14:textId="77777777" w:rsidR="00CF0E09" w:rsidRPr="00CF0E09" w:rsidRDefault="00CF0E09" w:rsidP="00CF0E09">
            <w:pPr>
              <w:jc w:val="center"/>
              <w:rPr>
                <w:rFonts w:eastAsia="Times New Roman" w:cs="Times New Roman"/>
                <w:color w:val="000000"/>
              </w:rPr>
            </w:pPr>
            <w:r w:rsidRPr="00CF0E09">
              <w:rPr>
                <w:rFonts w:eastAsia="Times New Roman" w:cs="Times New Roman"/>
              </w:rPr>
              <w:t>3,000-3,999</w:t>
            </w:r>
          </w:p>
        </w:tc>
      </w:tr>
      <w:tr w:rsidR="00CF0E09" w:rsidRPr="00CF0E09" w14:paraId="1CEA971D" w14:textId="77777777" w:rsidTr="00377598">
        <w:tc>
          <w:tcPr>
            <w:tcW w:w="2101" w:type="pct"/>
            <w:noWrap/>
          </w:tcPr>
          <w:p w14:paraId="1B18D82A" w14:textId="77777777" w:rsidR="00CF0E09" w:rsidRPr="00CF0E09" w:rsidRDefault="00CF0E09" w:rsidP="00CF0E09">
            <w:pPr>
              <w:jc w:val="both"/>
              <w:rPr>
                <w:rFonts w:eastAsia="Times New Roman" w:cs="Times New Roman"/>
                <w:color w:val="000000"/>
              </w:rPr>
            </w:pPr>
            <w:r w:rsidRPr="00CF0E09">
              <w:rPr>
                <w:rFonts w:eastAsia="Times New Roman" w:cs="Times New Roman"/>
              </w:rPr>
              <w:t>United Parcel Service</w:t>
            </w:r>
          </w:p>
        </w:tc>
        <w:tc>
          <w:tcPr>
            <w:tcW w:w="1924" w:type="pct"/>
            <w:noWrap/>
          </w:tcPr>
          <w:p w14:paraId="23297E87" w14:textId="77777777" w:rsidR="00CF0E09" w:rsidRPr="00CF0E09" w:rsidRDefault="00CF0E09" w:rsidP="00CF0E09">
            <w:pPr>
              <w:jc w:val="both"/>
              <w:rPr>
                <w:rFonts w:eastAsia="Times New Roman" w:cs="Times New Roman"/>
                <w:color w:val="000000"/>
              </w:rPr>
            </w:pPr>
            <w:r w:rsidRPr="00CF0E09">
              <w:rPr>
                <w:rFonts w:eastAsia="Times New Roman" w:cs="Times New Roman"/>
              </w:rPr>
              <w:t>Couriers and Express Delivery</w:t>
            </w:r>
          </w:p>
        </w:tc>
        <w:tc>
          <w:tcPr>
            <w:tcW w:w="975" w:type="pct"/>
            <w:noWrap/>
          </w:tcPr>
          <w:p w14:paraId="09E7CE86" w14:textId="77777777" w:rsidR="00CF0E09" w:rsidRPr="00CF0E09" w:rsidRDefault="00CF0E09" w:rsidP="00CF0E09">
            <w:pPr>
              <w:jc w:val="center"/>
              <w:rPr>
                <w:rFonts w:eastAsia="Times New Roman" w:cs="Times New Roman"/>
                <w:color w:val="000000"/>
              </w:rPr>
            </w:pPr>
            <w:r w:rsidRPr="00CF0E09">
              <w:rPr>
                <w:rFonts w:eastAsia="Times New Roman" w:cs="Times New Roman"/>
              </w:rPr>
              <w:t>3,000-3,999</w:t>
            </w:r>
          </w:p>
        </w:tc>
      </w:tr>
      <w:tr w:rsidR="00CF0E09" w:rsidRPr="00CF0E09" w14:paraId="4B75508A" w14:textId="77777777" w:rsidTr="00377598">
        <w:tc>
          <w:tcPr>
            <w:tcW w:w="2101" w:type="pct"/>
            <w:noWrap/>
          </w:tcPr>
          <w:p w14:paraId="6EB4025B" w14:textId="77777777" w:rsidR="00CF0E09" w:rsidRPr="00CF0E09" w:rsidRDefault="00CF0E09" w:rsidP="00CF0E09">
            <w:pPr>
              <w:jc w:val="both"/>
              <w:rPr>
                <w:rFonts w:eastAsia="Times New Roman" w:cs="Times New Roman"/>
                <w:color w:val="000000"/>
              </w:rPr>
            </w:pPr>
            <w:r w:rsidRPr="00CF0E09">
              <w:rPr>
                <w:rFonts w:eastAsia="Times New Roman" w:cs="Times New Roman"/>
              </w:rPr>
              <w:t>Salt Lake City School District</w:t>
            </w:r>
          </w:p>
        </w:tc>
        <w:tc>
          <w:tcPr>
            <w:tcW w:w="1924" w:type="pct"/>
            <w:noWrap/>
          </w:tcPr>
          <w:p w14:paraId="0ACB6090" w14:textId="77777777" w:rsidR="00CF0E09" w:rsidRPr="00CF0E09" w:rsidRDefault="00CF0E09" w:rsidP="00CF0E09">
            <w:pPr>
              <w:jc w:val="both"/>
              <w:rPr>
                <w:rFonts w:eastAsia="Times New Roman" w:cs="Times New Roman"/>
                <w:color w:val="000000"/>
              </w:rPr>
            </w:pPr>
            <w:r w:rsidRPr="00CF0E09">
              <w:rPr>
                <w:rFonts w:eastAsia="Times New Roman" w:cs="Times New Roman"/>
              </w:rPr>
              <w:t>Public Education</w:t>
            </w:r>
          </w:p>
        </w:tc>
        <w:tc>
          <w:tcPr>
            <w:tcW w:w="975" w:type="pct"/>
            <w:noWrap/>
          </w:tcPr>
          <w:p w14:paraId="37441F66" w14:textId="77777777" w:rsidR="00CF0E09" w:rsidRPr="00CF0E09" w:rsidRDefault="00CF0E09" w:rsidP="00CF0E09">
            <w:pPr>
              <w:jc w:val="center"/>
              <w:rPr>
                <w:rFonts w:eastAsia="Times New Roman" w:cs="Times New Roman"/>
                <w:color w:val="000000"/>
              </w:rPr>
            </w:pPr>
            <w:r w:rsidRPr="00CF0E09">
              <w:rPr>
                <w:rFonts w:eastAsia="Times New Roman" w:cs="Times New Roman"/>
              </w:rPr>
              <w:t>3,000-3,999</w:t>
            </w:r>
          </w:p>
        </w:tc>
      </w:tr>
      <w:tr w:rsidR="00CF0E09" w:rsidRPr="00CF0E09" w14:paraId="3D3BDD91" w14:textId="77777777" w:rsidTr="00377598">
        <w:tc>
          <w:tcPr>
            <w:tcW w:w="2101" w:type="pct"/>
            <w:noWrap/>
          </w:tcPr>
          <w:p w14:paraId="6E9F98B8" w14:textId="77777777" w:rsidR="00CF0E09" w:rsidRPr="00CF0E09" w:rsidRDefault="00CF0E09" w:rsidP="00CF0E09">
            <w:pPr>
              <w:jc w:val="both"/>
              <w:rPr>
                <w:rFonts w:eastAsia="Times New Roman" w:cs="Times New Roman"/>
                <w:color w:val="000000"/>
              </w:rPr>
            </w:pPr>
            <w:r w:rsidRPr="00CF0E09">
              <w:rPr>
                <w:rFonts w:eastAsia="Times New Roman" w:cs="Times New Roman"/>
              </w:rPr>
              <w:t>US Postal Service</w:t>
            </w:r>
          </w:p>
        </w:tc>
        <w:tc>
          <w:tcPr>
            <w:tcW w:w="1924" w:type="pct"/>
            <w:noWrap/>
          </w:tcPr>
          <w:p w14:paraId="7BB2BBD5" w14:textId="77777777" w:rsidR="00CF0E09" w:rsidRPr="00CF0E09" w:rsidRDefault="00CF0E09" w:rsidP="00CF0E09">
            <w:pPr>
              <w:jc w:val="both"/>
              <w:rPr>
                <w:rFonts w:eastAsia="Times New Roman" w:cs="Times New Roman"/>
                <w:color w:val="000000"/>
              </w:rPr>
            </w:pPr>
            <w:r w:rsidRPr="00CF0E09">
              <w:rPr>
                <w:rFonts w:eastAsia="Times New Roman" w:cs="Times New Roman"/>
              </w:rPr>
              <w:t>Postal Service</w:t>
            </w:r>
          </w:p>
        </w:tc>
        <w:tc>
          <w:tcPr>
            <w:tcW w:w="975" w:type="pct"/>
            <w:noWrap/>
          </w:tcPr>
          <w:p w14:paraId="12DCD74A" w14:textId="77777777" w:rsidR="00CF0E09" w:rsidRPr="00CF0E09" w:rsidRDefault="00CF0E09" w:rsidP="00CF0E09">
            <w:pPr>
              <w:jc w:val="center"/>
              <w:rPr>
                <w:rFonts w:eastAsia="Times New Roman" w:cs="Times New Roman"/>
                <w:color w:val="000000"/>
              </w:rPr>
            </w:pPr>
            <w:r w:rsidRPr="00CF0E09">
              <w:rPr>
                <w:rFonts w:eastAsia="Times New Roman" w:cs="Times New Roman"/>
              </w:rPr>
              <w:t>3,000-3,999</w:t>
            </w:r>
          </w:p>
        </w:tc>
      </w:tr>
      <w:tr w:rsidR="00CF0E09" w:rsidRPr="00CF0E09" w14:paraId="7FAB146E" w14:textId="77777777" w:rsidTr="00377598">
        <w:tc>
          <w:tcPr>
            <w:tcW w:w="2101" w:type="pct"/>
            <w:noWrap/>
          </w:tcPr>
          <w:p w14:paraId="3CAFD98B" w14:textId="77777777" w:rsidR="00CF0E09" w:rsidRPr="00CF0E09" w:rsidRDefault="00CF0E09" w:rsidP="00CF0E09">
            <w:pPr>
              <w:jc w:val="both"/>
              <w:rPr>
                <w:rFonts w:eastAsia="Times New Roman" w:cs="Times New Roman"/>
                <w:color w:val="000000"/>
              </w:rPr>
            </w:pPr>
            <w:r w:rsidRPr="00CF0E09">
              <w:rPr>
                <w:rFonts w:eastAsia="Times New Roman" w:cs="Times New Roman"/>
              </w:rPr>
              <w:t>Salt Lake Community College</w:t>
            </w:r>
          </w:p>
        </w:tc>
        <w:tc>
          <w:tcPr>
            <w:tcW w:w="1924" w:type="pct"/>
            <w:noWrap/>
          </w:tcPr>
          <w:p w14:paraId="4139897B" w14:textId="77777777" w:rsidR="00CF0E09" w:rsidRPr="00CF0E09" w:rsidRDefault="00CF0E09" w:rsidP="00CF0E09">
            <w:pPr>
              <w:jc w:val="both"/>
              <w:rPr>
                <w:rFonts w:eastAsia="Times New Roman" w:cs="Times New Roman"/>
                <w:color w:val="000000"/>
              </w:rPr>
            </w:pPr>
            <w:r w:rsidRPr="00CF0E09">
              <w:rPr>
                <w:rFonts w:eastAsia="Times New Roman" w:cs="Times New Roman"/>
              </w:rPr>
              <w:t>Junior Colleges</w:t>
            </w:r>
          </w:p>
        </w:tc>
        <w:tc>
          <w:tcPr>
            <w:tcW w:w="975" w:type="pct"/>
            <w:noWrap/>
          </w:tcPr>
          <w:p w14:paraId="575C014F" w14:textId="77777777" w:rsidR="00CF0E09" w:rsidRPr="00CF0E09" w:rsidRDefault="00CF0E09" w:rsidP="00CF0E09">
            <w:pPr>
              <w:jc w:val="center"/>
              <w:rPr>
                <w:rFonts w:eastAsia="Times New Roman" w:cs="Times New Roman"/>
                <w:color w:val="000000"/>
              </w:rPr>
            </w:pPr>
            <w:r w:rsidRPr="00CF0E09">
              <w:rPr>
                <w:rFonts w:eastAsia="Times New Roman" w:cs="Times New Roman"/>
              </w:rPr>
              <w:t>3,000-3,999</w:t>
            </w:r>
          </w:p>
        </w:tc>
      </w:tr>
      <w:tr w:rsidR="00CF0E09" w:rsidRPr="00CF0E09" w14:paraId="52071C17" w14:textId="77777777" w:rsidTr="00377598">
        <w:tc>
          <w:tcPr>
            <w:tcW w:w="2101" w:type="pct"/>
            <w:noWrap/>
          </w:tcPr>
          <w:p w14:paraId="613BACE8" w14:textId="77777777" w:rsidR="00CF0E09" w:rsidRPr="00CF0E09" w:rsidRDefault="00CF0E09" w:rsidP="00CF0E09">
            <w:pPr>
              <w:jc w:val="both"/>
              <w:rPr>
                <w:rFonts w:eastAsia="Times New Roman" w:cs="Times New Roman"/>
                <w:color w:val="000000"/>
              </w:rPr>
            </w:pPr>
            <w:r w:rsidRPr="00CF0E09">
              <w:rPr>
                <w:rFonts w:eastAsia="Times New Roman" w:cs="Times New Roman"/>
              </w:rPr>
              <w:t>Biofire Diagnostics</w:t>
            </w:r>
          </w:p>
        </w:tc>
        <w:tc>
          <w:tcPr>
            <w:tcW w:w="1924" w:type="pct"/>
            <w:noWrap/>
          </w:tcPr>
          <w:p w14:paraId="49651E51" w14:textId="77777777" w:rsidR="00CF0E09" w:rsidRPr="00CF0E09" w:rsidRDefault="00CF0E09" w:rsidP="00CF0E09">
            <w:pPr>
              <w:jc w:val="both"/>
              <w:rPr>
                <w:rFonts w:eastAsia="Times New Roman" w:cs="Times New Roman"/>
                <w:color w:val="000000"/>
              </w:rPr>
            </w:pPr>
            <w:r w:rsidRPr="00CF0E09">
              <w:rPr>
                <w:rFonts w:eastAsia="Times New Roman" w:cs="Times New Roman"/>
              </w:rPr>
              <w:t>Biotechnology R&amp;D</w:t>
            </w:r>
          </w:p>
        </w:tc>
        <w:tc>
          <w:tcPr>
            <w:tcW w:w="975" w:type="pct"/>
            <w:noWrap/>
          </w:tcPr>
          <w:p w14:paraId="4748E1B1"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2E93ADCB" w14:textId="77777777" w:rsidTr="00377598">
        <w:tc>
          <w:tcPr>
            <w:tcW w:w="2101" w:type="pct"/>
            <w:noWrap/>
          </w:tcPr>
          <w:p w14:paraId="75CD818F" w14:textId="77777777" w:rsidR="00CF0E09" w:rsidRPr="00CF0E09" w:rsidRDefault="00CF0E09" w:rsidP="00CF0E09">
            <w:pPr>
              <w:jc w:val="both"/>
              <w:rPr>
                <w:rFonts w:eastAsia="Times New Roman" w:cs="Times New Roman"/>
                <w:color w:val="000000"/>
              </w:rPr>
            </w:pPr>
            <w:r w:rsidRPr="00CF0E09">
              <w:rPr>
                <w:rFonts w:eastAsia="Times New Roman" w:cs="Times New Roman"/>
              </w:rPr>
              <w:t>Zions Bancorporation</w:t>
            </w:r>
          </w:p>
        </w:tc>
        <w:tc>
          <w:tcPr>
            <w:tcW w:w="1924" w:type="pct"/>
            <w:noWrap/>
          </w:tcPr>
          <w:p w14:paraId="67F037AB" w14:textId="77777777" w:rsidR="00CF0E09" w:rsidRPr="00CF0E09" w:rsidRDefault="00CF0E09" w:rsidP="00CF0E09">
            <w:pPr>
              <w:jc w:val="both"/>
              <w:rPr>
                <w:rFonts w:eastAsia="Times New Roman" w:cs="Times New Roman"/>
                <w:color w:val="000000"/>
              </w:rPr>
            </w:pPr>
            <w:r w:rsidRPr="00CF0E09">
              <w:rPr>
                <w:rFonts w:eastAsia="Times New Roman" w:cs="Times New Roman"/>
              </w:rPr>
              <w:t>Commercial Banking</w:t>
            </w:r>
          </w:p>
        </w:tc>
        <w:tc>
          <w:tcPr>
            <w:tcW w:w="975" w:type="pct"/>
            <w:noWrap/>
          </w:tcPr>
          <w:p w14:paraId="05948A8B"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75F029CC" w14:textId="77777777" w:rsidTr="00377598">
        <w:tc>
          <w:tcPr>
            <w:tcW w:w="2101" w:type="pct"/>
            <w:noWrap/>
          </w:tcPr>
          <w:p w14:paraId="727F2088" w14:textId="77777777" w:rsidR="00CF0E09" w:rsidRPr="00CF0E09" w:rsidRDefault="00CF0E09" w:rsidP="00CF0E09">
            <w:pPr>
              <w:jc w:val="both"/>
              <w:rPr>
                <w:rFonts w:eastAsia="Times New Roman" w:cs="Times New Roman"/>
                <w:color w:val="000000"/>
              </w:rPr>
            </w:pPr>
            <w:r w:rsidRPr="00CF0E09">
              <w:rPr>
                <w:rFonts w:eastAsia="Times New Roman" w:cs="Times New Roman"/>
              </w:rPr>
              <w:t>L3 Technologies</w:t>
            </w:r>
          </w:p>
        </w:tc>
        <w:tc>
          <w:tcPr>
            <w:tcW w:w="1924" w:type="pct"/>
            <w:noWrap/>
          </w:tcPr>
          <w:p w14:paraId="120FEECE" w14:textId="77777777" w:rsidR="00CF0E09" w:rsidRPr="00CF0E09" w:rsidRDefault="00CF0E09" w:rsidP="00CF0E09">
            <w:pPr>
              <w:jc w:val="both"/>
              <w:rPr>
                <w:rFonts w:eastAsia="Times New Roman" w:cs="Times New Roman"/>
                <w:color w:val="000000"/>
              </w:rPr>
            </w:pPr>
            <w:r w:rsidRPr="00CF0E09">
              <w:rPr>
                <w:rFonts w:eastAsia="Times New Roman" w:cs="Times New Roman"/>
              </w:rPr>
              <w:t>Instrument Manufacturing</w:t>
            </w:r>
          </w:p>
        </w:tc>
        <w:tc>
          <w:tcPr>
            <w:tcW w:w="975" w:type="pct"/>
            <w:noWrap/>
          </w:tcPr>
          <w:p w14:paraId="08490FCF"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57ABF39A" w14:textId="77777777" w:rsidTr="00377598">
        <w:tc>
          <w:tcPr>
            <w:tcW w:w="2101" w:type="pct"/>
            <w:noWrap/>
          </w:tcPr>
          <w:p w14:paraId="198080C1" w14:textId="77777777" w:rsidR="00CF0E09" w:rsidRPr="00CF0E09" w:rsidRDefault="00CF0E09" w:rsidP="00CF0E09">
            <w:pPr>
              <w:jc w:val="both"/>
              <w:rPr>
                <w:rFonts w:eastAsia="Times New Roman" w:cs="Times New Roman"/>
                <w:color w:val="000000"/>
              </w:rPr>
            </w:pPr>
            <w:r w:rsidRPr="00CF0E09">
              <w:rPr>
                <w:rFonts w:eastAsia="Times New Roman" w:cs="Times New Roman"/>
              </w:rPr>
              <w:t>Kennecott Utah Copper</w:t>
            </w:r>
          </w:p>
        </w:tc>
        <w:tc>
          <w:tcPr>
            <w:tcW w:w="1924" w:type="pct"/>
            <w:noWrap/>
          </w:tcPr>
          <w:p w14:paraId="71D83983" w14:textId="77777777" w:rsidR="00CF0E09" w:rsidRPr="00CF0E09" w:rsidRDefault="00CF0E09" w:rsidP="00CF0E09">
            <w:pPr>
              <w:jc w:val="both"/>
              <w:rPr>
                <w:rFonts w:eastAsia="Times New Roman" w:cs="Times New Roman"/>
                <w:color w:val="000000"/>
              </w:rPr>
            </w:pPr>
            <w:r w:rsidRPr="00CF0E09">
              <w:rPr>
                <w:rFonts w:eastAsia="Times New Roman" w:cs="Times New Roman"/>
              </w:rPr>
              <w:t>Copper Mining</w:t>
            </w:r>
          </w:p>
        </w:tc>
        <w:tc>
          <w:tcPr>
            <w:tcW w:w="975" w:type="pct"/>
            <w:noWrap/>
          </w:tcPr>
          <w:p w14:paraId="0F2348C9"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7B1A634D" w14:textId="77777777" w:rsidTr="00377598">
        <w:tc>
          <w:tcPr>
            <w:tcW w:w="2101" w:type="pct"/>
            <w:noWrap/>
          </w:tcPr>
          <w:p w14:paraId="7AAD37B4" w14:textId="77777777" w:rsidR="00CF0E09" w:rsidRPr="00CF0E09" w:rsidRDefault="00CF0E09" w:rsidP="00CF0E09">
            <w:pPr>
              <w:jc w:val="both"/>
              <w:rPr>
                <w:rFonts w:eastAsia="Times New Roman" w:cs="Times New Roman"/>
                <w:color w:val="000000"/>
              </w:rPr>
            </w:pPr>
            <w:r w:rsidRPr="00CF0E09">
              <w:rPr>
                <w:rFonts w:eastAsia="Times New Roman" w:cs="Times New Roman"/>
              </w:rPr>
              <w:t>Fidelity Brokerage Services</w:t>
            </w:r>
          </w:p>
        </w:tc>
        <w:tc>
          <w:tcPr>
            <w:tcW w:w="1924" w:type="pct"/>
            <w:noWrap/>
          </w:tcPr>
          <w:p w14:paraId="623EEFA5" w14:textId="77777777" w:rsidR="00CF0E09" w:rsidRPr="00CF0E09" w:rsidRDefault="00CF0E09" w:rsidP="00CF0E09">
            <w:pPr>
              <w:jc w:val="both"/>
              <w:rPr>
                <w:rFonts w:eastAsia="Times New Roman" w:cs="Times New Roman"/>
                <w:color w:val="000000"/>
              </w:rPr>
            </w:pPr>
            <w:r w:rsidRPr="00CF0E09">
              <w:rPr>
                <w:rFonts w:eastAsia="Times New Roman" w:cs="Times New Roman"/>
              </w:rPr>
              <w:t>Investment Banking</w:t>
            </w:r>
          </w:p>
        </w:tc>
        <w:tc>
          <w:tcPr>
            <w:tcW w:w="975" w:type="pct"/>
            <w:noWrap/>
          </w:tcPr>
          <w:p w14:paraId="237C8581"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18FF8DB2" w14:textId="77777777" w:rsidTr="00377598">
        <w:tc>
          <w:tcPr>
            <w:tcW w:w="2101" w:type="pct"/>
            <w:noWrap/>
          </w:tcPr>
          <w:p w14:paraId="3E607F14" w14:textId="77777777" w:rsidR="00CF0E09" w:rsidRPr="00CF0E09" w:rsidRDefault="00CF0E09" w:rsidP="00CF0E09">
            <w:pPr>
              <w:jc w:val="both"/>
              <w:rPr>
                <w:rFonts w:eastAsia="Times New Roman" w:cs="Times New Roman"/>
                <w:color w:val="000000"/>
              </w:rPr>
            </w:pPr>
            <w:r w:rsidRPr="00CF0E09">
              <w:rPr>
                <w:rFonts w:eastAsia="Times New Roman" w:cs="Times New Roman"/>
              </w:rPr>
              <w:t>Utah Transit Authority</w:t>
            </w:r>
          </w:p>
        </w:tc>
        <w:tc>
          <w:tcPr>
            <w:tcW w:w="1924" w:type="pct"/>
            <w:noWrap/>
          </w:tcPr>
          <w:p w14:paraId="16F7F0B8" w14:textId="77777777" w:rsidR="00CF0E09" w:rsidRPr="00CF0E09" w:rsidRDefault="00CF0E09" w:rsidP="00CF0E09">
            <w:pPr>
              <w:jc w:val="both"/>
              <w:rPr>
                <w:rFonts w:eastAsia="Times New Roman" w:cs="Times New Roman"/>
                <w:color w:val="000000"/>
              </w:rPr>
            </w:pPr>
            <w:r w:rsidRPr="00CF0E09">
              <w:rPr>
                <w:rFonts w:eastAsia="Times New Roman" w:cs="Times New Roman"/>
              </w:rPr>
              <w:t>Mixed Mode Transit</w:t>
            </w:r>
          </w:p>
        </w:tc>
        <w:tc>
          <w:tcPr>
            <w:tcW w:w="975" w:type="pct"/>
            <w:noWrap/>
          </w:tcPr>
          <w:p w14:paraId="40DA7D23"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50957F67" w14:textId="77777777" w:rsidTr="00377598">
        <w:tc>
          <w:tcPr>
            <w:tcW w:w="2101" w:type="pct"/>
            <w:noWrap/>
          </w:tcPr>
          <w:p w14:paraId="1EEBA14F" w14:textId="77777777" w:rsidR="00CF0E09" w:rsidRPr="00CF0E09" w:rsidRDefault="00CF0E09" w:rsidP="00CF0E09">
            <w:pPr>
              <w:jc w:val="both"/>
              <w:rPr>
                <w:rFonts w:eastAsia="Times New Roman" w:cs="Times New Roman"/>
                <w:color w:val="000000"/>
              </w:rPr>
            </w:pPr>
            <w:r w:rsidRPr="00CF0E09">
              <w:rPr>
                <w:rFonts w:eastAsia="Times New Roman" w:cs="Times New Roman"/>
              </w:rPr>
              <w:t>Harmons</w:t>
            </w:r>
          </w:p>
        </w:tc>
        <w:tc>
          <w:tcPr>
            <w:tcW w:w="1924" w:type="pct"/>
            <w:noWrap/>
          </w:tcPr>
          <w:p w14:paraId="50981DA7" w14:textId="77777777" w:rsidR="00CF0E09" w:rsidRPr="00CF0E09" w:rsidRDefault="00CF0E09" w:rsidP="00CF0E09">
            <w:pPr>
              <w:jc w:val="both"/>
              <w:rPr>
                <w:rFonts w:eastAsia="Times New Roman" w:cs="Times New Roman"/>
                <w:color w:val="000000"/>
              </w:rPr>
            </w:pPr>
            <w:r w:rsidRPr="00CF0E09">
              <w:rPr>
                <w:rFonts w:eastAsia="Times New Roman" w:cs="Times New Roman"/>
              </w:rPr>
              <w:t>Supermarkets</w:t>
            </w:r>
          </w:p>
        </w:tc>
        <w:tc>
          <w:tcPr>
            <w:tcW w:w="975" w:type="pct"/>
            <w:noWrap/>
          </w:tcPr>
          <w:p w14:paraId="76B67438"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667ECA2E" w14:textId="77777777" w:rsidTr="00377598">
        <w:tc>
          <w:tcPr>
            <w:tcW w:w="2101" w:type="pct"/>
            <w:noWrap/>
          </w:tcPr>
          <w:p w14:paraId="12458463" w14:textId="77777777" w:rsidR="00CF0E09" w:rsidRPr="00CF0E09" w:rsidRDefault="00CF0E09" w:rsidP="00CF0E09">
            <w:pPr>
              <w:jc w:val="both"/>
              <w:rPr>
                <w:rFonts w:eastAsia="Times New Roman" w:cs="Times New Roman"/>
                <w:color w:val="000000"/>
              </w:rPr>
            </w:pPr>
            <w:r w:rsidRPr="00CF0E09">
              <w:rPr>
                <w:rFonts w:eastAsia="Times New Roman" w:cs="Times New Roman"/>
              </w:rPr>
              <w:t>Costco Wholesale</w:t>
            </w:r>
          </w:p>
        </w:tc>
        <w:tc>
          <w:tcPr>
            <w:tcW w:w="1924" w:type="pct"/>
            <w:noWrap/>
          </w:tcPr>
          <w:p w14:paraId="0FF48802" w14:textId="77777777" w:rsidR="00CF0E09" w:rsidRPr="00CF0E09" w:rsidRDefault="00CF0E09" w:rsidP="00CF0E09">
            <w:pPr>
              <w:jc w:val="both"/>
              <w:rPr>
                <w:rFonts w:eastAsia="Times New Roman" w:cs="Times New Roman"/>
                <w:color w:val="000000"/>
              </w:rPr>
            </w:pPr>
            <w:r w:rsidRPr="00CF0E09">
              <w:rPr>
                <w:rFonts w:eastAsia="Times New Roman" w:cs="Times New Roman"/>
              </w:rPr>
              <w:t>Warehouse Clubs</w:t>
            </w:r>
          </w:p>
        </w:tc>
        <w:tc>
          <w:tcPr>
            <w:tcW w:w="975" w:type="pct"/>
            <w:noWrap/>
          </w:tcPr>
          <w:p w14:paraId="3312777D"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62C1EE0F" w14:textId="77777777" w:rsidTr="00377598">
        <w:tc>
          <w:tcPr>
            <w:tcW w:w="2101" w:type="pct"/>
            <w:noWrap/>
          </w:tcPr>
          <w:p w14:paraId="291F2366" w14:textId="77777777" w:rsidR="00CF0E09" w:rsidRPr="00CF0E09" w:rsidRDefault="00CF0E09" w:rsidP="00CF0E09">
            <w:pPr>
              <w:jc w:val="both"/>
              <w:rPr>
                <w:rFonts w:eastAsia="Times New Roman" w:cs="Times New Roman"/>
                <w:color w:val="000000"/>
              </w:rPr>
            </w:pPr>
            <w:r w:rsidRPr="00CF0E09">
              <w:rPr>
                <w:rFonts w:eastAsia="Times New Roman" w:cs="Times New Roman"/>
              </w:rPr>
              <w:t>Northrop Grumman</w:t>
            </w:r>
          </w:p>
        </w:tc>
        <w:tc>
          <w:tcPr>
            <w:tcW w:w="1924" w:type="pct"/>
            <w:noWrap/>
          </w:tcPr>
          <w:p w14:paraId="2A9DCDFB" w14:textId="77777777" w:rsidR="00CF0E09" w:rsidRPr="00CF0E09" w:rsidRDefault="00CF0E09" w:rsidP="00CF0E09">
            <w:pPr>
              <w:jc w:val="both"/>
              <w:rPr>
                <w:rFonts w:eastAsia="Times New Roman" w:cs="Times New Roman"/>
                <w:color w:val="000000"/>
              </w:rPr>
            </w:pPr>
            <w:r w:rsidRPr="00CF0E09">
              <w:rPr>
                <w:rFonts w:eastAsia="Times New Roman" w:cs="Times New Roman"/>
              </w:rPr>
              <w:t>Aerospace Manufacturing</w:t>
            </w:r>
          </w:p>
        </w:tc>
        <w:tc>
          <w:tcPr>
            <w:tcW w:w="975" w:type="pct"/>
            <w:noWrap/>
          </w:tcPr>
          <w:p w14:paraId="02F3EC6E"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12CE03A3" w14:textId="77777777" w:rsidTr="00377598">
        <w:tc>
          <w:tcPr>
            <w:tcW w:w="2101" w:type="pct"/>
            <w:noWrap/>
          </w:tcPr>
          <w:p w14:paraId="44D694D6" w14:textId="77777777" w:rsidR="00CF0E09" w:rsidRPr="00CF0E09" w:rsidRDefault="00CF0E09" w:rsidP="00CF0E09">
            <w:pPr>
              <w:jc w:val="both"/>
              <w:rPr>
                <w:rFonts w:eastAsia="Times New Roman" w:cs="Times New Roman"/>
                <w:color w:val="000000"/>
              </w:rPr>
            </w:pPr>
            <w:r w:rsidRPr="00CF0E09">
              <w:rPr>
                <w:rFonts w:eastAsia="Times New Roman" w:cs="Times New Roman"/>
              </w:rPr>
              <w:t>Mountain America Credit Union</w:t>
            </w:r>
          </w:p>
        </w:tc>
        <w:tc>
          <w:tcPr>
            <w:tcW w:w="1924" w:type="pct"/>
            <w:noWrap/>
          </w:tcPr>
          <w:p w14:paraId="7718A8FC" w14:textId="77777777" w:rsidR="00CF0E09" w:rsidRPr="00CF0E09" w:rsidRDefault="00CF0E09" w:rsidP="00CF0E09">
            <w:pPr>
              <w:jc w:val="both"/>
              <w:rPr>
                <w:rFonts w:eastAsia="Times New Roman" w:cs="Times New Roman"/>
                <w:color w:val="000000"/>
              </w:rPr>
            </w:pPr>
            <w:r w:rsidRPr="00CF0E09">
              <w:rPr>
                <w:rFonts w:eastAsia="Times New Roman" w:cs="Times New Roman"/>
              </w:rPr>
              <w:t>Credit Unions</w:t>
            </w:r>
          </w:p>
        </w:tc>
        <w:tc>
          <w:tcPr>
            <w:tcW w:w="975" w:type="pct"/>
            <w:noWrap/>
          </w:tcPr>
          <w:p w14:paraId="0817C42F"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0E6DDEF2" w14:textId="77777777" w:rsidTr="00377598">
        <w:tc>
          <w:tcPr>
            <w:tcW w:w="2101" w:type="pct"/>
            <w:noWrap/>
          </w:tcPr>
          <w:p w14:paraId="046E3F6A" w14:textId="77777777" w:rsidR="00CF0E09" w:rsidRPr="00CF0E09" w:rsidRDefault="00CF0E09" w:rsidP="00CF0E09">
            <w:pPr>
              <w:jc w:val="both"/>
              <w:rPr>
                <w:rFonts w:eastAsia="Times New Roman" w:cs="Times New Roman"/>
                <w:color w:val="000000"/>
              </w:rPr>
            </w:pPr>
            <w:r w:rsidRPr="00CF0E09">
              <w:rPr>
                <w:rFonts w:eastAsia="Times New Roman" w:cs="Times New Roman"/>
              </w:rPr>
              <w:t>Merit Medical Systems</w:t>
            </w:r>
          </w:p>
        </w:tc>
        <w:tc>
          <w:tcPr>
            <w:tcW w:w="1924" w:type="pct"/>
            <w:noWrap/>
          </w:tcPr>
          <w:p w14:paraId="148365A8" w14:textId="77777777" w:rsidR="00CF0E09" w:rsidRPr="00CF0E09" w:rsidRDefault="00CF0E09" w:rsidP="00CF0E09">
            <w:pPr>
              <w:jc w:val="both"/>
              <w:rPr>
                <w:rFonts w:eastAsia="Times New Roman" w:cs="Times New Roman"/>
                <w:color w:val="000000"/>
              </w:rPr>
            </w:pPr>
            <w:r w:rsidRPr="00CF0E09">
              <w:rPr>
                <w:rFonts w:eastAsia="Times New Roman" w:cs="Times New Roman"/>
              </w:rPr>
              <w:t>Medical Instrument Manufacturing</w:t>
            </w:r>
          </w:p>
        </w:tc>
        <w:tc>
          <w:tcPr>
            <w:tcW w:w="975" w:type="pct"/>
            <w:noWrap/>
          </w:tcPr>
          <w:p w14:paraId="0FDF8E97"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1EF8F102" w14:textId="77777777" w:rsidTr="00377598">
        <w:tc>
          <w:tcPr>
            <w:tcW w:w="2101" w:type="pct"/>
            <w:noWrap/>
          </w:tcPr>
          <w:p w14:paraId="280EA436" w14:textId="77777777" w:rsidR="00CF0E09" w:rsidRPr="00CF0E09" w:rsidRDefault="00CF0E09" w:rsidP="00CF0E09">
            <w:pPr>
              <w:jc w:val="both"/>
              <w:rPr>
                <w:rFonts w:eastAsia="Times New Roman" w:cs="Times New Roman"/>
                <w:color w:val="000000"/>
              </w:rPr>
            </w:pPr>
            <w:r w:rsidRPr="00CF0E09">
              <w:rPr>
                <w:rFonts w:eastAsia="Times New Roman" w:cs="Times New Roman"/>
              </w:rPr>
              <w:t>Skywest Airlines</w:t>
            </w:r>
          </w:p>
        </w:tc>
        <w:tc>
          <w:tcPr>
            <w:tcW w:w="1924" w:type="pct"/>
            <w:noWrap/>
          </w:tcPr>
          <w:p w14:paraId="54BE6B3B" w14:textId="77777777" w:rsidR="00CF0E09" w:rsidRPr="00CF0E09" w:rsidRDefault="00CF0E09" w:rsidP="00CF0E09">
            <w:pPr>
              <w:jc w:val="both"/>
              <w:rPr>
                <w:rFonts w:eastAsia="Times New Roman" w:cs="Times New Roman"/>
                <w:color w:val="000000"/>
              </w:rPr>
            </w:pPr>
            <w:r w:rsidRPr="00CF0E09">
              <w:rPr>
                <w:rFonts w:eastAsia="Times New Roman" w:cs="Times New Roman"/>
              </w:rPr>
              <w:t>Passenger Air Transportation</w:t>
            </w:r>
          </w:p>
        </w:tc>
        <w:tc>
          <w:tcPr>
            <w:tcW w:w="975" w:type="pct"/>
            <w:noWrap/>
          </w:tcPr>
          <w:p w14:paraId="28249871"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0A476A9D" w14:textId="77777777" w:rsidTr="00377598">
        <w:tc>
          <w:tcPr>
            <w:tcW w:w="2101" w:type="pct"/>
            <w:noWrap/>
          </w:tcPr>
          <w:p w14:paraId="4F4297EB" w14:textId="77777777" w:rsidR="00CF0E09" w:rsidRPr="00CF0E09" w:rsidRDefault="00CF0E09" w:rsidP="00CF0E09">
            <w:pPr>
              <w:jc w:val="both"/>
              <w:rPr>
                <w:rFonts w:eastAsia="Times New Roman" w:cs="Times New Roman"/>
                <w:color w:val="000000"/>
              </w:rPr>
            </w:pPr>
            <w:r w:rsidRPr="00CF0E09">
              <w:rPr>
                <w:rFonts w:eastAsia="Times New Roman" w:cs="Times New Roman"/>
              </w:rPr>
              <w:t>Select Health</w:t>
            </w:r>
          </w:p>
        </w:tc>
        <w:tc>
          <w:tcPr>
            <w:tcW w:w="1924" w:type="pct"/>
            <w:noWrap/>
          </w:tcPr>
          <w:p w14:paraId="48CAE312" w14:textId="77777777" w:rsidR="00CF0E09" w:rsidRPr="00CF0E09" w:rsidRDefault="00CF0E09" w:rsidP="00CF0E09">
            <w:pPr>
              <w:jc w:val="both"/>
              <w:rPr>
                <w:rFonts w:eastAsia="Times New Roman" w:cs="Times New Roman"/>
                <w:color w:val="000000"/>
              </w:rPr>
            </w:pPr>
            <w:r w:rsidRPr="00CF0E09">
              <w:rPr>
                <w:rFonts w:eastAsia="Times New Roman" w:cs="Times New Roman"/>
              </w:rPr>
              <w:t>Medical Insurance Carriers</w:t>
            </w:r>
          </w:p>
        </w:tc>
        <w:tc>
          <w:tcPr>
            <w:tcW w:w="975" w:type="pct"/>
            <w:noWrap/>
          </w:tcPr>
          <w:p w14:paraId="2A75F512" w14:textId="77777777" w:rsidR="00CF0E09" w:rsidRPr="00CF0E09" w:rsidRDefault="00CF0E09" w:rsidP="00CF0E09">
            <w:pPr>
              <w:jc w:val="center"/>
              <w:rPr>
                <w:rFonts w:eastAsia="Times New Roman" w:cs="Times New Roman"/>
                <w:color w:val="000000"/>
              </w:rPr>
            </w:pPr>
            <w:r w:rsidRPr="00CF0E09">
              <w:rPr>
                <w:rFonts w:eastAsia="Times New Roman" w:cs="Times New Roman"/>
              </w:rPr>
              <w:t>2,000-2,999</w:t>
            </w:r>
          </w:p>
        </w:tc>
      </w:tr>
      <w:tr w:rsidR="00CF0E09" w:rsidRPr="00CF0E09" w14:paraId="3FBD468C" w14:textId="77777777" w:rsidTr="00377598">
        <w:tc>
          <w:tcPr>
            <w:tcW w:w="2101" w:type="pct"/>
            <w:noWrap/>
          </w:tcPr>
          <w:p w14:paraId="70D1CFEA" w14:textId="77777777" w:rsidR="00CF0E09" w:rsidRPr="00CF0E09" w:rsidRDefault="00CF0E09" w:rsidP="00CF0E09">
            <w:pPr>
              <w:jc w:val="both"/>
              <w:rPr>
                <w:rFonts w:eastAsia="Times New Roman" w:cs="Times New Roman"/>
                <w:color w:val="000000"/>
              </w:rPr>
            </w:pPr>
            <w:r w:rsidRPr="00CF0E09">
              <w:rPr>
                <w:rFonts w:eastAsia="Times New Roman" w:cs="Times New Roman"/>
              </w:rPr>
              <w:t>Goldman Sachs</w:t>
            </w:r>
          </w:p>
        </w:tc>
        <w:tc>
          <w:tcPr>
            <w:tcW w:w="1924" w:type="pct"/>
            <w:noWrap/>
          </w:tcPr>
          <w:p w14:paraId="3C223DC4" w14:textId="77777777" w:rsidR="00CF0E09" w:rsidRPr="00CF0E09" w:rsidRDefault="00CF0E09" w:rsidP="00CF0E09">
            <w:pPr>
              <w:jc w:val="both"/>
              <w:rPr>
                <w:rFonts w:eastAsia="Times New Roman" w:cs="Times New Roman"/>
                <w:color w:val="000000"/>
              </w:rPr>
            </w:pPr>
            <w:r w:rsidRPr="00CF0E09">
              <w:rPr>
                <w:rFonts w:eastAsia="Times New Roman" w:cs="Times New Roman"/>
              </w:rPr>
              <w:t>Credit Intermediation</w:t>
            </w:r>
          </w:p>
        </w:tc>
        <w:tc>
          <w:tcPr>
            <w:tcW w:w="975" w:type="pct"/>
            <w:noWrap/>
          </w:tcPr>
          <w:p w14:paraId="08A8687D"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4A134737" w14:textId="77777777" w:rsidTr="00377598">
        <w:tc>
          <w:tcPr>
            <w:tcW w:w="2101" w:type="pct"/>
            <w:noWrap/>
          </w:tcPr>
          <w:p w14:paraId="5B48391B" w14:textId="77777777" w:rsidR="00CF0E09" w:rsidRPr="00CF0E09" w:rsidRDefault="00CF0E09" w:rsidP="00CF0E09">
            <w:pPr>
              <w:jc w:val="both"/>
              <w:rPr>
                <w:rFonts w:eastAsia="Times New Roman" w:cs="Times New Roman"/>
                <w:color w:val="000000"/>
              </w:rPr>
            </w:pPr>
            <w:r w:rsidRPr="00CF0E09">
              <w:rPr>
                <w:rFonts w:eastAsia="Times New Roman" w:cs="Times New Roman"/>
              </w:rPr>
              <w:t>Wells Fargo Bank</w:t>
            </w:r>
          </w:p>
        </w:tc>
        <w:tc>
          <w:tcPr>
            <w:tcW w:w="1924" w:type="pct"/>
            <w:noWrap/>
          </w:tcPr>
          <w:p w14:paraId="7CC3AF40" w14:textId="77777777" w:rsidR="00CF0E09" w:rsidRPr="00CF0E09" w:rsidRDefault="00CF0E09" w:rsidP="00CF0E09">
            <w:pPr>
              <w:jc w:val="both"/>
              <w:rPr>
                <w:rFonts w:eastAsia="Times New Roman" w:cs="Times New Roman"/>
                <w:color w:val="000000"/>
              </w:rPr>
            </w:pPr>
            <w:r w:rsidRPr="00CF0E09">
              <w:rPr>
                <w:rFonts w:eastAsia="Times New Roman" w:cs="Times New Roman"/>
              </w:rPr>
              <w:t>Commercial Banking</w:t>
            </w:r>
          </w:p>
        </w:tc>
        <w:tc>
          <w:tcPr>
            <w:tcW w:w="975" w:type="pct"/>
            <w:noWrap/>
          </w:tcPr>
          <w:p w14:paraId="7A272069"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2A099495" w14:textId="77777777" w:rsidTr="00377598">
        <w:tc>
          <w:tcPr>
            <w:tcW w:w="2101" w:type="pct"/>
            <w:noWrap/>
          </w:tcPr>
          <w:p w14:paraId="609FF88C" w14:textId="77777777" w:rsidR="00CF0E09" w:rsidRPr="00CF0E09" w:rsidRDefault="00CF0E09" w:rsidP="00CF0E09">
            <w:pPr>
              <w:jc w:val="both"/>
              <w:rPr>
                <w:rFonts w:eastAsia="Times New Roman" w:cs="Times New Roman"/>
                <w:color w:val="000000"/>
              </w:rPr>
            </w:pPr>
            <w:r w:rsidRPr="00CF0E09">
              <w:rPr>
                <w:rFonts w:eastAsia="Times New Roman" w:cs="Times New Roman"/>
              </w:rPr>
              <w:t>Discover Products</w:t>
            </w:r>
          </w:p>
        </w:tc>
        <w:tc>
          <w:tcPr>
            <w:tcW w:w="1924" w:type="pct"/>
            <w:noWrap/>
          </w:tcPr>
          <w:p w14:paraId="740EFE74" w14:textId="77777777" w:rsidR="00CF0E09" w:rsidRPr="00CF0E09" w:rsidRDefault="00CF0E09" w:rsidP="00CF0E09">
            <w:pPr>
              <w:jc w:val="both"/>
              <w:rPr>
                <w:rFonts w:eastAsia="Times New Roman" w:cs="Times New Roman"/>
                <w:color w:val="000000"/>
              </w:rPr>
            </w:pPr>
            <w:r w:rsidRPr="00CF0E09">
              <w:rPr>
                <w:rFonts w:eastAsia="Times New Roman" w:cs="Times New Roman"/>
              </w:rPr>
              <w:t>Consumer Lending</w:t>
            </w:r>
          </w:p>
        </w:tc>
        <w:tc>
          <w:tcPr>
            <w:tcW w:w="975" w:type="pct"/>
            <w:noWrap/>
          </w:tcPr>
          <w:p w14:paraId="7E44A20C"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3ABBA1E8" w14:textId="77777777" w:rsidTr="00377598">
        <w:tc>
          <w:tcPr>
            <w:tcW w:w="2101" w:type="pct"/>
            <w:noWrap/>
          </w:tcPr>
          <w:p w14:paraId="4C95D319" w14:textId="77777777" w:rsidR="00CF0E09" w:rsidRPr="00CF0E09" w:rsidRDefault="00CF0E09" w:rsidP="00CF0E09">
            <w:pPr>
              <w:jc w:val="both"/>
              <w:rPr>
                <w:rFonts w:eastAsia="Times New Roman" w:cs="Times New Roman"/>
                <w:color w:val="000000"/>
              </w:rPr>
            </w:pPr>
            <w:r w:rsidRPr="00CF0E09">
              <w:rPr>
                <w:rFonts w:eastAsia="Times New Roman" w:cs="Times New Roman"/>
              </w:rPr>
              <w:t>Core Innovative Solutions</w:t>
            </w:r>
          </w:p>
        </w:tc>
        <w:tc>
          <w:tcPr>
            <w:tcW w:w="1924" w:type="pct"/>
            <w:noWrap/>
          </w:tcPr>
          <w:p w14:paraId="2AD03E0D" w14:textId="77777777" w:rsidR="00CF0E09" w:rsidRPr="00CF0E09" w:rsidRDefault="00CF0E09" w:rsidP="00CF0E09">
            <w:pPr>
              <w:jc w:val="both"/>
              <w:rPr>
                <w:rFonts w:eastAsia="Times New Roman" w:cs="Times New Roman"/>
                <w:color w:val="000000"/>
              </w:rPr>
            </w:pPr>
            <w:r w:rsidRPr="00CF0E09">
              <w:rPr>
                <w:rFonts w:eastAsia="Times New Roman" w:cs="Times New Roman"/>
              </w:rPr>
              <w:t>Accommodation</w:t>
            </w:r>
          </w:p>
        </w:tc>
        <w:tc>
          <w:tcPr>
            <w:tcW w:w="975" w:type="pct"/>
            <w:noWrap/>
          </w:tcPr>
          <w:p w14:paraId="11E935A4"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4EAE426E" w14:textId="77777777" w:rsidTr="00377598">
        <w:tc>
          <w:tcPr>
            <w:tcW w:w="2101" w:type="pct"/>
            <w:noWrap/>
          </w:tcPr>
          <w:p w14:paraId="4B3F0624" w14:textId="77777777" w:rsidR="00CF0E09" w:rsidRPr="00CF0E09" w:rsidRDefault="00CF0E09" w:rsidP="00CF0E09">
            <w:pPr>
              <w:jc w:val="both"/>
              <w:rPr>
                <w:rFonts w:eastAsia="Times New Roman" w:cs="Times New Roman"/>
                <w:color w:val="000000"/>
              </w:rPr>
            </w:pPr>
            <w:r w:rsidRPr="00CF0E09">
              <w:rPr>
                <w:rFonts w:eastAsia="Times New Roman" w:cs="Times New Roman"/>
              </w:rPr>
              <w:t>St Marks Hospital</w:t>
            </w:r>
          </w:p>
        </w:tc>
        <w:tc>
          <w:tcPr>
            <w:tcW w:w="1924" w:type="pct"/>
            <w:noWrap/>
          </w:tcPr>
          <w:p w14:paraId="4BDB6A25" w14:textId="77777777" w:rsidR="00CF0E09" w:rsidRPr="00CF0E09" w:rsidRDefault="00CF0E09" w:rsidP="00CF0E09">
            <w:pPr>
              <w:jc w:val="both"/>
              <w:rPr>
                <w:rFonts w:eastAsia="Times New Roman" w:cs="Times New Roman"/>
                <w:color w:val="000000"/>
              </w:rPr>
            </w:pPr>
            <w:r w:rsidRPr="00CF0E09">
              <w:rPr>
                <w:rFonts w:eastAsia="Times New Roman" w:cs="Times New Roman"/>
              </w:rPr>
              <w:t>Hospitals</w:t>
            </w:r>
          </w:p>
        </w:tc>
        <w:tc>
          <w:tcPr>
            <w:tcW w:w="975" w:type="pct"/>
            <w:noWrap/>
          </w:tcPr>
          <w:p w14:paraId="3B83E9D4"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6CD6D58D" w14:textId="77777777" w:rsidTr="00377598">
        <w:tc>
          <w:tcPr>
            <w:tcW w:w="2101" w:type="pct"/>
            <w:noWrap/>
          </w:tcPr>
          <w:p w14:paraId="0E375CB1" w14:textId="77777777" w:rsidR="00CF0E09" w:rsidRPr="00CF0E09" w:rsidRDefault="00CF0E09" w:rsidP="00CF0E09">
            <w:pPr>
              <w:jc w:val="both"/>
              <w:rPr>
                <w:rFonts w:eastAsia="Times New Roman" w:cs="Times New Roman"/>
                <w:color w:val="000000"/>
              </w:rPr>
            </w:pPr>
            <w:r w:rsidRPr="00CF0E09">
              <w:rPr>
                <w:rFonts w:eastAsia="Times New Roman" w:cs="Times New Roman"/>
              </w:rPr>
              <w:t>Maverik</w:t>
            </w:r>
          </w:p>
        </w:tc>
        <w:tc>
          <w:tcPr>
            <w:tcW w:w="1924" w:type="pct"/>
            <w:noWrap/>
          </w:tcPr>
          <w:p w14:paraId="7CEBA6E6" w14:textId="77777777" w:rsidR="00CF0E09" w:rsidRPr="00CF0E09" w:rsidRDefault="00CF0E09" w:rsidP="00CF0E09">
            <w:pPr>
              <w:jc w:val="both"/>
              <w:rPr>
                <w:rFonts w:eastAsia="Times New Roman" w:cs="Times New Roman"/>
                <w:color w:val="000000"/>
              </w:rPr>
            </w:pPr>
            <w:r w:rsidRPr="00CF0E09">
              <w:rPr>
                <w:rFonts w:eastAsia="Times New Roman" w:cs="Times New Roman"/>
              </w:rPr>
              <w:t>Gasoline Stations</w:t>
            </w:r>
          </w:p>
        </w:tc>
        <w:tc>
          <w:tcPr>
            <w:tcW w:w="975" w:type="pct"/>
            <w:noWrap/>
          </w:tcPr>
          <w:p w14:paraId="776EB306"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3855BC76" w14:textId="77777777" w:rsidTr="00377598">
        <w:tc>
          <w:tcPr>
            <w:tcW w:w="2101" w:type="pct"/>
            <w:noWrap/>
          </w:tcPr>
          <w:p w14:paraId="08CB837A" w14:textId="77777777" w:rsidR="00CF0E09" w:rsidRPr="00CF0E09" w:rsidRDefault="00CF0E09" w:rsidP="00CF0E09">
            <w:pPr>
              <w:jc w:val="both"/>
              <w:rPr>
                <w:rFonts w:eastAsia="Times New Roman" w:cs="Times New Roman"/>
                <w:color w:val="000000"/>
              </w:rPr>
            </w:pPr>
            <w:r w:rsidRPr="00CF0E09">
              <w:rPr>
                <w:rFonts w:eastAsia="Times New Roman" w:cs="Times New Roman"/>
              </w:rPr>
              <w:t>FedEx</w:t>
            </w:r>
          </w:p>
        </w:tc>
        <w:tc>
          <w:tcPr>
            <w:tcW w:w="1924" w:type="pct"/>
            <w:noWrap/>
          </w:tcPr>
          <w:p w14:paraId="027F9F8A" w14:textId="77777777" w:rsidR="00CF0E09" w:rsidRPr="00CF0E09" w:rsidRDefault="00CF0E09" w:rsidP="00CF0E09">
            <w:pPr>
              <w:rPr>
                <w:rFonts w:eastAsia="Times New Roman" w:cs="Times New Roman"/>
                <w:color w:val="000000"/>
              </w:rPr>
            </w:pPr>
            <w:r w:rsidRPr="00CF0E09">
              <w:rPr>
                <w:rFonts w:eastAsia="Times New Roman" w:cs="Times New Roman"/>
              </w:rPr>
              <w:t>Couriers and Express Delivery</w:t>
            </w:r>
          </w:p>
        </w:tc>
        <w:tc>
          <w:tcPr>
            <w:tcW w:w="975" w:type="pct"/>
            <w:noWrap/>
          </w:tcPr>
          <w:p w14:paraId="751817CB"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15D5E6AD" w14:textId="77777777" w:rsidTr="00377598">
        <w:tc>
          <w:tcPr>
            <w:tcW w:w="2101" w:type="pct"/>
            <w:noWrap/>
          </w:tcPr>
          <w:p w14:paraId="4C2BD30F" w14:textId="77777777" w:rsidR="00CF0E09" w:rsidRPr="00CF0E09" w:rsidRDefault="00CF0E09" w:rsidP="00CF0E09">
            <w:pPr>
              <w:jc w:val="both"/>
              <w:rPr>
                <w:rFonts w:eastAsia="Times New Roman" w:cs="Times New Roman"/>
                <w:color w:val="000000"/>
              </w:rPr>
            </w:pPr>
            <w:r w:rsidRPr="00CF0E09">
              <w:rPr>
                <w:rFonts w:eastAsia="Times New Roman" w:cs="Times New Roman"/>
              </w:rPr>
              <w:t>The Home Depot</w:t>
            </w:r>
          </w:p>
        </w:tc>
        <w:tc>
          <w:tcPr>
            <w:tcW w:w="1924" w:type="pct"/>
            <w:noWrap/>
          </w:tcPr>
          <w:p w14:paraId="484CB845" w14:textId="77777777" w:rsidR="00CF0E09" w:rsidRPr="00CF0E09" w:rsidRDefault="00CF0E09" w:rsidP="00CF0E09">
            <w:pPr>
              <w:jc w:val="both"/>
              <w:rPr>
                <w:rFonts w:eastAsia="Times New Roman" w:cs="Times New Roman"/>
                <w:color w:val="000000"/>
              </w:rPr>
            </w:pPr>
            <w:r w:rsidRPr="00CF0E09">
              <w:rPr>
                <w:rFonts w:eastAsia="Times New Roman" w:cs="Times New Roman"/>
              </w:rPr>
              <w:t>Home Centers</w:t>
            </w:r>
          </w:p>
        </w:tc>
        <w:tc>
          <w:tcPr>
            <w:tcW w:w="975" w:type="pct"/>
            <w:noWrap/>
          </w:tcPr>
          <w:p w14:paraId="42461665"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04539EF3" w14:textId="77777777" w:rsidTr="00377598">
        <w:tc>
          <w:tcPr>
            <w:tcW w:w="2101" w:type="pct"/>
            <w:noWrap/>
          </w:tcPr>
          <w:p w14:paraId="49FF4759" w14:textId="77777777" w:rsidR="00CF0E09" w:rsidRPr="00CF0E09" w:rsidRDefault="00CF0E09" w:rsidP="00CF0E09">
            <w:pPr>
              <w:jc w:val="both"/>
              <w:rPr>
                <w:rFonts w:eastAsia="Times New Roman" w:cs="Times New Roman"/>
                <w:color w:val="000000"/>
              </w:rPr>
            </w:pPr>
            <w:r w:rsidRPr="00CF0E09">
              <w:rPr>
                <w:rFonts w:eastAsia="Times New Roman" w:cs="Times New Roman"/>
              </w:rPr>
              <w:t>Edwards Lifesciences</w:t>
            </w:r>
          </w:p>
        </w:tc>
        <w:tc>
          <w:tcPr>
            <w:tcW w:w="1924" w:type="pct"/>
            <w:noWrap/>
          </w:tcPr>
          <w:p w14:paraId="61610CA1" w14:textId="77777777" w:rsidR="00CF0E09" w:rsidRPr="00CF0E09" w:rsidRDefault="00CF0E09" w:rsidP="00CF0E09">
            <w:pPr>
              <w:jc w:val="both"/>
              <w:rPr>
                <w:rFonts w:eastAsia="Times New Roman" w:cs="Times New Roman"/>
                <w:color w:val="000000"/>
              </w:rPr>
            </w:pPr>
            <w:r w:rsidRPr="00CF0E09">
              <w:rPr>
                <w:rFonts w:eastAsia="Times New Roman" w:cs="Times New Roman"/>
              </w:rPr>
              <w:t>Medical Instrument Manufacturing</w:t>
            </w:r>
          </w:p>
        </w:tc>
        <w:tc>
          <w:tcPr>
            <w:tcW w:w="975" w:type="pct"/>
            <w:noWrap/>
          </w:tcPr>
          <w:p w14:paraId="632E5A85"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0E1E3389" w14:textId="77777777" w:rsidTr="00377598">
        <w:tc>
          <w:tcPr>
            <w:tcW w:w="2101" w:type="pct"/>
            <w:noWrap/>
          </w:tcPr>
          <w:p w14:paraId="170582B5" w14:textId="77777777" w:rsidR="00CF0E09" w:rsidRPr="00CF0E09" w:rsidRDefault="00CF0E09" w:rsidP="00CF0E09">
            <w:pPr>
              <w:rPr>
                <w:rFonts w:eastAsia="Times New Roman" w:cs="Times New Roman"/>
                <w:color w:val="000000"/>
              </w:rPr>
            </w:pPr>
            <w:r w:rsidRPr="00CF0E09">
              <w:rPr>
                <w:rFonts w:eastAsia="Times New Roman" w:cs="Times New Roman"/>
              </w:rPr>
              <w:t>McDonalds</w:t>
            </w:r>
          </w:p>
        </w:tc>
        <w:tc>
          <w:tcPr>
            <w:tcW w:w="1924" w:type="pct"/>
            <w:noWrap/>
          </w:tcPr>
          <w:p w14:paraId="49741698" w14:textId="77777777" w:rsidR="00CF0E09" w:rsidRPr="00CF0E09" w:rsidRDefault="00CF0E09" w:rsidP="00CF0E09">
            <w:pPr>
              <w:jc w:val="both"/>
              <w:rPr>
                <w:rFonts w:eastAsia="Times New Roman" w:cs="Times New Roman"/>
                <w:color w:val="000000"/>
              </w:rPr>
            </w:pPr>
            <w:r w:rsidRPr="00CF0E09">
              <w:rPr>
                <w:rFonts w:eastAsia="Times New Roman" w:cs="Times New Roman"/>
              </w:rPr>
              <w:t>Restaurants</w:t>
            </w:r>
          </w:p>
        </w:tc>
        <w:tc>
          <w:tcPr>
            <w:tcW w:w="975" w:type="pct"/>
            <w:noWrap/>
          </w:tcPr>
          <w:p w14:paraId="0593B1F2"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1FB11651" w14:textId="77777777" w:rsidTr="00377598">
        <w:tc>
          <w:tcPr>
            <w:tcW w:w="2101" w:type="pct"/>
            <w:noWrap/>
          </w:tcPr>
          <w:p w14:paraId="37ABBF19" w14:textId="77777777" w:rsidR="00CF0E09" w:rsidRPr="00CF0E09" w:rsidRDefault="00CF0E09" w:rsidP="00CF0E09">
            <w:pPr>
              <w:jc w:val="both"/>
              <w:rPr>
                <w:rFonts w:eastAsia="Times New Roman" w:cs="Times New Roman"/>
                <w:color w:val="000000"/>
              </w:rPr>
            </w:pPr>
            <w:r w:rsidRPr="00CF0E09">
              <w:rPr>
                <w:rFonts w:eastAsia="Times New Roman" w:cs="Times New Roman"/>
              </w:rPr>
              <w:t>Jordan Valley Hospital</w:t>
            </w:r>
          </w:p>
        </w:tc>
        <w:tc>
          <w:tcPr>
            <w:tcW w:w="1924" w:type="pct"/>
            <w:noWrap/>
          </w:tcPr>
          <w:p w14:paraId="52CF01FD" w14:textId="77777777" w:rsidR="00CF0E09" w:rsidRPr="00CF0E09" w:rsidRDefault="00CF0E09" w:rsidP="00CF0E09">
            <w:pPr>
              <w:rPr>
                <w:rFonts w:eastAsia="Times New Roman" w:cs="Times New Roman"/>
                <w:color w:val="000000"/>
              </w:rPr>
            </w:pPr>
            <w:r w:rsidRPr="00CF0E09">
              <w:rPr>
                <w:rFonts w:eastAsia="Times New Roman" w:cs="Times New Roman"/>
              </w:rPr>
              <w:t>Hospitals</w:t>
            </w:r>
          </w:p>
        </w:tc>
        <w:tc>
          <w:tcPr>
            <w:tcW w:w="975" w:type="pct"/>
            <w:noWrap/>
          </w:tcPr>
          <w:p w14:paraId="6A8C33EE"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51E62ECD" w14:textId="77777777" w:rsidTr="00377598">
        <w:tc>
          <w:tcPr>
            <w:tcW w:w="2101" w:type="pct"/>
            <w:noWrap/>
          </w:tcPr>
          <w:p w14:paraId="67B1E7A2" w14:textId="77777777" w:rsidR="00CF0E09" w:rsidRPr="00CF0E09" w:rsidRDefault="00CF0E09" w:rsidP="00CF0E09">
            <w:pPr>
              <w:rPr>
                <w:rFonts w:eastAsia="Times New Roman" w:cs="Times New Roman"/>
                <w:color w:val="000000"/>
              </w:rPr>
            </w:pPr>
            <w:r w:rsidRPr="00CF0E09">
              <w:rPr>
                <w:rFonts w:eastAsia="Times New Roman" w:cs="Times New Roman"/>
              </w:rPr>
              <w:t>Target</w:t>
            </w:r>
          </w:p>
        </w:tc>
        <w:tc>
          <w:tcPr>
            <w:tcW w:w="1924" w:type="pct"/>
            <w:noWrap/>
          </w:tcPr>
          <w:p w14:paraId="2F101342" w14:textId="77777777" w:rsidR="00CF0E09" w:rsidRPr="00CF0E09" w:rsidRDefault="00CF0E09" w:rsidP="00CF0E09">
            <w:pPr>
              <w:rPr>
                <w:rFonts w:eastAsia="Times New Roman" w:cs="Times New Roman"/>
                <w:color w:val="000000"/>
              </w:rPr>
            </w:pPr>
            <w:r w:rsidRPr="00CF0E09">
              <w:rPr>
                <w:rFonts w:eastAsia="Times New Roman" w:cs="Times New Roman"/>
              </w:rPr>
              <w:t>Department Stores</w:t>
            </w:r>
          </w:p>
        </w:tc>
        <w:tc>
          <w:tcPr>
            <w:tcW w:w="975" w:type="pct"/>
            <w:noWrap/>
          </w:tcPr>
          <w:p w14:paraId="16BFA9EA"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7C08CC21" w14:textId="77777777" w:rsidTr="00377598">
        <w:tc>
          <w:tcPr>
            <w:tcW w:w="2101" w:type="pct"/>
            <w:noWrap/>
          </w:tcPr>
          <w:p w14:paraId="069E628A" w14:textId="77777777" w:rsidR="00CF0E09" w:rsidRPr="00CF0E09" w:rsidRDefault="00CF0E09" w:rsidP="00CF0E09">
            <w:pPr>
              <w:rPr>
                <w:rFonts w:eastAsia="Times New Roman" w:cs="Times New Roman"/>
                <w:color w:val="000000"/>
              </w:rPr>
            </w:pPr>
            <w:r w:rsidRPr="00CF0E09">
              <w:rPr>
                <w:rFonts w:eastAsia="Times New Roman" w:cs="Times New Roman"/>
              </w:rPr>
              <w:t>Becton, Dickinson And Company</w:t>
            </w:r>
          </w:p>
        </w:tc>
        <w:tc>
          <w:tcPr>
            <w:tcW w:w="1924" w:type="pct"/>
            <w:noWrap/>
          </w:tcPr>
          <w:p w14:paraId="05370979" w14:textId="77777777" w:rsidR="00CF0E09" w:rsidRPr="00CF0E09" w:rsidRDefault="00CF0E09" w:rsidP="00CF0E09">
            <w:pPr>
              <w:rPr>
                <w:rFonts w:eastAsia="Times New Roman" w:cs="Times New Roman"/>
                <w:color w:val="000000"/>
              </w:rPr>
            </w:pPr>
            <w:r w:rsidRPr="00CF0E09">
              <w:rPr>
                <w:rFonts w:eastAsia="Times New Roman" w:cs="Times New Roman"/>
              </w:rPr>
              <w:t>Medical Equipment Wholesalers</w:t>
            </w:r>
          </w:p>
        </w:tc>
        <w:tc>
          <w:tcPr>
            <w:tcW w:w="975" w:type="pct"/>
            <w:noWrap/>
          </w:tcPr>
          <w:p w14:paraId="2B73296C"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r w:rsidR="00CF0E09" w:rsidRPr="00CF0E09" w14:paraId="42F480D1" w14:textId="77777777" w:rsidTr="00377598">
        <w:tc>
          <w:tcPr>
            <w:tcW w:w="2101" w:type="pct"/>
            <w:noWrap/>
          </w:tcPr>
          <w:p w14:paraId="788BFB28" w14:textId="77777777" w:rsidR="00CF0E09" w:rsidRPr="00CF0E09" w:rsidRDefault="00CF0E09" w:rsidP="00CF0E09">
            <w:pPr>
              <w:rPr>
                <w:rFonts w:eastAsia="Times New Roman" w:cs="Times New Roman"/>
                <w:color w:val="000000"/>
              </w:rPr>
            </w:pPr>
            <w:r w:rsidRPr="00CF0E09">
              <w:rPr>
                <w:rFonts w:eastAsia="Times New Roman" w:cs="Times New Roman"/>
              </w:rPr>
              <w:t>Snowbird Operations</w:t>
            </w:r>
          </w:p>
        </w:tc>
        <w:tc>
          <w:tcPr>
            <w:tcW w:w="1924" w:type="pct"/>
            <w:noWrap/>
          </w:tcPr>
          <w:p w14:paraId="2D2F2066" w14:textId="77777777" w:rsidR="00CF0E09" w:rsidRPr="00CF0E09" w:rsidRDefault="00CF0E09" w:rsidP="00CF0E09">
            <w:pPr>
              <w:rPr>
                <w:rFonts w:eastAsia="Times New Roman" w:cs="Times New Roman"/>
                <w:color w:val="000000"/>
              </w:rPr>
            </w:pPr>
            <w:r w:rsidRPr="00CF0E09">
              <w:rPr>
                <w:rFonts w:eastAsia="Times New Roman" w:cs="Times New Roman"/>
              </w:rPr>
              <w:t>Accommodation</w:t>
            </w:r>
          </w:p>
        </w:tc>
        <w:tc>
          <w:tcPr>
            <w:tcW w:w="975" w:type="pct"/>
            <w:noWrap/>
          </w:tcPr>
          <w:p w14:paraId="03FAAE11" w14:textId="77777777" w:rsidR="00CF0E09" w:rsidRPr="00CF0E09" w:rsidRDefault="00CF0E09" w:rsidP="00CF0E09">
            <w:pPr>
              <w:jc w:val="center"/>
              <w:rPr>
                <w:rFonts w:eastAsia="Times New Roman" w:cs="Times New Roman"/>
                <w:color w:val="000000"/>
              </w:rPr>
            </w:pPr>
            <w:r w:rsidRPr="00CF0E09">
              <w:rPr>
                <w:rFonts w:eastAsia="Times New Roman" w:cs="Times New Roman"/>
              </w:rPr>
              <w:t>1,000-1,999</w:t>
            </w:r>
          </w:p>
        </w:tc>
      </w:tr>
    </w:tbl>
    <w:p w14:paraId="38FEA612" w14:textId="77777777" w:rsidR="00CF0E09" w:rsidRPr="00CF0E09" w:rsidRDefault="00CF0E09" w:rsidP="00CF0E09">
      <w:pPr>
        <w:tabs>
          <w:tab w:val="right" w:pos="1440"/>
        </w:tabs>
        <w:jc w:val="both"/>
        <w:rPr>
          <w:rFonts w:eastAsia="Times New Roman" w:cs="Times New Roman"/>
          <w:sz w:val="16"/>
          <w:szCs w:val="16"/>
          <w:u w:val="single"/>
        </w:rPr>
      </w:pPr>
      <w:r w:rsidRPr="00CF0E09">
        <w:rPr>
          <w:rFonts w:eastAsia="Times New Roman" w:cs="Times New Roman"/>
          <w:sz w:val="16"/>
          <w:szCs w:val="16"/>
          <w:u w:val="single"/>
        </w:rPr>
        <w:tab/>
      </w:r>
    </w:p>
    <w:p w14:paraId="1C35D9B5" w14:textId="77777777" w:rsidR="00CF0E09" w:rsidRPr="00CF0E09" w:rsidRDefault="00CF0E09" w:rsidP="00CF0E09">
      <w:pPr>
        <w:jc w:val="both"/>
        <w:rPr>
          <w:rFonts w:eastAsia="Times New Roman" w:cs="Times New Roman"/>
          <w:szCs w:val="20"/>
        </w:rPr>
      </w:pPr>
      <w:r w:rsidRPr="00CF0E09">
        <w:rPr>
          <w:rFonts w:eastAsia="Times New Roman" w:cs="Times New Roman"/>
          <w:szCs w:val="20"/>
        </w:rPr>
        <w:t xml:space="preserve">(Source:  Utah Department of Workforce Services; last updated October 2025.)    </w:t>
      </w:r>
    </w:p>
    <w:p w14:paraId="62C3C911" w14:textId="77777777" w:rsidR="00E130C2" w:rsidRPr="00DA2177" w:rsidRDefault="00E130C2" w:rsidP="00E130C2">
      <w:pPr>
        <w:ind w:left="-360" w:firstLine="360"/>
        <w:rPr>
          <w:rFonts w:cs="Times New Roman"/>
          <w:sz w:val="22"/>
          <w:szCs w:val="22"/>
        </w:rPr>
      </w:pPr>
    </w:p>
    <w:p w14:paraId="577FFAC7" w14:textId="77777777" w:rsidR="00393600" w:rsidRPr="00DA2177" w:rsidRDefault="00393600" w:rsidP="001B0933">
      <w:pPr>
        <w:rPr>
          <w:rFonts w:cs="Times New Roman"/>
          <w:sz w:val="22"/>
          <w:szCs w:val="22"/>
        </w:rPr>
        <w:sectPr w:rsidR="00393600" w:rsidRPr="00DA2177" w:rsidSect="0045345D">
          <w:footerReference w:type="default" r:id="rId40"/>
          <w:pgSz w:w="12240" w:h="15840" w:code="1"/>
          <w:pgMar w:top="1440" w:right="1440" w:bottom="1440" w:left="1440" w:header="720" w:footer="720" w:gutter="0"/>
          <w:pgNumType w:start="1"/>
          <w:cols w:space="720"/>
          <w:docGrid w:linePitch="272"/>
        </w:sectPr>
      </w:pPr>
    </w:p>
    <w:p w14:paraId="6E98D5E3" w14:textId="4376C32E" w:rsidR="0008278D" w:rsidRPr="00023404" w:rsidRDefault="00C325F8" w:rsidP="0008278D">
      <w:pPr>
        <w:pStyle w:val="Heading1"/>
        <w:rPr>
          <w:rFonts w:cs="Times New Roman"/>
          <w:sz w:val="22"/>
          <w:szCs w:val="22"/>
        </w:rPr>
      </w:pPr>
      <w:bookmarkStart w:id="312" w:name="_Toc74042098"/>
      <w:bookmarkStart w:id="313" w:name="_Toc235521153"/>
      <w:r>
        <w:rPr>
          <w:rFonts w:eastAsia="Times New Roman" w:cs="Times New Roman"/>
          <w:sz w:val="22"/>
          <w:szCs w:val="22"/>
        </w:rPr>
        <w:t>APPENDIX E</w:t>
      </w:r>
      <w:r>
        <w:rPr>
          <w:rFonts w:cs="Times New Roman"/>
          <w:sz w:val="22"/>
          <w:szCs w:val="22"/>
        </w:rPr>
        <w:br/>
      </w:r>
      <w:r>
        <w:rPr>
          <w:rFonts w:cs="Times New Roman"/>
          <w:sz w:val="22"/>
          <w:szCs w:val="22"/>
        </w:rPr>
        <w:br/>
        <w:t>FORM OF CONTINUING DISCLOSURE AGREEMENT</w:t>
      </w:r>
      <w:bookmarkEnd w:id="312"/>
      <w:bookmarkEnd w:id="313"/>
    </w:p>
    <w:p w14:paraId="3AA83603" w14:textId="178E9C9A" w:rsidR="001B0933" w:rsidRPr="00DA2177" w:rsidRDefault="001B0933" w:rsidP="001B0933">
      <w:pPr>
        <w:rPr>
          <w:rFonts w:cs="Times New Roman"/>
          <w:sz w:val="22"/>
          <w:szCs w:val="22"/>
        </w:rPr>
        <w:sectPr w:rsidR="001B0933" w:rsidRPr="00DA2177" w:rsidSect="00163250">
          <w:footerReference w:type="default" r:id="rId41"/>
          <w:pgSz w:w="12240" w:h="15840" w:code="1"/>
          <w:pgMar w:top="1440" w:right="1440" w:bottom="1440" w:left="1440" w:header="720" w:footer="540" w:gutter="0"/>
          <w:pgNumType w:start="1"/>
          <w:cols w:space="720"/>
          <w:docGrid w:linePitch="272"/>
        </w:sectPr>
      </w:pPr>
    </w:p>
    <w:p w14:paraId="2E0A3005" w14:textId="0856DDC3" w:rsidR="00E26850" w:rsidRPr="00A20021" w:rsidRDefault="00C325F8" w:rsidP="0010077F">
      <w:pPr>
        <w:pStyle w:val="Heading1"/>
        <w:rPr>
          <w:rFonts w:cs="Times New Roman"/>
          <w:sz w:val="22"/>
          <w:szCs w:val="22"/>
        </w:rPr>
      </w:pPr>
      <w:bookmarkStart w:id="314" w:name="_Toc235521154"/>
      <w:r>
        <w:rPr>
          <w:rFonts w:eastAsia="Times New Roman" w:cs="Times New Roman"/>
          <w:sz w:val="22"/>
          <w:szCs w:val="22"/>
        </w:rPr>
        <w:t>APPENDIX F</w:t>
      </w:r>
      <w:r>
        <w:rPr>
          <w:rFonts w:cs="Times New Roman"/>
          <w:sz w:val="22"/>
          <w:szCs w:val="22"/>
        </w:rPr>
        <w:br/>
      </w:r>
      <w:r>
        <w:rPr>
          <w:rFonts w:cs="Times New Roman"/>
          <w:sz w:val="22"/>
          <w:szCs w:val="22"/>
        </w:rPr>
        <w:br/>
        <w:t xml:space="preserve">FORM OF BOND </w:t>
      </w:r>
      <w:r>
        <w:rPr>
          <w:rFonts w:eastAsia="Times New Roman" w:cs="Times New Roman"/>
          <w:sz w:val="22"/>
          <w:szCs w:val="22"/>
        </w:rPr>
        <w:t>COUNSEL</w:t>
      </w:r>
      <w:r>
        <w:rPr>
          <w:rFonts w:cs="Times New Roman"/>
          <w:sz w:val="22"/>
          <w:szCs w:val="22"/>
        </w:rPr>
        <w:t xml:space="preserve"> OPINION</w:t>
      </w:r>
      <w:bookmarkEnd w:id="314"/>
    </w:p>
    <w:p w14:paraId="7396CB24" w14:textId="77777777" w:rsidR="00900FCF" w:rsidRPr="00900FCF" w:rsidRDefault="00900FCF" w:rsidP="00900FCF">
      <w:pPr>
        <w:spacing w:before="240" w:after="240"/>
        <w:ind w:left="1440" w:hanging="720"/>
        <w:jc w:val="both"/>
        <w:rPr>
          <w:rFonts w:eastAsia="Times New Roman" w:cs="Times New Roman"/>
          <w:bCs/>
          <w:sz w:val="22"/>
          <w:szCs w:val="22"/>
        </w:rPr>
      </w:pPr>
      <w:r w:rsidRPr="00900FCF">
        <w:rPr>
          <w:rFonts w:eastAsia="Times New Roman" w:cs="Times New Roman"/>
          <w:sz w:val="22"/>
          <w:szCs w:val="22"/>
        </w:rPr>
        <w:t>Re:</w:t>
      </w:r>
      <w:r w:rsidRPr="00900FCF">
        <w:rPr>
          <w:rFonts w:eastAsia="Times New Roman" w:cs="Times New Roman"/>
          <w:sz w:val="22"/>
          <w:szCs w:val="22"/>
        </w:rPr>
        <w:tab/>
        <w:t xml:space="preserve">Olympia Public Infrastructure District No. 2, </w:t>
      </w:r>
      <w:r w:rsidRPr="00900FCF">
        <w:rPr>
          <w:rFonts w:eastAsia="Calibri" w:cs="Times New Roman"/>
          <w:sz w:val="22"/>
          <w:szCs w:val="22"/>
        </w:rPr>
        <w:t xml:space="preserve">(a) $[PAR A-1] Limited Tax General Obligation Bonds, Series 2026A-1, (b) $[PAR A-2] Limited Tax General Obligation Convertible Capital Appreciation Bonds, Series 2026A-2, and (c) $[PAR B] Subordinate Limited Tax General Obligation Bonds, Series 2026B </w:t>
      </w:r>
    </w:p>
    <w:p w14:paraId="7AFC09AD" w14:textId="77777777" w:rsidR="00900FCF" w:rsidRPr="00900FCF" w:rsidRDefault="00900FCF" w:rsidP="00900FCF">
      <w:pPr>
        <w:spacing w:after="240"/>
        <w:ind w:firstLine="720"/>
        <w:jc w:val="both"/>
        <w:rPr>
          <w:rFonts w:eastAsia="Times New Roman" w:cs="Times New Roman"/>
          <w:sz w:val="22"/>
          <w:szCs w:val="22"/>
        </w:rPr>
      </w:pPr>
      <w:r w:rsidRPr="00900FCF">
        <w:rPr>
          <w:rFonts w:eastAsia="Times New Roman" w:cs="Times New Roman"/>
          <w:sz w:val="22"/>
          <w:szCs w:val="22"/>
        </w:rPr>
        <w:t xml:space="preserve">We have acted as bond counsel to Olympia Public Infrastructure District No. 2 (the “District”) in connection with the issuance by the District of its (a) Limited Tax General Obligation Bonds, Series 2026A-1 (the “2026A-1 Senior LT Bonds”), (b) Special Revenue Bonds, Series 2026A-2 (the “2026A-2 SR Bonds”), and (c) Subordinate Limited Tax General Obligation Bonds, Series 2026B (the “2026B Subordinate LT Bonds” and, together with the 2026A-1 Senior LT Bonds and the 2026A-2 SR Bonds, the “Bonds”). The Bonds are issued pursuant to (i) a resolution adopted by the Board of Trustees of the District on July 8, 2026 (the “Bond Resolution”); (ii) an Indenture of Trust (Senior) to be dated as of [INDENTURE MONTH] 1, 2026 (the “Senior LT Indenture”) between the District and Zions Bancorporation, National Association, as trustee (the “Trustee”), with respect to the 2026A-1 Senior LT Bonds, an Indenture of Trust (Special Revenue) to be dated as of [INDENTURE MONTH] 1, 2026 (the “SR Indenture”) between the District and the Trustee, as trustee, and an Indenture of Trust (Subordinate) to be dated as of [INDENTURE MONTH] 1, 2026 (the “Subordinate LT Indenture” and, together with the Senior LT Indenture and the SR Indenture, the “Indentures”) between the District and the Trustee, with respect to the 2026B Subordinate LT Bonds; and (iii) the Public Infrastructure District Act, Title 17D, Chapter 4 (the “PID Act”), Utah Code Annotated 1953, as amended (“Utah Code”), and a portion of the Local Government Bonding Act, Title 11, Chapter 14, Utah Code. The Bonds are being issued for the purpose of paying the Project Costs. A portion of the proceeds of the 2026A-1 Senior LT Bonds will also be issued for the purposes of: (a) funding capitalized interest on the 2026A-1 Senior LT Bonds, (b) funding the Initial Deposit to the LT Surplus Fund, (c) funding the LT Working Capital Fund, and (d) paying other costs in connection with the issuance of the 2026A-1 Senior LT Bonds and the 2026B Subordinate LT Bonds. A portion of the proceeds of the 2026A-2 SR Bonds will also be used to pay costs in connection with the issuance of the 2026A-2 SR Bonds. Capitalized terms used herein and not otherwise defined shall have the meanings given such terms in the Indentures. </w:t>
      </w:r>
    </w:p>
    <w:p w14:paraId="320C3DBD" w14:textId="77777777" w:rsidR="00900FCF" w:rsidRPr="00900FCF" w:rsidRDefault="00900FCF" w:rsidP="00900FCF">
      <w:pPr>
        <w:spacing w:after="240"/>
        <w:ind w:firstLine="720"/>
        <w:jc w:val="both"/>
        <w:rPr>
          <w:rFonts w:eastAsia="Calibri" w:cs="Times New Roman"/>
          <w:sz w:val="22"/>
          <w:szCs w:val="22"/>
        </w:rPr>
      </w:pPr>
      <w:r w:rsidRPr="00900FCF">
        <w:rPr>
          <w:rFonts w:eastAsia="Calibri" w:cs="Times New Roman"/>
          <w:sz w:val="22"/>
          <w:szCs w:val="22"/>
        </w:rPr>
        <w:t>We have examined the law and such certified proceedings and other documents as we deem necessary to render this opinion. As to questions of fact material to our opinion, we have relied upon the representations of the District contained in the Bond Resolution and the Indentures, on the certified proceedings and other certifications of representatives of the District and certifications of others furnished to us without undertaking to verify the same by independent investigation. Our opinion is limited to the matters expressly set forth herein, and we express no opinion concerning any other matters.</w:t>
      </w:r>
    </w:p>
    <w:p w14:paraId="1AA95A4C" w14:textId="77777777" w:rsidR="00900FCF" w:rsidRPr="00900FCF" w:rsidRDefault="00900FCF" w:rsidP="00900FCF">
      <w:pPr>
        <w:spacing w:after="240"/>
        <w:ind w:firstLine="720"/>
        <w:jc w:val="both"/>
        <w:rPr>
          <w:rFonts w:eastAsia="Calibri" w:cs="Times New Roman"/>
          <w:sz w:val="22"/>
          <w:szCs w:val="22"/>
        </w:rPr>
      </w:pPr>
      <w:r w:rsidRPr="00900FCF">
        <w:rPr>
          <w:rFonts w:eastAsia="Calibri" w:cs="Times New Roman"/>
          <w:sz w:val="22"/>
          <w:szCs w:val="22"/>
        </w:rPr>
        <w:t>Based on the foregoing, we are of the opinion that:</w:t>
      </w:r>
    </w:p>
    <w:p w14:paraId="6DF9D8E4" w14:textId="77777777" w:rsidR="00900FCF" w:rsidRPr="00900FCF" w:rsidRDefault="00900FCF" w:rsidP="00B471D8">
      <w:pPr>
        <w:numPr>
          <w:ilvl w:val="0"/>
          <w:numId w:val="8"/>
        </w:numPr>
        <w:tabs>
          <w:tab w:val="left" w:pos="1440"/>
        </w:tabs>
        <w:spacing w:after="240"/>
        <w:ind w:left="0" w:firstLine="720"/>
        <w:jc w:val="both"/>
        <w:rPr>
          <w:rFonts w:eastAsia="Calibri" w:cs="Times New Roman"/>
          <w:sz w:val="22"/>
          <w:szCs w:val="22"/>
        </w:rPr>
      </w:pPr>
      <w:r w:rsidRPr="00900FCF">
        <w:rPr>
          <w:rFonts w:eastAsia="Calibri" w:cs="Times New Roman"/>
          <w:sz w:val="22"/>
          <w:szCs w:val="22"/>
        </w:rPr>
        <w:t>The Senior LT Indenture has been duly authorized, executed and delivered by the District, constitutes a valid and binding obligation of the District enforceable against the District and creates a valid lien on the Senior LT Pledged Revenue and the other amounts pledged thereunder for the security of the 2026A-1 Senior LT Bonds.</w:t>
      </w:r>
    </w:p>
    <w:p w14:paraId="2502A761" w14:textId="159C2E0E" w:rsidR="00900FCF" w:rsidRPr="00900FCF" w:rsidRDefault="00900FCF" w:rsidP="00B471D8">
      <w:pPr>
        <w:numPr>
          <w:ilvl w:val="0"/>
          <w:numId w:val="8"/>
        </w:numPr>
        <w:tabs>
          <w:tab w:val="left" w:pos="1440"/>
        </w:tabs>
        <w:spacing w:after="240"/>
        <w:ind w:left="0" w:firstLine="720"/>
        <w:jc w:val="both"/>
        <w:rPr>
          <w:rFonts w:eastAsia="Calibri" w:cs="Times New Roman"/>
          <w:sz w:val="22"/>
          <w:szCs w:val="22"/>
        </w:rPr>
      </w:pPr>
      <w:r w:rsidRPr="00900FCF">
        <w:rPr>
          <w:rFonts w:eastAsia="Calibri" w:cs="Times New Roman"/>
          <w:sz w:val="22"/>
          <w:szCs w:val="22"/>
        </w:rPr>
        <w:t xml:space="preserve">The Subordinate LT Indenture has been duly authorized, executed and delivered by the District, constitutes a valid and binding obligation of the District enforceable against the District and creates a valid lien on the Subordinate </w:t>
      </w:r>
      <w:r w:rsidR="00B471D8">
        <w:rPr>
          <w:rFonts w:eastAsia="Calibri" w:cs="Times New Roman"/>
          <w:sz w:val="22"/>
          <w:szCs w:val="22"/>
        </w:rPr>
        <w:t xml:space="preserve">LT </w:t>
      </w:r>
      <w:r w:rsidRPr="00900FCF">
        <w:rPr>
          <w:rFonts w:eastAsia="Calibri" w:cs="Times New Roman"/>
          <w:sz w:val="22"/>
          <w:szCs w:val="22"/>
        </w:rPr>
        <w:t>Pledged Revenue and the other amounts pledged thereunder for the security of the 2026B Subordinate LT Bonds.</w:t>
      </w:r>
    </w:p>
    <w:p w14:paraId="71DBF426" w14:textId="77777777" w:rsidR="00900FCF" w:rsidRPr="00900FCF" w:rsidRDefault="00900FCF" w:rsidP="00B471D8">
      <w:pPr>
        <w:numPr>
          <w:ilvl w:val="0"/>
          <w:numId w:val="8"/>
        </w:numPr>
        <w:tabs>
          <w:tab w:val="left" w:pos="1440"/>
        </w:tabs>
        <w:spacing w:after="240"/>
        <w:ind w:left="0" w:firstLine="720"/>
        <w:jc w:val="both"/>
        <w:rPr>
          <w:rFonts w:eastAsia="Calibri" w:cs="Times New Roman"/>
          <w:sz w:val="22"/>
          <w:szCs w:val="22"/>
        </w:rPr>
      </w:pPr>
      <w:r w:rsidRPr="00900FCF">
        <w:rPr>
          <w:rFonts w:eastAsia="Calibri" w:cs="Times New Roman"/>
          <w:sz w:val="22"/>
          <w:szCs w:val="22"/>
        </w:rPr>
        <w:t xml:space="preserve">The </w:t>
      </w:r>
      <w:r w:rsidRPr="00900FCF">
        <w:rPr>
          <w:rFonts w:eastAsia="Times New Roman" w:cs="Times New Roman"/>
          <w:sz w:val="22"/>
          <w:szCs w:val="22"/>
        </w:rPr>
        <w:t>2026A-1 Senior LT Bonds and the 2026B Subordinate LT Bonds</w:t>
      </w:r>
      <w:r w:rsidRPr="00900FCF">
        <w:rPr>
          <w:rFonts w:eastAsia="Calibri" w:cs="Times New Roman"/>
          <w:sz w:val="22"/>
          <w:szCs w:val="22"/>
        </w:rPr>
        <w:t xml:space="preserve"> have been duly authorized, executed, and delivered by the District and are valid and binding limited tax general obligations of the District payable solely from the Senior LT Pledged Revenue, with respect to the 2026A-1 Senior LT Bonds, and the Subordinate LT Pledged Revenue, with respect to the 2026B Subordinate LT Bonds, and other amounts pledged therefor in the respective Indentures, and are entitled to the benefits and security of the respective Indentures and are legally enforceable in accordance with their terms.</w:t>
      </w:r>
    </w:p>
    <w:p w14:paraId="1E3253B0" w14:textId="77777777" w:rsidR="00900FCF" w:rsidRPr="00900FCF" w:rsidRDefault="00900FCF" w:rsidP="00B471D8">
      <w:pPr>
        <w:numPr>
          <w:ilvl w:val="0"/>
          <w:numId w:val="8"/>
        </w:numPr>
        <w:tabs>
          <w:tab w:val="left" w:pos="1440"/>
        </w:tabs>
        <w:autoSpaceDE w:val="0"/>
        <w:autoSpaceDN w:val="0"/>
        <w:adjustRightInd w:val="0"/>
        <w:spacing w:after="240"/>
        <w:ind w:left="0" w:firstLine="720"/>
        <w:jc w:val="both"/>
        <w:rPr>
          <w:rFonts w:eastAsia="Times New Roman" w:cs="Times New Roman"/>
          <w:sz w:val="22"/>
          <w:szCs w:val="22"/>
        </w:rPr>
      </w:pPr>
      <w:r w:rsidRPr="00900FCF">
        <w:rPr>
          <w:rFonts w:eastAsia="Times New Roman" w:cs="Times New Roman"/>
          <w:sz w:val="22"/>
          <w:szCs w:val="22"/>
        </w:rPr>
        <w:t>All taxable property of the District is subject to an ad valorem tax levy at the rate and in the amount of the Senior Required Mill Levy for the purpose of paying the principal of and interest on the 2026A-1 Senior LT Bonds and at the rate and in the amount of the Subordinate Required Mill Levy for the purpose of paying the principal of and interest on the 2026B Subordinate LT Bonds.</w:t>
      </w:r>
    </w:p>
    <w:p w14:paraId="0BC14069" w14:textId="77777777" w:rsidR="00900FCF" w:rsidRPr="00900FCF" w:rsidRDefault="00900FCF" w:rsidP="00B471D8">
      <w:pPr>
        <w:numPr>
          <w:ilvl w:val="0"/>
          <w:numId w:val="8"/>
        </w:numPr>
        <w:tabs>
          <w:tab w:val="left" w:pos="1440"/>
        </w:tabs>
        <w:spacing w:after="240"/>
        <w:ind w:left="0" w:firstLine="720"/>
        <w:jc w:val="both"/>
        <w:rPr>
          <w:rFonts w:eastAsia="Calibri" w:cs="Times New Roman"/>
          <w:sz w:val="22"/>
          <w:szCs w:val="22"/>
        </w:rPr>
      </w:pPr>
      <w:r w:rsidRPr="00900FCF">
        <w:rPr>
          <w:rFonts w:eastAsia="Calibri" w:cs="Times New Roman"/>
          <w:sz w:val="22"/>
          <w:szCs w:val="22"/>
        </w:rPr>
        <w:t>The SR Indenture has been duly authorized, executed and delivered by the District, constitutes a valid and binding obligation of the District enforceable against the District and creates a valid lien on the SR Pledged Revenue and the other amounts pledged thereunder for the security of the 2026A-2 SR Bonds.</w:t>
      </w:r>
    </w:p>
    <w:p w14:paraId="0FD0BBD6" w14:textId="63A7E5D3" w:rsidR="00900FCF" w:rsidRPr="00900FCF" w:rsidRDefault="00900FCF" w:rsidP="00B471D8">
      <w:pPr>
        <w:numPr>
          <w:ilvl w:val="0"/>
          <w:numId w:val="8"/>
        </w:numPr>
        <w:tabs>
          <w:tab w:val="left" w:pos="1440"/>
        </w:tabs>
        <w:spacing w:after="240"/>
        <w:ind w:left="0" w:firstLine="720"/>
        <w:jc w:val="both"/>
        <w:rPr>
          <w:rFonts w:eastAsia="Calibri" w:cs="Times New Roman"/>
          <w:sz w:val="22"/>
          <w:szCs w:val="22"/>
        </w:rPr>
      </w:pPr>
      <w:r w:rsidRPr="00900FCF">
        <w:rPr>
          <w:rFonts w:eastAsia="Calibri" w:cs="Times New Roman"/>
          <w:sz w:val="22"/>
          <w:szCs w:val="22"/>
        </w:rPr>
        <w:t>The 2026A-2 SR Bonds are valid, binding, and enforceable special limited obligations of the District, payable solely from a pledge of the SR Pledged Revenue, including Contract Fees imposed under and pursuant to the Contract Fee</w:t>
      </w:r>
      <w:r w:rsidR="00CD137B">
        <w:rPr>
          <w:rFonts w:eastAsia="Calibri" w:cs="Times New Roman"/>
          <w:sz w:val="22"/>
          <w:szCs w:val="22"/>
        </w:rPr>
        <w:t>s</w:t>
      </w:r>
      <w:r w:rsidRPr="00900FCF">
        <w:rPr>
          <w:rFonts w:eastAsia="Calibri" w:cs="Times New Roman"/>
          <w:sz w:val="22"/>
          <w:szCs w:val="22"/>
        </w:rPr>
        <w:t xml:space="preserve"> Resolution; provided, however, that no provision of the Contract Fee</w:t>
      </w:r>
      <w:r w:rsidR="00CD137B">
        <w:rPr>
          <w:rFonts w:eastAsia="Calibri" w:cs="Times New Roman"/>
          <w:sz w:val="22"/>
          <w:szCs w:val="22"/>
        </w:rPr>
        <w:t>s</w:t>
      </w:r>
      <w:r w:rsidRPr="00900FCF">
        <w:rPr>
          <w:rFonts w:eastAsia="Calibri" w:cs="Times New Roman"/>
          <w:sz w:val="22"/>
          <w:szCs w:val="22"/>
        </w:rPr>
        <w:t xml:space="preserve"> Resolution, the SR Indenture or the 2026A-2 SR Bonds, shall be construed as creating a general obligation of the District, or creating a general obligation of the State of Utah or any political subdivision thereof, or as incurring or creating a charge upon the general credit of the District, or its taxing powers.</w:t>
      </w:r>
    </w:p>
    <w:p w14:paraId="55C2C35A" w14:textId="77777777" w:rsidR="00900FCF" w:rsidRPr="00900FCF" w:rsidRDefault="00900FCF" w:rsidP="00B471D8">
      <w:pPr>
        <w:numPr>
          <w:ilvl w:val="0"/>
          <w:numId w:val="8"/>
        </w:numPr>
        <w:tabs>
          <w:tab w:val="left" w:pos="1440"/>
        </w:tabs>
        <w:spacing w:after="240"/>
        <w:ind w:left="0" w:firstLine="720"/>
        <w:jc w:val="both"/>
        <w:rPr>
          <w:rFonts w:eastAsia="Calibri" w:cs="Times New Roman"/>
          <w:sz w:val="22"/>
          <w:szCs w:val="22"/>
        </w:rPr>
      </w:pPr>
      <w:r w:rsidRPr="00900FCF">
        <w:rPr>
          <w:rFonts w:eastAsia="Calibri" w:cs="Times New Roman"/>
          <w:sz w:val="22"/>
          <w:szCs w:val="22"/>
        </w:rPr>
        <w:t xml:space="preserve">The interest on the Bonds (including any original issue discount properly allocable to an owner thereof) (i) is excludable from gross income for federal income tax purposes and (ii) is not an item of tax preference for purposes of computing the federal alternative minimum tax. The opinions set forth in this paragraph are subject to the condition that the District complies with all requirements of the Internal Revenue Code of 1986, as amended, that must be satisfied subsequent to the issuance of the Bonds in order that interest thereon be, or continue to be, excludable from gross income for federal income tax purposes. The District has covenanted to comply with all of these requirements. Failure to comply with certain of these requirements may cause the interest on the Bonds to be included in gross income for federal income tax purposes retroactive to the date of issuance of the Bonds. </w:t>
      </w:r>
    </w:p>
    <w:p w14:paraId="2BCD3FE5" w14:textId="77777777" w:rsidR="00900FCF" w:rsidRPr="00900FCF" w:rsidRDefault="00900FCF" w:rsidP="00B471D8">
      <w:pPr>
        <w:numPr>
          <w:ilvl w:val="0"/>
          <w:numId w:val="8"/>
        </w:numPr>
        <w:tabs>
          <w:tab w:val="left" w:pos="1440"/>
        </w:tabs>
        <w:spacing w:after="240"/>
        <w:ind w:left="0" w:firstLine="720"/>
        <w:jc w:val="both"/>
        <w:rPr>
          <w:rFonts w:eastAsia="Calibri" w:cs="Times New Roman"/>
          <w:sz w:val="22"/>
          <w:szCs w:val="22"/>
        </w:rPr>
      </w:pPr>
      <w:r w:rsidRPr="00900FCF">
        <w:rPr>
          <w:rFonts w:eastAsia="Calibri" w:cs="Times New Roman"/>
          <w:sz w:val="22"/>
          <w:szCs w:val="22"/>
        </w:rPr>
        <w:t>Interest on the Bonds is exempt from State of Utah individual income taxes.</w:t>
      </w:r>
    </w:p>
    <w:p w14:paraId="7C18F2C1" w14:textId="77777777" w:rsidR="00900FCF" w:rsidRPr="00900FCF" w:rsidRDefault="00900FCF" w:rsidP="00900FCF">
      <w:pPr>
        <w:spacing w:line="260" w:lineRule="atLeast"/>
        <w:ind w:firstLine="720"/>
        <w:jc w:val="both"/>
        <w:rPr>
          <w:rFonts w:eastAsia="Calibri" w:cs="Times New Roman"/>
          <w:kern w:val="2"/>
          <w:sz w:val="22"/>
          <w:szCs w:val="22"/>
        </w:rPr>
      </w:pPr>
      <w:r w:rsidRPr="00900FCF">
        <w:rPr>
          <w:rFonts w:eastAsia="Calibri" w:cs="Times New Roman"/>
          <w:kern w:val="2"/>
          <w:sz w:val="22"/>
          <w:szCs w:val="22"/>
        </w:rPr>
        <w:t>The rights of the owners of the Bonds and the enforceability of the Bonds and the Indentures may be limited by bankruptcy, insolvency, reorganization, moratorium, and other similar laws affecting the rights and remedies of creditors, and by equitable principles, whether considered at law or in equity.</w:t>
      </w:r>
    </w:p>
    <w:p w14:paraId="6425C9A7" w14:textId="77777777" w:rsidR="00900FCF" w:rsidRPr="00900FCF" w:rsidRDefault="00900FCF" w:rsidP="00900FCF">
      <w:pPr>
        <w:spacing w:line="260" w:lineRule="atLeast"/>
        <w:jc w:val="both"/>
        <w:rPr>
          <w:rFonts w:eastAsia="Calibri" w:cs="Times New Roman"/>
          <w:kern w:val="2"/>
          <w:sz w:val="22"/>
          <w:szCs w:val="22"/>
        </w:rPr>
      </w:pPr>
    </w:p>
    <w:p w14:paraId="18B5E91B" w14:textId="77777777" w:rsidR="00900FCF" w:rsidRPr="00900FCF" w:rsidRDefault="00900FCF" w:rsidP="00900FCF">
      <w:pPr>
        <w:spacing w:line="260" w:lineRule="atLeast"/>
        <w:ind w:firstLine="720"/>
        <w:jc w:val="both"/>
        <w:rPr>
          <w:rFonts w:eastAsia="Calibri" w:cs="Times New Roman"/>
          <w:kern w:val="2"/>
          <w:sz w:val="22"/>
          <w:szCs w:val="22"/>
        </w:rPr>
      </w:pPr>
      <w:r w:rsidRPr="00900FCF">
        <w:rPr>
          <w:rFonts w:eastAsia="Calibri" w:cs="Times New Roman"/>
          <w:kern w:val="2"/>
          <w:sz w:val="22"/>
          <w:szCs w:val="22"/>
        </w:rPr>
        <w:t>We express no opinion regarding (a) the accuracy, adequacy or completeness of the Official Statement or other offering material relating to the Bonds, except as may be set forth in our supplemental opinion of even date herewith, (b) the attachment, perfection, or priority of the lien on (i) Senior LT Pledged Revenue or other funds created by the Senior LT Indenture, (ii) SR Pledged Revenue or other funds created by the SR Indenture, or (iii) Subordinate LT Pledged Revenue or other funds created by the Subordinate LT Indenture, or (c) the tax consequences arising with respect to the Bonds other than as expressly set forth in this opinion letter.</w:t>
      </w:r>
    </w:p>
    <w:p w14:paraId="15BC77B2" w14:textId="77777777" w:rsidR="00900FCF" w:rsidRPr="00900FCF" w:rsidRDefault="00900FCF" w:rsidP="00900FCF">
      <w:pPr>
        <w:spacing w:line="260" w:lineRule="atLeast"/>
        <w:jc w:val="both"/>
        <w:rPr>
          <w:rFonts w:eastAsia="Calibri" w:cs="Times New Roman"/>
          <w:kern w:val="2"/>
          <w:sz w:val="22"/>
          <w:szCs w:val="22"/>
        </w:rPr>
      </w:pPr>
    </w:p>
    <w:p w14:paraId="7A4894B1" w14:textId="77777777" w:rsidR="00900FCF" w:rsidRPr="00900FCF" w:rsidRDefault="00900FCF" w:rsidP="00900FCF">
      <w:pPr>
        <w:spacing w:line="260" w:lineRule="atLeast"/>
        <w:ind w:firstLine="720"/>
        <w:jc w:val="both"/>
        <w:rPr>
          <w:rFonts w:eastAsia="Calibri" w:cs="Times New Roman"/>
          <w:kern w:val="2"/>
          <w:sz w:val="22"/>
          <w:szCs w:val="22"/>
        </w:rPr>
      </w:pPr>
      <w:r w:rsidRPr="00900FCF">
        <w:rPr>
          <w:rFonts w:eastAsia="Calibri" w:cs="Times New Roman"/>
          <w:kern w:val="2"/>
          <w:sz w:val="22"/>
          <w:szCs w:val="22"/>
        </w:rPr>
        <w:t xml:space="preserve">The opinions given in this opinion letter are given as of the date set forth above, and we assume no obligation to revise or supplement them to reflect any facts or circumstances that may later come to our attention, or any changes in law that may later occur. </w:t>
      </w:r>
    </w:p>
    <w:p w14:paraId="4D7D50DF" w14:textId="77777777" w:rsidR="00900FCF" w:rsidRPr="00900FCF" w:rsidRDefault="00900FCF" w:rsidP="00900FCF">
      <w:pPr>
        <w:tabs>
          <w:tab w:val="left" w:pos="4320"/>
        </w:tabs>
        <w:jc w:val="both"/>
        <w:rPr>
          <w:rFonts w:eastAsia="Times New Roman" w:cs="Times New Roman"/>
          <w:sz w:val="22"/>
          <w:szCs w:val="22"/>
        </w:rPr>
      </w:pPr>
    </w:p>
    <w:p w14:paraId="5B945D8B" w14:textId="77777777" w:rsidR="00900FCF" w:rsidRPr="00900FCF" w:rsidRDefault="00900FCF" w:rsidP="00900FCF">
      <w:pPr>
        <w:tabs>
          <w:tab w:val="left" w:pos="4320"/>
        </w:tabs>
        <w:jc w:val="both"/>
        <w:rPr>
          <w:rFonts w:eastAsia="Times New Roman" w:cs="Times New Roman"/>
          <w:sz w:val="22"/>
          <w:szCs w:val="22"/>
        </w:rPr>
      </w:pPr>
      <w:r w:rsidRPr="00900FCF">
        <w:rPr>
          <w:rFonts w:eastAsia="Times New Roman" w:cs="Times New Roman"/>
          <w:sz w:val="22"/>
          <w:szCs w:val="22"/>
        </w:rPr>
        <w:tab/>
        <w:t>Respectfully submitted,</w:t>
      </w:r>
    </w:p>
    <w:p w14:paraId="5C315AFB" w14:textId="63B229E3" w:rsidR="00900FCF" w:rsidRPr="00DA2177" w:rsidRDefault="00900FCF" w:rsidP="001B0933">
      <w:pPr>
        <w:rPr>
          <w:rFonts w:cs="Times New Roman"/>
          <w:sz w:val="22"/>
          <w:szCs w:val="22"/>
        </w:rPr>
        <w:sectPr w:rsidR="00900FCF" w:rsidRPr="00DA2177" w:rsidSect="00CC3A04">
          <w:footerReference w:type="default" r:id="rId42"/>
          <w:pgSz w:w="12240" w:h="15840" w:code="1"/>
          <w:pgMar w:top="1440" w:right="1440" w:bottom="1440" w:left="1440" w:header="720" w:footer="720" w:gutter="0"/>
          <w:pgNumType w:start="1"/>
          <w:cols w:space="720"/>
          <w:docGrid w:linePitch="272"/>
        </w:sectPr>
      </w:pPr>
    </w:p>
    <w:p w14:paraId="33E1B4D5" w14:textId="27D596FB" w:rsidR="00567D7F" w:rsidRPr="00DA2177" w:rsidRDefault="00C325F8" w:rsidP="00A70D7A">
      <w:pPr>
        <w:pStyle w:val="Heading1"/>
        <w:rPr>
          <w:rFonts w:eastAsia="Times New Roman" w:cs="Times New Roman"/>
          <w:sz w:val="22"/>
          <w:szCs w:val="22"/>
        </w:rPr>
      </w:pPr>
      <w:bookmarkStart w:id="315" w:name="_Toc235521155"/>
      <w:r>
        <w:rPr>
          <w:rFonts w:eastAsia="Times New Roman" w:cs="Times New Roman"/>
          <w:sz w:val="22"/>
          <w:szCs w:val="22"/>
        </w:rPr>
        <w:t>APPENDIX G</w:t>
      </w:r>
      <w:r>
        <w:rPr>
          <w:rFonts w:eastAsia="Times New Roman" w:cs="Times New Roman"/>
          <w:sz w:val="22"/>
          <w:szCs w:val="22"/>
        </w:rPr>
        <w:br/>
      </w:r>
      <w:r>
        <w:rPr>
          <w:rFonts w:eastAsia="Times New Roman" w:cs="Times New Roman"/>
          <w:sz w:val="22"/>
          <w:szCs w:val="22"/>
        </w:rPr>
        <w:br/>
        <w:t>BOOK-ENTRY-ONLY SYSTEM</w:t>
      </w:r>
      <w:bookmarkEnd w:id="315"/>
    </w:p>
    <w:p w14:paraId="7D4A4A47" w14:textId="77777777" w:rsidR="00047DDB" w:rsidRPr="00DA2177" w:rsidRDefault="00047DDB" w:rsidP="00047DDB">
      <w:pPr>
        <w:pStyle w:val="00BodyText5"/>
        <w:rPr>
          <w:rFonts w:cs="Times New Roman"/>
          <w:i/>
          <w:szCs w:val="22"/>
        </w:rPr>
      </w:pPr>
      <w:r>
        <w:rPr>
          <w:rFonts w:cs="Times New Roman"/>
          <w:i/>
          <w:szCs w:val="22"/>
        </w:rPr>
        <w:t>The information in this section concerning The Depository Trust Company (“</w:t>
      </w:r>
      <w:r>
        <w:rPr>
          <w:rFonts w:cs="Times New Roman"/>
          <w:b/>
          <w:i/>
          <w:szCs w:val="22"/>
        </w:rPr>
        <w:t>DTC</w:t>
      </w:r>
      <w:r>
        <w:rPr>
          <w:rFonts w:cs="Times New Roman"/>
          <w:i/>
          <w:szCs w:val="22"/>
        </w:rPr>
        <w:t xml:space="preserve">”) New York, NY and DTC’s book-entry-only system has been obtained from DTC, and the District and the Underwriter take no responsibility for the accuracy thereof. </w:t>
      </w:r>
    </w:p>
    <w:p w14:paraId="2610731E" w14:textId="222EAAC5" w:rsidR="00047DDB" w:rsidRPr="00DA2177" w:rsidRDefault="00047DDB" w:rsidP="00047DDB">
      <w:pPr>
        <w:pStyle w:val="00BodyText5"/>
        <w:rPr>
          <w:rFonts w:cs="Times New Roman"/>
          <w:szCs w:val="22"/>
        </w:rPr>
      </w:pPr>
      <w:r>
        <w:rPr>
          <w:rFonts w:cs="Times New Roman"/>
          <w:szCs w:val="22"/>
        </w:rPr>
        <w:t xml:space="preserve">DTC will act as securities depository for the Bonds. The Bonds will be issued as fully-registered securities registered in the name of Cede &amp; Co. (DTC’s partnership nominee) or such other name as may be requested by an authorized representative of DTC. One fully registered certificate will be issued for the Bonds, as set forth on the inside cover page hereof, in the aggregate principal amount of each maturity of the Bonds and deposited with DTC. </w:t>
      </w:r>
    </w:p>
    <w:p w14:paraId="601CF9F9" w14:textId="75D13E11" w:rsidR="00047DDB" w:rsidRPr="00DA2177" w:rsidRDefault="00047DDB" w:rsidP="00047DDB">
      <w:pPr>
        <w:pStyle w:val="00BodyText5"/>
        <w:rPr>
          <w:rFonts w:cs="Times New Roman"/>
          <w:szCs w:val="22"/>
        </w:rPr>
      </w:pPr>
      <w:r>
        <w:rPr>
          <w:rFonts w:cs="Times New Roman"/>
          <w:szCs w:val="22"/>
        </w:rPr>
        <w:t>DTC, the world’s largest securities depository, is a limited-purpose trust company organized under the New York Banking Law, a “banking organization” within the meaning of the New York Banking Law, a member of the Federal Reserve System, a “clearing corporation” within the meaning of the New York Uniform Commercial Code, and a “clearing agency” registered pursuant to the provisions of Section 17A of the Securities Exchange Act of 1934. DTC holds and provides asset servicing for over 3.5 million issues of U.S. and non-U.S. equity issues, corporate and municipal debt issues, and money market instruments (from over 100 countries) that DTC’s participants (“</w:t>
      </w:r>
      <w:r>
        <w:rPr>
          <w:rFonts w:cs="Times New Roman"/>
          <w:b/>
          <w:szCs w:val="22"/>
        </w:rPr>
        <w:t>Direct Participants</w:t>
      </w:r>
      <w:r>
        <w:rPr>
          <w:rFonts w:cs="Times New Roman"/>
          <w:szCs w:val="22"/>
        </w:rPr>
        <w:t>”) deposit with DTC. DTC also facilitates the post trade settlement among Direct Participants of sales and other securities transactions in deposited securities, through electronic computerized book-entry transfers and pledges between Direct Participants’ accounts. This eliminates the need for physical movement of securities certificates. Direct Participants include both U.S. and non-U.S. securities brokers and dealers, banks, trust companies, clearing corporations and certain other organizations. DTC is a wholly-owned subsidiary of The Depository Trust &amp; Clearing Corporation (“</w:t>
      </w:r>
      <w:r>
        <w:rPr>
          <w:rFonts w:cs="Times New Roman"/>
          <w:b/>
          <w:szCs w:val="22"/>
        </w:rPr>
        <w:t>DTCC</w:t>
      </w:r>
      <w:r>
        <w:rPr>
          <w:rFonts w:cs="Times New Roman"/>
          <w:szCs w:val="22"/>
        </w:rPr>
        <w:t>”). DTCC is the holding company for DTC, National Securities Clearing Corporation &amp; Fixed Income Clearing Corporation, all of which are registered clearing agencies. DTCC is owned by the users of its regulated subsidiaries. Access to the DTC system is also available to others such as both U.S. and non-U.S. securities brokers and dealers, banks, trust companies and clearing corporations that clear through or maintain a custodial relationship with a Direct Participant, either directly or indirectly (“</w:t>
      </w:r>
      <w:r>
        <w:rPr>
          <w:rFonts w:cs="Times New Roman"/>
          <w:b/>
          <w:szCs w:val="22"/>
        </w:rPr>
        <w:t>Indirect Participants</w:t>
      </w:r>
      <w:r>
        <w:rPr>
          <w:rFonts w:cs="Times New Roman"/>
          <w:szCs w:val="22"/>
        </w:rPr>
        <w:t xml:space="preserve">”). DTC has a Standard &amp; Poor’s rating of “AA+.” The DTC Rules applicable to its Participants are on file with the Securities and Exchange Commission. More information about DTC can be found at www.dtcc.com and www.dtc.org. </w:t>
      </w:r>
    </w:p>
    <w:p w14:paraId="52AEA883" w14:textId="000AEBD6" w:rsidR="00047DDB" w:rsidRPr="00DA2177" w:rsidRDefault="00047DDB" w:rsidP="00047DDB">
      <w:pPr>
        <w:pStyle w:val="00BodyText5"/>
        <w:rPr>
          <w:rFonts w:cs="Times New Roman"/>
          <w:szCs w:val="22"/>
        </w:rPr>
      </w:pPr>
      <w:r>
        <w:rPr>
          <w:rFonts w:cs="Times New Roman"/>
          <w:szCs w:val="22"/>
        </w:rPr>
        <w:t>Purchases of the Bonds under the DTC system must be made by or through Direct Participants, which will receive a credit for the Bonds on DTC’s records. The ownership interest of each actual purchaser of each Bond (“</w:t>
      </w:r>
      <w:r>
        <w:rPr>
          <w:rFonts w:cs="Times New Roman"/>
          <w:b/>
          <w:szCs w:val="22"/>
        </w:rPr>
        <w:t>Beneficial Owner</w:t>
      </w:r>
      <w:r>
        <w:rPr>
          <w:rFonts w:cs="Times New Roman"/>
          <w:szCs w:val="22"/>
        </w:rPr>
        <w:t xml:space="preserve">”) is in turn to be recorded on the Direct and Indirect Participants’ records. Beneficial Owners will not receive written confirmation from DTC of their purchase. Beneficial Owners are, however, expected to receive written confirmations providing details of the transaction, as well as periodic statements of their holdings, from the Direct or Indirect Participant through which the Beneficial Owner entered into the transaction. Transfers of ownership interests in the Bonds are to be accomplished by entries made on the books of Direct and Indirect Participants acting on behalf of Beneficial Owners. Beneficial Owners will not receive certificates representing their ownership interests in the Bonds, except in the event that use of the book entry-system for the Bonds is discontinued. </w:t>
      </w:r>
    </w:p>
    <w:p w14:paraId="11838861" w14:textId="77777777" w:rsidR="00047DDB" w:rsidRPr="00DA2177" w:rsidRDefault="00047DDB" w:rsidP="00047DDB">
      <w:pPr>
        <w:pStyle w:val="00BodyText5"/>
        <w:rPr>
          <w:rFonts w:cs="Times New Roman"/>
          <w:szCs w:val="22"/>
        </w:rPr>
      </w:pPr>
      <w:r>
        <w:rPr>
          <w:rFonts w:cs="Times New Roman"/>
          <w:szCs w:val="22"/>
        </w:rPr>
        <w:t xml:space="preserve">To facilitate subsequent transfers, all Bonds deposited by Direct Participants with DTC are registered in the name of DTC’s partnership nominee, Cede &amp; Co., or such other name as may be requested by an authorized representative of DTC. The deposit of Bonds with DTC and their registration in the name of Cede &amp; Co. or such other DTC nominee do not effect any change in beneficial ownership. DTC has no knowledge of the actual Beneficial Owners of Bonds; DTC’s records reflect only the identity of the Direct Participants to whose accounts such Bonds are credited, which may or may not be the Beneficial Owners. The Direct and Indirect Participants remain responsible for keeping accounts of their holdings on behalf of their customers. </w:t>
      </w:r>
    </w:p>
    <w:p w14:paraId="7E139C18" w14:textId="464C4ABB" w:rsidR="00047DDB" w:rsidRPr="00DA2177" w:rsidRDefault="00047DDB" w:rsidP="00047DDB">
      <w:pPr>
        <w:pStyle w:val="00BodyText5"/>
        <w:rPr>
          <w:rFonts w:cs="Times New Roman"/>
          <w:szCs w:val="22"/>
        </w:rPr>
      </w:pPr>
      <w:r>
        <w:rPr>
          <w:rFonts w:cs="Times New Roman"/>
          <w:szCs w:val="22"/>
        </w:rPr>
        <w:t xml:space="preserve">Conveyance of notices and other communications by DTC to Direct Participants, by Direct Participants to Indirect Participants and by Direct Participants and Indirect Participants to Beneficial Owners will be governed by arrangements among them, subject to any statutory or regulatory requirements as may be in effect from time to time. Beneficial Owners of the Bonds may wish to take certain steps to augment the transmission to them of notices of significant events with respect to the Bonds, such as redemptions, tenders, defaults, and proposed amendments to the Bond documents. For example, Beneficial Owners of the Bonds may wish to ascertain that the nominee holding the Bonds for their benefit has agreed to obtain and transmit notices to Beneficial Owners. In the alternative, Beneficial Owners may wish to provide their names and addresses to the registrar and request that copies of notices be provided directly to them. </w:t>
      </w:r>
    </w:p>
    <w:p w14:paraId="51584106" w14:textId="04190E1E" w:rsidR="00047DDB" w:rsidRPr="00DA2177" w:rsidRDefault="00047DDB" w:rsidP="00047DDB">
      <w:pPr>
        <w:pStyle w:val="00BodyText5"/>
        <w:rPr>
          <w:rFonts w:cs="Times New Roman"/>
          <w:szCs w:val="22"/>
        </w:rPr>
      </w:pPr>
      <w:r>
        <w:rPr>
          <w:rFonts w:cs="Times New Roman"/>
          <w:szCs w:val="22"/>
        </w:rPr>
        <w:t xml:space="preserve">Redemption notices will be sent to DTC. If less than all of the Bonds within an issue are being redeemed, DTC’s practice is to determine by lot the amount of the interest of each Direct Participant in such issue to be redeemed. </w:t>
      </w:r>
    </w:p>
    <w:p w14:paraId="41C36A35" w14:textId="2EE8E473" w:rsidR="00047DDB" w:rsidRPr="00DA2177" w:rsidRDefault="00047DDB" w:rsidP="00047DDB">
      <w:pPr>
        <w:pStyle w:val="00BodyText5"/>
        <w:rPr>
          <w:rFonts w:cs="Times New Roman"/>
          <w:szCs w:val="22"/>
        </w:rPr>
      </w:pPr>
      <w:r>
        <w:rPr>
          <w:rFonts w:cs="Times New Roman"/>
          <w:szCs w:val="22"/>
        </w:rPr>
        <w:t xml:space="preserve">Neither DTC nor Cede &amp; Co. (nor any other DTC nominee) will consent or vote with respect to Bonds unless authorized by a Direct Participant in accordance with DTC’s MMI Procedures. Under its usual procedures, DTC mails an Omnibus Proxy to the District as soon as possible after the record date. The Omnibus Proxy assigns Cede &amp; Co.’s consenting or voting rights to those Direct Participants to whose accounts the Bonds are credited on the record date (identified in a listing attached to the Omnibus Proxy). </w:t>
      </w:r>
    </w:p>
    <w:p w14:paraId="00CE43BB" w14:textId="19F7BEDE" w:rsidR="00047DDB" w:rsidRPr="00DA2177" w:rsidRDefault="00047DDB" w:rsidP="00047DDB">
      <w:pPr>
        <w:pStyle w:val="00BodyText5"/>
        <w:rPr>
          <w:rFonts w:cs="Times New Roman"/>
          <w:szCs w:val="22"/>
        </w:rPr>
      </w:pPr>
      <w:r>
        <w:rPr>
          <w:rFonts w:cs="Times New Roman"/>
          <w:szCs w:val="22"/>
        </w:rPr>
        <w:t xml:space="preserve">Redemption proceeds, distributions, and dividend payments on the Bonds are to be made to Cede &amp; Co., or such other nominee as may be requested by an authorized representative of DTC. DTC’s practice is to credit Direct Participants’ accounts upon DTC’s receipt of funds and corresponding detail information from the District or Trustee, on payable date in accordance with their respective holdings shown on DTC’s records. Payments by Participants to Beneficial Owners will be governed by standing instructions and customary practices, as is the case with securities held for the accounts of customers in bearer form or registered in “street name,” and will be the responsibility of such Participant and not of DTC, the Trustee or District, subject to any statutory or regulatory requirements as may be in effect from time to time. Payment of redemption proceeds, distributions, and dividend payments to Cede &amp; Co. (or such other name as may be requested by an authorized representative of DTC) is the responsibility of the District or the Trustee, disbursement of such payments to Direct Participants will be the responsibility of DTC, and disbursement of such payments to the Beneficial Owners will be the responsibility of Direct and Indirect Participants. </w:t>
      </w:r>
    </w:p>
    <w:p w14:paraId="0409138F" w14:textId="43F9906E" w:rsidR="00047DDB" w:rsidRPr="00DA2177" w:rsidRDefault="00047DDB" w:rsidP="00047DDB">
      <w:pPr>
        <w:pStyle w:val="00BodyText5"/>
        <w:rPr>
          <w:rFonts w:cs="Times New Roman"/>
          <w:szCs w:val="22"/>
        </w:rPr>
      </w:pPr>
      <w:r>
        <w:rPr>
          <w:rFonts w:cs="Times New Roman"/>
          <w:szCs w:val="22"/>
        </w:rPr>
        <w:t xml:space="preserve">A Beneficial Owner shall give notice to elect to have its Bonds purchased or tendered, through its Participant, to Tender or Remarketing Agent, and shall effect delivery of such Bonds by causing the Direct Participant to transfer the Participant’s interest in the Bonds, on DTC’s records, to Tender or Remarketing Agent. The requirement for physical delivery of the Bonds in connection with an optional tender or a mandatory purchase will be deemed satisfied when the ownership rights in the Bonds are transferred by Direct Participants on DTC’s records and followed by a book-entry credit for tendered Bonds to Tender or Remarketing Agent’s DTC account. </w:t>
      </w:r>
    </w:p>
    <w:p w14:paraId="6B401862" w14:textId="7FE6A386" w:rsidR="00047DDB" w:rsidRPr="00DA2177" w:rsidRDefault="00047DDB" w:rsidP="00047DDB">
      <w:pPr>
        <w:pStyle w:val="00BodyText5"/>
        <w:rPr>
          <w:rFonts w:cs="Times New Roman"/>
          <w:szCs w:val="22"/>
        </w:rPr>
      </w:pPr>
      <w:r>
        <w:rPr>
          <w:rFonts w:cs="Times New Roman"/>
          <w:szCs w:val="22"/>
        </w:rPr>
        <w:t xml:space="preserve">DTC may discontinue providing its services as securities depository with respect to the Bonds at any time by giving reasonable notice to the District or the Trustee. Under such circumstances, in the event that a successor securities depository is not obtained, Bond certificates are required to be printed and delivered. </w:t>
      </w:r>
    </w:p>
    <w:p w14:paraId="53CF7347" w14:textId="1F643C68" w:rsidR="00567D7F" w:rsidRPr="00DA2177" w:rsidRDefault="00047DDB" w:rsidP="00047DDB">
      <w:pPr>
        <w:pStyle w:val="00BodyText5"/>
        <w:rPr>
          <w:rFonts w:cs="Times New Roman"/>
          <w:szCs w:val="22"/>
        </w:rPr>
      </w:pPr>
      <w:r>
        <w:rPr>
          <w:rFonts w:cs="Times New Roman"/>
          <w:szCs w:val="22"/>
        </w:rPr>
        <w:t>The District may decide to discontinue use of the system of book-entry-only transfers through DTC (or a successor securities depository). In that event, bond certificates will be printed and delivered to DTC.</w:t>
      </w:r>
    </w:p>
    <w:p w14:paraId="3328B9EC" w14:textId="77777777" w:rsidR="00B3052D" w:rsidRDefault="00B3052D" w:rsidP="001B0933">
      <w:pPr>
        <w:rPr>
          <w:rFonts w:cs="Times New Roman"/>
          <w:sz w:val="22"/>
          <w:szCs w:val="22"/>
        </w:rPr>
        <w:sectPr w:rsidR="00B3052D" w:rsidSect="00CC3A04">
          <w:footerReference w:type="default" r:id="rId43"/>
          <w:pgSz w:w="12240" w:h="15840" w:code="1"/>
          <w:pgMar w:top="1440" w:right="1440" w:bottom="1440" w:left="1440" w:header="720" w:footer="720" w:gutter="0"/>
          <w:pgNumType w:start="1"/>
          <w:cols w:space="720"/>
          <w:docGrid w:linePitch="272"/>
        </w:sectPr>
      </w:pPr>
    </w:p>
    <w:p w14:paraId="374AEBBD" w14:textId="77777777" w:rsidR="00161B9A" w:rsidRPr="00161B9A" w:rsidRDefault="00161B9A" w:rsidP="00161B9A">
      <w:pPr>
        <w:pStyle w:val="00BodyText1"/>
        <w:ind w:firstLine="0"/>
        <w:jc w:val="center"/>
        <w:rPr>
          <w:b/>
          <w:bCs/>
          <w:sz w:val="22"/>
          <w:szCs w:val="28"/>
        </w:rPr>
      </w:pPr>
    </w:p>
    <w:sectPr w:rsidR="00161B9A" w:rsidRPr="00161B9A" w:rsidSect="00161B9A">
      <w:type w:val="continuous"/>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DB41" w14:textId="77777777" w:rsidR="00367B2D" w:rsidRDefault="00367B2D" w:rsidP="006D1786">
      <w:r>
        <w:separator/>
      </w:r>
    </w:p>
  </w:endnote>
  <w:endnote w:type="continuationSeparator" w:id="0">
    <w:p w14:paraId="783338C2" w14:textId="77777777" w:rsidR="00367B2D" w:rsidRDefault="00367B2D" w:rsidP="006D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7B2A" w14:textId="77777777" w:rsidR="00AA40F1" w:rsidRDefault="00AA40F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AAAE" w14:textId="7797124F" w:rsidR="00A60A90" w:rsidRPr="00F53168" w:rsidRDefault="00A60A90" w:rsidP="004C7909">
    <w:pPr>
      <w:pStyle w:val="Footer"/>
      <w:tabs>
        <w:tab w:val="clear" w:pos="4680"/>
        <w:tab w:val="center" w:pos="5040"/>
      </w:tabs>
      <w:spacing w:line="180" w:lineRule="exact"/>
      <w:rPr>
        <w:rFonts w:cs="Times New Roman"/>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C5224B">
      <w:rPr>
        <w:rFonts w:ascii="Arial" w:hAnsi="Arial" w:cs="Arial"/>
        <w:color w:val="FFFFFF" w:themeColor="background1"/>
        <w:sz w:val="16"/>
      </w:rPr>
      <w:t>4903-7475-4219, v. 7</w:t>
    </w:r>
    <w:r w:rsidRPr="007C6C62">
      <w:rPr>
        <w:rFonts w:ascii="Arial" w:hAnsi="Arial" w:cs="Arial"/>
        <w:color w:val="FFFFFF" w:themeColor="background1"/>
        <w:sz w:val="16"/>
      </w:rPr>
      <w:fldChar w:fldCharType="end"/>
    </w:r>
    <w:r>
      <w:rPr>
        <w:rFonts w:ascii="Arial" w:hAnsi="Arial" w:cs="Arial"/>
        <w:sz w:val="16"/>
      </w:rPr>
      <w:tab/>
    </w:r>
    <w:r w:rsidRPr="00CC5C87">
      <w:rPr>
        <w:rFonts w:cs="Times New Roman"/>
      </w:rPr>
      <w:fldChar w:fldCharType="begin"/>
    </w:r>
    <w:r w:rsidRPr="00CC5C87">
      <w:rPr>
        <w:rFonts w:cs="Times New Roman"/>
      </w:rPr>
      <w:instrText xml:space="preserve"> PAGE   \* MERGEFORMAT </w:instrText>
    </w:r>
    <w:r w:rsidRPr="00CC5C87">
      <w:rPr>
        <w:rFonts w:cs="Times New Roman"/>
      </w:rPr>
      <w:fldChar w:fldCharType="separate"/>
    </w:r>
    <w:r w:rsidRPr="00CC5C87">
      <w:rPr>
        <w:rFonts w:cs="Times New Roman"/>
        <w:noProof/>
      </w:rPr>
      <w:t>1</w:t>
    </w:r>
    <w:r w:rsidRPr="00CC5C87">
      <w:rPr>
        <w:rFonts w:cs="Times New Roman"/>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56EF" w14:textId="77777777" w:rsidR="00A60A90" w:rsidRPr="00555114" w:rsidRDefault="00A60A90" w:rsidP="00811B25">
    <w:pPr>
      <w:tabs>
        <w:tab w:val="center" w:pos="4680"/>
      </w:tabs>
    </w:pPr>
    <w:r>
      <w:tab/>
    </w:r>
    <w:r>
      <w:fldChar w:fldCharType="begin"/>
    </w:r>
    <w:r>
      <w:instrText xml:space="preserve"> PAGE   \* MERGEFORMAT </w:instrText>
    </w:r>
    <w:r>
      <w:fldChar w:fldCharType="separate"/>
    </w:r>
    <w:r>
      <w:rPr>
        <w:noProof/>
      </w:rPr>
      <w:t>1</w:t>
    </w:r>
    <w:r>
      <w:rPr>
        <w:noProof/>
      </w:rPr>
      <w:fldChar w:fldCharType="end"/>
    </w:r>
  </w:p>
  <w:p w14:paraId="061D2078" w14:textId="77777777" w:rsidR="00A60A90" w:rsidRDefault="00A60A9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43D2" w14:textId="2337D68F" w:rsidR="00A42F48" w:rsidRPr="007C6C62" w:rsidRDefault="00F0571B" w:rsidP="00F0571B">
    <w:pPr>
      <w:tabs>
        <w:tab w:val="decimal" w:pos="4680"/>
      </w:tabs>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5224B">
      <w:rPr>
        <w:rFonts w:ascii="Arial" w:hAnsi="Arial" w:cs="Arial"/>
        <w:sz w:val="16"/>
      </w:rPr>
      <w:t>4903-7475-4219, v. 7</w:t>
    </w:r>
    <w:r>
      <w:rPr>
        <w:rFonts w:ascii="Arial" w:hAnsi="Arial" w:cs="Arial"/>
        <w:sz w:val="16"/>
      </w:rPr>
      <w:fldChar w:fldCharType="end"/>
    </w:r>
    <w:r w:rsidR="00A42F48">
      <w:tab/>
      <w:t>A-1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8601" w14:textId="77777777" w:rsidR="00A42F48" w:rsidRPr="00555114" w:rsidRDefault="00A42F48" w:rsidP="00E94F1A">
    <w:pPr>
      <w:tabs>
        <w:tab w:val="center" w:pos="4680"/>
      </w:tabs>
    </w:pPr>
    <w:r>
      <w:tab/>
    </w:r>
    <w:r w:rsidRPr="00E94F1A">
      <w:t>A-1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D348" w14:textId="43F3C1F6" w:rsidR="00A60A90" w:rsidRPr="00555114" w:rsidRDefault="00A60A90" w:rsidP="00E94F1A">
    <w:pPr>
      <w:tabs>
        <w:tab w:val="center" w:pos="4680"/>
      </w:tabs>
    </w:pPr>
    <w:r>
      <w:tab/>
      <w:t>B</w:t>
    </w:r>
    <w:r w:rsidRPr="00E94F1A">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B2017" w14:textId="1451C6D6" w:rsidR="00A60A90" w:rsidRPr="0045345D" w:rsidRDefault="00A60A90" w:rsidP="00884D03">
    <w:pPr>
      <w:pStyle w:val="Footer"/>
      <w:spacing w:line="180" w:lineRule="exact"/>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C5224B">
      <w:rPr>
        <w:rFonts w:ascii="Arial" w:hAnsi="Arial" w:cs="Arial"/>
        <w:color w:val="FFFFFF" w:themeColor="background1"/>
        <w:sz w:val="16"/>
      </w:rPr>
      <w:t>4903-7475-4219, v. 7</w:t>
    </w:r>
    <w:r w:rsidRPr="007C6C62">
      <w:rPr>
        <w:rFonts w:ascii="Arial" w:hAnsi="Arial" w:cs="Arial"/>
        <w:color w:val="FFFFFF" w:themeColor="background1"/>
        <w:sz w:val="16"/>
      </w:rPr>
      <w:fldChar w:fldCharType="end"/>
    </w:r>
    <w:r w:rsidRPr="0045345D">
      <w:tab/>
    </w:r>
    <w:r w:rsidR="00893527">
      <w:t>C</w:t>
    </w:r>
    <w:r>
      <w:t>-</w:t>
    </w:r>
    <w:r>
      <w:fldChar w:fldCharType="begin"/>
    </w:r>
    <w:r>
      <w:instrText xml:space="preserve"> PAGE   \* MERGEFORMAT </w:instrText>
    </w:r>
    <w:r>
      <w:fldChar w:fldCharType="separate"/>
    </w:r>
    <w:r>
      <w:rPr>
        <w:noProof/>
      </w:rPr>
      <w:t>1</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2FFA" w14:textId="3029984A" w:rsidR="00A60A90" w:rsidRPr="007C6C62" w:rsidRDefault="00A60A90" w:rsidP="00884D03">
    <w:pPr>
      <w:pStyle w:val="Footer"/>
      <w:spacing w:line="180" w:lineRule="exact"/>
      <w:rPr>
        <w:color w:val="FFFFFF" w:themeColor="background1"/>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C5224B">
      <w:rPr>
        <w:rFonts w:ascii="Arial" w:hAnsi="Arial" w:cs="Arial"/>
        <w:color w:val="FFFFFF" w:themeColor="background1"/>
        <w:sz w:val="16"/>
      </w:rPr>
      <w:t>4903-7475-4219, v. 7</w:t>
    </w:r>
    <w:r w:rsidRPr="007C6C62">
      <w:rPr>
        <w:rFonts w:ascii="Arial" w:hAnsi="Arial" w:cs="Arial"/>
        <w:color w:val="FFFFFF" w:themeColor="background1"/>
        <w:sz w:val="16"/>
      </w:rPr>
      <w:fldChar w:fldCharType="end"/>
    </w:r>
    <w:r>
      <w:rPr>
        <w:rFonts w:ascii="Arial" w:hAnsi="Arial" w:cs="Arial"/>
        <w:color w:val="FFFFFF" w:themeColor="background1"/>
        <w:sz w:val="16"/>
      </w:rPr>
      <w:tab/>
    </w:r>
    <w:r w:rsidR="00893527">
      <w:t>D</w:t>
    </w:r>
    <w:r>
      <w:t>-</w:t>
    </w:r>
    <w:r>
      <w:fldChar w:fldCharType="begin"/>
    </w:r>
    <w:r>
      <w:instrText xml:space="preserve"> PAGE   \* MERGEFORMAT </w:instrText>
    </w:r>
    <w:r>
      <w:fldChar w:fldCharType="separate"/>
    </w:r>
    <w:r>
      <w:rPr>
        <w:noProof/>
      </w:rPr>
      <w:t>1</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80BB" w14:textId="6B5E7547" w:rsidR="00A60A90" w:rsidRPr="00D56C4B" w:rsidRDefault="00A60A90" w:rsidP="00CC3A04">
    <w:pPr>
      <w:pStyle w:val="DocID"/>
      <w:rPr>
        <w:noProof/>
        <w:sz w:val="20"/>
        <w:szCs w:val="20"/>
      </w:rPr>
    </w:pPr>
    <w:r w:rsidRPr="006E6A19">
      <w:rPr>
        <w:rFonts w:ascii="Arial" w:hAnsi="Arial" w:cs="Arial"/>
        <w:color w:val="FFFFFF"/>
      </w:rPr>
      <w:fldChar w:fldCharType="begin"/>
    </w:r>
    <w:r w:rsidRPr="006E6A19">
      <w:rPr>
        <w:rFonts w:ascii="Arial" w:hAnsi="Arial" w:cs="Arial"/>
        <w:color w:val="FFFFFF"/>
      </w:rPr>
      <w:instrText xml:space="preserve"> DOCVARIABLE ndGeneratedStamp \* MERGEFORMAT </w:instrText>
    </w:r>
    <w:r w:rsidRPr="006E6A19">
      <w:rPr>
        <w:rFonts w:ascii="Arial" w:hAnsi="Arial" w:cs="Arial"/>
        <w:color w:val="FFFFFF"/>
      </w:rPr>
      <w:fldChar w:fldCharType="separate"/>
    </w:r>
    <w:r w:rsidR="00C5224B">
      <w:rPr>
        <w:rFonts w:ascii="Arial" w:hAnsi="Arial" w:cs="Arial"/>
        <w:color w:val="FFFFFF"/>
      </w:rPr>
      <w:t>4903-7475-4219, v. 7</w:t>
    </w:r>
    <w:r w:rsidRPr="006E6A19">
      <w:rPr>
        <w:rFonts w:ascii="Arial" w:hAnsi="Arial" w:cs="Arial"/>
        <w:color w:val="FFFFFF"/>
      </w:rPr>
      <w:fldChar w:fldCharType="end"/>
    </w:r>
    <w:r>
      <w:rPr>
        <w:rFonts w:ascii="Arial" w:hAnsi="Arial" w:cs="Arial"/>
        <w:color w:val="FFFFFF"/>
      </w:rPr>
      <w:tab/>
    </w:r>
    <w:r w:rsidR="00893527">
      <w:rPr>
        <w:sz w:val="20"/>
        <w:szCs w:val="20"/>
      </w:rPr>
      <w:t>E</w:t>
    </w:r>
    <w:r w:rsidRPr="00D56C4B">
      <w:rPr>
        <w:sz w:val="20"/>
        <w:szCs w:val="20"/>
      </w:rPr>
      <w:t>-</w:t>
    </w:r>
    <w:r w:rsidRPr="00D56C4B">
      <w:rPr>
        <w:sz w:val="20"/>
        <w:szCs w:val="20"/>
      </w:rPr>
      <w:fldChar w:fldCharType="begin"/>
    </w:r>
    <w:r w:rsidRPr="00D56C4B">
      <w:rPr>
        <w:sz w:val="20"/>
        <w:szCs w:val="20"/>
      </w:rPr>
      <w:instrText xml:space="preserve"> PAGE   \* MERGEFORMAT </w:instrText>
    </w:r>
    <w:r w:rsidRPr="00D56C4B">
      <w:rPr>
        <w:sz w:val="20"/>
        <w:szCs w:val="20"/>
      </w:rPr>
      <w:fldChar w:fldCharType="separate"/>
    </w:r>
    <w:r w:rsidRPr="00D56C4B">
      <w:rPr>
        <w:sz w:val="20"/>
        <w:szCs w:val="20"/>
      </w:rPr>
      <w:t>9</w:t>
    </w:r>
    <w:r w:rsidRPr="00D56C4B">
      <w:rPr>
        <w:noProof/>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4682" w14:textId="4702395A" w:rsidR="00A60A90" w:rsidRPr="00CC3A04" w:rsidRDefault="00A60A90" w:rsidP="00CC3A04">
    <w:pPr>
      <w:pStyle w:val="Footer"/>
      <w:tabs>
        <w:tab w:val="clear" w:pos="9360"/>
        <w:tab w:val="decimal" w:pos="4680"/>
      </w:tabs>
      <w:spacing w:line="180" w:lineRule="exact"/>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C5224B">
      <w:rPr>
        <w:rFonts w:ascii="Arial" w:hAnsi="Arial" w:cs="Arial"/>
        <w:color w:val="FFFFFF" w:themeColor="background1"/>
        <w:sz w:val="16"/>
      </w:rPr>
      <w:t>4903-7475-4219, v. 7</w:t>
    </w:r>
    <w:r w:rsidRPr="007C6C62">
      <w:rPr>
        <w:rFonts w:ascii="Arial" w:hAnsi="Arial" w:cs="Arial"/>
        <w:color w:val="FFFFFF" w:themeColor="background1"/>
        <w:sz w:val="16"/>
      </w:rPr>
      <w:fldChar w:fldCharType="end"/>
    </w:r>
    <w:r>
      <w:tab/>
    </w:r>
    <w:r w:rsidR="00893527">
      <w:t>F</w:t>
    </w:r>
    <w:r>
      <w:t>-</w:t>
    </w:r>
    <w:r>
      <w:fldChar w:fldCharType="begin"/>
    </w:r>
    <w:r>
      <w:instrText xml:space="preserve"> PAGE   \* MERGEFORMAT </w:instrText>
    </w:r>
    <w:r>
      <w:fldChar w:fldCharType="separate"/>
    </w:r>
    <w:r>
      <w:rPr>
        <w:noProof/>
      </w:rPr>
      <w:t>1</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4260" w14:textId="366FC568" w:rsidR="00A60A90" w:rsidRPr="00CC3A04" w:rsidRDefault="00A60A90" w:rsidP="00CC3A04">
    <w:pPr>
      <w:pStyle w:val="Footer"/>
      <w:tabs>
        <w:tab w:val="clear" w:pos="9360"/>
        <w:tab w:val="decimal" w:pos="4680"/>
      </w:tabs>
      <w:spacing w:line="180" w:lineRule="exact"/>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C5224B">
      <w:rPr>
        <w:rFonts w:ascii="Arial" w:hAnsi="Arial" w:cs="Arial"/>
        <w:color w:val="FFFFFF" w:themeColor="background1"/>
        <w:sz w:val="16"/>
      </w:rPr>
      <w:t>4903-7475-4219, v. 7</w:t>
    </w:r>
    <w:r w:rsidRPr="007C6C62">
      <w:rPr>
        <w:rFonts w:ascii="Arial" w:hAnsi="Arial" w:cs="Arial"/>
        <w:color w:val="FFFFFF" w:themeColor="background1"/>
        <w:sz w:val="16"/>
      </w:rPr>
      <w:fldChar w:fldCharType="end"/>
    </w:r>
    <w:r>
      <w:rPr>
        <w:rFonts w:ascii="Arial" w:hAnsi="Arial" w:cs="Arial"/>
        <w:color w:val="FFFFFF" w:themeColor="background1"/>
        <w:sz w:val="16"/>
      </w:rPr>
      <w:tab/>
    </w:r>
    <w:r w:rsidR="00893527">
      <w:t>G</w:t>
    </w:r>
    <w:r>
      <w:t>-</w:t>
    </w:r>
    <w:r>
      <w:fldChar w:fldCharType="begin"/>
    </w:r>
    <w:r>
      <w:instrText xml:space="preserve"> PAGE   \* MERGEFORMAT </w:instrText>
    </w:r>
    <w:r>
      <w:fldChar w:fldCharType="separate"/>
    </w:r>
    <w: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FF2E" w14:textId="45165F47" w:rsidR="00A60A90" w:rsidRDefault="00A60A90" w:rsidP="00F53168">
    <w:pPr>
      <w:pStyle w:val="Footer"/>
      <w:spacing w:line="180" w:lineRule="exact"/>
      <w:ind w:left="720"/>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5224B" w:rsidRPr="00C5224B">
      <w:rPr>
        <w:rFonts w:ascii="Arial" w:hAnsi="Arial" w:cs="Arial"/>
        <w:color w:val="FFFFFF" w:themeColor="background1"/>
        <w:sz w:val="16"/>
      </w:rPr>
      <w:t>4903-7475-4219, v. 7</w:t>
    </w:r>
    <w:r>
      <w:rPr>
        <w:rFonts w:ascii="Arial" w:hAnsi="Arial" w:cs="Arial"/>
        <w:sz w:val="16"/>
      </w:rPr>
      <w:fldChar w:fldCharType="end"/>
    </w:r>
    <w:r>
      <w:rPr>
        <w:rFonts w:ascii="Arial" w:hAnsi="Arial" w:cs="Arial"/>
        <w:sz w:val="16"/>
      </w:rPr>
      <w:tab/>
    </w:r>
    <w:r w:rsidRPr="002A28C7">
      <w:rPr>
        <w:rFonts w:cs="Times New Roman"/>
        <w:sz w:val="16"/>
      </w:rPr>
      <w:fldChar w:fldCharType="begin"/>
    </w:r>
    <w:r w:rsidRPr="002A28C7">
      <w:rPr>
        <w:rFonts w:cs="Times New Roman"/>
        <w:sz w:val="16"/>
      </w:rPr>
      <w:instrText xml:space="preserve"> PAGE   \* MERGEFORMAT </w:instrText>
    </w:r>
    <w:r w:rsidRPr="002A28C7">
      <w:rPr>
        <w:rFonts w:cs="Times New Roman"/>
        <w:sz w:val="16"/>
      </w:rPr>
      <w:fldChar w:fldCharType="separate"/>
    </w:r>
    <w:r w:rsidRPr="002A28C7">
      <w:rPr>
        <w:rFonts w:cs="Times New Roman"/>
        <w:noProof/>
        <w:sz w:val="16"/>
      </w:rPr>
      <w:t>1</w:t>
    </w:r>
    <w:r w:rsidRPr="002A28C7">
      <w:rPr>
        <w:rFonts w:cs="Times New Roman"/>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F529" w14:textId="3F701829" w:rsidR="00A60A90" w:rsidRPr="00575135" w:rsidRDefault="00A60A90" w:rsidP="00575135">
    <w:pPr>
      <w:pStyle w:val="Footer"/>
      <w:tabs>
        <w:tab w:val="clear" w:pos="4680"/>
        <w:tab w:val="clear" w:pos="9360"/>
        <w:tab w:val="right" w:pos="2880"/>
      </w:tabs>
      <w:rPr>
        <w:u w:val="single"/>
      </w:rPr>
    </w:pPr>
    <w:r>
      <w:rPr>
        <w:u w:val="single"/>
      </w:rPr>
      <w:tab/>
    </w:r>
  </w:p>
  <w:p w14:paraId="668ACAC2" w14:textId="6CD6649E" w:rsidR="00A60A90" w:rsidRPr="007260FC" w:rsidRDefault="00A60A90">
    <w:pPr>
      <w:pStyle w:val="Footer"/>
      <w:rPr>
        <w:sz w:val="14"/>
        <w:szCs w:val="14"/>
      </w:rPr>
    </w:pPr>
    <w:r w:rsidRPr="007260FC">
      <w:rPr>
        <w:sz w:val="14"/>
        <w:szCs w:val="14"/>
        <w:vertAlign w:val="superscript"/>
      </w:rPr>
      <w:t xml:space="preserve">* </w:t>
    </w:r>
    <w:r w:rsidRPr="007260FC">
      <w:rPr>
        <w:sz w:val="14"/>
        <w:szCs w:val="14"/>
      </w:rPr>
      <w:t>Preliminary; subject to change.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7BE8" w14:textId="739DC9C9" w:rsidR="00A60A90" w:rsidRDefault="00A60A90" w:rsidP="00F53168">
    <w:pPr>
      <w:pStyle w:val="Footer"/>
      <w:spacing w:line="180" w:lineRule="exact"/>
      <w:ind w:left="720"/>
      <w:rPr>
        <w:rFonts w:cs="Times New Roman"/>
        <w:noProof/>
        <w:szCs w:val="20"/>
      </w:rPr>
    </w:pPr>
    <w:r>
      <w:rPr>
        <w:rFonts w:ascii="Arial" w:hAnsi="Arial" w:cs="Arial"/>
        <w:sz w:val="16"/>
      </w:rPr>
      <w:tab/>
    </w:r>
    <w:r w:rsidRPr="00F53168">
      <w:rPr>
        <w:rFonts w:cs="Times New Roman"/>
        <w:szCs w:val="20"/>
      </w:rPr>
      <w:fldChar w:fldCharType="begin"/>
    </w:r>
    <w:r w:rsidRPr="00F53168">
      <w:rPr>
        <w:rFonts w:cs="Times New Roman"/>
        <w:szCs w:val="20"/>
      </w:rPr>
      <w:instrText xml:space="preserve"> PAGE   \* MERGEFORMAT </w:instrText>
    </w:r>
    <w:r w:rsidRPr="00F53168">
      <w:rPr>
        <w:rFonts w:cs="Times New Roman"/>
        <w:szCs w:val="20"/>
      </w:rPr>
      <w:fldChar w:fldCharType="separate"/>
    </w:r>
    <w:r w:rsidRPr="00F53168">
      <w:rPr>
        <w:rFonts w:cs="Times New Roman"/>
        <w:noProof/>
        <w:szCs w:val="20"/>
      </w:rPr>
      <w:t>1</w:t>
    </w:r>
    <w:r w:rsidRPr="00F53168">
      <w:rPr>
        <w:rFonts w:cs="Times New Roman"/>
        <w:noProof/>
        <w:szCs w:val="20"/>
      </w:rPr>
      <w:fldChar w:fldCharType="end"/>
    </w:r>
  </w:p>
  <w:p w14:paraId="1E058535" w14:textId="4AAD6464" w:rsidR="00A60A90" w:rsidRPr="007C6C62" w:rsidRDefault="00A60A90" w:rsidP="00C56734">
    <w:pPr>
      <w:pStyle w:val="Footer"/>
      <w:spacing w:line="180" w:lineRule="exact"/>
      <w:ind w:left="720"/>
      <w:rPr>
        <w:color w:val="FFFFFF" w:themeColor="background1"/>
        <w:szCs w:val="20"/>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C5224B">
      <w:rPr>
        <w:rFonts w:ascii="Arial" w:hAnsi="Arial" w:cs="Arial"/>
        <w:color w:val="FFFFFF" w:themeColor="background1"/>
        <w:sz w:val="16"/>
      </w:rPr>
      <w:t>4903-7475-4219, v. 7</w:t>
    </w:r>
    <w:r w:rsidRPr="007C6C62">
      <w:rPr>
        <w:rFonts w:ascii="Arial" w:hAnsi="Arial" w:cs="Arial"/>
        <w:color w:val="FFFFFF" w:themeColor="background1"/>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8A51" w14:textId="558FCBF1" w:rsidR="00A60A90" w:rsidRPr="005A2467" w:rsidRDefault="00A60A90" w:rsidP="00884D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5224B">
      <w:rPr>
        <w:rFonts w:ascii="Arial" w:hAnsi="Arial" w:cs="Arial"/>
        <w:sz w:val="16"/>
      </w:rPr>
      <w:t>4903-7475-4219, v. 7</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B983" w14:textId="12A79EB7" w:rsidR="00A60A90" w:rsidRDefault="00A60A90">
    <w:pPr>
      <w:pStyle w:val="Footer"/>
      <w:jc w:val="center"/>
    </w:pPr>
  </w:p>
  <w:p w14:paraId="777742DB" w14:textId="77777777" w:rsidR="00A60A90" w:rsidRPr="00555114" w:rsidRDefault="00A60A90" w:rsidP="0055511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F51F" w14:textId="77777777" w:rsidR="00A60A90" w:rsidRDefault="00A60A9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A95B" w14:textId="10A4BA58" w:rsidR="00A60A90" w:rsidRPr="005A2467" w:rsidRDefault="00A60A90" w:rsidP="00884D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5224B">
      <w:rPr>
        <w:rFonts w:ascii="Arial" w:hAnsi="Arial" w:cs="Arial"/>
        <w:sz w:val="16"/>
      </w:rPr>
      <w:t>4903-7475-4219, v. 7</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0537" w14:textId="3E5E396A" w:rsidR="00A60A90" w:rsidRPr="00F53168" w:rsidRDefault="00A60A90" w:rsidP="00D23CF7">
    <w:pPr>
      <w:pStyle w:val="Footer"/>
      <w:tabs>
        <w:tab w:val="clear" w:pos="4680"/>
        <w:tab w:val="clear" w:pos="9360"/>
        <w:tab w:val="center" w:pos="6480"/>
      </w:tabs>
      <w:spacing w:line="180" w:lineRule="exact"/>
      <w:jc w:val="center"/>
      <w:rPr>
        <w:rFonts w:cs="Times New Roman"/>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C5224B">
      <w:rPr>
        <w:rFonts w:ascii="Arial" w:hAnsi="Arial" w:cs="Arial"/>
        <w:color w:val="FFFFFF" w:themeColor="background1"/>
        <w:sz w:val="16"/>
      </w:rPr>
      <w:t>4903-7475-4219, v. 7</w:t>
    </w:r>
    <w:r w:rsidRPr="007C6C62">
      <w:rPr>
        <w:rFonts w:ascii="Arial" w:hAnsi="Arial" w:cs="Arial"/>
        <w:color w:val="FFFFFF" w:themeColor="background1"/>
        <w:sz w:val="16"/>
      </w:rPr>
      <w:fldChar w:fldCharType="end"/>
    </w:r>
    <w:r w:rsidRPr="00F53168">
      <w:rPr>
        <w:rFonts w:cs="Times New Roman"/>
        <w:sz w:val="16"/>
      </w:rPr>
      <w:fldChar w:fldCharType="begin"/>
    </w:r>
    <w:r w:rsidRPr="00F53168">
      <w:rPr>
        <w:rFonts w:cs="Times New Roman"/>
        <w:sz w:val="16"/>
      </w:rPr>
      <w:instrText xml:space="preserve"> PAGE   \* MERGEFORMAT </w:instrText>
    </w:r>
    <w:r w:rsidRPr="00F53168">
      <w:rPr>
        <w:rFonts w:cs="Times New Roman"/>
        <w:sz w:val="16"/>
      </w:rPr>
      <w:fldChar w:fldCharType="separate"/>
    </w:r>
    <w:r w:rsidRPr="00F53168">
      <w:rPr>
        <w:rFonts w:cs="Times New Roman"/>
        <w:noProof/>
        <w:sz w:val="16"/>
      </w:rPr>
      <w:t>1</w:t>
    </w:r>
    <w:r w:rsidRPr="00F53168">
      <w:rPr>
        <w:rFonts w:cs="Times New Roman"/>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CFC1E" w14:textId="77777777" w:rsidR="00367B2D" w:rsidRDefault="00367B2D" w:rsidP="003E4526">
      <w:pPr>
        <w:spacing w:before="120"/>
      </w:pPr>
      <w:r>
        <w:separator/>
      </w:r>
    </w:p>
  </w:footnote>
  <w:footnote w:type="continuationSeparator" w:id="0">
    <w:p w14:paraId="483DCCC4" w14:textId="77777777" w:rsidR="00367B2D" w:rsidRDefault="00367B2D" w:rsidP="006D1786">
      <w:r>
        <w:continuationSeparator/>
      </w:r>
    </w:p>
  </w:footnote>
  <w:footnote w:id="1">
    <w:p w14:paraId="3D184D73" w14:textId="4469C111" w:rsidR="00AD2204" w:rsidRPr="00DA2177" w:rsidRDefault="00AD2204" w:rsidP="00AD2204">
      <w:pPr>
        <w:pStyle w:val="FootnoteText"/>
        <w:jc w:val="both"/>
        <w:rPr>
          <w:sz w:val="22"/>
          <w:szCs w:val="22"/>
        </w:rPr>
      </w:pPr>
      <w:r w:rsidRPr="00475A36">
        <w:rPr>
          <w:rStyle w:val="FootnoteReference"/>
          <w:szCs w:val="22"/>
        </w:rPr>
        <w:t>†</w:t>
      </w:r>
      <w:r w:rsidRPr="00475A36">
        <w:rPr>
          <w:szCs w:val="22"/>
        </w:rPr>
        <w:t xml:space="preserve"> </w:t>
      </w:r>
      <w:r w:rsidRPr="00475A36">
        <w:rPr>
          <w:b/>
          <w:szCs w:val="22"/>
        </w:rPr>
        <w:t xml:space="preserve">This plan is dated </w:t>
      </w:r>
      <w:r w:rsidR="00B224A1">
        <w:rPr>
          <w:b/>
          <w:szCs w:val="22"/>
        </w:rPr>
        <w:t>July 9</w:t>
      </w:r>
      <w:r w:rsidR="007437CD">
        <w:rPr>
          <w:b/>
          <w:szCs w:val="22"/>
        </w:rPr>
        <w:t>,</w:t>
      </w:r>
      <w:r>
        <w:rPr>
          <w:b/>
          <w:szCs w:val="22"/>
        </w:rPr>
        <w:t xml:space="preserve"> 202</w:t>
      </w:r>
      <w:r w:rsidR="000D5803">
        <w:rPr>
          <w:b/>
          <w:szCs w:val="22"/>
        </w:rPr>
        <w:t>6</w:t>
      </w:r>
      <w:r>
        <w:rPr>
          <w:b/>
          <w:szCs w:val="22"/>
        </w:rPr>
        <w:t xml:space="preserve"> </w:t>
      </w:r>
      <w:r w:rsidRPr="00475A36">
        <w:rPr>
          <w:b/>
          <w:szCs w:val="22"/>
        </w:rPr>
        <w:t>and represents the Developer’s current overall development plan</w:t>
      </w:r>
      <w:r>
        <w:rPr>
          <w:b/>
          <w:szCs w:val="22"/>
        </w:rPr>
        <w:t xml:space="preserve"> for the Development</w:t>
      </w:r>
      <w:r w:rsidRPr="00475A36">
        <w:rPr>
          <w:b/>
          <w:szCs w:val="22"/>
        </w:rPr>
        <w:t>. As a development plan, it is subject to material change, and there is no assurance the Development will be completed as shown hereon. See “RISK FACTORS</w:t>
      </w:r>
      <w:r w:rsidRPr="00475A36">
        <w:rPr>
          <w:szCs w:val="22"/>
        </w:rPr>
        <w:t>—</w:t>
      </w:r>
      <w:r w:rsidRPr="00475A36">
        <w:rPr>
          <w:b/>
          <w:szCs w:val="22"/>
        </w:rPr>
        <w:t>Development Not Assured” and “THE DEVELOPMENT.”</w:t>
      </w:r>
      <w:r w:rsidR="00B224A1">
        <w:rPr>
          <w:b/>
          <w:szCs w:val="22"/>
        </w:rPr>
        <w:t xml:space="preserve"> [</w:t>
      </w:r>
      <w:r w:rsidR="00B224A1" w:rsidRPr="00B224A1">
        <w:rPr>
          <w:b/>
          <w:szCs w:val="22"/>
          <w:highlight w:val="yellow"/>
        </w:rPr>
        <w:t>SORRENTO</w:t>
      </w:r>
      <w:r w:rsidR="00B224A1">
        <w:rPr>
          <w:b/>
          <w:szCs w:val="22"/>
        </w:rPr>
        <w:t>]</w:t>
      </w:r>
    </w:p>
  </w:footnote>
  <w:footnote w:id="2">
    <w:p w14:paraId="5089638E" w14:textId="03C61813" w:rsidR="00A60A90" w:rsidRPr="00DA2177" w:rsidRDefault="00A60A90" w:rsidP="002D3D41">
      <w:pPr>
        <w:pStyle w:val="FootnoteText"/>
        <w:jc w:val="both"/>
        <w:rPr>
          <w:sz w:val="22"/>
          <w:szCs w:val="22"/>
        </w:rPr>
      </w:pPr>
      <w:r w:rsidRPr="00475A36">
        <w:rPr>
          <w:rStyle w:val="FootnoteReference"/>
          <w:szCs w:val="22"/>
        </w:rPr>
        <w:t>†</w:t>
      </w:r>
      <w:r w:rsidRPr="00475A36">
        <w:rPr>
          <w:szCs w:val="22"/>
        </w:rPr>
        <w:t xml:space="preserve"> </w:t>
      </w:r>
      <w:r w:rsidRPr="00475A36">
        <w:rPr>
          <w:b/>
          <w:szCs w:val="22"/>
        </w:rPr>
        <w:t xml:space="preserve">This plan is dated </w:t>
      </w:r>
      <w:r w:rsidR="00F30213">
        <w:rPr>
          <w:b/>
          <w:szCs w:val="22"/>
        </w:rPr>
        <w:t>November 18</w:t>
      </w:r>
      <w:r w:rsidR="000561DE">
        <w:rPr>
          <w:b/>
          <w:szCs w:val="22"/>
        </w:rPr>
        <w:t>, 202</w:t>
      </w:r>
      <w:r w:rsidR="00F30213">
        <w:rPr>
          <w:b/>
          <w:szCs w:val="22"/>
        </w:rPr>
        <w:t>5</w:t>
      </w:r>
      <w:r w:rsidR="007730F7">
        <w:rPr>
          <w:b/>
          <w:szCs w:val="22"/>
        </w:rPr>
        <w:t xml:space="preserve"> </w:t>
      </w:r>
      <w:r w:rsidRPr="00475A36">
        <w:rPr>
          <w:b/>
          <w:szCs w:val="22"/>
        </w:rPr>
        <w:t>and represents the Developer’s development plan</w:t>
      </w:r>
      <w:r w:rsidR="007730F7">
        <w:rPr>
          <w:b/>
          <w:szCs w:val="22"/>
        </w:rPr>
        <w:t xml:space="preserve"> for the Olympia Master Development</w:t>
      </w:r>
      <w:r w:rsidRPr="00475A36">
        <w:rPr>
          <w:b/>
          <w:szCs w:val="22"/>
        </w:rPr>
        <w:t xml:space="preserve">. As a development plan, it is subject to material change, and there is no assurance the </w:t>
      </w:r>
      <w:r w:rsidR="00AD2204">
        <w:rPr>
          <w:b/>
          <w:szCs w:val="22"/>
        </w:rPr>
        <w:t xml:space="preserve">Olympia Master </w:t>
      </w:r>
      <w:r w:rsidRPr="00475A36">
        <w:rPr>
          <w:b/>
          <w:szCs w:val="22"/>
        </w:rPr>
        <w:t>Development will be completed as shown hereon. See “RISK FACTORS</w:t>
      </w:r>
      <w:r w:rsidRPr="00475A36">
        <w:rPr>
          <w:szCs w:val="22"/>
        </w:rPr>
        <w:t>—</w:t>
      </w:r>
      <w:r w:rsidRPr="00475A36">
        <w:rPr>
          <w:b/>
          <w:szCs w:val="22"/>
        </w:rPr>
        <w:t>Development Not Assured” and “THE DEVELOPMENT.”</w:t>
      </w:r>
    </w:p>
  </w:footnote>
  <w:footnote w:id="3">
    <w:p w14:paraId="1873729D" w14:textId="367F42E5" w:rsidR="00A60A90" w:rsidRDefault="00A60A90">
      <w:pPr>
        <w:pStyle w:val="FootnoteText"/>
      </w:pPr>
      <w:r>
        <w:rPr>
          <w:rStyle w:val="FootnoteReference"/>
        </w:rPr>
        <w:t>*</w:t>
      </w:r>
      <w:r>
        <w:t xml:space="preserve"> </w:t>
      </w:r>
      <w:r>
        <w:tab/>
        <w:t xml:space="preserve">Preliminary; subject to change. </w:t>
      </w:r>
    </w:p>
  </w:footnote>
  <w:footnote w:id="4">
    <w:p w14:paraId="41E61B3F" w14:textId="77777777" w:rsidR="00205FE0" w:rsidRDefault="00205FE0" w:rsidP="00205FE0">
      <w:pPr>
        <w:pStyle w:val="FootnoteText"/>
      </w:pPr>
      <w:r>
        <w:rPr>
          <w:rStyle w:val="FootnoteReference"/>
        </w:rPr>
        <w:t>*</w:t>
      </w:r>
      <w:r>
        <w:t xml:space="preserve"> </w:t>
      </w:r>
      <w:r>
        <w:tab/>
        <w:t>Preliminary; subject to change.</w:t>
      </w:r>
    </w:p>
  </w:footnote>
  <w:footnote w:id="5">
    <w:p w14:paraId="2D34CCA1" w14:textId="77777777" w:rsidR="00691E9F" w:rsidRDefault="00691E9F" w:rsidP="00691E9F">
      <w:pPr>
        <w:pStyle w:val="FootnoteText"/>
      </w:pPr>
      <w:r>
        <w:rPr>
          <w:rStyle w:val="FootnoteReference"/>
        </w:rPr>
        <w:t>*</w:t>
      </w:r>
      <w:r>
        <w:t xml:space="preserve"> </w:t>
      </w:r>
      <w:r>
        <w:tab/>
        <w:t xml:space="preserve">Preliminary; subject to change. </w:t>
      </w:r>
    </w:p>
  </w:footnote>
  <w:footnote w:id="6">
    <w:p w14:paraId="74AE7204" w14:textId="2824D51E" w:rsidR="000A5CAA" w:rsidRDefault="000A5CAA" w:rsidP="00691E9F">
      <w:pPr>
        <w:pStyle w:val="FootnoteText"/>
      </w:pPr>
      <w:r>
        <w:rPr>
          <w:rStyle w:val="FootnoteReference"/>
        </w:rPr>
        <w:t>†</w:t>
      </w:r>
      <w:r>
        <w:t xml:space="preserve"> </w:t>
      </w:r>
      <w:r w:rsidR="00691E9F">
        <w:tab/>
      </w:r>
      <w:r>
        <w:t>“</w:t>
      </w:r>
      <w:r w:rsidRPr="000A5CAA">
        <w:t>Senior Pledged Revenue</w:t>
      </w:r>
      <w:r w:rsidRPr="00620757">
        <w:t xml:space="preserve">” is defined in the </w:t>
      </w:r>
      <w:r>
        <w:t>Senior LT Indenture</w:t>
      </w:r>
      <w:r w:rsidRPr="00620757">
        <w:t xml:space="preserve"> as “Pledged Revenue” but referred to herein as “</w:t>
      </w:r>
      <w:r w:rsidRPr="000A5CAA">
        <w:rPr>
          <w:b/>
          <w:bCs/>
        </w:rPr>
        <w:t>Senior LT Pledged Revenue</w:t>
      </w:r>
      <w:r w:rsidRPr="00620757">
        <w:t xml:space="preserve">” in order to distinguish such revenue from the “Subordinate </w:t>
      </w:r>
      <w:r>
        <w:t xml:space="preserve">LT </w:t>
      </w:r>
      <w:r w:rsidRPr="00620757">
        <w:t xml:space="preserve">Pledged Revenue” that secures the </w:t>
      </w:r>
      <w:r>
        <w:t>2026B Subordinate LT Bonds</w:t>
      </w:r>
      <w:r w:rsidRPr="00620757">
        <w:t>.</w:t>
      </w:r>
    </w:p>
  </w:footnote>
  <w:footnote w:id="7">
    <w:p w14:paraId="3EC6F216" w14:textId="02699925" w:rsidR="00691E9F" w:rsidRDefault="00691E9F" w:rsidP="00691E9F">
      <w:pPr>
        <w:pStyle w:val="FootnoteText"/>
      </w:pPr>
      <w:r>
        <w:rPr>
          <w:rStyle w:val="FootnoteReference"/>
        </w:rPr>
        <w:t>*</w:t>
      </w:r>
      <w:r>
        <w:t xml:space="preserve"> </w:t>
      </w:r>
      <w:r>
        <w:tab/>
        <w:t xml:space="preserve">Preliminary; subject to change. </w:t>
      </w:r>
    </w:p>
  </w:footnote>
  <w:footnote w:id="8">
    <w:p w14:paraId="62CBCDD3" w14:textId="02B0ADC9" w:rsidR="00A60A90" w:rsidRDefault="00A60A90">
      <w:pPr>
        <w:pStyle w:val="FootnoteText"/>
      </w:pPr>
      <w:r>
        <w:rPr>
          <w:rStyle w:val="FootnoteReference"/>
        </w:rPr>
        <w:t>*</w:t>
      </w:r>
      <w:r>
        <w:t xml:space="preserve"> </w:t>
      </w:r>
      <w:r>
        <w:tab/>
        <w:t>Preliminary; subject to change.</w:t>
      </w:r>
    </w:p>
  </w:footnote>
  <w:footnote w:id="9">
    <w:p w14:paraId="3F44B40B" w14:textId="77777777" w:rsidR="00A42F48" w:rsidRDefault="00A42F48" w:rsidP="00A42F48">
      <w:pPr>
        <w:pStyle w:val="FootnoteText"/>
      </w:pPr>
      <w:r>
        <w:rPr>
          <w:rStyle w:val="FootnoteReference"/>
        </w:rPr>
        <w:t>*</w:t>
      </w:r>
      <w:r>
        <w:t xml:space="preserve"> </w:t>
      </w:r>
      <w:r>
        <w:tab/>
        <w:t>Preliminary; subject to change.</w:t>
      </w:r>
    </w:p>
  </w:footnote>
  <w:footnote w:id="10">
    <w:p w14:paraId="280E1B8A" w14:textId="77777777" w:rsidR="00691E9F" w:rsidRDefault="00691E9F" w:rsidP="00691E9F">
      <w:pPr>
        <w:pStyle w:val="FootnoteText"/>
      </w:pPr>
      <w:r>
        <w:rPr>
          <w:rStyle w:val="FootnoteReference"/>
        </w:rPr>
        <w:t>*</w:t>
      </w:r>
      <w:r>
        <w:t xml:space="preserve"> </w:t>
      </w:r>
      <w:r>
        <w:tab/>
        <w:t xml:space="preserve">Preliminary; subject to change. </w:t>
      </w:r>
    </w:p>
  </w:footnote>
  <w:footnote w:id="11">
    <w:p w14:paraId="21162BD0" w14:textId="77777777" w:rsidR="00447DF3" w:rsidRDefault="00447DF3" w:rsidP="00447DF3">
      <w:pPr>
        <w:pStyle w:val="FootnoteText"/>
      </w:pPr>
      <w:r>
        <w:rPr>
          <w:rStyle w:val="FootnoteReference"/>
        </w:rPr>
        <w:t>*</w:t>
      </w:r>
      <w:r>
        <w:t xml:space="preserve"> Preliminary, subject to change.</w:t>
      </w:r>
    </w:p>
  </w:footnote>
  <w:footnote w:id="12">
    <w:p w14:paraId="7ED4AF05" w14:textId="77777777" w:rsidR="00691E9F" w:rsidRDefault="00691E9F" w:rsidP="00691E9F">
      <w:pPr>
        <w:pStyle w:val="FootnoteText"/>
      </w:pPr>
      <w:r>
        <w:rPr>
          <w:rStyle w:val="FootnoteReference"/>
        </w:rPr>
        <w:t>*</w:t>
      </w:r>
      <w:r>
        <w:t xml:space="preserve"> </w:t>
      </w:r>
      <w:r>
        <w:tab/>
        <w:t xml:space="preserve">Preliminary; subject to change. </w:t>
      </w:r>
    </w:p>
  </w:footnote>
  <w:footnote w:id="13">
    <w:p w14:paraId="4F1A92C7" w14:textId="77777777" w:rsidR="00551B51" w:rsidRDefault="00551B51" w:rsidP="00551B51">
      <w:pPr>
        <w:pStyle w:val="FootnoteText"/>
      </w:pPr>
      <w:r>
        <w:rPr>
          <w:rStyle w:val="FootnoteReference"/>
        </w:rPr>
        <w:t>*</w:t>
      </w:r>
      <w:r>
        <w:t xml:space="preserve"> </w:t>
      </w:r>
      <w:r>
        <w:tab/>
        <w:t>Preliminary; subject to change.</w:t>
      </w:r>
    </w:p>
  </w:footnote>
  <w:footnote w:id="14">
    <w:p w14:paraId="5D54987B" w14:textId="77777777" w:rsidR="00F603D5" w:rsidRDefault="00F603D5" w:rsidP="00F603D5">
      <w:pPr>
        <w:pStyle w:val="FootnoteText"/>
      </w:pPr>
      <w:r>
        <w:rPr>
          <w:rStyle w:val="FootnoteReference"/>
        </w:rPr>
        <w:t>*</w:t>
      </w:r>
      <w:r>
        <w:t xml:space="preserve"> </w:t>
      </w:r>
      <w:r>
        <w:tab/>
        <w:t>Preliminary; subject to change.</w:t>
      </w:r>
    </w:p>
  </w:footnote>
  <w:footnote w:id="15">
    <w:p w14:paraId="71FAA9CB" w14:textId="77777777" w:rsidR="00691E9F" w:rsidRDefault="00691E9F" w:rsidP="00691E9F">
      <w:pPr>
        <w:pStyle w:val="FootnoteText"/>
      </w:pPr>
      <w:r>
        <w:rPr>
          <w:rStyle w:val="FootnoteReference"/>
        </w:rPr>
        <w:t>*</w:t>
      </w:r>
      <w:r>
        <w:t xml:space="preserve"> </w:t>
      </w:r>
      <w:r>
        <w:tab/>
        <w:t xml:space="preserve">Preliminary; subject to change. </w:t>
      </w:r>
    </w:p>
  </w:footnote>
  <w:footnote w:id="16">
    <w:p w14:paraId="58E6FD06" w14:textId="6654D140" w:rsidR="00A60A90" w:rsidRDefault="00A60A90">
      <w:pPr>
        <w:pStyle w:val="FootnoteText"/>
      </w:pPr>
      <w:r>
        <w:rPr>
          <w:rStyle w:val="FootnoteReference"/>
        </w:rPr>
        <w:t>*</w:t>
      </w:r>
      <w:r>
        <w:t xml:space="preserve"> </w:t>
      </w:r>
      <w:r>
        <w:tab/>
        <w:t>Preliminary; subject to change.</w:t>
      </w:r>
    </w:p>
  </w:footnote>
  <w:footnote w:id="17">
    <w:p w14:paraId="5EC69150" w14:textId="77777777" w:rsidR="0047340E" w:rsidRDefault="0047340E" w:rsidP="0047340E">
      <w:pPr>
        <w:pStyle w:val="FootnoteText"/>
      </w:pPr>
      <w:r>
        <w:rPr>
          <w:rStyle w:val="FootnoteReference"/>
        </w:rPr>
        <w:t>*</w:t>
      </w:r>
      <w:r>
        <w:t xml:space="preserve"> </w:t>
      </w:r>
      <w:r>
        <w:tab/>
        <w:t xml:space="preserve">Preliminary; subject to change. </w:t>
      </w:r>
    </w:p>
  </w:footnote>
  <w:footnote w:id="18">
    <w:p w14:paraId="57AF02E0" w14:textId="77777777" w:rsidR="00826C1D" w:rsidRDefault="00826C1D" w:rsidP="00826C1D">
      <w:pPr>
        <w:pStyle w:val="FootnoteText"/>
      </w:pPr>
      <w:r>
        <w:rPr>
          <w:rStyle w:val="FootnoteReference"/>
        </w:rPr>
        <w:t>*</w:t>
      </w:r>
      <w:r>
        <w:t xml:space="preserve"> </w:t>
      </w:r>
      <w:r>
        <w:tab/>
        <w:t>Preliminary; subject to change.</w:t>
      </w:r>
    </w:p>
  </w:footnote>
  <w:footnote w:id="19">
    <w:p w14:paraId="40E214F0" w14:textId="45682D56" w:rsidR="003E4526" w:rsidRDefault="003E4526">
      <w:pPr>
        <w:pStyle w:val="FootnoteText"/>
      </w:pPr>
      <w:r>
        <w:rPr>
          <w:rStyle w:val="FootnoteReference"/>
        </w:rPr>
        <w:footnoteRef/>
      </w:r>
      <w:r>
        <w:t xml:space="preserve"> Preliminary; subject to change.</w:t>
      </w:r>
    </w:p>
  </w:footnote>
  <w:footnote w:id="20">
    <w:p w14:paraId="1595F71F" w14:textId="77777777" w:rsidR="00691E9F" w:rsidRDefault="00691E9F" w:rsidP="00691E9F">
      <w:pPr>
        <w:pStyle w:val="FootnoteText"/>
      </w:pPr>
      <w:r>
        <w:rPr>
          <w:rStyle w:val="FootnoteReference"/>
        </w:rPr>
        <w:t>*</w:t>
      </w:r>
      <w:r>
        <w:t xml:space="preserve"> </w:t>
      </w:r>
      <w:r>
        <w:tab/>
        <w:t xml:space="preserve">Preliminary; subject to change. </w:t>
      </w:r>
    </w:p>
  </w:footnote>
  <w:footnote w:id="21">
    <w:p w14:paraId="2337EB83" w14:textId="5EEC6A3A" w:rsidR="00A60A90" w:rsidRDefault="00A60A90" w:rsidP="00E374C4">
      <w:pPr>
        <w:pStyle w:val="FootnoteText"/>
      </w:pPr>
      <w:r>
        <w:rPr>
          <w:rStyle w:val="FootnoteReference"/>
        </w:rPr>
        <w:t>*</w:t>
      </w:r>
      <w:r>
        <w:t xml:space="preserve"> </w:t>
      </w:r>
      <w:r>
        <w:tab/>
        <w:t>Preliminary; subject to change.</w:t>
      </w:r>
    </w:p>
  </w:footnote>
  <w:footnote w:id="22">
    <w:p w14:paraId="5D5235DC" w14:textId="77777777" w:rsidR="00691E9F" w:rsidRDefault="00691E9F" w:rsidP="00691E9F">
      <w:pPr>
        <w:pStyle w:val="FootnoteText"/>
      </w:pPr>
      <w:r>
        <w:rPr>
          <w:rStyle w:val="FootnoteReference"/>
        </w:rPr>
        <w:t>*</w:t>
      </w:r>
      <w:r>
        <w:t xml:space="preserve"> </w:t>
      </w:r>
      <w:r>
        <w:tab/>
        <w:t xml:space="preserve">Preliminary; subject to change. </w:t>
      </w:r>
    </w:p>
  </w:footnote>
  <w:footnote w:id="23">
    <w:p w14:paraId="6827E629" w14:textId="77777777" w:rsidR="00095923" w:rsidRDefault="00095923" w:rsidP="00095923">
      <w:pPr>
        <w:pStyle w:val="FootnoteText"/>
      </w:pPr>
      <w:r>
        <w:rPr>
          <w:rStyle w:val="FootnoteReference"/>
        </w:rPr>
        <w:t>*</w:t>
      </w:r>
      <w:r>
        <w:t xml:space="preserve"> </w:t>
      </w:r>
      <w:r>
        <w:tab/>
        <w:t xml:space="preserve">Preliminary; subject to change. </w:t>
      </w:r>
    </w:p>
  </w:footnote>
  <w:footnote w:id="24">
    <w:p w14:paraId="268B581F" w14:textId="77777777" w:rsidR="0024520B" w:rsidRDefault="0024520B" w:rsidP="0024520B">
      <w:pPr>
        <w:pStyle w:val="FootnoteText"/>
      </w:pPr>
      <w:r>
        <w:rPr>
          <w:rStyle w:val="FootnoteReference"/>
        </w:rPr>
        <w:t>*</w:t>
      </w:r>
      <w:r>
        <w:t xml:space="preserve"> </w:t>
      </w:r>
      <w:r>
        <w:tab/>
        <w:t>Preliminary; subject to change.</w:t>
      </w:r>
    </w:p>
  </w:footnote>
  <w:footnote w:id="25">
    <w:p w14:paraId="4AC05828" w14:textId="77777777" w:rsidR="0024520B" w:rsidRDefault="0024520B" w:rsidP="0024520B">
      <w:pPr>
        <w:pStyle w:val="FootnoteText"/>
      </w:pPr>
      <w:r>
        <w:rPr>
          <w:rStyle w:val="FootnoteReference"/>
        </w:rPr>
        <w:t>*</w:t>
      </w:r>
      <w:r>
        <w:t xml:space="preserve"> </w:t>
      </w:r>
      <w:r>
        <w:tab/>
        <w:t>Preliminary; subject to change.</w:t>
      </w:r>
    </w:p>
  </w:footnote>
  <w:footnote w:id="26">
    <w:p w14:paraId="5002C787" w14:textId="77777777" w:rsidR="0024520B" w:rsidRDefault="0024520B" w:rsidP="0024520B">
      <w:pPr>
        <w:pStyle w:val="FootnoteText"/>
      </w:pPr>
      <w:r>
        <w:rPr>
          <w:rStyle w:val="FootnoteReference"/>
        </w:rPr>
        <w:t>*</w:t>
      </w:r>
      <w:r>
        <w:t xml:space="preserve"> </w:t>
      </w:r>
      <w:r>
        <w:tab/>
        <w:t>Preliminary; subject to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0EE0" w14:textId="77777777" w:rsidR="00AA40F1" w:rsidRDefault="00AA4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4DC" w14:textId="77777777" w:rsidR="00AA40F1" w:rsidRDefault="00AA40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B7E0" w14:textId="77777777" w:rsidR="00AA40F1" w:rsidRDefault="00AA40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E288" w14:textId="6EB756D6" w:rsidR="00A60A90" w:rsidRPr="005A2467" w:rsidRDefault="00A60A90" w:rsidP="005A24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58A6" w14:textId="0A8B4E4D" w:rsidR="00A60A90" w:rsidRPr="005A2467" w:rsidRDefault="00A60A90" w:rsidP="005A24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E5E62" w14:textId="77777777" w:rsidR="00A60A90" w:rsidRDefault="00A60A9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7B19" w14:textId="77777777" w:rsidR="00A60A90" w:rsidRPr="00567D7F" w:rsidRDefault="00A60A90" w:rsidP="00567D7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E32F7" w14:textId="77777777" w:rsidR="00A60A90" w:rsidRPr="00DD5657" w:rsidRDefault="00A60A90" w:rsidP="00DD56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5888"/>
    <w:multiLevelType w:val="hybridMultilevel"/>
    <w:tmpl w:val="EBD87A84"/>
    <w:lvl w:ilvl="0" w:tplc="8BBC0E2C">
      <w:start w:val="1"/>
      <w:numFmt w:val="low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 w15:restartNumberingAfterBreak="0">
    <w:nsid w:val="17D20A63"/>
    <w:multiLevelType w:val="multilevel"/>
    <w:tmpl w:val="E872F188"/>
    <w:styleLink w:val="MKTGBullets-list"/>
    <w:lvl w:ilvl="0">
      <w:start w:val="1"/>
      <w:numFmt w:val="bullet"/>
      <w:pStyle w:val="MKTGBullets"/>
      <w:lvlText w:val=""/>
      <w:lvlJc w:val="left"/>
      <w:pPr>
        <w:tabs>
          <w:tab w:val="num" w:pos="216"/>
        </w:tabs>
        <w:ind w:left="216" w:hanging="216"/>
      </w:pPr>
      <w:rPr>
        <w:rFonts w:ascii="Symbol" w:hAnsi="Symbol" w:hint="default"/>
        <w:b w:val="0"/>
        <w:i w:val="0"/>
        <w:color w:val="auto"/>
        <w:sz w:val="24"/>
        <w:szCs w:val="20"/>
      </w:rPr>
    </w:lvl>
    <w:lvl w:ilvl="1">
      <w:start w:val="1"/>
      <w:numFmt w:val="bullet"/>
      <w:lvlText w:val=""/>
      <w:lvlJc w:val="left"/>
      <w:pPr>
        <w:tabs>
          <w:tab w:val="num" w:pos="576"/>
        </w:tabs>
        <w:ind w:left="576" w:hanging="216"/>
      </w:pPr>
      <w:rPr>
        <w:rFonts w:ascii="Symbol" w:hAnsi="Symbol" w:hint="default"/>
        <w:b w:val="0"/>
        <w:i w:val="0"/>
        <w:color w:val="auto"/>
        <w:sz w:val="22"/>
        <w:szCs w:val="20"/>
      </w:rPr>
    </w:lvl>
    <w:lvl w:ilvl="2">
      <w:start w:val="1"/>
      <w:numFmt w:val="bullet"/>
      <w:lvlText w:val="▪"/>
      <w:lvlJc w:val="left"/>
      <w:pPr>
        <w:tabs>
          <w:tab w:val="num" w:pos="936"/>
        </w:tabs>
        <w:ind w:left="936" w:hanging="216"/>
      </w:pPr>
      <w:rPr>
        <w:rFonts w:ascii="Garamond" w:hAnsi="Garamond" w:hint="default"/>
        <w:b w:val="0"/>
        <w:i w:val="0"/>
        <w:color w:val="auto"/>
        <w:sz w:val="24"/>
        <w:szCs w:val="20"/>
      </w:rPr>
    </w:lvl>
    <w:lvl w:ilvl="3">
      <w:start w:val="1"/>
      <w:numFmt w:val="bullet"/>
      <w:lvlText w:val="-"/>
      <w:lvlJc w:val="left"/>
      <w:pPr>
        <w:tabs>
          <w:tab w:val="num" w:pos="1296"/>
        </w:tabs>
        <w:ind w:left="1296" w:hanging="216"/>
      </w:pPr>
      <w:rPr>
        <w:rFonts w:ascii="Arial" w:hAnsi="Arial" w:cs="Arial" w:hint="default"/>
        <w:b w:val="0"/>
        <w:i w:val="0"/>
        <w:color w:val="auto"/>
        <w:sz w:val="20"/>
        <w:szCs w:val="20"/>
      </w:rPr>
    </w:lvl>
    <w:lvl w:ilvl="4">
      <w:start w:val="1"/>
      <w:numFmt w:val="lowerLetter"/>
      <w:lvlText w:val="(%5)"/>
      <w:lvlJc w:val="left"/>
      <w:pPr>
        <w:tabs>
          <w:tab w:val="num" w:pos="1656"/>
        </w:tabs>
        <w:ind w:left="1656" w:hanging="216"/>
      </w:pPr>
      <w:rPr>
        <w:rFonts w:hint="default"/>
      </w:rPr>
    </w:lvl>
    <w:lvl w:ilvl="5">
      <w:start w:val="1"/>
      <w:numFmt w:val="lowerRoman"/>
      <w:lvlText w:val="(%6)"/>
      <w:lvlJc w:val="left"/>
      <w:pPr>
        <w:tabs>
          <w:tab w:val="num" w:pos="2016"/>
        </w:tabs>
        <w:ind w:left="2016" w:hanging="216"/>
      </w:pPr>
      <w:rPr>
        <w:rFonts w:hint="default"/>
      </w:rPr>
    </w:lvl>
    <w:lvl w:ilvl="6">
      <w:start w:val="1"/>
      <w:numFmt w:val="decimal"/>
      <w:lvlText w:val="%7."/>
      <w:lvlJc w:val="left"/>
      <w:pPr>
        <w:tabs>
          <w:tab w:val="num" w:pos="2376"/>
        </w:tabs>
        <w:ind w:left="2376" w:hanging="216"/>
      </w:pPr>
      <w:rPr>
        <w:rFonts w:hint="default"/>
      </w:rPr>
    </w:lvl>
    <w:lvl w:ilvl="7">
      <w:start w:val="1"/>
      <w:numFmt w:val="lowerLetter"/>
      <w:lvlText w:val="%8."/>
      <w:lvlJc w:val="left"/>
      <w:pPr>
        <w:tabs>
          <w:tab w:val="num" w:pos="2736"/>
        </w:tabs>
        <w:ind w:left="2736" w:hanging="216"/>
      </w:pPr>
      <w:rPr>
        <w:rFonts w:hint="default"/>
      </w:rPr>
    </w:lvl>
    <w:lvl w:ilvl="8">
      <w:start w:val="1"/>
      <w:numFmt w:val="lowerRoman"/>
      <w:lvlText w:val="%9."/>
      <w:lvlJc w:val="left"/>
      <w:pPr>
        <w:tabs>
          <w:tab w:val="num" w:pos="3096"/>
        </w:tabs>
        <w:ind w:left="3096" w:hanging="216"/>
      </w:pPr>
      <w:rPr>
        <w:rFonts w:hint="default"/>
      </w:rPr>
    </w:lvl>
  </w:abstractNum>
  <w:abstractNum w:abstractNumId="2" w15:restartNumberingAfterBreak="0">
    <w:nsid w:val="1972553D"/>
    <w:multiLevelType w:val="multilevel"/>
    <w:tmpl w:val="EC5E67FA"/>
    <w:name w:val="zzmpKutak1||Kutak1 (OS-POS)|2|4|1|0|0|41||0|0|33||0|0|3||1|0|2||1|0|2||1|0|2||1|0|2||mpNA||mpNA||"/>
    <w:lvl w:ilvl="0">
      <w:start w:val="1"/>
      <w:numFmt w:val="none"/>
      <w:suff w:val="nothing"/>
      <w:lvlText w:val=""/>
      <w:lvlJc w:val="left"/>
      <w:pPr>
        <w:tabs>
          <w:tab w:val="num" w:pos="0"/>
        </w:tabs>
        <w:ind w:left="0" w:firstLine="0"/>
      </w:pPr>
      <w:rPr>
        <w:rFonts w:ascii="Times New Roman" w:eastAsia="Times New Roman" w:hAnsi="Times New Roman"/>
        <w:b w:val="0"/>
        <w:i w:val="0"/>
        <w:caps/>
        <w:smallCaps w:val="0"/>
        <w:strike w:val="0"/>
        <w:dstrike w:val="0"/>
        <w:outline w:val="0"/>
        <w:shadow w:val="0"/>
        <w:emboss w:val="0"/>
        <w:imprint w:val="0"/>
        <w:vanish w:val="0"/>
        <w:color w:val="auto"/>
        <w:sz w:val="22"/>
        <w:u w:val="none"/>
        <w:effect w:val="none"/>
        <w:vertAlign w:val="baseline"/>
      </w:rPr>
    </w:lvl>
    <w:lvl w:ilvl="1">
      <w:start w:val="1"/>
      <w:numFmt w:val="none"/>
      <w:suff w:val="nothing"/>
      <w:lvlText w:val=""/>
      <w:lvlJc w:val="left"/>
      <w:pPr>
        <w:tabs>
          <w:tab w:val="num" w:pos="0"/>
        </w:tabs>
        <w:ind w:left="0" w:firstLine="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2">
      <w:start w:val="1"/>
      <w:numFmt w:val="lowerLetter"/>
      <w:suff w:val="nothing"/>
      <w:lvlText w:val=""/>
      <w:lvlJc w:val="left"/>
      <w:pPr>
        <w:tabs>
          <w:tab w:val="num" w:pos="720"/>
        </w:tabs>
        <w:ind w:left="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3">
      <w:start w:val="1"/>
      <w:numFmt w:val="lowerLetter"/>
      <w:lvlText w:val="(%4)"/>
      <w:lvlJc w:val="left"/>
      <w:pPr>
        <w:tabs>
          <w:tab w:val="num" w:pos="2160"/>
        </w:tabs>
        <w:ind w:left="72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4">
      <w:start w:val="1"/>
      <w:numFmt w:val="lowerRoman"/>
      <w:lvlText w:val="(%5)"/>
      <w:lvlJc w:val="left"/>
      <w:pPr>
        <w:tabs>
          <w:tab w:val="num" w:pos="2880"/>
        </w:tabs>
        <w:ind w:left="144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5">
      <w:start w:val="1"/>
      <w:numFmt w:val="upperLetter"/>
      <w:lvlText w:val="(%6)"/>
      <w:lvlJc w:val="left"/>
      <w:pPr>
        <w:tabs>
          <w:tab w:val="num" w:pos="3600"/>
        </w:tabs>
        <w:ind w:left="216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6">
      <w:start w:val="1"/>
      <w:numFmt w:val="decimal"/>
      <w:lvlText w:val="(%7)"/>
      <w:lvlJc w:val="left"/>
      <w:pPr>
        <w:tabs>
          <w:tab w:val="num" w:pos="4320"/>
        </w:tabs>
        <w:ind w:left="288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7">
      <w:start w:val="1"/>
      <w:numFmt w:val="none"/>
      <w:lvlText w:val=""/>
      <w:lvlJc w:val="left"/>
      <w:pPr>
        <w:tabs>
          <w:tab w:val="num" w:pos="720"/>
        </w:tabs>
        <w:ind w:left="0" w:firstLine="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8">
      <w:start w:val="1"/>
      <w:numFmt w:val="none"/>
      <w:lvlText w:val=""/>
      <w:lvlJc w:val="left"/>
      <w:pPr>
        <w:tabs>
          <w:tab w:val="num" w:pos="720"/>
        </w:tabs>
        <w:ind w:left="0" w:firstLine="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abstractNum>
  <w:abstractNum w:abstractNumId="3" w15:restartNumberingAfterBreak="0">
    <w:nsid w:val="1A85262C"/>
    <w:multiLevelType w:val="multilevel"/>
    <w:tmpl w:val="2A403486"/>
    <w:lvl w:ilvl="0">
      <w:start w:val="1"/>
      <w:numFmt w:val="none"/>
      <w:suff w:val="nothing"/>
      <w:lvlText w:val=""/>
      <w:lvlJc w:val="left"/>
      <w:pPr>
        <w:ind w:left="0" w:firstLine="0"/>
      </w:pPr>
      <w:rPr>
        <w:rFonts w:ascii="Times New Roman" w:hAnsi="Times New Roman" w:hint="default"/>
        <w:b/>
        <w:i w:val="0"/>
        <w:caps w:val="0"/>
        <w:smallCaps w:val="0"/>
        <w:vanish w:val="0"/>
        <w:color w:val="auto"/>
        <w:sz w:val="22"/>
        <w:u w:val="none"/>
      </w:rPr>
    </w:lvl>
    <w:lvl w:ilvl="1">
      <w:start w:val="1"/>
      <w:numFmt w:val="none"/>
      <w:suff w:val="nothing"/>
      <w:lvlText w:val=""/>
      <w:lvlJc w:val="left"/>
      <w:pPr>
        <w:ind w:left="0" w:firstLine="0"/>
      </w:pPr>
      <w:rPr>
        <w:rFonts w:ascii="Times New Roman Bold" w:hAnsi="Times New Roman Bold" w:hint="default"/>
        <w:b/>
        <w:i w:val="0"/>
        <w:caps w:val="0"/>
        <w:vanish w:val="0"/>
        <w:color w:val="010000"/>
        <w:sz w:val="24"/>
        <w:u w:val="none"/>
      </w:rPr>
    </w:lvl>
    <w:lvl w:ilvl="2">
      <w:start w:val="1"/>
      <w:numFmt w:val="lowerLetter"/>
      <w:lvlText w:val="(%3)"/>
      <w:lvlJc w:val="left"/>
      <w:pPr>
        <w:ind w:left="720" w:firstLine="720"/>
      </w:pPr>
      <w:rPr>
        <w:rFonts w:hint="default"/>
        <w:b w:val="0"/>
        <w:i w:val="0"/>
        <w:caps w:val="0"/>
        <w:vanish w:val="0"/>
        <w:color w:val="auto"/>
        <w:sz w:val="22"/>
        <w:szCs w:val="22"/>
        <w:u w:val="none"/>
      </w:rPr>
    </w:lvl>
    <w:lvl w:ilvl="3">
      <w:start w:val="1"/>
      <w:numFmt w:val="decimal"/>
      <w:lvlText w:val="(%4)"/>
      <w:lvlJc w:val="left"/>
      <w:pPr>
        <w:tabs>
          <w:tab w:val="num" w:pos="4320"/>
        </w:tabs>
        <w:ind w:left="0" w:firstLine="3600"/>
      </w:pPr>
      <w:rPr>
        <w:rFonts w:hint="default"/>
        <w:caps w:val="0"/>
        <w:vanish w:val="0"/>
        <w:color w:val="010000"/>
        <w:u w:val="none"/>
      </w:rPr>
    </w:lvl>
    <w:lvl w:ilvl="4">
      <w:start w:val="1"/>
      <w:numFmt w:val="lowerLetter"/>
      <w:lvlText w:val="%5."/>
      <w:lvlJc w:val="left"/>
      <w:pPr>
        <w:tabs>
          <w:tab w:val="num" w:pos="5040"/>
        </w:tabs>
        <w:ind w:left="0" w:firstLine="4320"/>
      </w:pPr>
      <w:rPr>
        <w:rFonts w:hint="default"/>
        <w:caps w:val="0"/>
        <w:vanish w:val="0"/>
        <w:color w:val="010000"/>
        <w:u w:val="none"/>
      </w:rPr>
    </w:lvl>
    <w:lvl w:ilvl="5">
      <w:start w:val="1"/>
      <w:numFmt w:val="lowerRoman"/>
      <w:lvlText w:val="%6."/>
      <w:lvlJc w:val="left"/>
      <w:pPr>
        <w:tabs>
          <w:tab w:val="num" w:pos="5760"/>
        </w:tabs>
        <w:ind w:left="0" w:firstLine="5040"/>
      </w:pPr>
      <w:rPr>
        <w:rFonts w:hint="default"/>
        <w:caps w:val="0"/>
        <w:vanish w:val="0"/>
        <w:color w:val="010000"/>
        <w:u w:val="none"/>
      </w:rPr>
    </w:lvl>
    <w:lvl w:ilvl="6">
      <w:start w:val="1"/>
      <w:numFmt w:val="decimal"/>
      <w:lvlText w:val="%7)"/>
      <w:lvlJc w:val="left"/>
      <w:pPr>
        <w:tabs>
          <w:tab w:val="num" w:pos="6480"/>
        </w:tabs>
        <w:ind w:left="0" w:firstLine="5760"/>
      </w:pPr>
      <w:rPr>
        <w:rFonts w:hint="default"/>
        <w:caps w:val="0"/>
        <w:vanish w:val="0"/>
        <w:color w:val="010000"/>
        <w:u w:val="none"/>
      </w:rPr>
    </w:lvl>
    <w:lvl w:ilvl="7">
      <w:start w:val="1"/>
      <w:numFmt w:val="lowerLetter"/>
      <w:lvlText w:val="%8)"/>
      <w:lvlJc w:val="left"/>
      <w:pPr>
        <w:tabs>
          <w:tab w:val="num" w:pos="7200"/>
        </w:tabs>
        <w:ind w:left="0" w:firstLine="6480"/>
      </w:pPr>
      <w:rPr>
        <w:rFonts w:hint="default"/>
        <w:caps w:val="0"/>
        <w:vanish w:val="0"/>
        <w:color w:val="010000"/>
        <w:u w:val="none"/>
      </w:rPr>
    </w:lvl>
    <w:lvl w:ilvl="8">
      <w:start w:val="1"/>
      <w:numFmt w:val="lowerRoman"/>
      <w:lvlText w:val="%9)"/>
      <w:lvlJc w:val="left"/>
      <w:pPr>
        <w:tabs>
          <w:tab w:val="num" w:pos="7920"/>
        </w:tabs>
        <w:ind w:left="0" w:firstLine="7200"/>
      </w:pPr>
      <w:rPr>
        <w:rFonts w:hint="default"/>
        <w:caps w:val="0"/>
        <w:vanish w:val="0"/>
        <w:color w:val="010000"/>
        <w:u w:val="none"/>
      </w:rPr>
    </w:lvl>
  </w:abstractNum>
  <w:abstractNum w:abstractNumId="4" w15:restartNumberingAfterBreak="0">
    <w:nsid w:val="1AC650F6"/>
    <w:multiLevelType w:val="multilevel"/>
    <w:tmpl w:val="D098F446"/>
    <w:name w:val="Ballard Spahr Scheme 1"/>
    <w:lvl w:ilvl="0">
      <w:start w:val="1"/>
      <w:numFmt w:val="upperRoman"/>
      <w:suff w:val="nothing"/>
      <w:lvlText w:val="ARTICLE %1"/>
      <w:lvlJc w:val="left"/>
      <w:pPr>
        <w:ind w:left="0" w:firstLine="0"/>
      </w:pPr>
      <w:rPr>
        <w:rFonts w:ascii="Times New Roman" w:hAnsi="Times New Roman" w:hint="default"/>
        <w:b/>
        <w:i w:val="0"/>
        <w:caps w:val="0"/>
        <w:vanish w:val="0"/>
        <w:color w:val="010000"/>
        <w:sz w:val="24"/>
        <w:u w:val="none"/>
      </w:rPr>
    </w:lvl>
    <w:lvl w:ilvl="1">
      <w:start w:val="1"/>
      <w:numFmt w:val="decimalZero"/>
      <w:isLgl/>
      <w:lvlText w:val="Section %1.%2"/>
      <w:lvlJc w:val="left"/>
      <w:pPr>
        <w:tabs>
          <w:tab w:val="num" w:pos="0"/>
        </w:tabs>
        <w:ind w:left="0" w:firstLine="720"/>
      </w:pPr>
      <w:rPr>
        <w:rFonts w:hint="default"/>
        <w:b/>
        <w:i w:val="0"/>
        <w:vanish w:val="0"/>
        <w:color w:val="000000"/>
        <w:sz w:val="24"/>
        <w:u w:val="none"/>
      </w:rPr>
    </w:lvl>
    <w:lvl w:ilvl="2">
      <w:start w:val="1"/>
      <w:numFmt w:val="lowerLetter"/>
      <w:lvlText w:val="(%3)"/>
      <w:lvlJc w:val="left"/>
      <w:pPr>
        <w:tabs>
          <w:tab w:val="num" w:pos="2160"/>
        </w:tabs>
        <w:ind w:left="720" w:firstLine="720"/>
      </w:pPr>
      <w:rPr>
        <w:rFonts w:ascii="Times New Roman" w:hAnsi="Times New Roman" w:hint="default"/>
        <w:vanish w:val="0"/>
        <w:color w:val="010000"/>
        <w:sz w:val="24"/>
        <w:u w:val="none"/>
      </w:rPr>
    </w:lvl>
    <w:lvl w:ilvl="3">
      <w:start w:val="1"/>
      <w:numFmt w:val="lowerRoman"/>
      <w:lvlText w:val="(%4)"/>
      <w:lvlJc w:val="left"/>
      <w:pPr>
        <w:tabs>
          <w:tab w:val="num" w:pos="2880"/>
        </w:tabs>
        <w:ind w:left="1440" w:firstLine="720"/>
      </w:pPr>
      <w:rPr>
        <w:rFonts w:ascii="Times New Roman" w:hAnsi="Times New Roman" w:hint="default"/>
        <w:vanish w:val="0"/>
        <w:color w:val="000000"/>
        <w:sz w:val="24"/>
        <w:u w:val="none"/>
      </w:rPr>
    </w:lvl>
    <w:lvl w:ilvl="4">
      <w:start w:val="1"/>
      <w:numFmt w:val="upperLetter"/>
      <w:lvlText w:val="(%5)"/>
      <w:lvlJc w:val="left"/>
      <w:pPr>
        <w:tabs>
          <w:tab w:val="num" w:pos="3600"/>
        </w:tabs>
        <w:ind w:left="2160" w:firstLine="720"/>
      </w:pPr>
      <w:rPr>
        <w:rFonts w:hint="default"/>
        <w:vanish w:val="0"/>
        <w:color w:val="010000"/>
        <w:sz w:val="24"/>
        <w:u w:val="none"/>
      </w:rPr>
    </w:lvl>
    <w:lvl w:ilvl="5">
      <w:start w:val="1"/>
      <w:numFmt w:val="lowerRoman"/>
      <w:lvlText w:val="%6."/>
      <w:lvlJc w:val="left"/>
      <w:pPr>
        <w:tabs>
          <w:tab w:val="num" w:pos="5760"/>
        </w:tabs>
        <w:ind w:left="0" w:firstLine="5040"/>
      </w:pPr>
      <w:rPr>
        <w:rFonts w:hint="default"/>
        <w:vanish w:val="0"/>
        <w:color w:val="010000"/>
        <w:u w:val="none"/>
      </w:rPr>
    </w:lvl>
    <w:lvl w:ilvl="6">
      <w:start w:val="1"/>
      <w:numFmt w:val="decimal"/>
      <w:lvlText w:val="%7)"/>
      <w:lvlJc w:val="left"/>
      <w:pPr>
        <w:tabs>
          <w:tab w:val="num" w:pos="6480"/>
        </w:tabs>
        <w:ind w:left="0" w:firstLine="5760"/>
      </w:pPr>
      <w:rPr>
        <w:rFonts w:hint="default"/>
        <w:vanish w:val="0"/>
        <w:color w:val="010000"/>
        <w:u w:val="none"/>
      </w:rPr>
    </w:lvl>
    <w:lvl w:ilvl="7">
      <w:start w:val="1"/>
      <w:numFmt w:val="lowerLetter"/>
      <w:lvlText w:val="%8)"/>
      <w:lvlJc w:val="left"/>
      <w:pPr>
        <w:tabs>
          <w:tab w:val="num" w:pos="7200"/>
        </w:tabs>
        <w:ind w:left="0" w:firstLine="6480"/>
      </w:pPr>
      <w:rPr>
        <w:rFonts w:hint="default"/>
        <w:vanish w:val="0"/>
        <w:color w:val="010000"/>
        <w:u w:val="none"/>
      </w:rPr>
    </w:lvl>
    <w:lvl w:ilvl="8">
      <w:start w:val="1"/>
      <w:numFmt w:val="lowerRoman"/>
      <w:lvlText w:val="%9)"/>
      <w:lvlJc w:val="left"/>
      <w:pPr>
        <w:tabs>
          <w:tab w:val="num" w:pos="7920"/>
        </w:tabs>
        <w:ind w:left="0" w:firstLine="7200"/>
      </w:pPr>
      <w:rPr>
        <w:rFonts w:hint="default"/>
        <w:vanish w:val="0"/>
        <w:color w:val="010000"/>
        <w:u w:val="none"/>
      </w:rPr>
    </w:lvl>
  </w:abstractNum>
  <w:abstractNum w:abstractNumId="5" w15:restartNumberingAfterBreak="0">
    <w:nsid w:val="1B0C5F37"/>
    <w:multiLevelType w:val="multilevel"/>
    <w:tmpl w:val="A2B4682A"/>
    <w:name w:val="zzmpArticle||Article|2|2|1|5|0|41||3|2|1||1|0|3||1|0|2||1|0|2||1|0|2||mpNA||mpNA||mpNA||"/>
    <w:lvl w:ilvl="0">
      <w:start w:val="1"/>
      <w:numFmt w:val="upperRoman"/>
      <w:suff w:val="nothing"/>
      <w:lvlText w:val="ARTICLE %1"/>
      <w:lvlJc w:val="left"/>
      <w:pPr>
        <w:tabs>
          <w:tab w:val="num" w:pos="4860"/>
        </w:tabs>
        <w:ind w:left="4860" w:firstLine="0"/>
      </w:pPr>
      <w:rPr>
        <w:b/>
        <w:i w:val="0"/>
        <w:caps/>
        <w:smallCaps w:val="0"/>
        <w:strike w:val="0"/>
        <w:dstrike w:val="0"/>
        <w:outline w:val="0"/>
        <w:shadow w:val="0"/>
        <w:emboss w:val="0"/>
        <w:imprint w:val="0"/>
        <w:vanish w:val="0"/>
        <w:u w:val="none"/>
        <w:effect w:val="none"/>
        <w:vertAlign w:val="baseline"/>
      </w:rPr>
    </w:lvl>
    <w:lvl w:ilvl="1">
      <w:start w:val="1"/>
      <w:numFmt w:val="decimalZero"/>
      <w:isLgl/>
      <w:suff w:val="nothing"/>
      <w:lvlText w:val="Section %1.%2."/>
      <w:lvlJc w:val="left"/>
      <w:pPr>
        <w:tabs>
          <w:tab w:val="num" w:pos="1440"/>
        </w:tabs>
        <w:ind w:left="0" w:firstLine="720"/>
      </w:pPr>
      <w:rPr>
        <w:b/>
        <w:i w:val="0"/>
        <w: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720" w:firstLine="720"/>
      </w:pPr>
      <w:rPr>
        <w:b w:val="0"/>
        <w:i w:val="0"/>
        <w:caps w:val="0"/>
        <w:strike w:val="0"/>
        <w:dstrike w:val="0"/>
        <w:outline w:val="0"/>
        <w:shadow w:val="0"/>
        <w:emboss w:val="0"/>
        <w:imprint w:val="0"/>
        <w:vanish w:val="0"/>
        <w:u w:val="none"/>
        <w:effect w:val="none"/>
        <w:vertAlign w:val="baseline"/>
      </w:rPr>
    </w:lvl>
    <w:lvl w:ilvl="3">
      <w:start w:val="1"/>
      <w:numFmt w:val="lowerRoman"/>
      <w:lvlText w:val="(%4)"/>
      <w:lvlJc w:val="right"/>
      <w:pPr>
        <w:tabs>
          <w:tab w:val="num" w:pos="3060"/>
        </w:tabs>
        <w:ind w:left="1620" w:firstLine="720"/>
      </w:pPr>
      <w:rPr>
        <w:rFonts w:hint="default"/>
        <w:b w:val="0"/>
        <w:i w:val="0"/>
        <w:caps w:val="0"/>
        <w:strike w:val="0"/>
        <w:dstrike w:val="0"/>
        <w:outline w:val="0"/>
        <w:shadow w:val="0"/>
        <w:emboss w:val="0"/>
        <w:imprint w:val="0"/>
        <w:vanish w:val="0"/>
        <w:u w:val="none"/>
        <w:effect w:val="none"/>
        <w:vertAlign w:val="baseline"/>
      </w:rPr>
    </w:lvl>
    <w:lvl w:ilvl="4">
      <w:start w:val="1"/>
      <w:numFmt w:val="upperLetter"/>
      <w:lvlText w:val="(%5)"/>
      <w:lvlJc w:val="left"/>
      <w:pPr>
        <w:tabs>
          <w:tab w:val="num" w:pos="3600"/>
        </w:tabs>
        <w:ind w:left="2160" w:firstLine="720"/>
      </w:pPr>
      <w:rPr>
        <w:b w:val="0"/>
        <w:i w:val="0"/>
        <w: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320"/>
        </w:tabs>
        <w:ind w:left="2880" w:firstLine="720"/>
      </w:pPr>
      <w:rPr>
        <w:b w:val="0"/>
        <w:i w:val="0"/>
        <w:caps w:val="0"/>
        <w:strike w:val="0"/>
        <w:dstrike w:val="0"/>
        <w:outline w:val="0"/>
        <w:shadow w:val="0"/>
        <w:emboss w:val="0"/>
        <w:imprint w:val="0"/>
        <w:vanish w:val="0"/>
        <w:u w:val="none"/>
        <w:effect w:val="none"/>
        <w:vertAlign w:val="baseline"/>
      </w:rPr>
    </w:lvl>
    <w:lvl w:ilvl="6">
      <w:start w:val="1"/>
      <w:numFmt w:val="none"/>
      <w:lvlText w:val=""/>
      <w:lvlJc w:val="left"/>
      <w:pPr>
        <w:tabs>
          <w:tab w:val="num" w:pos="360"/>
        </w:tabs>
        <w:ind w:left="0" w:firstLine="0"/>
      </w:pPr>
      <w:rPr>
        <w:b w:val="0"/>
        <w:i w:val="0"/>
        <w:caps w:val="0"/>
        <w:strike w:val="0"/>
        <w:dstrike w:val="0"/>
        <w:outline w:val="0"/>
        <w:shadow w:val="0"/>
        <w:emboss w:val="0"/>
        <w:imprint w:val="0"/>
        <w:vanish w:val="0"/>
        <w:u w:val="none"/>
        <w:effect w:val="none"/>
        <w:vertAlign w:val="baseline"/>
      </w:rPr>
    </w:lvl>
    <w:lvl w:ilvl="7">
      <w:start w:val="1"/>
      <w:numFmt w:val="none"/>
      <w:lvlText w:val=""/>
      <w:lvlJc w:val="left"/>
      <w:pPr>
        <w:tabs>
          <w:tab w:val="num" w:pos="360"/>
        </w:tabs>
        <w:ind w:left="0" w:firstLine="0"/>
      </w:pPr>
      <w:rPr>
        <w:b w:val="0"/>
        <w:i w:val="0"/>
        <w:caps w:val="0"/>
        <w:strike w:val="0"/>
        <w:dstrike w:val="0"/>
        <w:outline w:val="0"/>
        <w:shadow w:val="0"/>
        <w:emboss w:val="0"/>
        <w:imprint w:val="0"/>
        <w:vanish w:val="0"/>
        <w:u w:val="none"/>
        <w:effect w:val="none"/>
        <w:vertAlign w:val="baseline"/>
      </w:rPr>
    </w:lvl>
    <w:lvl w:ilvl="8">
      <w:start w:val="1"/>
      <w:numFmt w:val="none"/>
      <w:lvlText w:val=""/>
      <w:lvlJc w:val="left"/>
      <w:pPr>
        <w:tabs>
          <w:tab w:val="num" w:pos="360"/>
        </w:tabs>
        <w:ind w:left="0" w:firstLine="0"/>
      </w:pPr>
      <w:rPr>
        <w:b w:val="0"/>
        <w:i w:val="0"/>
        <w:caps w:val="0"/>
        <w:strike w:val="0"/>
        <w:dstrike w:val="0"/>
        <w:outline w:val="0"/>
        <w:shadow w:val="0"/>
        <w:emboss w:val="0"/>
        <w:imprint w:val="0"/>
        <w:vanish w:val="0"/>
        <w:u w:val="none"/>
        <w:effect w:val="none"/>
        <w:vertAlign w:val="baseline"/>
      </w:rPr>
    </w:lvl>
  </w:abstractNum>
  <w:abstractNum w:abstractNumId="6" w15:restartNumberingAfterBreak="0">
    <w:nsid w:val="20B86F99"/>
    <w:multiLevelType w:val="multilevel"/>
    <w:tmpl w:val="3DD45EBE"/>
    <w:name w:val="zzmpKutak1||Kutak1 (OS-POS)|2|4|1|0|0|41||0|2|33||0|0|3||1|0|2||1|0|2||1|0|2||1|0|2||mpNA||mpNA||"/>
    <w:lvl w:ilvl="0">
      <w:start w:val="1"/>
      <w:numFmt w:val="none"/>
      <w:suff w:val="nothing"/>
      <w:lvlText w:val=""/>
      <w:lvlJc w:val="left"/>
      <w:pPr>
        <w:tabs>
          <w:tab w:val="num" w:pos="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
      <w:lvlJc w:val="left"/>
      <w:pPr>
        <w:tabs>
          <w:tab w:val="num" w:pos="720"/>
        </w:tabs>
        <w:ind w:left="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320"/>
        </w:tabs>
        <w:ind w:left="288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8D81B84"/>
    <w:multiLevelType w:val="hybridMultilevel"/>
    <w:tmpl w:val="EFF406A6"/>
    <w:lvl w:ilvl="0" w:tplc="4CEEB9AC">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pStyle w:val="Heading8"/>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D6554"/>
    <w:multiLevelType w:val="multilevel"/>
    <w:tmpl w:val="53B23C2C"/>
    <w:lvl w:ilvl="0">
      <w:start w:val="1"/>
      <w:numFmt w:val="none"/>
      <w:pStyle w:val="Heading1"/>
      <w:suff w:val="space"/>
      <w:lvlText w:val=""/>
      <w:lvlJc w:val="left"/>
      <w:pPr>
        <w:ind w:left="0" w:firstLine="0"/>
      </w:pPr>
      <w:rPr>
        <w:rFonts w:hint="default"/>
        <w:b/>
        <w:caps w:val="0"/>
        <w:color w:val="010000"/>
        <w:u w:val="none"/>
      </w:rPr>
    </w:lvl>
    <w:lvl w:ilvl="1">
      <w:start w:val="1"/>
      <w:numFmt w:val="none"/>
      <w:pStyle w:val="Heading2"/>
      <w:suff w:val="nothing"/>
      <w:lvlText w:val=""/>
      <w:lvlJc w:val="left"/>
      <w:pPr>
        <w:ind w:left="0" w:firstLine="0"/>
      </w:pPr>
      <w:rPr>
        <w:rFonts w:hint="default"/>
        <w:b/>
        <w:caps w:val="0"/>
        <w:color w:val="010000"/>
        <w:u w:val="none"/>
      </w:rPr>
    </w:lvl>
    <w:lvl w:ilvl="2">
      <w:start w:val="1"/>
      <w:numFmt w:val="lowerRoman"/>
      <w:pStyle w:val="Heading3"/>
      <w:lvlText w:val="(%3)"/>
      <w:lvlJc w:val="left"/>
      <w:pPr>
        <w:tabs>
          <w:tab w:val="num" w:pos="3600"/>
        </w:tabs>
        <w:ind w:left="0" w:firstLine="2880"/>
      </w:pPr>
      <w:rPr>
        <w:rFonts w:hint="default"/>
        <w:caps w:val="0"/>
        <w:color w:val="010000"/>
        <w:sz w:val="20"/>
        <w:szCs w:val="20"/>
        <w:u w:val="none"/>
      </w:rPr>
    </w:lvl>
    <w:lvl w:ilvl="3">
      <w:start w:val="1"/>
      <w:numFmt w:val="decimal"/>
      <w:pStyle w:val="Heading4"/>
      <w:lvlText w:val="(%4)"/>
      <w:lvlJc w:val="left"/>
      <w:pPr>
        <w:tabs>
          <w:tab w:val="num" w:pos="4320"/>
        </w:tabs>
        <w:ind w:left="0" w:firstLine="3600"/>
      </w:pPr>
      <w:rPr>
        <w:rFonts w:hint="default"/>
        <w:caps w:val="0"/>
        <w:color w:val="010000"/>
        <w:u w:val="none"/>
      </w:rPr>
    </w:lvl>
    <w:lvl w:ilvl="4">
      <w:start w:val="1"/>
      <w:numFmt w:val="lowerLetter"/>
      <w:pStyle w:val="Heading5"/>
      <w:lvlText w:val="%5."/>
      <w:lvlJc w:val="left"/>
      <w:pPr>
        <w:tabs>
          <w:tab w:val="num" w:pos="5040"/>
        </w:tabs>
        <w:ind w:left="0" w:firstLine="4320"/>
      </w:pPr>
      <w:rPr>
        <w:rFonts w:hint="default"/>
        <w:caps w:val="0"/>
        <w:color w:val="010000"/>
        <w:u w:val="none"/>
      </w:rPr>
    </w:lvl>
    <w:lvl w:ilvl="5">
      <w:start w:val="1"/>
      <w:numFmt w:val="lowerRoman"/>
      <w:pStyle w:val="Heading6"/>
      <w:lvlText w:val="%6."/>
      <w:lvlJc w:val="left"/>
      <w:pPr>
        <w:tabs>
          <w:tab w:val="num" w:pos="5760"/>
        </w:tabs>
        <w:ind w:left="0" w:firstLine="5040"/>
      </w:pPr>
      <w:rPr>
        <w:rFonts w:hint="default"/>
        <w:caps w:val="0"/>
        <w:color w:val="010000"/>
        <w:u w:val="none"/>
      </w:rPr>
    </w:lvl>
    <w:lvl w:ilvl="6">
      <w:start w:val="1"/>
      <w:numFmt w:val="decimal"/>
      <w:pStyle w:val="Heading7"/>
      <w:lvlText w:val="%7)"/>
      <w:lvlJc w:val="left"/>
      <w:pPr>
        <w:tabs>
          <w:tab w:val="num" w:pos="6480"/>
        </w:tabs>
        <w:ind w:left="0" w:firstLine="5760"/>
      </w:pPr>
      <w:rPr>
        <w:rFonts w:hint="default"/>
        <w:caps w:val="0"/>
        <w:color w:val="010000"/>
        <w:u w:val="none"/>
      </w:rPr>
    </w:lvl>
    <w:lvl w:ilvl="7">
      <w:start w:val="1"/>
      <w:numFmt w:val="lowerLetter"/>
      <w:lvlText w:val="%8)"/>
      <w:lvlJc w:val="left"/>
      <w:pPr>
        <w:tabs>
          <w:tab w:val="num" w:pos="7200"/>
        </w:tabs>
        <w:ind w:left="0" w:firstLine="6480"/>
      </w:pPr>
      <w:rPr>
        <w:rFonts w:hint="default"/>
        <w:caps w:val="0"/>
        <w:color w:val="010000"/>
        <w:u w:val="none"/>
      </w:rPr>
    </w:lvl>
    <w:lvl w:ilvl="8">
      <w:start w:val="1"/>
      <w:numFmt w:val="lowerRoman"/>
      <w:lvlText w:val="%9)"/>
      <w:lvlJc w:val="left"/>
      <w:pPr>
        <w:tabs>
          <w:tab w:val="num" w:pos="7920"/>
        </w:tabs>
        <w:ind w:left="0" w:firstLine="7200"/>
      </w:pPr>
      <w:rPr>
        <w:rFonts w:hint="default"/>
        <w:caps w:val="0"/>
        <w:color w:val="010000"/>
        <w:u w:val="none"/>
      </w:rPr>
    </w:lvl>
  </w:abstractNum>
  <w:abstractNum w:abstractNumId="10" w15:restartNumberingAfterBreak="0">
    <w:nsid w:val="455D3E69"/>
    <w:multiLevelType w:val="multilevel"/>
    <w:tmpl w:val="2A403486"/>
    <w:lvl w:ilvl="0">
      <w:start w:val="1"/>
      <w:numFmt w:val="none"/>
      <w:suff w:val="nothing"/>
      <w:lvlText w:val=""/>
      <w:lvlJc w:val="left"/>
      <w:pPr>
        <w:ind w:left="0" w:firstLine="0"/>
      </w:pPr>
      <w:rPr>
        <w:rFonts w:ascii="Times New Roman" w:hAnsi="Times New Roman" w:hint="default"/>
        <w:b/>
        <w:i w:val="0"/>
        <w:caps w:val="0"/>
        <w:smallCaps w:val="0"/>
        <w:vanish w:val="0"/>
        <w:color w:val="auto"/>
        <w:sz w:val="22"/>
        <w:u w:val="none"/>
      </w:rPr>
    </w:lvl>
    <w:lvl w:ilvl="1">
      <w:start w:val="1"/>
      <w:numFmt w:val="none"/>
      <w:suff w:val="nothing"/>
      <w:lvlText w:val=""/>
      <w:lvlJc w:val="left"/>
      <w:pPr>
        <w:ind w:left="0" w:firstLine="0"/>
      </w:pPr>
      <w:rPr>
        <w:rFonts w:ascii="Times New Roman Bold" w:hAnsi="Times New Roman Bold" w:hint="default"/>
        <w:b/>
        <w:i w:val="0"/>
        <w:caps w:val="0"/>
        <w:vanish w:val="0"/>
        <w:color w:val="010000"/>
        <w:sz w:val="24"/>
        <w:u w:val="none"/>
      </w:rPr>
    </w:lvl>
    <w:lvl w:ilvl="2">
      <w:start w:val="1"/>
      <w:numFmt w:val="lowerLetter"/>
      <w:lvlText w:val="(%3)"/>
      <w:lvlJc w:val="left"/>
      <w:pPr>
        <w:ind w:left="720" w:firstLine="720"/>
      </w:pPr>
      <w:rPr>
        <w:rFonts w:hint="default"/>
        <w:b w:val="0"/>
        <w:i w:val="0"/>
        <w:caps w:val="0"/>
        <w:vanish w:val="0"/>
        <w:color w:val="auto"/>
        <w:sz w:val="22"/>
        <w:szCs w:val="22"/>
        <w:u w:val="none"/>
      </w:rPr>
    </w:lvl>
    <w:lvl w:ilvl="3">
      <w:start w:val="1"/>
      <w:numFmt w:val="decimal"/>
      <w:lvlText w:val="(%4)"/>
      <w:lvlJc w:val="left"/>
      <w:pPr>
        <w:tabs>
          <w:tab w:val="num" w:pos="4320"/>
        </w:tabs>
        <w:ind w:left="0" w:firstLine="3600"/>
      </w:pPr>
      <w:rPr>
        <w:rFonts w:hint="default"/>
        <w:caps w:val="0"/>
        <w:vanish w:val="0"/>
        <w:color w:val="010000"/>
        <w:u w:val="none"/>
      </w:rPr>
    </w:lvl>
    <w:lvl w:ilvl="4">
      <w:start w:val="1"/>
      <w:numFmt w:val="lowerLetter"/>
      <w:lvlText w:val="%5."/>
      <w:lvlJc w:val="left"/>
      <w:pPr>
        <w:tabs>
          <w:tab w:val="num" w:pos="5040"/>
        </w:tabs>
        <w:ind w:left="0" w:firstLine="4320"/>
      </w:pPr>
      <w:rPr>
        <w:rFonts w:hint="default"/>
        <w:caps w:val="0"/>
        <w:vanish w:val="0"/>
        <w:color w:val="010000"/>
        <w:u w:val="none"/>
      </w:rPr>
    </w:lvl>
    <w:lvl w:ilvl="5">
      <w:start w:val="1"/>
      <w:numFmt w:val="lowerRoman"/>
      <w:lvlText w:val="%6."/>
      <w:lvlJc w:val="left"/>
      <w:pPr>
        <w:tabs>
          <w:tab w:val="num" w:pos="5760"/>
        </w:tabs>
        <w:ind w:left="0" w:firstLine="5040"/>
      </w:pPr>
      <w:rPr>
        <w:rFonts w:hint="default"/>
        <w:caps w:val="0"/>
        <w:vanish w:val="0"/>
        <w:color w:val="010000"/>
        <w:u w:val="none"/>
      </w:rPr>
    </w:lvl>
    <w:lvl w:ilvl="6">
      <w:start w:val="1"/>
      <w:numFmt w:val="decimal"/>
      <w:lvlText w:val="%7)"/>
      <w:lvlJc w:val="left"/>
      <w:pPr>
        <w:tabs>
          <w:tab w:val="num" w:pos="6480"/>
        </w:tabs>
        <w:ind w:left="0" w:firstLine="5760"/>
      </w:pPr>
      <w:rPr>
        <w:rFonts w:hint="default"/>
        <w:caps w:val="0"/>
        <w:vanish w:val="0"/>
        <w:color w:val="010000"/>
        <w:u w:val="none"/>
      </w:rPr>
    </w:lvl>
    <w:lvl w:ilvl="7">
      <w:start w:val="1"/>
      <w:numFmt w:val="lowerLetter"/>
      <w:lvlText w:val="%8)"/>
      <w:lvlJc w:val="left"/>
      <w:pPr>
        <w:tabs>
          <w:tab w:val="num" w:pos="7200"/>
        </w:tabs>
        <w:ind w:left="0" w:firstLine="6480"/>
      </w:pPr>
      <w:rPr>
        <w:rFonts w:hint="default"/>
        <w:caps w:val="0"/>
        <w:vanish w:val="0"/>
        <w:color w:val="010000"/>
        <w:u w:val="none"/>
      </w:rPr>
    </w:lvl>
    <w:lvl w:ilvl="8">
      <w:start w:val="1"/>
      <w:numFmt w:val="lowerRoman"/>
      <w:lvlText w:val="%9)"/>
      <w:lvlJc w:val="left"/>
      <w:pPr>
        <w:tabs>
          <w:tab w:val="num" w:pos="7920"/>
        </w:tabs>
        <w:ind w:left="0" w:firstLine="7200"/>
      </w:pPr>
      <w:rPr>
        <w:rFonts w:hint="default"/>
        <w:caps w:val="0"/>
        <w:vanish w:val="0"/>
        <w:color w:val="010000"/>
        <w:u w:val="none"/>
      </w:rPr>
    </w:lvl>
  </w:abstractNum>
  <w:abstractNum w:abstractNumId="11" w15:restartNumberingAfterBreak="0">
    <w:nsid w:val="575518DE"/>
    <w:multiLevelType w:val="hybridMultilevel"/>
    <w:tmpl w:val="22CEC40A"/>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A62EC2"/>
    <w:multiLevelType w:val="multilevel"/>
    <w:tmpl w:val="941A4A80"/>
    <w:name w:val="zzmpKutak1||Kutak1 (OS-POS) |2|4|1|0|0|41||0|2|33||0|0|3||1|0|2||1|0|2||1|0|2||1|0|2||mpNA||mpNA||"/>
    <w:lvl w:ilvl="0">
      <w:start w:val="1"/>
      <w:numFmt w:val="none"/>
      <w:suff w:val="nothing"/>
      <w:lvlText w:val=""/>
      <w:lvlJc w:val="left"/>
      <w:pPr>
        <w:tabs>
          <w:tab w:val="num" w:pos="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
      <w:lvlJc w:val="left"/>
      <w:pPr>
        <w:tabs>
          <w:tab w:val="num" w:pos="720"/>
        </w:tabs>
        <w:ind w:left="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320"/>
        </w:tabs>
        <w:ind w:left="288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1075F27"/>
    <w:multiLevelType w:val="multilevel"/>
    <w:tmpl w:val="51CC8AAC"/>
    <w:lvl w:ilvl="0">
      <w:numFmt w:val="bullet"/>
      <w:lvlText w:val="·"/>
      <w:lvlJc w:val="left"/>
      <w:pPr>
        <w:tabs>
          <w:tab w:val="left" w:pos="72"/>
        </w:tabs>
      </w:pPr>
      <w:rPr>
        <w:rFonts w:ascii="Symbol" w:eastAsia="Symbol" w:hAnsi="Symbol"/>
        <w:color w:val="000000"/>
        <w:spacing w:val="-8"/>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pStyle w:val="Heading9"/>
      <w:lvlText w:val=""/>
      <w:lvlJc w:val="left"/>
    </w:lvl>
  </w:abstractNum>
  <w:abstractNum w:abstractNumId="14" w15:restartNumberingAfterBreak="0">
    <w:nsid w:val="757F5576"/>
    <w:multiLevelType w:val="multilevel"/>
    <w:tmpl w:val="2A403486"/>
    <w:lvl w:ilvl="0">
      <w:start w:val="1"/>
      <w:numFmt w:val="none"/>
      <w:suff w:val="nothing"/>
      <w:lvlText w:val=""/>
      <w:lvlJc w:val="left"/>
      <w:pPr>
        <w:ind w:left="0" w:firstLine="0"/>
      </w:pPr>
      <w:rPr>
        <w:rFonts w:ascii="Times New Roman" w:hAnsi="Times New Roman" w:hint="default"/>
        <w:b/>
        <w:i w:val="0"/>
        <w:caps w:val="0"/>
        <w:smallCaps w:val="0"/>
        <w:vanish w:val="0"/>
        <w:color w:val="auto"/>
        <w:sz w:val="22"/>
        <w:u w:val="none"/>
      </w:rPr>
    </w:lvl>
    <w:lvl w:ilvl="1">
      <w:start w:val="1"/>
      <w:numFmt w:val="none"/>
      <w:suff w:val="nothing"/>
      <w:lvlText w:val=""/>
      <w:lvlJc w:val="left"/>
      <w:pPr>
        <w:ind w:left="0" w:firstLine="0"/>
      </w:pPr>
      <w:rPr>
        <w:rFonts w:ascii="Times New Roman Bold" w:hAnsi="Times New Roman Bold" w:hint="default"/>
        <w:b/>
        <w:i w:val="0"/>
        <w:caps w:val="0"/>
        <w:vanish w:val="0"/>
        <w:color w:val="010000"/>
        <w:sz w:val="24"/>
        <w:u w:val="none"/>
      </w:rPr>
    </w:lvl>
    <w:lvl w:ilvl="2">
      <w:start w:val="1"/>
      <w:numFmt w:val="lowerLetter"/>
      <w:lvlText w:val="(%3)"/>
      <w:lvlJc w:val="left"/>
      <w:pPr>
        <w:ind w:left="720" w:firstLine="720"/>
      </w:pPr>
      <w:rPr>
        <w:rFonts w:hint="default"/>
        <w:b w:val="0"/>
        <w:i w:val="0"/>
        <w:caps w:val="0"/>
        <w:vanish w:val="0"/>
        <w:color w:val="auto"/>
        <w:sz w:val="22"/>
        <w:szCs w:val="22"/>
        <w:u w:val="none"/>
      </w:rPr>
    </w:lvl>
    <w:lvl w:ilvl="3">
      <w:start w:val="1"/>
      <w:numFmt w:val="decimal"/>
      <w:lvlText w:val="(%4)"/>
      <w:lvlJc w:val="left"/>
      <w:pPr>
        <w:tabs>
          <w:tab w:val="num" w:pos="4320"/>
        </w:tabs>
        <w:ind w:left="0" w:firstLine="3600"/>
      </w:pPr>
      <w:rPr>
        <w:rFonts w:hint="default"/>
        <w:caps w:val="0"/>
        <w:vanish w:val="0"/>
        <w:color w:val="010000"/>
        <w:u w:val="none"/>
      </w:rPr>
    </w:lvl>
    <w:lvl w:ilvl="4">
      <w:start w:val="1"/>
      <w:numFmt w:val="lowerLetter"/>
      <w:lvlText w:val="%5."/>
      <w:lvlJc w:val="left"/>
      <w:pPr>
        <w:tabs>
          <w:tab w:val="num" w:pos="5040"/>
        </w:tabs>
        <w:ind w:left="0" w:firstLine="4320"/>
      </w:pPr>
      <w:rPr>
        <w:rFonts w:hint="default"/>
        <w:caps w:val="0"/>
        <w:vanish w:val="0"/>
        <w:color w:val="010000"/>
        <w:u w:val="none"/>
      </w:rPr>
    </w:lvl>
    <w:lvl w:ilvl="5">
      <w:start w:val="1"/>
      <w:numFmt w:val="lowerRoman"/>
      <w:lvlText w:val="%6."/>
      <w:lvlJc w:val="left"/>
      <w:pPr>
        <w:tabs>
          <w:tab w:val="num" w:pos="5760"/>
        </w:tabs>
        <w:ind w:left="0" w:firstLine="5040"/>
      </w:pPr>
      <w:rPr>
        <w:rFonts w:hint="default"/>
        <w:caps w:val="0"/>
        <w:vanish w:val="0"/>
        <w:color w:val="010000"/>
        <w:u w:val="none"/>
      </w:rPr>
    </w:lvl>
    <w:lvl w:ilvl="6">
      <w:start w:val="1"/>
      <w:numFmt w:val="decimal"/>
      <w:lvlText w:val="%7)"/>
      <w:lvlJc w:val="left"/>
      <w:pPr>
        <w:tabs>
          <w:tab w:val="num" w:pos="6480"/>
        </w:tabs>
        <w:ind w:left="0" w:firstLine="5760"/>
      </w:pPr>
      <w:rPr>
        <w:rFonts w:hint="default"/>
        <w:caps w:val="0"/>
        <w:vanish w:val="0"/>
        <w:color w:val="010000"/>
        <w:u w:val="none"/>
      </w:rPr>
    </w:lvl>
    <w:lvl w:ilvl="7">
      <w:start w:val="1"/>
      <w:numFmt w:val="lowerLetter"/>
      <w:lvlText w:val="%8)"/>
      <w:lvlJc w:val="left"/>
      <w:pPr>
        <w:tabs>
          <w:tab w:val="num" w:pos="7200"/>
        </w:tabs>
        <w:ind w:left="0" w:firstLine="6480"/>
      </w:pPr>
      <w:rPr>
        <w:rFonts w:hint="default"/>
        <w:caps w:val="0"/>
        <w:vanish w:val="0"/>
        <w:color w:val="010000"/>
        <w:u w:val="none"/>
      </w:rPr>
    </w:lvl>
    <w:lvl w:ilvl="8">
      <w:start w:val="1"/>
      <w:numFmt w:val="lowerRoman"/>
      <w:lvlText w:val="%9)"/>
      <w:lvlJc w:val="left"/>
      <w:pPr>
        <w:tabs>
          <w:tab w:val="num" w:pos="7920"/>
        </w:tabs>
        <w:ind w:left="0" w:firstLine="7200"/>
      </w:pPr>
      <w:rPr>
        <w:rFonts w:hint="default"/>
        <w:caps w:val="0"/>
        <w:vanish w:val="0"/>
        <w:color w:val="010000"/>
        <w:u w:val="none"/>
      </w:rPr>
    </w:lvl>
  </w:abstractNum>
  <w:abstractNum w:abstractNumId="15" w15:restartNumberingAfterBreak="0">
    <w:nsid w:val="7E111AAC"/>
    <w:multiLevelType w:val="hybridMultilevel"/>
    <w:tmpl w:val="B8040444"/>
    <w:lvl w:ilvl="0" w:tplc="AC6ADB4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7229608">
    <w:abstractNumId w:val="13"/>
  </w:num>
  <w:num w:numId="2" w16cid:durableId="1939753318">
    <w:abstractNumId w:val="9"/>
  </w:num>
  <w:num w:numId="3" w16cid:durableId="821044266">
    <w:abstractNumId w:val="8"/>
  </w:num>
  <w:num w:numId="4" w16cid:durableId="1932346174">
    <w:abstractNumId w:val="15"/>
  </w:num>
  <w:num w:numId="5" w16cid:durableId="403140159">
    <w:abstractNumId w:val="9"/>
  </w:num>
  <w:num w:numId="6" w16cid:durableId="1567952817">
    <w:abstractNumId w:val="11"/>
  </w:num>
  <w:num w:numId="7" w16cid:durableId="163016173">
    <w:abstractNumId w:val="10"/>
  </w:num>
  <w:num w:numId="8" w16cid:durableId="1087456514">
    <w:abstractNumId w:val="7"/>
  </w:num>
  <w:num w:numId="9" w16cid:durableId="680396600">
    <w:abstractNumId w:val="1"/>
  </w:num>
  <w:num w:numId="10" w16cid:durableId="1255212548">
    <w:abstractNumId w:val="0"/>
  </w:num>
  <w:num w:numId="11" w16cid:durableId="628784089">
    <w:abstractNumId w:val="6"/>
  </w:num>
  <w:num w:numId="12" w16cid:durableId="1580018960">
    <w:abstractNumId w:val="2"/>
  </w:num>
  <w:num w:numId="13" w16cid:durableId="1249198356">
    <w:abstractNumId w:val="14"/>
  </w:num>
  <w:num w:numId="14" w16cid:durableId="34040039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Fmt w:val="chicago"/>
    <w:numRestart w:val="eachPage"/>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ClientMatter" w:val="False"/>
    <w:docVar w:name="DocIDLibrary" w:val="True"/>
    <w:docVar w:name="DocIDType" w:val="AllPages"/>
    <w:docVar w:name="ndGeneratedStamp" w:val="4903-7475-4219, v. 7"/>
    <w:docVar w:name="ndGeneratedStampLocation" w:val="ExceptFirst"/>
  </w:docVars>
  <w:rsids>
    <w:rsidRoot w:val="0075493D"/>
    <w:rsid w:val="0000017E"/>
    <w:rsid w:val="00000198"/>
    <w:rsid w:val="00000A2A"/>
    <w:rsid w:val="00000BC3"/>
    <w:rsid w:val="000012DD"/>
    <w:rsid w:val="00001804"/>
    <w:rsid w:val="000018DB"/>
    <w:rsid w:val="00002357"/>
    <w:rsid w:val="00002D44"/>
    <w:rsid w:val="0000373A"/>
    <w:rsid w:val="000045D1"/>
    <w:rsid w:val="0000463A"/>
    <w:rsid w:val="00004679"/>
    <w:rsid w:val="00004A00"/>
    <w:rsid w:val="00005482"/>
    <w:rsid w:val="000056FC"/>
    <w:rsid w:val="000065A3"/>
    <w:rsid w:val="00006D64"/>
    <w:rsid w:val="00007261"/>
    <w:rsid w:val="00007CD4"/>
    <w:rsid w:val="0001102B"/>
    <w:rsid w:val="00011720"/>
    <w:rsid w:val="0001183F"/>
    <w:rsid w:val="00011DB4"/>
    <w:rsid w:val="00012A8D"/>
    <w:rsid w:val="00012C2F"/>
    <w:rsid w:val="00013BDE"/>
    <w:rsid w:val="00014129"/>
    <w:rsid w:val="000142F0"/>
    <w:rsid w:val="0001457F"/>
    <w:rsid w:val="00014A0F"/>
    <w:rsid w:val="00015261"/>
    <w:rsid w:val="00015AD4"/>
    <w:rsid w:val="00015E12"/>
    <w:rsid w:val="00015FD6"/>
    <w:rsid w:val="0001695F"/>
    <w:rsid w:val="000170DD"/>
    <w:rsid w:val="00017727"/>
    <w:rsid w:val="0002031E"/>
    <w:rsid w:val="00021DF5"/>
    <w:rsid w:val="00021E5A"/>
    <w:rsid w:val="00021FEC"/>
    <w:rsid w:val="000223A4"/>
    <w:rsid w:val="0002248E"/>
    <w:rsid w:val="00022E82"/>
    <w:rsid w:val="000231B3"/>
    <w:rsid w:val="00023404"/>
    <w:rsid w:val="00024549"/>
    <w:rsid w:val="00025096"/>
    <w:rsid w:val="00025856"/>
    <w:rsid w:val="00025B45"/>
    <w:rsid w:val="0002631F"/>
    <w:rsid w:val="000263F9"/>
    <w:rsid w:val="0002675E"/>
    <w:rsid w:val="00026828"/>
    <w:rsid w:val="00026A04"/>
    <w:rsid w:val="00026B21"/>
    <w:rsid w:val="00026C73"/>
    <w:rsid w:val="00026E06"/>
    <w:rsid w:val="00027024"/>
    <w:rsid w:val="0002732C"/>
    <w:rsid w:val="00027696"/>
    <w:rsid w:val="00027B12"/>
    <w:rsid w:val="000300E6"/>
    <w:rsid w:val="00030CBF"/>
    <w:rsid w:val="00031AB2"/>
    <w:rsid w:val="00031B09"/>
    <w:rsid w:val="000331C1"/>
    <w:rsid w:val="00033C4A"/>
    <w:rsid w:val="00033F06"/>
    <w:rsid w:val="0003404D"/>
    <w:rsid w:val="00034E77"/>
    <w:rsid w:val="00036002"/>
    <w:rsid w:val="0003699A"/>
    <w:rsid w:val="00036BEC"/>
    <w:rsid w:val="00037717"/>
    <w:rsid w:val="000377EF"/>
    <w:rsid w:val="00037B65"/>
    <w:rsid w:val="000409FC"/>
    <w:rsid w:val="0004121D"/>
    <w:rsid w:val="0004149D"/>
    <w:rsid w:val="0004158C"/>
    <w:rsid w:val="00041A80"/>
    <w:rsid w:val="00041C72"/>
    <w:rsid w:val="00041EE2"/>
    <w:rsid w:val="00042E26"/>
    <w:rsid w:val="000432AE"/>
    <w:rsid w:val="0004336E"/>
    <w:rsid w:val="0004345C"/>
    <w:rsid w:val="00044271"/>
    <w:rsid w:val="000444C8"/>
    <w:rsid w:val="0004480B"/>
    <w:rsid w:val="0004483C"/>
    <w:rsid w:val="00044B1D"/>
    <w:rsid w:val="0004528C"/>
    <w:rsid w:val="000456AE"/>
    <w:rsid w:val="000456C4"/>
    <w:rsid w:val="00046B49"/>
    <w:rsid w:val="00047DDB"/>
    <w:rsid w:val="00047DFA"/>
    <w:rsid w:val="00050FED"/>
    <w:rsid w:val="0005168E"/>
    <w:rsid w:val="00051827"/>
    <w:rsid w:val="000521B4"/>
    <w:rsid w:val="000523C2"/>
    <w:rsid w:val="000529E6"/>
    <w:rsid w:val="00053091"/>
    <w:rsid w:val="00053682"/>
    <w:rsid w:val="00053D94"/>
    <w:rsid w:val="00053DEA"/>
    <w:rsid w:val="00053E4D"/>
    <w:rsid w:val="000540C9"/>
    <w:rsid w:val="00054395"/>
    <w:rsid w:val="0005585C"/>
    <w:rsid w:val="00055C5A"/>
    <w:rsid w:val="00055FB7"/>
    <w:rsid w:val="000561D6"/>
    <w:rsid w:val="000561DE"/>
    <w:rsid w:val="0005689C"/>
    <w:rsid w:val="00056A47"/>
    <w:rsid w:val="00056E5B"/>
    <w:rsid w:val="00056EB7"/>
    <w:rsid w:val="000574D3"/>
    <w:rsid w:val="00057B65"/>
    <w:rsid w:val="00060B5D"/>
    <w:rsid w:val="00061083"/>
    <w:rsid w:val="00061601"/>
    <w:rsid w:val="00061EA2"/>
    <w:rsid w:val="00061ECD"/>
    <w:rsid w:val="00062658"/>
    <w:rsid w:val="00062D64"/>
    <w:rsid w:val="0006331C"/>
    <w:rsid w:val="00064ABF"/>
    <w:rsid w:val="000651F5"/>
    <w:rsid w:val="0006556B"/>
    <w:rsid w:val="00065AE9"/>
    <w:rsid w:val="00065EAD"/>
    <w:rsid w:val="00066017"/>
    <w:rsid w:val="000667AC"/>
    <w:rsid w:val="00066D54"/>
    <w:rsid w:val="00067F1B"/>
    <w:rsid w:val="000703BF"/>
    <w:rsid w:val="0007081A"/>
    <w:rsid w:val="00070A00"/>
    <w:rsid w:val="00070A6D"/>
    <w:rsid w:val="0007112E"/>
    <w:rsid w:val="00071158"/>
    <w:rsid w:val="00071B2D"/>
    <w:rsid w:val="000721F8"/>
    <w:rsid w:val="00072440"/>
    <w:rsid w:val="00072700"/>
    <w:rsid w:val="0007276F"/>
    <w:rsid w:val="00072801"/>
    <w:rsid w:val="00072AC0"/>
    <w:rsid w:val="00073F8F"/>
    <w:rsid w:val="00074198"/>
    <w:rsid w:val="00074971"/>
    <w:rsid w:val="00075343"/>
    <w:rsid w:val="00075775"/>
    <w:rsid w:val="00076CBB"/>
    <w:rsid w:val="0007722F"/>
    <w:rsid w:val="00077B55"/>
    <w:rsid w:val="000807EC"/>
    <w:rsid w:val="00080A97"/>
    <w:rsid w:val="00081542"/>
    <w:rsid w:val="00081703"/>
    <w:rsid w:val="0008181E"/>
    <w:rsid w:val="00081EA5"/>
    <w:rsid w:val="00081F34"/>
    <w:rsid w:val="00081F5C"/>
    <w:rsid w:val="00081FDE"/>
    <w:rsid w:val="0008205A"/>
    <w:rsid w:val="000823D4"/>
    <w:rsid w:val="000826EC"/>
    <w:rsid w:val="0008278D"/>
    <w:rsid w:val="000829DB"/>
    <w:rsid w:val="000831FC"/>
    <w:rsid w:val="000833C4"/>
    <w:rsid w:val="0008392C"/>
    <w:rsid w:val="00083B5E"/>
    <w:rsid w:val="00083BA7"/>
    <w:rsid w:val="00083EC4"/>
    <w:rsid w:val="0008452E"/>
    <w:rsid w:val="0008499A"/>
    <w:rsid w:val="00084D35"/>
    <w:rsid w:val="000859BD"/>
    <w:rsid w:val="00086541"/>
    <w:rsid w:val="00086E98"/>
    <w:rsid w:val="00087A07"/>
    <w:rsid w:val="00090F56"/>
    <w:rsid w:val="0009147A"/>
    <w:rsid w:val="00091B40"/>
    <w:rsid w:val="000925D5"/>
    <w:rsid w:val="00093508"/>
    <w:rsid w:val="00093513"/>
    <w:rsid w:val="0009355F"/>
    <w:rsid w:val="00093618"/>
    <w:rsid w:val="00093B86"/>
    <w:rsid w:val="000942D5"/>
    <w:rsid w:val="00095907"/>
    <w:rsid w:val="00095923"/>
    <w:rsid w:val="00095C26"/>
    <w:rsid w:val="00095DAE"/>
    <w:rsid w:val="00096594"/>
    <w:rsid w:val="00097054"/>
    <w:rsid w:val="0009736A"/>
    <w:rsid w:val="000A0757"/>
    <w:rsid w:val="000A0B03"/>
    <w:rsid w:val="000A1740"/>
    <w:rsid w:val="000A187B"/>
    <w:rsid w:val="000A1EFC"/>
    <w:rsid w:val="000A25B0"/>
    <w:rsid w:val="000A25FD"/>
    <w:rsid w:val="000A2D69"/>
    <w:rsid w:val="000A319E"/>
    <w:rsid w:val="000A370F"/>
    <w:rsid w:val="000A3778"/>
    <w:rsid w:val="000A408F"/>
    <w:rsid w:val="000A56CF"/>
    <w:rsid w:val="000A5A3C"/>
    <w:rsid w:val="000A5CAA"/>
    <w:rsid w:val="000A6376"/>
    <w:rsid w:val="000A6E46"/>
    <w:rsid w:val="000A7485"/>
    <w:rsid w:val="000A761D"/>
    <w:rsid w:val="000A7738"/>
    <w:rsid w:val="000B06C4"/>
    <w:rsid w:val="000B1314"/>
    <w:rsid w:val="000B1C23"/>
    <w:rsid w:val="000B1CB9"/>
    <w:rsid w:val="000B26F4"/>
    <w:rsid w:val="000B2BD7"/>
    <w:rsid w:val="000B2C58"/>
    <w:rsid w:val="000B312D"/>
    <w:rsid w:val="000B37AB"/>
    <w:rsid w:val="000B50C8"/>
    <w:rsid w:val="000B525D"/>
    <w:rsid w:val="000B5310"/>
    <w:rsid w:val="000B53DF"/>
    <w:rsid w:val="000B6117"/>
    <w:rsid w:val="000B7048"/>
    <w:rsid w:val="000B754C"/>
    <w:rsid w:val="000B7753"/>
    <w:rsid w:val="000B78CA"/>
    <w:rsid w:val="000B7C8B"/>
    <w:rsid w:val="000B7F25"/>
    <w:rsid w:val="000C0BF3"/>
    <w:rsid w:val="000C16AE"/>
    <w:rsid w:val="000C1C8B"/>
    <w:rsid w:val="000C2116"/>
    <w:rsid w:val="000C2DB4"/>
    <w:rsid w:val="000C322F"/>
    <w:rsid w:val="000C4123"/>
    <w:rsid w:val="000C5592"/>
    <w:rsid w:val="000C59EA"/>
    <w:rsid w:val="000C5B75"/>
    <w:rsid w:val="000C5C5D"/>
    <w:rsid w:val="000C6374"/>
    <w:rsid w:val="000C6462"/>
    <w:rsid w:val="000C64D2"/>
    <w:rsid w:val="000C763C"/>
    <w:rsid w:val="000C78D7"/>
    <w:rsid w:val="000D0FD8"/>
    <w:rsid w:val="000D1893"/>
    <w:rsid w:val="000D1D8D"/>
    <w:rsid w:val="000D2291"/>
    <w:rsid w:val="000D23A2"/>
    <w:rsid w:val="000D2741"/>
    <w:rsid w:val="000D37FE"/>
    <w:rsid w:val="000D3870"/>
    <w:rsid w:val="000D4511"/>
    <w:rsid w:val="000D4D24"/>
    <w:rsid w:val="000D4F51"/>
    <w:rsid w:val="000D54D8"/>
    <w:rsid w:val="000D5559"/>
    <w:rsid w:val="000D5803"/>
    <w:rsid w:val="000D5922"/>
    <w:rsid w:val="000D61A7"/>
    <w:rsid w:val="000D66F9"/>
    <w:rsid w:val="000D69F1"/>
    <w:rsid w:val="000D715C"/>
    <w:rsid w:val="000E053E"/>
    <w:rsid w:val="000E0831"/>
    <w:rsid w:val="000E1556"/>
    <w:rsid w:val="000E17F0"/>
    <w:rsid w:val="000E1FB4"/>
    <w:rsid w:val="000E21D5"/>
    <w:rsid w:val="000E2C44"/>
    <w:rsid w:val="000E2E42"/>
    <w:rsid w:val="000E31BE"/>
    <w:rsid w:val="000E322D"/>
    <w:rsid w:val="000E33B8"/>
    <w:rsid w:val="000E3784"/>
    <w:rsid w:val="000E4B99"/>
    <w:rsid w:val="000E4E40"/>
    <w:rsid w:val="000E5979"/>
    <w:rsid w:val="000E5E2B"/>
    <w:rsid w:val="000E67E0"/>
    <w:rsid w:val="000E698D"/>
    <w:rsid w:val="000E6F29"/>
    <w:rsid w:val="000E7488"/>
    <w:rsid w:val="000E7557"/>
    <w:rsid w:val="000E7C9A"/>
    <w:rsid w:val="000F059A"/>
    <w:rsid w:val="000F1088"/>
    <w:rsid w:val="000F1144"/>
    <w:rsid w:val="000F1E5E"/>
    <w:rsid w:val="000F203A"/>
    <w:rsid w:val="000F209B"/>
    <w:rsid w:val="000F229E"/>
    <w:rsid w:val="000F27EB"/>
    <w:rsid w:val="000F2866"/>
    <w:rsid w:val="000F2B1E"/>
    <w:rsid w:val="000F2F99"/>
    <w:rsid w:val="000F314A"/>
    <w:rsid w:val="000F328C"/>
    <w:rsid w:val="000F3521"/>
    <w:rsid w:val="000F3E75"/>
    <w:rsid w:val="000F3FA9"/>
    <w:rsid w:val="000F4F50"/>
    <w:rsid w:val="000F56B5"/>
    <w:rsid w:val="000F5A91"/>
    <w:rsid w:val="000F6280"/>
    <w:rsid w:val="000F633F"/>
    <w:rsid w:val="000F6343"/>
    <w:rsid w:val="000F6531"/>
    <w:rsid w:val="000F65D0"/>
    <w:rsid w:val="000F68CE"/>
    <w:rsid w:val="000F6BE4"/>
    <w:rsid w:val="000F717A"/>
    <w:rsid w:val="000F78B1"/>
    <w:rsid w:val="000F7EE1"/>
    <w:rsid w:val="001004F7"/>
    <w:rsid w:val="0010068B"/>
    <w:rsid w:val="001006FF"/>
    <w:rsid w:val="0010077F"/>
    <w:rsid w:val="00100B64"/>
    <w:rsid w:val="001010B2"/>
    <w:rsid w:val="00101B45"/>
    <w:rsid w:val="00101C21"/>
    <w:rsid w:val="001023DD"/>
    <w:rsid w:val="0010282A"/>
    <w:rsid w:val="00102895"/>
    <w:rsid w:val="00102C9C"/>
    <w:rsid w:val="00103AA7"/>
    <w:rsid w:val="001050A9"/>
    <w:rsid w:val="00105171"/>
    <w:rsid w:val="00105A55"/>
    <w:rsid w:val="00105AFC"/>
    <w:rsid w:val="00106482"/>
    <w:rsid w:val="00106551"/>
    <w:rsid w:val="00106C0D"/>
    <w:rsid w:val="00107341"/>
    <w:rsid w:val="00107369"/>
    <w:rsid w:val="0010765E"/>
    <w:rsid w:val="00110E37"/>
    <w:rsid w:val="0011102A"/>
    <w:rsid w:val="001113AB"/>
    <w:rsid w:val="00112F34"/>
    <w:rsid w:val="001147F6"/>
    <w:rsid w:val="00114F99"/>
    <w:rsid w:val="00116545"/>
    <w:rsid w:val="0011659D"/>
    <w:rsid w:val="00120011"/>
    <w:rsid w:val="00120247"/>
    <w:rsid w:val="001202B8"/>
    <w:rsid w:val="001207E3"/>
    <w:rsid w:val="00120D40"/>
    <w:rsid w:val="00120EB6"/>
    <w:rsid w:val="00122774"/>
    <w:rsid w:val="00122C49"/>
    <w:rsid w:val="0012350D"/>
    <w:rsid w:val="00123AE4"/>
    <w:rsid w:val="00123E0A"/>
    <w:rsid w:val="00124C01"/>
    <w:rsid w:val="0012577D"/>
    <w:rsid w:val="00126131"/>
    <w:rsid w:val="00126C30"/>
    <w:rsid w:val="001277AE"/>
    <w:rsid w:val="00127938"/>
    <w:rsid w:val="00127C83"/>
    <w:rsid w:val="00127FC0"/>
    <w:rsid w:val="00127FFD"/>
    <w:rsid w:val="00130366"/>
    <w:rsid w:val="00130808"/>
    <w:rsid w:val="00130C40"/>
    <w:rsid w:val="00131544"/>
    <w:rsid w:val="001326F2"/>
    <w:rsid w:val="00132B6E"/>
    <w:rsid w:val="00132FC1"/>
    <w:rsid w:val="0013317A"/>
    <w:rsid w:val="0013361A"/>
    <w:rsid w:val="001336D0"/>
    <w:rsid w:val="001337C4"/>
    <w:rsid w:val="001345D4"/>
    <w:rsid w:val="00134E5E"/>
    <w:rsid w:val="00134FD1"/>
    <w:rsid w:val="001352F4"/>
    <w:rsid w:val="001354AA"/>
    <w:rsid w:val="001358FF"/>
    <w:rsid w:val="00135A54"/>
    <w:rsid w:val="001361BB"/>
    <w:rsid w:val="001375E5"/>
    <w:rsid w:val="00137844"/>
    <w:rsid w:val="001379E1"/>
    <w:rsid w:val="00140729"/>
    <w:rsid w:val="00140B3A"/>
    <w:rsid w:val="00140DB3"/>
    <w:rsid w:val="0014168A"/>
    <w:rsid w:val="001416ED"/>
    <w:rsid w:val="00141FDB"/>
    <w:rsid w:val="00142633"/>
    <w:rsid w:val="001429BF"/>
    <w:rsid w:val="00143300"/>
    <w:rsid w:val="00144568"/>
    <w:rsid w:val="00144717"/>
    <w:rsid w:val="00144876"/>
    <w:rsid w:val="00144FA8"/>
    <w:rsid w:val="0014511E"/>
    <w:rsid w:val="0014537D"/>
    <w:rsid w:val="001456A4"/>
    <w:rsid w:val="001458EF"/>
    <w:rsid w:val="001466C8"/>
    <w:rsid w:val="001467C4"/>
    <w:rsid w:val="0014683D"/>
    <w:rsid w:val="00150400"/>
    <w:rsid w:val="001507B6"/>
    <w:rsid w:val="001511E9"/>
    <w:rsid w:val="00151AC3"/>
    <w:rsid w:val="00152769"/>
    <w:rsid w:val="001530D2"/>
    <w:rsid w:val="0015370D"/>
    <w:rsid w:val="00153D2B"/>
    <w:rsid w:val="00154B58"/>
    <w:rsid w:val="001550FF"/>
    <w:rsid w:val="001554F0"/>
    <w:rsid w:val="00156327"/>
    <w:rsid w:val="001567A9"/>
    <w:rsid w:val="00156987"/>
    <w:rsid w:val="00160504"/>
    <w:rsid w:val="00161073"/>
    <w:rsid w:val="00161B9A"/>
    <w:rsid w:val="00161EFE"/>
    <w:rsid w:val="00162538"/>
    <w:rsid w:val="00162DE5"/>
    <w:rsid w:val="00163191"/>
    <w:rsid w:val="00163250"/>
    <w:rsid w:val="00163314"/>
    <w:rsid w:val="00163437"/>
    <w:rsid w:val="0016367A"/>
    <w:rsid w:val="001637D4"/>
    <w:rsid w:val="00163A5C"/>
    <w:rsid w:val="00163BBA"/>
    <w:rsid w:val="00164820"/>
    <w:rsid w:val="00164E66"/>
    <w:rsid w:val="00165568"/>
    <w:rsid w:val="00166207"/>
    <w:rsid w:val="001666B2"/>
    <w:rsid w:val="00166A0E"/>
    <w:rsid w:val="00166C07"/>
    <w:rsid w:val="001700A3"/>
    <w:rsid w:val="001707CD"/>
    <w:rsid w:val="00170AA4"/>
    <w:rsid w:val="00170F4A"/>
    <w:rsid w:val="00172000"/>
    <w:rsid w:val="00172153"/>
    <w:rsid w:val="0017268E"/>
    <w:rsid w:val="00172AA5"/>
    <w:rsid w:val="00172DF6"/>
    <w:rsid w:val="00173324"/>
    <w:rsid w:val="00173429"/>
    <w:rsid w:val="00173EF7"/>
    <w:rsid w:val="00174DF5"/>
    <w:rsid w:val="001753A7"/>
    <w:rsid w:val="00175454"/>
    <w:rsid w:val="00175529"/>
    <w:rsid w:val="001756B2"/>
    <w:rsid w:val="001762BA"/>
    <w:rsid w:val="00176306"/>
    <w:rsid w:val="00176D0A"/>
    <w:rsid w:val="00176D0B"/>
    <w:rsid w:val="001771F0"/>
    <w:rsid w:val="001773D0"/>
    <w:rsid w:val="00177D06"/>
    <w:rsid w:val="00177D39"/>
    <w:rsid w:val="0018049A"/>
    <w:rsid w:val="0018104F"/>
    <w:rsid w:val="00181128"/>
    <w:rsid w:val="00181327"/>
    <w:rsid w:val="00181A30"/>
    <w:rsid w:val="0018301B"/>
    <w:rsid w:val="001832D0"/>
    <w:rsid w:val="00183B4E"/>
    <w:rsid w:val="00183E9C"/>
    <w:rsid w:val="001843A4"/>
    <w:rsid w:val="00184744"/>
    <w:rsid w:val="00184EA4"/>
    <w:rsid w:val="001854B3"/>
    <w:rsid w:val="0018622D"/>
    <w:rsid w:val="0018629C"/>
    <w:rsid w:val="00186453"/>
    <w:rsid w:val="00186C15"/>
    <w:rsid w:val="00187023"/>
    <w:rsid w:val="001874F9"/>
    <w:rsid w:val="00187832"/>
    <w:rsid w:val="00187906"/>
    <w:rsid w:val="00187DFA"/>
    <w:rsid w:val="00190267"/>
    <w:rsid w:val="001905E0"/>
    <w:rsid w:val="00190721"/>
    <w:rsid w:val="001910A9"/>
    <w:rsid w:val="00191159"/>
    <w:rsid w:val="001913C9"/>
    <w:rsid w:val="00191DE6"/>
    <w:rsid w:val="00191FB7"/>
    <w:rsid w:val="001923C0"/>
    <w:rsid w:val="00192F17"/>
    <w:rsid w:val="00192F61"/>
    <w:rsid w:val="0019327D"/>
    <w:rsid w:val="00193963"/>
    <w:rsid w:val="001941EE"/>
    <w:rsid w:val="001943F4"/>
    <w:rsid w:val="0019455E"/>
    <w:rsid w:val="00194E75"/>
    <w:rsid w:val="00195425"/>
    <w:rsid w:val="00195C09"/>
    <w:rsid w:val="00195DEF"/>
    <w:rsid w:val="001960AD"/>
    <w:rsid w:val="001963C8"/>
    <w:rsid w:val="00197092"/>
    <w:rsid w:val="001970CF"/>
    <w:rsid w:val="00197AE4"/>
    <w:rsid w:val="001A04BC"/>
    <w:rsid w:val="001A0666"/>
    <w:rsid w:val="001A0700"/>
    <w:rsid w:val="001A0F0E"/>
    <w:rsid w:val="001A14A6"/>
    <w:rsid w:val="001A1592"/>
    <w:rsid w:val="001A1E57"/>
    <w:rsid w:val="001A1FFA"/>
    <w:rsid w:val="001A2360"/>
    <w:rsid w:val="001A3189"/>
    <w:rsid w:val="001A36F6"/>
    <w:rsid w:val="001A3BA9"/>
    <w:rsid w:val="001A3D5D"/>
    <w:rsid w:val="001A3EE3"/>
    <w:rsid w:val="001A4079"/>
    <w:rsid w:val="001A409C"/>
    <w:rsid w:val="001A43C4"/>
    <w:rsid w:val="001A52B5"/>
    <w:rsid w:val="001A547F"/>
    <w:rsid w:val="001A58A3"/>
    <w:rsid w:val="001A63CB"/>
    <w:rsid w:val="001A647B"/>
    <w:rsid w:val="001A67D5"/>
    <w:rsid w:val="001A7092"/>
    <w:rsid w:val="001A7E41"/>
    <w:rsid w:val="001A7FED"/>
    <w:rsid w:val="001B0933"/>
    <w:rsid w:val="001B0A21"/>
    <w:rsid w:val="001B0C5D"/>
    <w:rsid w:val="001B0C6A"/>
    <w:rsid w:val="001B0CC5"/>
    <w:rsid w:val="001B15DB"/>
    <w:rsid w:val="001B1942"/>
    <w:rsid w:val="001B1CBE"/>
    <w:rsid w:val="001B22AA"/>
    <w:rsid w:val="001B2799"/>
    <w:rsid w:val="001B2A89"/>
    <w:rsid w:val="001B3795"/>
    <w:rsid w:val="001B3B80"/>
    <w:rsid w:val="001B3B88"/>
    <w:rsid w:val="001B488D"/>
    <w:rsid w:val="001B49A6"/>
    <w:rsid w:val="001B4BE3"/>
    <w:rsid w:val="001B59D5"/>
    <w:rsid w:val="001B5AA9"/>
    <w:rsid w:val="001B5B7F"/>
    <w:rsid w:val="001B5E69"/>
    <w:rsid w:val="001B60B8"/>
    <w:rsid w:val="001B6177"/>
    <w:rsid w:val="001B68F3"/>
    <w:rsid w:val="001B6F84"/>
    <w:rsid w:val="001B7674"/>
    <w:rsid w:val="001B7840"/>
    <w:rsid w:val="001B797A"/>
    <w:rsid w:val="001B7A50"/>
    <w:rsid w:val="001C028E"/>
    <w:rsid w:val="001C077B"/>
    <w:rsid w:val="001C07F3"/>
    <w:rsid w:val="001C0B51"/>
    <w:rsid w:val="001C1045"/>
    <w:rsid w:val="001C1320"/>
    <w:rsid w:val="001C16D1"/>
    <w:rsid w:val="001C18A9"/>
    <w:rsid w:val="001C20F2"/>
    <w:rsid w:val="001C251B"/>
    <w:rsid w:val="001C2847"/>
    <w:rsid w:val="001C2A0E"/>
    <w:rsid w:val="001C3F13"/>
    <w:rsid w:val="001C3FFF"/>
    <w:rsid w:val="001C4C18"/>
    <w:rsid w:val="001C50F9"/>
    <w:rsid w:val="001C52E7"/>
    <w:rsid w:val="001C552B"/>
    <w:rsid w:val="001C632F"/>
    <w:rsid w:val="001C645C"/>
    <w:rsid w:val="001C6D2E"/>
    <w:rsid w:val="001C70D3"/>
    <w:rsid w:val="001C73C5"/>
    <w:rsid w:val="001C75F5"/>
    <w:rsid w:val="001C7B92"/>
    <w:rsid w:val="001C7D41"/>
    <w:rsid w:val="001D01EB"/>
    <w:rsid w:val="001D0302"/>
    <w:rsid w:val="001D036D"/>
    <w:rsid w:val="001D0699"/>
    <w:rsid w:val="001D0B06"/>
    <w:rsid w:val="001D0E34"/>
    <w:rsid w:val="001D1351"/>
    <w:rsid w:val="001D1BB1"/>
    <w:rsid w:val="001D1EE0"/>
    <w:rsid w:val="001D23E3"/>
    <w:rsid w:val="001D2CDB"/>
    <w:rsid w:val="001D40BC"/>
    <w:rsid w:val="001D44A4"/>
    <w:rsid w:val="001D4940"/>
    <w:rsid w:val="001D4FC4"/>
    <w:rsid w:val="001D5114"/>
    <w:rsid w:val="001D5DF0"/>
    <w:rsid w:val="001D60DA"/>
    <w:rsid w:val="001D6E1D"/>
    <w:rsid w:val="001D703E"/>
    <w:rsid w:val="001D72AE"/>
    <w:rsid w:val="001D76BB"/>
    <w:rsid w:val="001D78D3"/>
    <w:rsid w:val="001D7DBE"/>
    <w:rsid w:val="001E00AB"/>
    <w:rsid w:val="001E019A"/>
    <w:rsid w:val="001E09EC"/>
    <w:rsid w:val="001E157C"/>
    <w:rsid w:val="001E1702"/>
    <w:rsid w:val="001E1E95"/>
    <w:rsid w:val="001E1F9A"/>
    <w:rsid w:val="001E2191"/>
    <w:rsid w:val="001E24AE"/>
    <w:rsid w:val="001E2571"/>
    <w:rsid w:val="001E281E"/>
    <w:rsid w:val="001E2942"/>
    <w:rsid w:val="001E3238"/>
    <w:rsid w:val="001E3288"/>
    <w:rsid w:val="001E357E"/>
    <w:rsid w:val="001E38C7"/>
    <w:rsid w:val="001E4015"/>
    <w:rsid w:val="001E5063"/>
    <w:rsid w:val="001E5097"/>
    <w:rsid w:val="001E5930"/>
    <w:rsid w:val="001E5B1B"/>
    <w:rsid w:val="001E5C98"/>
    <w:rsid w:val="001E6128"/>
    <w:rsid w:val="001E62D2"/>
    <w:rsid w:val="001E62E0"/>
    <w:rsid w:val="001E637B"/>
    <w:rsid w:val="001E65AA"/>
    <w:rsid w:val="001E71D5"/>
    <w:rsid w:val="001E7240"/>
    <w:rsid w:val="001E7B44"/>
    <w:rsid w:val="001E7D6D"/>
    <w:rsid w:val="001E7EE2"/>
    <w:rsid w:val="001F0C05"/>
    <w:rsid w:val="001F0CA6"/>
    <w:rsid w:val="001F0D04"/>
    <w:rsid w:val="001F0D09"/>
    <w:rsid w:val="001F1B07"/>
    <w:rsid w:val="001F1EAF"/>
    <w:rsid w:val="001F2162"/>
    <w:rsid w:val="001F240B"/>
    <w:rsid w:val="001F2627"/>
    <w:rsid w:val="001F29C9"/>
    <w:rsid w:val="001F2CD3"/>
    <w:rsid w:val="001F2E4D"/>
    <w:rsid w:val="001F33FF"/>
    <w:rsid w:val="001F383B"/>
    <w:rsid w:val="001F3A3B"/>
    <w:rsid w:val="001F3CBA"/>
    <w:rsid w:val="001F43B3"/>
    <w:rsid w:val="001F450E"/>
    <w:rsid w:val="001F4587"/>
    <w:rsid w:val="001F49C6"/>
    <w:rsid w:val="001F5E89"/>
    <w:rsid w:val="001F759F"/>
    <w:rsid w:val="001F7ABE"/>
    <w:rsid w:val="001F7CFF"/>
    <w:rsid w:val="00201644"/>
    <w:rsid w:val="00201E69"/>
    <w:rsid w:val="0020294C"/>
    <w:rsid w:val="00203101"/>
    <w:rsid w:val="002038B8"/>
    <w:rsid w:val="00203C92"/>
    <w:rsid w:val="00203DD2"/>
    <w:rsid w:val="00204287"/>
    <w:rsid w:val="00205341"/>
    <w:rsid w:val="0020586F"/>
    <w:rsid w:val="00205F73"/>
    <w:rsid w:val="00205FE0"/>
    <w:rsid w:val="002069A8"/>
    <w:rsid w:val="00206A4F"/>
    <w:rsid w:val="00210077"/>
    <w:rsid w:val="002105E6"/>
    <w:rsid w:val="002106A5"/>
    <w:rsid w:val="00210CBE"/>
    <w:rsid w:val="00210E0E"/>
    <w:rsid w:val="002113BF"/>
    <w:rsid w:val="002120E5"/>
    <w:rsid w:val="002122B5"/>
    <w:rsid w:val="00212546"/>
    <w:rsid w:val="00212803"/>
    <w:rsid w:val="0021292B"/>
    <w:rsid w:val="00212B6C"/>
    <w:rsid w:val="00212DEC"/>
    <w:rsid w:val="002132DB"/>
    <w:rsid w:val="00214964"/>
    <w:rsid w:val="00215098"/>
    <w:rsid w:val="00215242"/>
    <w:rsid w:val="00215333"/>
    <w:rsid w:val="002157BD"/>
    <w:rsid w:val="00215BBA"/>
    <w:rsid w:val="002161A6"/>
    <w:rsid w:val="00216C6C"/>
    <w:rsid w:val="00216E00"/>
    <w:rsid w:val="00217147"/>
    <w:rsid w:val="00217BC3"/>
    <w:rsid w:val="002200B2"/>
    <w:rsid w:val="002214BD"/>
    <w:rsid w:val="00221963"/>
    <w:rsid w:val="002224FE"/>
    <w:rsid w:val="002227CF"/>
    <w:rsid w:val="0022304F"/>
    <w:rsid w:val="002231B4"/>
    <w:rsid w:val="002232BE"/>
    <w:rsid w:val="00223A1A"/>
    <w:rsid w:val="00224A37"/>
    <w:rsid w:val="00224FD0"/>
    <w:rsid w:val="00225330"/>
    <w:rsid w:val="0022560F"/>
    <w:rsid w:val="00226043"/>
    <w:rsid w:val="00226946"/>
    <w:rsid w:val="00227A77"/>
    <w:rsid w:val="00227E81"/>
    <w:rsid w:val="00230899"/>
    <w:rsid w:val="00230C52"/>
    <w:rsid w:val="00230CD4"/>
    <w:rsid w:val="002314D9"/>
    <w:rsid w:val="00231FE9"/>
    <w:rsid w:val="00232021"/>
    <w:rsid w:val="0023258D"/>
    <w:rsid w:val="00233372"/>
    <w:rsid w:val="00233B58"/>
    <w:rsid w:val="0023419C"/>
    <w:rsid w:val="00234643"/>
    <w:rsid w:val="00234751"/>
    <w:rsid w:val="00234950"/>
    <w:rsid w:val="002349B8"/>
    <w:rsid w:val="002354A6"/>
    <w:rsid w:val="00235756"/>
    <w:rsid w:val="00235D96"/>
    <w:rsid w:val="00235F10"/>
    <w:rsid w:val="00236A3C"/>
    <w:rsid w:val="00237C29"/>
    <w:rsid w:val="0024035C"/>
    <w:rsid w:val="00240970"/>
    <w:rsid w:val="00240E92"/>
    <w:rsid w:val="00241054"/>
    <w:rsid w:val="002412B9"/>
    <w:rsid w:val="00241CB5"/>
    <w:rsid w:val="00242737"/>
    <w:rsid w:val="00242C92"/>
    <w:rsid w:val="00242FE8"/>
    <w:rsid w:val="002438A3"/>
    <w:rsid w:val="00243A2E"/>
    <w:rsid w:val="00243A7D"/>
    <w:rsid w:val="00243C3F"/>
    <w:rsid w:val="00243D68"/>
    <w:rsid w:val="002440FA"/>
    <w:rsid w:val="002443BC"/>
    <w:rsid w:val="00244505"/>
    <w:rsid w:val="00244B6E"/>
    <w:rsid w:val="00244B76"/>
    <w:rsid w:val="00244CC2"/>
    <w:rsid w:val="0024520B"/>
    <w:rsid w:val="0024564B"/>
    <w:rsid w:val="0024564C"/>
    <w:rsid w:val="00245F33"/>
    <w:rsid w:val="00246A2D"/>
    <w:rsid w:val="00246E43"/>
    <w:rsid w:val="00247474"/>
    <w:rsid w:val="00247BC2"/>
    <w:rsid w:val="00250A42"/>
    <w:rsid w:val="00250FF6"/>
    <w:rsid w:val="002511E8"/>
    <w:rsid w:val="002517AC"/>
    <w:rsid w:val="00251CBE"/>
    <w:rsid w:val="00252B78"/>
    <w:rsid w:val="00252DC2"/>
    <w:rsid w:val="00253B3A"/>
    <w:rsid w:val="00253F35"/>
    <w:rsid w:val="002566CF"/>
    <w:rsid w:val="00256CA8"/>
    <w:rsid w:val="00256D8D"/>
    <w:rsid w:val="002608D0"/>
    <w:rsid w:val="00261167"/>
    <w:rsid w:val="00261423"/>
    <w:rsid w:val="00261685"/>
    <w:rsid w:val="00261AB2"/>
    <w:rsid w:val="00261F74"/>
    <w:rsid w:val="0026348A"/>
    <w:rsid w:val="00263946"/>
    <w:rsid w:val="00264171"/>
    <w:rsid w:val="002648F0"/>
    <w:rsid w:val="00264D0E"/>
    <w:rsid w:val="002655FF"/>
    <w:rsid w:val="00266C20"/>
    <w:rsid w:val="00266DB7"/>
    <w:rsid w:val="002679DA"/>
    <w:rsid w:val="00267AC5"/>
    <w:rsid w:val="00267DBD"/>
    <w:rsid w:val="00267EE4"/>
    <w:rsid w:val="002704BC"/>
    <w:rsid w:val="002704CC"/>
    <w:rsid w:val="002709A5"/>
    <w:rsid w:val="00272237"/>
    <w:rsid w:val="00272678"/>
    <w:rsid w:val="00272E01"/>
    <w:rsid w:val="0027339F"/>
    <w:rsid w:val="00273AAB"/>
    <w:rsid w:val="00274950"/>
    <w:rsid w:val="00274A8E"/>
    <w:rsid w:val="002754C1"/>
    <w:rsid w:val="002756A6"/>
    <w:rsid w:val="00275EFF"/>
    <w:rsid w:val="002774DC"/>
    <w:rsid w:val="002777A3"/>
    <w:rsid w:val="002800EA"/>
    <w:rsid w:val="002800FB"/>
    <w:rsid w:val="00280602"/>
    <w:rsid w:val="00280626"/>
    <w:rsid w:val="002808B6"/>
    <w:rsid w:val="00280EDA"/>
    <w:rsid w:val="002813C6"/>
    <w:rsid w:val="00281561"/>
    <w:rsid w:val="0028193D"/>
    <w:rsid w:val="00283066"/>
    <w:rsid w:val="0028397F"/>
    <w:rsid w:val="00285DDB"/>
    <w:rsid w:val="002860BB"/>
    <w:rsid w:val="00286430"/>
    <w:rsid w:val="00286C58"/>
    <w:rsid w:val="00287025"/>
    <w:rsid w:val="0028769B"/>
    <w:rsid w:val="002877CF"/>
    <w:rsid w:val="00287C03"/>
    <w:rsid w:val="00287DA3"/>
    <w:rsid w:val="002903E7"/>
    <w:rsid w:val="002906CE"/>
    <w:rsid w:val="00290F5E"/>
    <w:rsid w:val="00291493"/>
    <w:rsid w:val="00291A70"/>
    <w:rsid w:val="002920BD"/>
    <w:rsid w:val="002921EE"/>
    <w:rsid w:val="002925F0"/>
    <w:rsid w:val="00292A07"/>
    <w:rsid w:val="00292A78"/>
    <w:rsid w:val="00293602"/>
    <w:rsid w:val="00294469"/>
    <w:rsid w:val="00294E53"/>
    <w:rsid w:val="00294FD0"/>
    <w:rsid w:val="00295128"/>
    <w:rsid w:val="00295494"/>
    <w:rsid w:val="00295D81"/>
    <w:rsid w:val="00296972"/>
    <w:rsid w:val="00296B07"/>
    <w:rsid w:val="002A0478"/>
    <w:rsid w:val="002A2298"/>
    <w:rsid w:val="002A28C7"/>
    <w:rsid w:val="002A33D6"/>
    <w:rsid w:val="002A3971"/>
    <w:rsid w:val="002A3ABA"/>
    <w:rsid w:val="002A406F"/>
    <w:rsid w:val="002A506D"/>
    <w:rsid w:val="002A5358"/>
    <w:rsid w:val="002A5893"/>
    <w:rsid w:val="002A5D02"/>
    <w:rsid w:val="002A641D"/>
    <w:rsid w:val="002A75B0"/>
    <w:rsid w:val="002A7785"/>
    <w:rsid w:val="002B115C"/>
    <w:rsid w:val="002B2412"/>
    <w:rsid w:val="002B299C"/>
    <w:rsid w:val="002B2BA9"/>
    <w:rsid w:val="002B345F"/>
    <w:rsid w:val="002B3568"/>
    <w:rsid w:val="002B4C8B"/>
    <w:rsid w:val="002B4D4E"/>
    <w:rsid w:val="002B5251"/>
    <w:rsid w:val="002B53D1"/>
    <w:rsid w:val="002B5524"/>
    <w:rsid w:val="002B55F6"/>
    <w:rsid w:val="002B6313"/>
    <w:rsid w:val="002B67A6"/>
    <w:rsid w:val="002B7444"/>
    <w:rsid w:val="002B791D"/>
    <w:rsid w:val="002C1007"/>
    <w:rsid w:val="002C1963"/>
    <w:rsid w:val="002C20B7"/>
    <w:rsid w:val="002C2273"/>
    <w:rsid w:val="002C29D7"/>
    <w:rsid w:val="002C2FE4"/>
    <w:rsid w:val="002C340B"/>
    <w:rsid w:val="002C3F33"/>
    <w:rsid w:val="002C41A0"/>
    <w:rsid w:val="002C4415"/>
    <w:rsid w:val="002C4A1C"/>
    <w:rsid w:val="002C4C6C"/>
    <w:rsid w:val="002C51CC"/>
    <w:rsid w:val="002C60D3"/>
    <w:rsid w:val="002C67DE"/>
    <w:rsid w:val="002C6A65"/>
    <w:rsid w:val="002C6ACA"/>
    <w:rsid w:val="002C752D"/>
    <w:rsid w:val="002C753B"/>
    <w:rsid w:val="002C7697"/>
    <w:rsid w:val="002D0138"/>
    <w:rsid w:val="002D065E"/>
    <w:rsid w:val="002D0764"/>
    <w:rsid w:val="002D094F"/>
    <w:rsid w:val="002D1068"/>
    <w:rsid w:val="002D108C"/>
    <w:rsid w:val="002D1659"/>
    <w:rsid w:val="002D223B"/>
    <w:rsid w:val="002D2365"/>
    <w:rsid w:val="002D2E10"/>
    <w:rsid w:val="002D357F"/>
    <w:rsid w:val="002D3D41"/>
    <w:rsid w:val="002D3ED1"/>
    <w:rsid w:val="002D4040"/>
    <w:rsid w:val="002D4137"/>
    <w:rsid w:val="002D5094"/>
    <w:rsid w:val="002D51FA"/>
    <w:rsid w:val="002D5748"/>
    <w:rsid w:val="002D6229"/>
    <w:rsid w:val="002D65EC"/>
    <w:rsid w:val="002D683A"/>
    <w:rsid w:val="002D7053"/>
    <w:rsid w:val="002D70BB"/>
    <w:rsid w:val="002D7395"/>
    <w:rsid w:val="002D78E0"/>
    <w:rsid w:val="002D7C53"/>
    <w:rsid w:val="002D7E86"/>
    <w:rsid w:val="002E037C"/>
    <w:rsid w:val="002E0E3D"/>
    <w:rsid w:val="002E0F91"/>
    <w:rsid w:val="002E13A0"/>
    <w:rsid w:val="002E23F5"/>
    <w:rsid w:val="002E24AF"/>
    <w:rsid w:val="002E2601"/>
    <w:rsid w:val="002E3448"/>
    <w:rsid w:val="002E36EC"/>
    <w:rsid w:val="002E3FEC"/>
    <w:rsid w:val="002E51E5"/>
    <w:rsid w:val="002E5266"/>
    <w:rsid w:val="002E5E0A"/>
    <w:rsid w:val="002E613C"/>
    <w:rsid w:val="002E645D"/>
    <w:rsid w:val="002E69D7"/>
    <w:rsid w:val="002E6FA1"/>
    <w:rsid w:val="002E702A"/>
    <w:rsid w:val="002E70F2"/>
    <w:rsid w:val="002E716D"/>
    <w:rsid w:val="002E7427"/>
    <w:rsid w:val="002E7F54"/>
    <w:rsid w:val="002F04B7"/>
    <w:rsid w:val="002F170F"/>
    <w:rsid w:val="002F24F2"/>
    <w:rsid w:val="002F39E4"/>
    <w:rsid w:val="002F3B72"/>
    <w:rsid w:val="002F3F21"/>
    <w:rsid w:val="002F5450"/>
    <w:rsid w:val="002F5612"/>
    <w:rsid w:val="002F5756"/>
    <w:rsid w:val="002F57B4"/>
    <w:rsid w:val="002F5B0E"/>
    <w:rsid w:val="002F61D4"/>
    <w:rsid w:val="002F6EB2"/>
    <w:rsid w:val="002F6F08"/>
    <w:rsid w:val="002F6F9D"/>
    <w:rsid w:val="002F71FF"/>
    <w:rsid w:val="002F7FC2"/>
    <w:rsid w:val="003000BD"/>
    <w:rsid w:val="003004E9"/>
    <w:rsid w:val="00301638"/>
    <w:rsid w:val="0030249B"/>
    <w:rsid w:val="003057E0"/>
    <w:rsid w:val="00305DFA"/>
    <w:rsid w:val="00306720"/>
    <w:rsid w:val="00306E38"/>
    <w:rsid w:val="0030704D"/>
    <w:rsid w:val="0030734B"/>
    <w:rsid w:val="003102B4"/>
    <w:rsid w:val="0031085E"/>
    <w:rsid w:val="00310A13"/>
    <w:rsid w:val="003114E6"/>
    <w:rsid w:val="00311906"/>
    <w:rsid w:val="00311C24"/>
    <w:rsid w:val="003126E0"/>
    <w:rsid w:val="00312A4A"/>
    <w:rsid w:val="0031301D"/>
    <w:rsid w:val="003132F7"/>
    <w:rsid w:val="003133D7"/>
    <w:rsid w:val="003135DE"/>
    <w:rsid w:val="0031377A"/>
    <w:rsid w:val="003140D4"/>
    <w:rsid w:val="00314273"/>
    <w:rsid w:val="003153E2"/>
    <w:rsid w:val="00315595"/>
    <w:rsid w:val="00315B36"/>
    <w:rsid w:val="00316CB6"/>
    <w:rsid w:val="0031766D"/>
    <w:rsid w:val="00320406"/>
    <w:rsid w:val="00320E5E"/>
    <w:rsid w:val="0032113F"/>
    <w:rsid w:val="00321560"/>
    <w:rsid w:val="00322376"/>
    <w:rsid w:val="00322578"/>
    <w:rsid w:val="0032298D"/>
    <w:rsid w:val="00322C34"/>
    <w:rsid w:val="00322C60"/>
    <w:rsid w:val="00322D40"/>
    <w:rsid w:val="00322F2E"/>
    <w:rsid w:val="0032326C"/>
    <w:rsid w:val="00323F22"/>
    <w:rsid w:val="003241D5"/>
    <w:rsid w:val="00324BA7"/>
    <w:rsid w:val="0032542A"/>
    <w:rsid w:val="003261D1"/>
    <w:rsid w:val="003262F0"/>
    <w:rsid w:val="003266C4"/>
    <w:rsid w:val="00326915"/>
    <w:rsid w:val="00326FAA"/>
    <w:rsid w:val="003271CD"/>
    <w:rsid w:val="003278FF"/>
    <w:rsid w:val="003302ED"/>
    <w:rsid w:val="003305B9"/>
    <w:rsid w:val="003306D6"/>
    <w:rsid w:val="00330E9F"/>
    <w:rsid w:val="00331237"/>
    <w:rsid w:val="003313E8"/>
    <w:rsid w:val="00332661"/>
    <w:rsid w:val="00333951"/>
    <w:rsid w:val="00333CFE"/>
    <w:rsid w:val="00333F7A"/>
    <w:rsid w:val="00334B3C"/>
    <w:rsid w:val="0033541B"/>
    <w:rsid w:val="00335907"/>
    <w:rsid w:val="00335DEC"/>
    <w:rsid w:val="003372A1"/>
    <w:rsid w:val="003379B5"/>
    <w:rsid w:val="00337C36"/>
    <w:rsid w:val="00337CE2"/>
    <w:rsid w:val="00337D89"/>
    <w:rsid w:val="00340243"/>
    <w:rsid w:val="00340E53"/>
    <w:rsid w:val="003410E3"/>
    <w:rsid w:val="00341EF1"/>
    <w:rsid w:val="00341F88"/>
    <w:rsid w:val="00341FE9"/>
    <w:rsid w:val="003422C4"/>
    <w:rsid w:val="00342C4F"/>
    <w:rsid w:val="00342F07"/>
    <w:rsid w:val="003431C5"/>
    <w:rsid w:val="00343250"/>
    <w:rsid w:val="003444AA"/>
    <w:rsid w:val="00344D25"/>
    <w:rsid w:val="00345F1B"/>
    <w:rsid w:val="00346FCF"/>
    <w:rsid w:val="003473A4"/>
    <w:rsid w:val="00347CC7"/>
    <w:rsid w:val="00347D2E"/>
    <w:rsid w:val="00347E07"/>
    <w:rsid w:val="00347E43"/>
    <w:rsid w:val="00350297"/>
    <w:rsid w:val="003506E1"/>
    <w:rsid w:val="00352009"/>
    <w:rsid w:val="00352500"/>
    <w:rsid w:val="00352CEF"/>
    <w:rsid w:val="00353262"/>
    <w:rsid w:val="003533A7"/>
    <w:rsid w:val="00353948"/>
    <w:rsid w:val="00353A3D"/>
    <w:rsid w:val="00353C1C"/>
    <w:rsid w:val="00353D39"/>
    <w:rsid w:val="0035418B"/>
    <w:rsid w:val="0035430A"/>
    <w:rsid w:val="00354564"/>
    <w:rsid w:val="00354665"/>
    <w:rsid w:val="00354EDA"/>
    <w:rsid w:val="0035557E"/>
    <w:rsid w:val="00355BE7"/>
    <w:rsid w:val="003561F2"/>
    <w:rsid w:val="0035671E"/>
    <w:rsid w:val="003569CE"/>
    <w:rsid w:val="00356A18"/>
    <w:rsid w:val="003572E6"/>
    <w:rsid w:val="00357668"/>
    <w:rsid w:val="003577B5"/>
    <w:rsid w:val="00357F2D"/>
    <w:rsid w:val="00360116"/>
    <w:rsid w:val="003616D5"/>
    <w:rsid w:val="00361BA1"/>
    <w:rsid w:val="00361F7E"/>
    <w:rsid w:val="00362483"/>
    <w:rsid w:val="00362AE7"/>
    <w:rsid w:val="00362B16"/>
    <w:rsid w:val="003632A5"/>
    <w:rsid w:val="0036333C"/>
    <w:rsid w:val="00363FA2"/>
    <w:rsid w:val="003640A8"/>
    <w:rsid w:val="003640BA"/>
    <w:rsid w:val="00364B2B"/>
    <w:rsid w:val="00365140"/>
    <w:rsid w:val="003654A8"/>
    <w:rsid w:val="00365E4C"/>
    <w:rsid w:val="00366055"/>
    <w:rsid w:val="003666FF"/>
    <w:rsid w:val="00366BC7"/>
    <w:rsid w:val="00367B2D"/>
    <w:rsid w:val="00370675"/>
    <w:rsid w:val="003706EB"/>
    <w:rsid w:val="00370DD2"/>
    <w:rsid w:val="003712C2"/>
    <w:rsid w:val="00371343"/>
    <w:rsid w:val="0037154F"/>
    <w:rsid w:val="003720AB"/>
    <w:rsid w:val="00372400"/>
    <w:rsid w:val="00372B02"/>
    <w:rsid w:val="003737CD"/>
    <w:rsid w:val="0037381B"/>
    <w:rsid w:val="00373E61"/>
    <w:rsid w:val="00374269"/>
    <w:rsid w:val="00374714"/>
    <w:rsid w:val="003748D2"/>
    <w:rsid w:val="00375A48"/>
    <w:rsid w:val="00375A5B"/>
    <w:rsid w:val="00375ABC"/>
    <w:rsid w:val="00375EC5"/>
    <w:rsid w:val="00377A88"/>
    <w:rsid w:val="00377B8A"/>
    <w:rsid w:val="00377EA2"/>
    <w:rsid w:val="00377FF1"/>
    <w:rsid w:val="00380641"/>
    <w:rsid w:val="00380CCA"/>
    <w:rsid w:val="003815F5"/>
    <w:rsid w:val="00381642"/>
    <w:rsid w:val="00381844"/>
    <w:rsid w:val="003819FD"/>
    <w:rsid w:val="00381A2D"/>
    <w:rsid w:val="00382224"/>
    <w:rsid w:val="00382647"/>
    <w:rsid w:val="003828FF"/>
    <w:rsid w:val="00383356"/>
    <w:rsid w:val="00383366"/>
    <w:rsid w:val="003836B9"/>
    <w:rsid w:val="00383931"/>
    <w:rsid w:val="00383F6F"/>
    <w:rsid w:val="0038456B"/>
    <w:rsid w:val="003848A0"/>
    <w:rsid w:val="00385B58"/>
    <w:rsid w:val="00386815"/>
    <w:rsid w:val="00386B9E"/>
    <w:rsid w:val="00386C5F"/>
    <w:rsid w:val="0038730D"/>
    <w:rsid w:val="00387BAD"/>
    <w:rsid w:val="003904FF"/>
    <w:rsid w:val="00390E74"/>
    <w:rsid w:val="00391BEF"/>
    <w:rsid w:val="00391F7C"/>
    <w:rsid w:val="00392051"/>
    <w:rsid w:val="0039224B"/>
    <w:rsid w:val="00393325"/>
    <w:rsid w:val="003935D0"/>
    <w:rsid w:val="00393600"/>
    <w:rsid w:val="003952A8"/>
    <w:rsid w:val="00395EA0"/>
    <w:rsid w:val="00396029"/>
    <w:rsid w:val="0039641A"/>
    <w:rsid w:val="00396B75"/>
    <w:rsid w:val="003976D7"/>
    <w:rsid w:val="003A0044"/>
    <w:rsid w:val="003A08C4"/>
    <w:rsid w:val="003A0F1D"/>
    <w:rsid w:val="003A1134"/>
    <w:rsid w:val="003A19B9"/>
    <w:rsid w:val="003A2246"/>
    <w:rsid w:val="003A2251"/>
    <w:rsid w:val="003A2CE9"/>
    <w:rsid w:val="003A2F25"/>
    <w:rsid w:val="003A3466"/>
    <w:rsid w:val="003A36FE"/>
    <w:rsid w:val="003A3AD5"/>
    <w:rsid w:val="003A3D1B"/>
    <w:rsid w:val="003A4549"/>
    <w:rsid w:val="003A45B6"/>
    <w:rsid w:val="003A45D5"/>
    <w:rsid w:val="003A4627"/>
    <w:rsid w:val="003A4D9F"/>
    <w:rsid w:val="003A5847"/>
    <w:rsid w:val="003A689A"/>
    <w:rsid w:val="003A6C9D"/>
    <w:rsid w:val="003A701D"/>
    <w:rsid w:val="003A7AA5"/>
    <w:rsid w:val="003A7C36"/>
    <w:rsid w:val="003B028E"/>
    <w:rsid w:val="003B0807"/>
    <w:rsid w:val="003B0835"/>
    <w:rsid w:val="003B1AB7"/>
    <w:rsid w:val="003B236F"/>
    <w:rsid w:val="003B31D9"/>
    <w:rsid w:val="003B4412"/>
    <w:rsid w:val="003B46EF"/>
    <w:rsid w:val="003B5C14"/>
    <w:rsid w:val="003B652B"/>
    <w:rsid w:val="003B6F64"/>
    <w:rsid w:val="003B70B1"/>
    <w:rsid w:val="003B72BD"/>
    <w:rsid w:val="003B72E8"/>
    <w:rsid w:val="003C0261"/>
    <w:rsid w:val="003C0BED"/>
    <w:rsid w:val="003C1638"/>
    <w:rsid w:val="003C1B19"/>
    <w:rsid w:val="003C1DA1"/>
    <w:rsid w:val="003C20F7"/>
    <w:rsid w:val="003C2718"/>
    <w:rsid w:val="003C3579"/>
    <w:rsid w:val="003C4680"/>
    <w:rsid w:val="003C46CB"/>
    <w:rsid w:val="003C4D6E"/>
    <w:rsid w:val="003C5B41"/>
    <w:rsid w:val="003C65DB"/>
    <w:rsid w:val="003C6D94"/>
    <w:rsid w:val="003C76E1"/>
    <w:rsid w:val="003C7BF6"/>
    <w:rsid w:val="003C7DE1"/>
    <w:rsid w:val="003D0138"/>
    <w:rsid w:val="003D0405"/>
    <w:rsid w:val="003D09B0"/>
    <w:rsid w:val="003D10DE"/>
    <w:rsid w:val="003D1948"/>
    <w:rsid w:val="003D347B"/>
    <w:rsid w:val="003D3D63"/>
    <w:rsid w:val="003D3F31"/>
    <w:rsid w:val="003D5877"/>
    <w:rsid w:val="003D5F8D"/>
    <w:rsid w:val="003D6A6E"/>
    <w:rsid w:val="003D718B"/>
    <w:rsid w:val="003D77F9"/>
    <w:rsid w:val="003D7890"/>
    <w:rsid w:val="003D7A57"/>
    <w:rsid w:val="003E0601"/>
    <w:rsid w:val="003E06A5"/>
    <w:rsid w:val="003E07DE"/>
    <w:rsid w:val="003E2652"/>
    <w:rsid w:val="003E4526"/>
    <w:rsid w:val="003E4EEA"/>
    <w:rsid w:val="003E51BD"/>
    <w:rsid w:val="003E5267"/>
    <w:rsid w:val="003E53F2"/>
    <w:rsid w:val="003E642B"/>
    <w:rsid w:val="003E693B"/>
    <w:rsid w:val="003E6A68"/>
    <w:rsid w:val="003E7AE9"/>
    <w:rsid w:val="003E7D58"/>
    <w:rsid w:val="003F08E3"/>
    <w:rsid w:val="003F0981"/>
    <w:rsid w:val="003F14C4"/>
    <w:rsid w:val="003F15CA"/>
    <w:rsid w:val="003F2259"/>
    <w:rsid w:val="003F23A1"/>
    <w:rsid w:val="003F2ED1"/>
    <w:rsid w:val="003F42E5"/>
    <w:rsid w:val="003F4D52"/>
    <w:rsid w:val="003F51EE"/>
    <w:rsid w:val="003F57C5"/>
    <w:rsid w:val="003F5DA3"/>
    <w:rsid w:val="003F60CA"/>
    <w:rsid w:val="003F6380"/>
    <w:rsid w:val="003F6F6C"/>
    <w:rsid w:val="003F71E7"/>
    <w:rsid w:val="003F768F"/>
    <w:rsid w:val="00400C40"/>
    <w:rsid w:val="004011F4"/>
    <w:rsid w:val="00401394"/>
    <w:rsid w:val="00401AC2"/>
    <w:rsid w:val="00403339"/>
    <w:rsid w:val="004039E9"/>
    <w:rsid w:val="00404F7D"/>
    <w:rsid w:val="004054BC"/>
    <w:rsid w:val="00405627"/>
    <w:rsid w:val="00405FFB"/>
    <w:rsid w:val="00406055"/>
    <w:rsid w:val="004060C9"/>
    <w:rsid w:val="00407A16"/>
    <w:rsid w:val="004110A4"/>
    <w:rsid w:val="00411211"/>
    <w:rsid w:val="00412A82"/>
    <w:rsid w:val="00412AF2"/>
    <w:rsid w:val="00412F8E"/>
    <w:rsid w:val="00413030"/>
    <w:rsid w:val="0041335E"/>
    <w:rsid w:val="0041339E"/>
    <w:rsid w:val="004142F3"/>
    <w:rsid w:val="00414606"/>
    <w:rsid w:val="00415C39"/>
    <w:rsid w:val="00416431"/>
    <w:rsid w:val="00416548"/>
    <w:rsid w:val="0041698D"/>
    <w:rsid w:val="004177CF"/>
    <w:rsid w:val="00417BBF"/>
    <w:rsid w:val="00417E8E"/>
    <w:rsid w:val="00417EE2"/>
    <w:rsid w:val="0042007F"/>
    <w:rsid w:val="004201C6"/>
    <w:rsid w:val="0042050A"/>
    <w:rsid w:val="00420850"/>
    <w:rsid w:val="00420C98"/>
    <w:rsid w:val="00420E7B"/>
    <w:rsid w:val="00421349"/>
    <w:rsid w:val="00421C5C"/>
    <w:rsid w:val="00421CBC"/>
    <w:rsid w:val="00421E58"/>
    <w:rsid w:val="0042248B"/>
    <w:rsid w:val="0042305C"/>
    <w:rsid w:val="0042431D"/>
    <w:rsid w:val="00424438"/>
    <w:rsid w:val="004245A1"/>
    <w:rsid w:val="00425026"/>
    <w:rsid w:val="0042537F"/>
    <w:rsid w:val="00425654"/>
    <w:rsid w:val="00425668"/>
    <w:rsid w:val="004264E9"/>
    <w:rsid w:val="00426BDE"/>
    <w:rsid w:val="00426F24"/>
    <w:rsid w:val="004279A1"/>
    <w:rsid w:val="00427A8B"/>
    <w:rsid w:val="004300ED"/>
    <w:rsid w:val="004307A9"/>
    <w:rsid w:val="00430FAE"/>
    <w:rsid w:val="0043148E"/>
    <w:rsid w:val="0043295C"/>
    <w:rsid w:val="00432FFA"/>
    <w:rsid w:val="00433105"/>
    <w:rsid w:val="00433414"/>
    <w:rsid w:val="00433FEC"/>
    <w:rsid w:val="00434B32"/>
    <w:rsid w:val="00434BB9"/>
    <w:rsid w:val="00434E2B"/>
    <w:rsid w:val="0043587F"/>
    <w:rsid w:val="00435C41"/>
    <w:rsid w:val="004360EF"/>
    <w:rsid w:val="00436574"/>
    <w:rsid w:val="004367B1"/>
    <w:rsid w:val="0043684A"/>
    <w:rsid w:val="004370FB"/>
    <w:rsid w:val="004374F6"/>
    <w:rsid w:val="0043762C"/>
    <w:rsid w:val="00437D36"/>
    <w:rsid w:val="00437DA5"/>
    <w:rsid w:val="00440877"/>
    <w:rsid w:val="004409FF"/>
    <w:rsid w:val="004434A5"/>
    <w:rsid w:val="00443FBE"/>
    <w:rsid w:val="00444416"/>
    <w:rsid w:val="0044447B"/>
    <w:rsid w:val="00445111"/>
    <w:rsid w:val="00445381"/>
    <w:rsid w:val="00446375"/>
    <w:rsid w:val="004463B5"/>
    <w:rsid w:val="00446FAA"/>
    <w:rsid w:val="0044781D"/>
    <w:rsid w:val="00447DF3"/>
    <w:rsid w:val="00447EAF"/>
    <w:rsid w:val="0045079E"/>
    <w:rsid w:val="004517F8"/>
    <w:rsid w:val="004518F8"/>
    <w:rsid w:val="00451D3B"/>
    <w:rsid w:val="00451D4C"/>
    <w:rsid w:val="0045246D"/>
    <w:rsid w:val="004524D8"/>
    <w:rsid w:val="0045253F"/>
    <w:rsid w:val="00452A08"/>
    <w:rsid w:val="00452A78"/>
    <w:rsid w:val="00452F91"/>
    <w:rsid w:val="0045345D"/>
    <w:rsid w:val="00454076"/>
    <w:rsid w:val="00454565"/>
    <w:rsid w:val="00454599"/>
    <w:rsid w:val="00454737"/>
    <w:rsid w:val="004548EE"/>
    <w:rsid w:val="00454A0D"/>
    <w:rsid w:val="004550E6"/>
    <w:rsid w:val="00455AEF"/>
    <w:rsid w:val="00455D01"/>
    <w:rsid w:val="00455F2E"/>
    <w:rsid w:val="00456567"/>
    <w:rsid w:val="00457407"/>
    <w:rsid w:val="0045748F"/>
    <w:rsid w:val="004603D1"/>
    <w:rsid w:val="00460549"/>
    <w:rsid w:val="0046057E"/>
    <w:rsid w:val="004606B8"/>
    <w:rsid w:val="0046088A"/>
    <w:rsid w:val="00460948"/>
    <w:rsid w:val="00461112"/>
    <w:rsid w:val="0046126A"/>
    <w:rsid w:val="0046130A"/>
    <w:rsid w:val="00462F36"/>
    <w:rsid w:val="00463C9D"/>
    <w:rsid w:val="00463FF9"/>
    <w:rsid w:val="004648D1"/>
    <w:rsid w:val="00465C5F"/>
    <w:rsid w:val="00465F93"/>
    <w:rsid w:val="0046627B"/>
    <w:rsid w:val="004663C4"/>
    <w:rsid w:val="004666C1"/>
    <w:rsid w:val="00466AD3"/>
    <w:rsid w:val="00467563"/>
    <w:rsid w:val="004678B2"/>
    <w:rsid w:val="00467A33"/>
    <w:rsid w:val="00467C07"/>
    <w:rsid w:val="004702FE"/>
    <w:rsid w:val="0047061C"/>
    <w:rsid w:val="004706C1"/>
    <w:rsid w:val="004709C2"/>
    <w:rsid w:val="00471667"/>
    <w:rsid w:val="00471BA0"/>
    <w:rsid w:val="00471BE7"/>
    <w:rsid w:val="00471C87"/>
    <w:rsid w:val="00471E70"/>
    <w:rsid w:val="0047340E"/>
    <w:rsid w:val="00473F39"/>
    <w:rsid w:val="00473F3F"/>
    <w:rsid w:val="004743E9"/>
    <w:rsid w:val="00474B3D"/>
    <w:rsid w:val="004755DE"/>
    <w:rsid w:val="00475A36"/>
    <w:rsid w:val="004761BE"/>
    <w:rsid w:val="0047639C"/>
    <w:rsid w:val="00476D34"/>
    <w:rsid w:val="00476F13"/>
    <w:rsid w:val="0047713A"/>
    <w:rsid w:val="00477A70"/>
    <w:rsid w:val="00477E75"/>
    <w:rsid w:val="00480106"/>
    <w:rsid w:val="00480431"/>
    <w:rsid w:val="00480B71"/>
    <w:rsid w:val="00480E39"/>
    <w:rsid w:val="00480F0D"/>
    <w:rsid w:val="004815A7"/>
    <w:rsid w:val="004818C2"/>
    <w:rsid w:val="004824B5"/>
    <w:rsid w:val="00482690"/>
    <w:rsid w:val="004826E0"/>
    <w:rsid w:val="00482AFE"/>
    <w:rsid w:val="004832D9"/>
    <w:rsid w:val="004834C2"/>
    <w:rsid w:val="004837C5"/>
    <w:rsid w:val="004839A0"/>
    <w:rsid w:val="00484327"/>
    <w:rsid w:val="00485136"/>
    <w:rsid w:val="00485618"/>
    <w:rsid w:val="0048568C"/>
    <w:rsid w:val="00486099"/>
    <w:rsid w:val="00486414"/>
    <w:rsid w:val="0048665E"/>
    <w:rsid w:val="00487246"/>
    <w:rsid w:val="004873ED"/>
    <w:rsid w:val="00490BA3"/>
    <w:rsid w:val="004912E4"/>
    <w:rsid w:val="0049212F"/>
    <w:rsid w:val="0049281E"/>
    <w:rsid w:val="00492B4C"/>
    <w:rsid w:val="00492DEE"/>
    <w:rsid w:val="00492EF8"/>
    <w:rsid w:val="00493E37"/>
    <w:rsid w:val="00494695"/>
    <w:rsid w:val="00494815"/>
    <w:rsid w:val="00494899"/>
    <w:rsid w:val="00495C5F"/>
    <w:rsid w:val="00495CBA"/>
    <w:rsid w:val="0049623A"/>
    <w:rsid w:val="0049662B"/>
    <w:rsid w:val="0049663C"/>
    <w:rsid w:val="00497257"/>
    <w:rsid w:val="00497597"/>
    <w:rsid w:val="00497A1D"/>
    <w:rsid w:val="00497B87"/>
    <w:rsid w:val="004A006C"/>
    <w:rsid w:val="004A05CA"/>
    <w:rsid w:val="004A17F5"/>
    <w:rsid w:val="004A23D8"/>
    <w:rsid w:val="004A2B04"/>
    <w:rsid w:val="004A2DFB"/>
    <w:rsid w:val="004A303F"/>
    <w:rsid w:val="004A39CB"/>
    <w:rsid w:val="004A3E7E"/>
    <w:rsid w:val="004A3F8A"/>
    <w:rsid w:val="004A482F"/>
    <w:rsid w:val="004A4CE0"/>
    <w:rsid w:val="004A4D07"/>
    <w:rsid w:val="004A4E3C"/>
    <w:rsid w:val="004A528C"/>
    <w:rsid w:val="004A5579"/>
    <w:rsid w:val="004A56C6"/>
    <w:rsid w:val="004A5964"/>
    <w:rsid w:val="004A5B34"/>
    <w:rsid w:val="004A5CBF"/>
    <w:rsid w:val="004A6375"/>
    <w:rsid w:val="004A6A4E"/>
    <w:rsid w:val="004A7097"/>
    <w:rsid w:val="004A7E2A"/>
    <w:rsid w:val="004B0447"/>
    <w:rsid w:val="004B057C"/>
    <w:rsid w:val="004B07B7"/>
    <w:rsid w:val="004B0987"/>
    <w:rsid w:val="004B0C25"/>
    <w:rsid w:val="004B1DC0"/>
    <w:rsid w:val="004B2B7F"/>
    <w:rsid w:val="004B37B2"/>
    <w:rsid w:val="004B3B7B"/>
    <w:rsid w:val="004B4361"/>
    <w:rsid w:val="004B4921"/>
    <w:rsid w:val="004B49A3"/>
    <w:rsid w:val="004B5382"/>
    <w:rsid w:val="004B5D31"/>
    <w:rsid w:val="004B5EA0"/>
    <w:rsid w:val="004B620A"/>
    <w:rsid w:val="004B6647"/>
    <w:rsid w:val="004B70A7"/>
    <w:rsid w:val="004B733A"/>
    <w:rsid w:val="004C00C3"/>
    <w:rsid w:val="004C1024"/>
    <w:rsid w:val="004C11CD"/>
    <w:rsid w:val="004C15F6"/>
    <w:rsid w:val="004C1E49"/>
    <w:rsid w:val="004C2653"/>
    <w:rsid w:val="004C3B54"/>
    <w:rsid w:val="004C3F78"/>
    <w:rsid w:val="004C40D9"/>
    <w:rsid w:val="004C4CC1"/>
    <w:rsid w:val="004C4EAB"/>
    <w:rsid w:val="004C50C1"/>
    <w:rsid w:val="004C5ECD"/>
    <w:rsid w:val="004C646A"/>
    <w:rsid w:val="004C6E67"/>
    <w:rsid w:val="004C7801"/>
    <w:rsid w:val="004C7909"/>
    <w:rsid w:val="004C7B35"/>
    <w:rsid w:val="004D02A3"/>
    <w:rsid w:val="004D09DE"/>
    <w:rsid w:val="004D176D"/>
    <w:rsid w:val="004D1FCB"/>
    <w:rsid w:val="004D1FED"/>
    <w:rsid w:val="004D2196"/>
    <w:rsid w:val="004D21D4"/>
    <w:rsid w:val="004D2389"/>
    <w:rsid w:val="004D3542"/>
    <w:rsid w:val="004D3781"/>
    <w:rsid w:val="004D44DE"/>
    <w:rsid w:val="004D5226"/>
    <w:rsid w:val="004D5B83"/>
    <w:rsid w:val="004D5E5C"/>
    <w:rsid w:val="004D6317"/>
    <w:rsid w:val="004D6584"/>
    <w:rsid w:val="004D6C40"/>
    <w:rsid w:val="004D7A88"/>
    <w:rsid w:val="004D7E93"/>
    <w:rsid w:val="004E026D"/>
    <w:rsid w:val="004E0467"/>
    <w:rsid w:val="004E0512"/>
    <w:rsid w:val="004E081B"/>
    <w:rsid w:val="004E1141"/>
    <w:rsid w:val="004E15A3"/>
    <w:rsid w:val="004E1B36"/>
    <w:rsid w:val="004E1FAD"/>
    <w:rsid w:val="004E208D"/>
    <w:rsid w:val="004E2593"/>
    <w:rsid w:val="004E25FA"/>
    <w:rsid w:val="004E2B5D"/>
    <w:rsid w:val="004E2C83"/>
    <w:rsid w:val="004E2DEB"/>
    <w:rsid w:val="004E3BE4"/>
    <w:rsid w:val="004E3E0A"/>
    <w:rsid w:val="004E3E80"/>
    <w:rsid w:val="004E40A2"/>
    <w:rsid w:val="004E493E"/>
    <w:rsid w:val="004E4A25"/>
    <w:rsid w:val="004E4A7D"/>
    <w:rsid w:val="004E51F8"/>
    <w:rsid w:val="004E5282"/>
    <w:rsid w:val="004E61D7"/>
    <w:rsid w:val="004E756F"/>
    <w:rsid w:val="004E7E42"/>
    <w:rsid w:val="004F00B5"/>
    <w:rsid w:val="004F0219"/>
    <w:rsid w:val="004F06AB"/>
    <w:rsid w:val="004F16EB"/>
    <w:rsid w:val="004F2AB5"/>
    <w:rsid w:val="004F45AA"/>
    <w:rsid w:val="004F58B2"/>
    <w:rsid w:val="004F65FC"/>
    <w:rsid w:val="004F7BFF"/>
    <w:rsid w:val="004F7CBC"/>
    <w:rsid w:val="004F7CC0"/>
    <w:rsid w:val="004F7CED"/>
    <w:rsid w:val="0050094C"/>
    <w:rsid w:val="00500D6E"/>
    <w:rsid w:val="00501C69"/>
    <w:rsid w:val="00502E1E"/>
    <w:rsid w:val="00503715"/>
    <w:rsid w:val="005040A1"/>
    <w:rsid w:val="00505084"/>
    <w:rsid w:val="0050522D"/>
    <w:rsid w:val="005056DA"/>
    <w:rsid w:val="00506218"/>
    <w:rsid w:val="005068CF"/>
    <w:rsid w:val="0050702A"/>
    <w:rsid w:val="00507B6B"/>
    <w:rsid w:val="00507B86"/>
    <w:rsid w:val="00510D02"/>
    <w:rsid w:val="005115C1"/>
    <w:rsid w:val="00511C1C"/>
    <w:rsid w:val="00511DE9"/>
    <w:rsid w:val="00512512"/>
    <w:rsid w:val="00512E4F"/>
    <w:rsid w:val="00513263"/>
    <w:rsid w:val="005139BC"/>
    <w:rsid w:val="00513CE7"/>
    <w:rsid w:val="00514036"/>
    <w:rsid w:val="005143F7"/>
    <w:rsid w:val="00514DBA"/>
    <w:rsid w:val="00515235"/>
    <w:rsid w:val="0051528A"/>
    <w:rsid w:val="005156D9"/>
    <w:rsid w:val="00515809"/>
    <w:rsid w:val="00515D99"/>
    <w:rsid w:val="00516267"/>
    <w:rsid w:val="00516CA8"/>
    <w:rsid w:val="00516DD7"/>
    <w:rsid w:val="00516EC5"/>
    <w:rsid w:val="005172EB"/>
    <w:rsid w:val="005174C8"/>
    <w:rsid w:val="005202F9"/>
    <w:rsid w:val="00520442"/>
    <w:rsid w:val="00520EB7"/>
    <w:rsid w:val="00521250"/>
    <w:rsid w:val="005217A1"/>
    <w:rsid w:val="00521F29"/>
    <w:rsid w:val="005223AE"/>
    <w:rsid w:val="00522521"/>
    <w:rsid w:val="00522A07"/>
    <w:rsid w:val="00522D25"/>
    <w:rsid w:val="005238BA"/>
    <w:rsid w:val="00523C6F"/>
    <w:rsid w:val="00523C85"/>
    <w:rsid w:val="005242D4"/>
    <w:rsid w:val="0052487F"/>
    <w:rsid w:val="00524ACA"/>
    <w:rsid w:val="00524BD3"/>
    <w:rsid w:val="005259CB"/>
    <w:rsid w:val="00525A3C"/>
    <w:rsid w:val="00525EBF"/>
    <w:rsid w:val="00526011"/>
    <w:rsid w:val="00526188"/>
    <w:rsid w:val="005269C3"/>
    <w:rsid w:val="00526ABB"/>
    <w:rsid w:val="00526BFD"/>
    <w:rsid w:val="00526F88"/>
    <w:rsid w:val="00527709"/>
    <w:rsid w:val="00527F34"/>
    <w:rsid w:val="00527F41"/>
    <w:rsid w:val="005303B9"/>
    <w:rsid w:val="0053068D"/>
    <w:rsid w:val="00530740"/>
    <w:rsid w:val="0053135F"/>
    <w:rsid w:val="00531710"/>
    <w:rsid w:val="0053187F"/>
    <w:rsid w:val="00531908"/>
    <w:rsid w:val="005323E7"/>
    <w:rsid w:val="005327C1"/>
    <w:rsid w:val="0053281A"/>
    <w:rsid w:val="005329FC"/>
    <w:rsid w:val="00532D4C"/>
    <w:rsid w:val="00533F6F"/>
    <w:rsid w:val="005340C9"/>
    <w:rsid w:val="00535222"/>
    <w:rsid w:val="0053569C"/>
    <w:rsid w:val="0053599D"/>
    <w:rsid w:val="00535C5A"/>
    <w:rsid w:val="00535CF4"/>
    <w:rsid w:val="00536716"/>
    <w:rsid w:val="00536A8B"/>
    <w:rsid w:val="00536F80"/>
    <w:rsid w:val="0053716A"/>
    <w:rsid w:val="00537954"/>
    <w:rsid w:val="00540580"/>
    <w:rsid w:val="00540FA2"/>
    <w:rsid w:val="0054179F"/>
    <w:rsid w:val="00541A4A"/>
    <w:rsid w:val="00541FF7"/>
    <w:rsid w:val="005425C3"/>
    <w:rsid w:val="0054287A"/>
    <w:rsid w:val="0054290C"/>
    <w:rsid w:val="00543BF0"/>
    <w:rsid w:val="00544816"/>
    <w:rsid w:val="00545636"/>
    <w:rsid w:val="005459BF"/>
    <w:rsid w:val="00546086"/>
    <w:rsid w:val="0054618E"/>
    <w:rsid w:val="005469B2"/>
    <w:rsid w:val="00546E7B"/>
    <w:rsid w:val="00547606"/>
    <w:rsid w:val="0054798F"/>
    <w:rsid w:val="00550336"/>
    <w:rsid w:val="005508F2"/>
    <w:rsid w:val="00550946"/>
    <w:rsid w:val="00550BD4"/>
    <w:rsid w:val="00550F06"/>
    <w:rsid w:val="00551961"/>
    <w:rsid w:val="00551B51"/>
    <w:rsid w:val="005523CC"/>
    <w:rsid w:val="0055245B"/>
    <w:rsid w:val="005529D0"/>
    <w:rsid w:val="00552A7A"/>
    <w:rsid w:val="00552E79"/>
    <w:rsid w:val="00553814"/>
    <w:rsid w:val="005540D3"/>
    <w:rsid w:val="00554C74"/>
    <w:rsid w:val="00555114"/>
    <w:rsid w:val="005553BB"/>
    <w:rsid w:val="005557C1"/>
    <w:rsid w:val="005557C7"/>
    <w:rsid w:val="00555B12"/>
    <w:rsid w:val="00556BBC"/>
    <w:rsid w:val="0055705C"/>
    <w:rsid w:val="0055716B"/>
    <w:rsid w:val="00557D94"/>
    <w:rsid w:val="00560043"/>
    <w:rsid w:val="00560174"/>
    <w:rsid w:val="00560464"/>
    <w:rsid w:val="00560744"/>
    <w:rsid w:val="00560F61"/>
    <w:rsid w:val="00562A1E"/>
    <w:rsid w:val="00562CCE"/>
    <w:rsid w:val="00563156"/>
    <w:rsid w:val="00563736"/>
    <w:rsid w:val="00563E2A"/>
    <w:rsid w:val="0056402C"/>
    <w:rsid w:val="005641F2"/>
    <w:rsid w:val="00564717"/>
    <w:rsid w:val="005651D4"/>
    <w:rsid w:val="0056533E"/>
    <w:rsid w:val="00565695"/>
    <w:rsid w:val="00565833"/>
    <w:rsid w:val="00565E45"/>
    <w:rsid w:val="00566170"/>
    <w:rsid w:val="005668DF"/>
    <w:rsid w:val="00566933"/>
    <w:rsid w:val="00566972"/>
    <w:rsid w:val="00567D7F"/>
    <w:rsid w:val="00567ED9"/>
    <w:rsid w:val="00570074"/>
    <w:rsid w:val="00570BE9"/>
    <w:rsid w:val="005710EB"/>
    <w:rsid w:val="0057111E"/>
    <w:rsid w:val="005712A9"/>
    <w:rsid w:val="0057159D"/>
    <w:rsid w:val="00572159"/>
    <w:rsid w:val="00572690"/>
    <w:rsid w:val="00573785"/>
    <w:rsid w:val="005740FB"/>
    <w:rsid w:val="00574593"/>
    <w:rsid w:val="005746D6"/>
    <w:rsid w:val="00574AC1"/>
    <w:rsid w:val="00574CB2"/>
    <w:rsid w:val="00574D6E"/>
    <w:rsid w:val="00574DA5"/>
    <w:rsid w:val="00575009"/>
    <w:rsid w:val="00575135"/>
    <w:rsid w:val="00575ED3"/>
    <w:rsid w:val="005767E9"/>
    <w:rsid w:val="00577383"/>
    <w:rsid w:val="00581943"/>
    <w:rsid w:val="005822D8"/>
    <w:rsid w:val="00582571"/>
    <w:rsid w:val="005827BE"/>
    <w:rsid w:val="0058295E"/>
    <w:rsid w:val="00582BBD"/>
    <w:rsid w:val="00582BDF"/>
    <w:rsid w:val="005831F7"/>
    <w:rsid w:val="00583546"/>
    <w:rsid w:val="00583DE3"/>
    <w:rsid w:val="00586221"/>
    <w:rsid w:val="0058655F"/>
    <w:rsid w:val="0058665E"/>
    <w:rsid w:val="00586B2E"/>
    <w:rsid w:val="00587B65"/>
    <w:rsid w:val="005911A0"/>
    <w:rsid w:val="00591DEB"/>
    <w:rsid w:val="00592EB6"/>
    <w:rsid w:val="00593C67"/>
    <w:rsid w:val="00593DA2"/>
    <w:rsid w:val="00593F8C"/>
    <w:rsid w:val="00594921"/>
    <w:rsid w:val="00594A0F"/>
    <w:rsid w:val="00595857"/>
    <w:rsid w:val="00595BAB"/>
    <w:rsid w:val="00595C7E"/>
    <w:rsid w:val="0059624C"/>
    <w:rsid w:val="00596456"/>
    <w:rsid w:val="005965EB"/>
    <w:rsid w:val="005967AA"/>
    <w:rsid w:val="005969E5"/>
    <w:rsid w:val="00596B2D"/>
    <w:rsid w:val="00597611"/>
    <w:rsid w:val="0059768A"/>
    <w:rsid w:val="005A21D4"/>
    <w:rsid w:val="005A220D"/>
    <w:rsid w:val="005A2467"/>
    <w:rsid w:val="005A336A"/>
    <w:rsid w:val="005A35FA"/>
    <w:rsid w:val="005A3A9C"/>
    <w:rsid w:val="005A44B9"/>
    <w:rsid w:val="005A44BD"/>
    <w:rsid w:val="005A4E09"/>
    <w:rsid w:val="005A5905"/>
    <w:rsid w:val="005A593E"/>
    <w:rsid w:val="005A657A"/>
    <w:rsid w:val="005A66E5"/>
    <w:rsid w:val="005A69A5"/>
    <w:rsid w:val="005A727B"/>
    <w:rsid w:val="005B0CAB"/>
    <w:rsid w:val="005B17B7"/>
    <w:rsid w:val="005B1A17"/>
    <w:rsid w:val="005B1C4C"/>
    <w:rsid w:val="005B1DEE"/>
    <w:rsid w:val="005B202D"/>
    <w:rsid w:val="005B20F8"/>
    <w:rsid w:val="005B247F"/>
    <w:rsid w:val="005B34A8"/>
    <w:rsid w:val="005B3A2A"/>
    <w:rsid w:val="005B3AF6"/>
    <w:rsid w:val="005B3B29"/>
    <w:rsid w:val="005B3FFE"/>
    <w:rsid w:val="005B4025"/>
    <w:rsid w:val="005B41BE"/>
    <w:rsid w:val="005B49B1"/>
    <w:rsid w:val="005B4FFA"/>
    <w:rsid w:val="005B5D0D"/>
    <w:rsid w:val="005B6BB9"/>
    <w:rsid w:val="005B6CA1"/>
    <w:rsid w:val="005B74DE"/>
    <w:rsid w:val="005B7778"/>
    <w:rsid w:val="005B77EB"/>
    <w:rsid w:val="005C00D8"/>
    <w:rsid w:val="005C0377"/>
    <w:rsid w:val="005C085D"/>
    <w:rsid w:val="005C0ED9"/>
    <w:rsid w:val="005C1024"/>
    <w:rsid w:val="005C11FF"/>
    <w:rsid w:val="005C1716"/>
    <w:rsid w:val="005C1DFA"/>
    <w:rsid w:val="005C258B"/>
    <w:rsid w:val="005C2A5E"/>
    <w:rsid w:val="005C2E07"/>
    <w:rsid w:val="005C3794"/>
    <w:rsid w:val="005C3E84"/>
    <w:rsid w:val="005C52BC"/>
    <w:rsid w:val="005C632B"/>
    <w:rsid w:val="005C6BBE"/>
    <w:rsid w:val="005C6BD0"/>
    <w:rsid w:val="005C6ED3"/>
    <w:rsid w:val="005C7511"/>
    <w:rsid w:val="005C7878"/>
    <w:rsid w:val="005C7909"/>
    <w:rsid w:val="005C7E1E"/>
    <w:rsid w:val="005D0107"/>
    <w:rsid w:val="005D07EF"/>
    <w:rsid w:val="005D11DA"/>
    <w:rsid w:val="005D14A4"/>
    <w:rsid w:val="005D1B0A"/>
    <w:rsid w:val="005D3D3B"/>
    <w:rsid w:val="005D4391"/>
    <w:rsid w:val="005D4712"/>
    <w:rsid w:val="005D4D13"/>
    <w:rsid w:val="005D4D2F"/>
    <w:rsid w:val="005D4D65"/>
    <w:rsid w:val="005D5721"/>
    <w:rsid w:val="005D5A09"/>
    <w:rsid w:val="005D5A0F"/>
    <w:rsid w:val="005D5D81"/>
    <w:rsid w:val="005D6261"/>
    <w:rsid w:val="005D6283"/>
    <w:rsid w:val="005D67AB"/>
    <w:rsid w:val="005D6D81"/>
    <w:rsid w:val="005E0034"/>
    <w:rsid w:val="005E098C"/>
    <w:rsid w:val="005E0EF0"/>
    <w:rsid w:val="005E1E44"/>
    <w:rsid w:val="005E2010"/>
    <w:rsid w:val="005E2644"/>
    <w:rsid w:val="005E2EB1"/>
    <w:rsid w:val="005E2F45"/>
    <w:rsid w:val="005E3142"/>
    <w:rsid w:val="005E34F7"/>
    <w:rsid w:val="005E3D1D"/>
    <w:rsid w:val="005E3EF8"/>
    <w:rsid w:val="005E4057"/>
    <w:rsid w:val="005E4C59"/>
    <w:rsid w:val="005E536E"/>
    <w:rsid w:val="005E5F0C"/>
    <w:rsid w:val="005E6FD1"/>
    <w:rsid w:val="005E724C"/>
    <w:rsid w:val="005E7B73"/>
    <w:rsid w:val="005F032D"/>
    <w:rsid w:val="005F0346"/>
    <w:rsid w:val="005F139F"/>
    <w:rsid w:val="005F1FCA"/>
    <w:rsid w:val="005F2790"/>
    <w:rsid w:val="005F2B1A"/>
    <w:rsid w:val="005F2C75"/>
    <w:rsid w:val="005F357D"/>
    <w:rsid w:val="005F3701"/>
    <w:rsid w:val="005F399A"/>
    <w:rsid w:val="005F3E50"/>
    <w:rsid w:val="005F4D99"/>
    <w:rsid w:val="005F5CB2"/>
    <w:rsid w:val="005F5E0E"/>
    <w:rsid w:val="005F6B23"/>
    <w:rsid w:val="005F7217"/>
    <w:rsid w:val="005F7805"/>
    <w:rsid w:val="0060010E"/>
    <w:rsid w:val="00601DCE"/>
    <w:rsid w:val="00601E18"/>
    <w:rsid w:val="0060269B"/>
    <w:rsid w:val="00602D6B"/>
    <w:rsid w:val="00603A17"/>
    <w:rsid w:val="00603E75"/>
    <w:rsid w:val="00604809"/>
    <w:rsid w:val="0060510F"/>
    <w:rsid w:val="00605689"/>
    <w:rsid w:val="00605916"/>
    <w:rsid w:val="00606B0D"/>
    <w:rsid w:val="00607469"/>
    <w:rsid w:val="00607589"/>
    <w:rsid w:val="00610756"/>
    <w:rsid w:val="0061096D"/>
    <w:rsid w:val="00611A76"/>
    <w:rsid w:val="00613839"/>
    <w:rsid w:val="00613AD7"/>
    <w:rsid w:val="00614423"/>
    <w:rsid w:val="006149C3"/>
    <w:rsid w:val="00614A1D"/>
    <w:rsid w:val="00614B00"/>
    <w:rsid w:val="00615C21"/>
    <w:rsid w:val="00615F1E"/>
    <w:rsid w:val="006161D7"/>
    <w:rsid w:val="006165F8"/>
    <w:rsid w:val="00616834"/>
    <w:rsid w:val="00616932"/>
    <w:rsid w:val="00616D3C"/>
    <w:rsid w:val="00616FE4"/>
    <w:rsid w:val="00617B7C"/>
    <w:rsid w:val="00617CF1"/>
    <w:rsid w:val="00620294"/>
    <w:rsid w:val="006203F5"/>
    <w:rsid w:val="00620695"/>
    <w:rsid w:val="00620FDD"/>
    <w:rsid w:val="0062100B"/>
    <w:rsid w:val="006216DE"/>
    <w:rsid w:val="00621CA7"/>
    <w:rsid w:val="00622304"/>
    <w:rsid w:val="006229E2"/>
    <w:rsid w:val="00622C4F"/>
    <w:rsid w:val="00622E72"/>
    <w:rsid w:val="00623A7A"/>
    <w:rsid w:val="00623BEE"/>
    <w:rsid w:val="00623C9F"/>
    <w:rsid w:val="00624121"/>
    <w:rsid w:val="00624B8E"/>
    <w:rsid w:val="006250CC"/>
    <w:rsid w:val="00625871"/>
    <w:rsid w:val="0062592D"/>
    <w:rsid w:val="00625F3A"/>
    <w:rsid w:val="0062648F"/>
    <w:rsid w:val="00626724"/>
    <w:rsid w:val="00626931"/>
    <w:rsid w:val="00626A85"/>
    <w:rsid w:val="00626F7B"/>
    <w:rsid w:val="006270D8"/>
    <w:rsid w:val="00627848"/>
    <w:rsid w:val="00627992"/>
    <w:rsid w:val="00627EA3"/>
    <w:rsid w:val="00627ECB"/>
    <w:rsid w:val="00630335"/>
    <w:rsid w:val="00630DD2"/>
    <w:rsid w:val="00631003"/>
    <w:rsid w:val="006312F6"/>
    <w:rsid w:val="006313C0"/>
    <w:rsid w:val="00631B64"/>
    <w:rsid w:val="00631D01"/>
    <w:rsid w:val="00631D1E"/>
    <w:rsid w:val="006323FF"/>
    <w:rsid w:val="0063288B"/>
    <w:rsid w:val="0063367E"/>
    <w:rsid w:val="006343A4"/>
    <w:rsid w:val="00636211"/>
    <w:rsid w:val="0063653D"/>
    <w:rsid w:val="00637277"/>
    <w:rsid w:val="00640490"/>
    <w:rsid w:val="00640E55"/>
    <w:rsid w:val="00640E6D"/>
    <w:rsid w:val="00641053"/>
    <w:rsid w:val="006422EF"/>
    <w:rsid w:val="006423F0"/>
    <w:rsid w:val="0064330C"/>
    <w:rsid w:val="00643523"/>
    <w:rsid w:val="006436D0"/>
    <w:rsid w:val="00643EFD"/>
    <w:rsid w:val="00644AA7"/>
    <w:rsid w:val="00644D22"/>
    <w:rsid w:val="0064508E"/>
    <w:rsid w:val="006455DF"/>
    <w:rsid w:val="006467DD"/>
    <w:rsid w:val="006468AF"/>
    <w:rsid w:val="00647168"/>
    <w:rsid w:val="0064792F"/>
    <w:rsid w:val="00647AC3"/>
    <w:rsid w:val="0065015C"/>
    <w:rsid w:val="006501B2"/>
    <w:rsid w:val="0065026A"/>
    <w:rsid w:val="00650911"/>
    <w:rsid w:val="00650B1E"/>
    <w:rsid w:val="006514E4"/>
    <w:rsid w:val="00652602"/>
    <w:rsid w:val="00653295"/>
    <w:rsid w:val="00653DDA"/>
    <w:rsid w:val="00654013"/>
    <w:rsid w:val="006547B8"/>
    <w:rsid w:val="00654B71"/>
    <w:rsid w:val="006552DE"/>
    <w:rsid w:val="006555DC"/>
    <w:rsid w:val="00655676"/>
    <w:rsid w:val="00656577"/>
    <w:rsid w:val="00656757"/>
    <w:rsid w:val="00656BD8"/>
    <w:rsid w:val="00657209"/>
    <w:rsid w:val="006573C9"/>
    <w:rsid w:val="00657555"/>
    <w:rsid w:val="0066062F"/>
    <w:rsid w:val="006606C1"/>
    <w:rsid w:val="00660D27"/>
    <w:rsid w:val="0066129A"/>
    <w:rsid w:val="006622AA"/>
    <w:rsid w:val="00662962"/>
    <w:rsid w:val="00662BA6"/>
    <w:rsid w:val="006631F5"/>
    <w:rsid w:val="00663627"/>
    <w:rsid w:val="00663F31"/>
    <w:rsid w:val="006646B5"/>
    <w:rsid w:val="00665285"/>
    <w:rsid w:val="00665AAD"/>
    <w:rsid w:val="00665EE5"/>
    <w:rsid w:val="0066642F"/>
    <w:rsid w:val="006673DC"/>
    <w:rsid w:val="00667AF5"/>
    <w:rsid w:val="00667E2F"/>
    <w:rsid w:val="0067096C"/>
    <w:rsid w:val="00670996"/>
    <w:rsid w:val="0067100C"/>
    <w:rsid w:val="006713DC"/>
    <w:rsid w:val="006714CF"/>
    <w:rsid w:val="00672969"/>
    <w:rsid w:val="0067315D"/>
    <w:rsid w:val="0067362C"/>
    <w:rsid w:val="006738F0"/>
    <w:rsid w:val="00673B7A"/>
    <w:rsid w:val="00673CF6"/>
    <w:rsid w:val="006745BF"/>
    <w:rsid w:val="00674899"/>
    <w:rsid w:val="00674A23"/>
    <w:rsid w:val="00675DC0"/>
    <w:rsid w:val="00675E55"/>
    <w:rsid w:val="00677B0A"/>
    <w:rsid w:val="00680E37"/>
    <w:rsid w:val="0068157E"/>
    <w:rsid w:val="00681A82"/>
    <w:rsid w:val="00681C64"/>
    <w:rsid w:val="00681D82"/>
    <w:rsid w:val="0068204D"/>
    <w:rsid w:val="00682FB0"/>
    <w:rsid w:val="006830CA"/>
    <w:rsid w:val="0068342E"/>
    <w:rsid w:val="00683522"/>
    <w:rsid w:val="0068357F"/>
    <w:rsid w:val="00683F5C"/>
    <w:rsid w:val="0068459C"/>
    <w:rsid w:val="00684657"/>
    <w:rsid w:val="00684755"/>
    <w:rsid w:val="00684CD3"/>
    <w:rsid w:val="00684D63"/>
    <w:rsid w:val="0068529B"/>
    <w:rsid w:val="006856AC"/>
    <w:rsid w:val="00685964"/>
    <w:rsid w:val="00685C95"/>
    <w:rsid w:val="00685EE8"/>
    <w:rsid w:val="00686079"/>
    <w:rsid w:val="006863B5"/>
    <w:rsid w:val="0068656D"/>
    <w:rsid w:val="00686B88"/>
    <w:rsid w:val="00686B8C"/>
    <w:rsid w:val="00687012"/>
    <w:rsid w:val="0068752F"/>
    <w:rsid w:val="006878B8"/>
    <w:rsid w:val="00690AFB"/>
    <w:rsid w:val="00690BBF"/>
    <w:rsid w:val="00690C17"/>
    <w:rsid w:val="006913E2"/>
    <w:rsid w:val="0069159C"/>
    <w:rsid w:val="00691D3A"/>
    <w:rsid w:val="00691D71"/>
    <w:rsid w:val="00691E9F"/>
    <w:rsid w:val="00692C80"/>
    <w:rsid w:val="00693BE7"/>
    <w:rsid w:val="00693F3C"/>
    <w:rsid w:val="006941E0"/>
    <w:rsid w:val="0069423C"/>
    <w:rsid w:val="00694504"/>
    <w:rsid w:val="006947E4"/>
    <w:rsid w:val="00694E18"/>
    <w:rsid w:val="00695C6B"/>
    <w:rsid w:val="00695D05"/>
    <w:rsid w:val="006966A2"/>
    <w:rsid w:val="0069708B"/>
    <w:rsid w:val="00697301"/>
    <w:rsid w:val="00697678"/>
    <w:rsid w:val="00697B0D"/>
    <w:rsid w:val="006A0E88"/>
    <w:rsid w:val="006A1340"/>
    <w:rsid w:val="006A1AB2"/>
    <w:rsid w:val="006A1BE9"/>
    <w:rsid w:val="006A28A0"/>
    <w:rsid w:val="006A28A1"/>
    <w:rsid w:val="006A2C19"/>
    <w:rsid w:val="006A327D"/>
    <w:rsid w:val="006A330E"/>
    <w:rsid w:val="006A3B24"/>
    <w:rsid w:val="006A3B4B"/>
    <w:rsid w:val="006A3DEF"/>
    <w:rsid w:val="006A4D58"/>
    <w:rsid w:val="006A56E2"/>
    <w:rsid w:val="006A5754"/>
    <w:rsid w:val="006A5B3D"/>
    <w:rsid w:val="006A5BF5"/>
    <w:rsid w:val="006A5FC3"/>
    <w:rsid w:val="006A6EEC"/>
    <w:rsid w:val="006A6F8F"/>
    <w:rsid w:val="006B04FA"/>
    <w:rsid w:val="006B10B3"/>
    <w:rsid w:val="006B2567"/>
    <w:rsid w:val="006B31EC"/>
    <w:rsid w:val="006B3338"/>
    <w:rsid w:val="006B3397"/>
    <w:rsid w:val="006B3631"/>
    <w:rsid w:val="006B3B9B"/>
    <w:rsid w:val="006B3BA7"/>
    <w:rsid w:val="006B3CC6"/>
    <w:rsid w:val="006B48C9"/>
    <w:rsid w:val="006B4B8D"/>
    <w:rsid w:val="006B4EEB"/>
    <w:rsid w:val="006B5BC0"/>
    <w:rsid w:val="006B6963"/>
    <w:rsid w:val="006B6C14"/>
    <w:rsid w:val="006B6D9E"/>
    <w:rsid w:val="006B78AB"/>
    <w:rsid w:val="006B78AD"/>
    <w:rsid w:val="006C0492"/>
    <w:rsid w:val="006C0859"/>
    <w:rsid w:val="006C0953"/>
    <w:rsid w:val="006C0AAF"/>
    <w:rsid w:val="006C0AD4"/>
    <w:rsid w:val="006C11C5"/>
    <w:rsid w:val="006C1D10"/>
    <w:rsid w:val="006C1DB5"/>
    <w:rsid w:val="006C33D7"/>
    <w:rsid w:val="006C3C95"/>
    <w:rsid w:val="006C3F9F"/>
    <w:rsid w:val="006C40DD"/>
    <w:rsid w:val="006C42AC"/>
    <w:rsid w:val="006C43A6"/>
    <w:rsid w:val="006C470F"/>
    <w:rsid w:val="006C4C4A"/>
    <w:rsid w:val="006C50B1"/>
    <w:rsid w:val="006C5544"/>
    <w:rsid w:val="006C582D"/>
    <w:rsid w:val="006C5885"/>
    <w:rsid w:val="006C5BB6"/>
    <w:rsid w:val="006C5DFE"/>
    <w:rsid w:val="006C614E"/>
    <w:rsid w:val="006C648E"/>
    <w:rsid w:val="006C73E4"/>
    <w:rsid w:val="006C76E5"/>
    <w:rsid w:val="006C7DE6"/>
    <w:rsid w:val="006D004F"/>
    <w:rsid w:val="006D130C"/>
    <w:rsid w:val="006D1786"/>
    <w:rsid w:val="006D1ECC"/>
    <w:rsid w:val="006D23CB"/>
    <w:rsid w:val="006D2762"/>
    <w:rsid w:val="006D2AA9"/>
    <w:rsid w:val="006D3477"/>
    <w:rsid w:val="006D3659"/>
    <w:rsid w:val="006D3A20"/>
    <w:rsid w:val="006D4455"/>
    <w:rsid w:val="006D5414"/>
    <w:rsid w:val="006D56CE"/>
    <w:rsid w:val="006D59B7"/>
    <w:rsid w:val="006D59C7"/>
    <w:rsid w:val="006D5C26"/>
    <w:rsid w:val="006D6CD5"/>
    <w:rsid w:val="006D6EB8"/>
    <w:rsid w:val="006D7AFE"/>
    <w:rsid w:val="006E04EA"/>
    <w:rsid w:val="006E07B3"/>
    <w:rsid w:val="006E0E76"/>
    <w:rsid w:val="006E140A"/>
    <w:rsid w:val="006E1523"/>
    <w:rsid w:val="006E16C5"/>
    <w:rsid w:val="006E1913"/>
    <w:rsid w:val="006E1A6A"/>
    <w:rsid w:val="006E1FB7"/>
    <w:rsid w:val="006E260B"/>
    <w:rsid w:val="006E2701"/>
    <w:rsid w:val="006E27ED"/>
    <w:rsid w:val="006E2BDC"/>
    <w:rsid w:val="006E3036"/>
    <w:rsid w:val="006E3247"/>
    <w:rsid w:val="006E3C81"/>
    <w:rsid w:val="006E3F07"/>
    <w:rsid w:val="006E3F86"/>
    <w:rsid w:val="006E432B"/>
    <w:rsid w:val="006E4351"/>
    <w:rsid w:val="006E4860"/>
    <w:rsid w:val="006E4BA9"/>
    <w:rsid w:val="006E5602"/>
    <w:rsid w:val="006E5F8C"/>
    <w:rsid w:val="006E663F"/>
    <w:rsid w:val="006E6A19"/>
    <w:rsid w:val="006E6DF3"/>
    <w:rsid w:val="006E6E5F"/>
    <w:rsid w:val="006E7519"/>
    <w:rsid w:val="006E7AD6"/>
    <w:rsid w:val="006F061F"/>
    <w:rsid w:val="006F0C90"/>
    <w:rsid w:val="006F112F"/>
    <w:rsid w:val="006F14DA"/>
    <w:rsid w:val="006F1B6E"/>
    <w:rsid w:val="006F2C77"/>
    <w:rsid w:val="006F3DAB"/>
    <w:rsid w:val="006F3E73"/>
    <w:rsid w:val="006F4903"/>
    <w:rsid w:val="006F49EE"/>
    <w:rsid w:val="006F4DFC"/>
    <w:rsid w:val="006F533F"/>
    <w:rsid w:val="006F5468"/>
    <w:rsid w:val="006F600A"/>
    <w:rsid w:val="006F6361"/>
    <w:rsid w:val="006F64FF"/>
    <w:rsid w:val="006F658B"/>
    <w:rsid w:val="006F6A02"/>
    <w:rsid w:val="006F73AB"/>
    <w:rsid w:val="006F772B"/>
    <w:rsid w:val="006F79C9"/>
    <w:rsid w:val="006F7A8B"/>
    <w:rsid w:val="006F7C5F"/>
    <w:rsid w:val="007005C8"/>
    <w:rsid w:val="00700EAB"/>
    <w:rsid w:val="00701340"/>
    <w:rsid w:val="00702403"/>
    <w:rsid w:val="00702499"/>
    <w:rsid w:val="0070261C"/>
    <w:rsid w:val="00702697"/>
    <w:rsid w:val="00702EF6"/>
    <w:rsid w:val="007035CE"/>
    <w:rsid w:val="00703F0A"/>
    <w:rsid w:val="007043B7"/>
    <w:rsid w:val="007049CA"/>
    <w:rsid w:val="00705261"/>
    <w:rsid w:val="00705279"/>
    <w:rsid w:val="00705317"/>
    <w:rsid w:val="00705BD8"/>
    <w:rsid w:val="00705CBD"/>
    <w:rsid w:val="00706E95"/>
    <w:rsid w:val="00706EC5"/>
    <w:rsid w:val="0070706E"/>
    <w:rsid w:val="00707092"/>
    <w:rsid w:val="00707121"/>
    <w:rsid w:val="007074C1"/>
    <w:rsid w:val="00707827"/>
    <w:rsid w:val="00710359"/>
    <w:rsid w:val="00710722"/>
    <w:rsid w:val="00710DDA"/>
    <w:rsid w:val="0071123F"/>
    <w:rsid w:val="007114C2"/>
    <w:rsid w:val="00712656"/>
    <w:rsid w:val="007126C7"/>
    <w:rsid w:val="00712C93"/>
    <w:rsid w:val="00712EBE"/>
    <w:rsid w:val="00713076"/>
    <w:rsid w:val="00714050"/>
    <w:rsid w:val="0071495A"/>
    <w:rsid w:val="007149FD"/>
    <w:rsid w:val="00714DC1"/>
    <w:rsid w:val="00714E4F"/>
    <w:rsid w:val="007151D6"/>
    <w:rsid w:val="007156D6"/>
    <w:rsid w:val="00716A7E"/>
    <w:rsid w:val="007173D6"/>
    <w:rsid w:val="00717517"/>
    <w:rsid w:val="007176CD"/>
    <w:rsid w:val="00717E1B"/>
    <w:rsid w:val="00720519"/>
    <w:rsid w:val="00720705"/>
    <w:rsid w:val="00720BCA"/>
    <w:rsid w:val="007217C3"/>
    <w:rsid w:val="007219F1"/>
    <w:rsid w:val="00721A51"/>
    <w:rsid w:val="007235DB"/>
    <w:rsid w:val="0072527F"/>
    <w:rsid w:val="00725B02"/>
    <w:rsid w:val="007260FC"/>
    <w:rsid w:val="00726335"/>
    <w:rsid w:val="00726891"/>
    <w:rsid w:val="00727DAD"/>
    <w:rsid w:val="0073003B"/>
    <w:rsid w:val="00730462"/>
    <w:rsid w:val="00731178"/>
    <w:rsid w:val="007313FC"/>
    <w:rsid w:val="007314B1"/>
    <w:rsid w:val="00731791"/>
    <w:rsid w:val="007324A8"/>
    <w:rsid w:val="00732557"/>
    <w:rsid w:val="007326F8"/>
    <w:rsid w:val="007329B3"/>
    <w:rsid w:val="00732F1D"/>
    <w:rsid w:val="00732F25"/>
    <w:rsid w:val="007331C6"/>
    <w:rsid w:val="0073367F"/>
    <w:rsid w:val="00733824"/>
    <w:rsid w:val="0073538F"/>
    <w:rsid w:val="00736413"/>
    <w:rsid w:val="00736909"/>
    <w:rsid w:val="00736C73"/>
    <w:rsid w:val="00736E18"/>
    <w:rsid w:val="007372DA"/>
    <w:rsid w:val="00737B81"/>
    <w:rsid w:val="00737BE3"/>
    <w:rsid w:val="0074024B"/>
    <w:rsid w:val="007406E7"/>
    <w:rsid w:val="00740CC7"/>
    <w:rsid w:val="00740FB4"/>
    <w:rsid w:val="00741C87"/>
    <w:rsid w:val="00741FCD"/>
    <w:rsid w:val="007429AE"/>
    <w:rsid w:val="00742C71"/>
    <w:rsid w:val="00742CC0"/>
    <w:rsid w:val="007437CD"/>
    <w:rsid w:val="00743845"/>
    <w:rsid w:val="00743FEB"/>
    <w:rsid w:val="007444C1"/>
    <w:rsid w:val="00744AD1"/>
    <w:rsid w:val="00744DF3"/>
    <w:rsid w:val="00745709"/>
    <w:rsid w:val="00745DA5"/>
    <w:rsid w:val="00745EDA"/>
    <w:rsid w:val="00746F31"/>
    <w:rsid w:val="0074770D"/>
    <w:rsid w:val="00747761"/>
    <w:rsid w:val="00747CC2"/>
    <w:rsid w:val="00750315"/>
    <w:rsid w:val="0075057F"/>
    <w:rsid w:val="00750B0F"/>
    <w:rsid w:val="00751A4C"/>
    <w:rsid w:val="00751D2E"/>
    <w:rsid w:val="00751DCC"/>
    <w:rsid w:val="007522D4"/>
    <w:rsid w:val="007523DD"/>
    <w:rsid w:val="0075267F"/>
    <w:rsid w:val="00752779"/>
    <w:rsid w:val="007528D7"/>
    <w:rsid w:val="007529C6"/>
    <w:rsid w:val="00752BF7"/>
    <w:rsid w:val="00753663"/>
    <w:rsid w:val="00753A2D"/>
    <w:rsid w:val="00753A6B"/>
    <w:rsid w:val="00753D0E"/>
    <w:rsid w:val="00753E9E"/>
    <w:rsid w:val="00754637"/>
    <w:rsid w:val="0075493D"/>
    <w:rsid w:val="00755F29"/>
    <w:rsid w:val="0075613B"/>
    <w:rsid w:val="00756601"/>
    <w:rsid w:val="00756898"/>
    <w:rsid w:val="00756BC6"/>
    <w:rsid w:val="007571D8"/>
    <w:rsid w:val="007573C8"/>
    <w:rsid w:val="00757D5F"/>
    <w:rsid w:val="007607F0"/>
    <w:rsid w:val="00760C95"/>
    <w:rsid w:val="00761841"/>
    <w:rsid w:val="00762051"/>
    <w:rsid w:val="00762A57"/>
    <w:rsid w:val="00762DD0"/>
    <w:rsid w:val="00762DDF"/>
    <w:rsid w:val="00763C73"/>
    <w:rsid w:val="007642C9"/>
    <w:rsid w:val="00764F01"/>
    <w:rsid w:val="007650B3"/>
    <w:rsid w:val="007651AC"/>
    <w:rsid w:val="00765FD2"/>
    <w:rsid w:val="00766645"/>
    <w:rsid w:val="00767D72"/>
    <w:rsid w:val="007700C4"/>
    <w:rsid w:val="00771457"/>
    <w:rsid w:val="007715D7"/>
    <w:rsid w:val="00771641"/>
    <w:rsid w:val="00771CDD"/>
    <w:rsid w:val="00771D4E"/>
    <w:rsid w:val="00772622"/>
    <w:rsid w:val="00772B0E"/>
    <w:rsid w:val="00772B1F"/>
    <w:rsid w:val="00772C4C"/>
    <w:rsid w:val="00772E4C"/>
    <w:rsid w:val="007730C2"/>
    <w:rsid w:val="007730F7"/>
    <w:rsid w:val="00773C70"/>
    <w:rsid w:val="00773CFE"/>
    <w:rsid w:val="00774088"/>
    <w:rsid w:val="007741B2"/>
    <w:rsid w:val="00774C8D"/>
    <w:rsid w:val="007751FF"/>
    <w:rsid w:val="00775516"/>
    <w:rsid w:val="00775CD5"/>
    <w:rsid w:val="00775DD1"/>
    <w:rsid w:val="0077637E"/>
    <w:rsid w:val="0077644E"/>
    <w:rsid w:val="00776501"/>
    <w:rsid w:val="00776566"/>
    <w:rsid w:val="007774A6"/>
    <w:rsid w:val="007776DD"/>
    <w:rsid w:val="0077785B"/>
    <w:rsid w:val="007803EF"/>
    <w:rsid w:val="007811B2"/>
    <w:rsid w:val="00781869"/>
    <w:rsid w:val="00781F87"/>
    <w:rsid w:val="007823B5"/>
    <w:rsid w:val="00782818"/>
    <w:rsid w:val="0078408A"/>
    <w:rsid w:val="007840B0"/>
    <w:rsid w:val="00784FDC"/>
    <w:rsid w:val="00785121"/>
    <w:rsid w:val="007858D0"/>
    <w:rsid w:val="00785E5F"/>
    <w:rsid w:val="00786696"/>
    <w:rsid w:val="00786833"/>
    <w:rsid w:val="00786939"/>
    <w:rsid w:val="00786A20"/>
    <w:rsid w:val="00786C40"/>
    <w:rsid w:val="00787226"/>
    <w:rsid w:val="007876EC"/>
    <w:rsid w:val="00787768"/>
    <w:rsid w:val="00787B9D"/>
    <w:rsid w:val="0079010B"/>
    <w:rsid w:val="007906CE"/>
    <w:rsid w:val="007908F2"/>
    <w:rsid w:val="00790A85"/>
    <w:rsid w:val="00790EE6"/>
    <w:rsid w:val="00790EE8"/>
    <w:rsid w:val="00790FDE"/>
    <w:rsid w:val="0079119D"/>
    <w:rsid w:val="0079122D"/>
    <w:rsid w:val="00791419"/>
    <w:rsid w:val="00791691"/>
    <w:rsid w:val="00791B6E"/>
    <w:rsid w:val="00791BD6"/>
    <w:rsid w:val="00791F0F"/>
    <w:rsid w:val="00792E45"/>
    <w:rsid w:val="00793648"/>
    <w:rsid w:val="00793989"/>
    <w:rsid w:val="00794CA7"/>
    <w:rsid w:val="00797A68"/>
    <w:rsid w:val="00797D1F"/>
    <w:rsid w:val="007A043D"/>
    <w:rsid w:val="007A0A1E"/>
    <w:rsid w:val="007A1640"/>
    <w:rsid w:val="007A16CC"/>
    <w:rsid w:val="007A20E5"/>
    <w:rsid w:val="007A2A65"/>
    <w:rsid w:val="007A2BDA"/>
    <w:rsid w:val="007A321B"/>
    <w:rsid w:val="007A359B"/>
    <w:rsid w:val="007A3C37"/>
    <w:rsid w:val="007A4231"/>
    <w:rsid w:val="007A435E"/>
    <w:rsid w:val="007A53E0"/>
    <w:rsid w:val="007A5EA8"/>
    <w:rsid w:val="007A6067"/>
    <w:rsid w:val="007A6B47"/>
    <w:rsid w:val="007A71AD"/>
    <w:rsid w:val="007A7303"/>
    <w:rsid w:val="007A77F2"/>
    <w:rsid w:val="007A7820"/>
    <w:rsid w:val="007A7C37"/>
    <w:rsid w:val="007B018A"/>
    <w:rsid w:val="007B0B65"/>
    <w:rsid w:val="007B0B6B"/>
    <w:rsid w:val="007B0D9E"/>
    <w:rsid w:val="007B13A6"/>
    <w:rsid w:val="007B20DF"/>
    <w:rsid w:val="007B2148"/>
    <w:rsid w:val="007B284C"/>
    <w:rsid w:val="007B2DCC"/>
    <w:rsid w:val="007B2E3D"/>
    <w:rsid w:val="007B3399"/>
    <w:rsid w:val="007B40F6"/>
    <w:rsid w:val="007B530B"/>
    <w:rsid w:val="007B5E55"/>
    <w:rsid w:val="007B61AC"/>
    <w:rsid w:val="007B634F"/>
    <w:rsid w:val="007B6B14"/>
    <w:rsid w:val="007B6C52"/>
    <w:rsid w:val="007B7087"/>
    <w:rsid w:val="007C0103"/>
    <w:rsid w:val="007C187B"/>
    <w:rsid w:val="007C1E3E"/>
    <w:rsid w:val="007C2FE9"/>
    <w:rsid w:val="007C355D"/>
    <w:rsid w:val="007C35E6"/>
    <w:rsid w:val="007C395A"/>
    <w:rsid w:val="007C39E7"/>
    <w:rsid w:val="007C3EED"/>
    <w:rsid w:val="007C4CA7"/>
    <w:rsid w:val="007C50B2"/>
    <w:rsid w:val="007C52E0"/>
    <w:rsid w:val="007C5781"/>
    <w:rsid w:val="007C5886"/>
    <w:rsid w:val="007C5D86"/>
    <w:rsid w:val="007C622D"/>
    <w:rsid w:val="007C66C0"/>
    <w:rsid w:val="007C6C62"/>
    <w:rsid w:val="007C772D"/>
    <w:rsid w:val="007C7C91"/>
    <w:rsid w:val="007C7EBC"/>
    <w:rsid w:val="007D0E5B"/>
    <w:rsid w:val="007D0FC0"/>
    <w:rsid w:val="007D1067"/>
    <w:rsid w:val="007D1139"/>
    <w:rsid w:val="007D11D1"/>
    <w:rsid w:val="007D1254"/>
    <w:rsid w:val="007D1E93"/>
    <w:rsid w:val="007D29D3"/>
    <w:rsid w:val="007D2FAF"/>
    <w:rsid w:val="007D3566"/>
    <w:rsid w:val="007D38F6"/>
    <w:rsid w:val="007D3A0D"/>
    <w:rsid w:val="007D4618"/>
    <w:rsid w:val="007D4A3D"/>
    <w:rsid w:val="007D4F62"/>
    <w:rsid w:val="007D50B1"/>
    <w:rsid w:val="007D573E"/>
    <w:rsid w:val="007D67AE"/>
    <w:rsid w:val="007D6ACD"/>
    <w:rsid w:val="007D73E8"/>
    <w:rsid w:val="007D7985"/>
    <w:rsid w:val="007D7BD7"/>
    <w:rsid w:val="007D7F13"/>
    <w:rsid w:val="007E05CB"/>
    <w:rsid w:val="007E0A83"/>
    <w:rsid w:val="007E0B57"/>
    <w:rsid w:val="007E161B"/>
    <w:rsid w:val="007E189A"/>
    <w:rsid w:val="007E1F0B"/>
    <w:rsid w:val="007E251D"/>
    <w:rsid w:val="007E2570"/>
    <w:rsid w:val="007E27D3"/>
    <w:rsid w:val="007E338E"/>
    <w:rsid w:val="007E4C23"/>
    <w:rsid w:val="007E5BAB"/>
    <w:rsid w:val="007E5BF6"/>
    <w:rsid w:val="007E5C4E"/>
    <w:rsid w:val="007E772B"/>
    <w:rsid w:val="007E7CA8"/>
    <w:rsid w:val="007F17D2"/>
    <w:rsid w:val="007F1A27"/>
    <w:rsid w:val="007F1B58"/>
    <w:rsid w:val="007F1B79"/>
    <w:rsid w:val="007F24CE"/>
    <w:rsid w:val="007F35DC"/>
    <w:rsid w:val="007F377B"/>
    <w:rsid w:val="007F3873"/>
    <w:rsid w:val="007F499F"/>
    <w:rsid w:val="007F622D"/>
    <w:rsid w:val="007F62DC"/>
    <w:rsid w:val="007F6C8F"/>
    <w:rsid w:val="007F742B"/>
    <w:rsid w:val="007F75D2"/>
    <w:rsid w:val="007F778D"/>
    <w:rsid w:val="007F7C27"/>
    <w:rsid w:val="00800359"/>
    <w:rsid w:val="008006C8"/>
    <w:rsid w:val="00800756"/>
    <w:rsid w:val="008010B7"/>
    <w:rsid w:val="00801504"/>
    <w:rsid w:val="00801A23"/>
    <w:rsid w:val="00801ADD"/>
    <w:rsid w:val="0080200A"/>
    <w:rsid w:val="0080211B"/>
    <w:rsid w:val="00802E07"/>
    <w:rsid w:val="00803479"/>
    <w:rsid w:val="008034ED"/>
    <w:rsid w:val="0080352B"/>
    <w:rsid w:val="00803C8F"/>
    <w:rsid w:val="008045B9"/>
    <w:rsid w:val="008045DA"/>
    <w:rsid w:val="00804D9D"/>
    <w:rsid w:val="00805408"/>
    <w:rsid w:val="008055D3"/>
    <w:rsid w:val="008057F6"/>
    <w:rsid w:val="00805880"/>
    <w:rsid w:val="00805B31"/>
    <w:rsid w:val="00806174"/>
    <w:rsid w:val="00806716"/>
    <w:rsid w:val="00806C89"/>
    <w:rsid w:val="00806D8E"/>
    <w:rsid w:val="008073E6"/>
    <w:rsid w:val="008074A4"/>
    <w:rsid w:val="008078BD"/>
    <w:rsid w:val="008078EA"/>
    <w:rsid w:val="00807BB5"/>
    <w:rsid w:val="00807CB3"/>
    <w:rsid w:val="00807F64"/>
    <w:rsid w:val="008102D5"/>
    <w:rsid w:val="0081069B"/>
    <w:rsid w:val="008109AD"/>
    <w:rsid w:val="00810B8D"/>
    <w:rsid w:val="00811B25"/>
    <w:rsid w:val="00811E7C"/>
    <w:rsid w:val="00812043"/>
    <w:rsid w:val="00812420"/>
    <w:rsid w:val="0081319B"/>
    <w:rsid w:val="008132EF"/>
    <w:rsid w:val="008137DE"/>
    <w:rsid w:val="00813E5B"/>
    <w:rsid w:val="00813F0B"/>
    <w:rsid w:val="00814048"/>
    <w:rsid w:val="008142BF"/>
    <w:rsid w:val="0081434B"/>
    <w:rsid w:val="00815121"/>
    <w:rsid w:val="008152CC"/>
    <w:rsid w:val="00815447"/>
    <w:rsid w:val="00815A99"/>
    <w:rsid w:val="00815BC6"/>
    <w:rsid w:val="00816253"/>
    <w:rsid w:val="00816558"/>
    <w:rsid w:val="00817367"/>
    <w:rsid w:val="00817AF6"/>
    <w:rsid w:val="00817DF1"/>
    <w:rsid w:val="00820306"/>
    <w:rsid w:val="00820624"/>
    <w:rsid w:val="00821D7D"/>
    <w:rsid w:val="008220DF"/>
    <w:rsid w:val="00822695"/>
    <w:rsid w:val="00822C85"/>
    <w:rsid w:val="00822CB7"/>
    <w:rsid w:val="00822DE0"/>
    <w:rsid w:val="008242B7"/>
    <w:rsid w:val="00824B44"/>
    <w:rsid w:val="008250F4"/>
    <w:rsid w:val="00825841"/>
    <w:rsid w:val="00825899"/>
    <w:rsid w:val="00826078"/>
    <w:rsid w:val="0082608C"/>
    <w:rsid w:val="00826836"/>
    <w:rsid w:val="00826AAF"/>
    <w:rsid w:val="00826C1D"/>
    <w:rsid w:val="008270A9"/>
    <w:rsid w:val="0082751C"/>
    <w:rsid w:val="00827A46"/>
    <w:rsid w:val="00827C54"/>
    <w:rsid w:val="00827DE0"/>
    <w:rsid w:val="0083000D"/>
    <w:rsid w:val="00830DFE"/>
    <w:rsid w:val="00831061"/>
    <w:rsid w:val="0083162E"/>
    <w:rsid w:val="00832172"/>
    <w:rsid w:val="008322EC"/>
    <w:rsid w:val="00832323"/>
    <w:rsid w:val="00832C04"/>
    <w:rsid w:val="008337E2"/>
    <w:rsid w:val="00833DE4"/>
    <w:rsid w:val="00833E90"/>
    <w:rsid w:val="00834667"/>
    <w:rsid w:val="008346AC"/>
    <w:rsid w:val="0083493F"/>
    <w:rsid w:val="0083595D"/>
    <w:rsid w:val="00835C20"/>
    <w:rsid w:val="008369B9"/>
    <w:rsid w:val="00836A9B"/>
    <w:rsid w:val="00836B00"/>
    <w:rsid w:val="008370FA"/>
    <w:rsid w:val="008400DB"/>
    <w:rsid w:val="008409E1"/>
    <w:rsid w:val="00841738"/>
    <w:rsid w:val="00841F2E"/>
    <w:rsid w:val="008424F4"/>
    <w:rsid w:val="0084274C"/>
    <w:rsid w:val="00842CD5"/>
    <w:rsid w:val="00842D46"/>
    <w:rsid w:val="0084338A"/>
    <w:rsid w:val="008439AB"/>
    <w:rsid w:val="00843D01"/>
    <w:rsid w:val="00843EEA"/>
    <w:rsid w:val="00844770"/>
    <w:rsid w:val="00845122"/>
    <w:rsid w:val="0084593B"/>
    <w:rsid w:val="008460DA"/>
    <w:rsid w:val="008477B2"/>
    <w:rsid w:val="00847C39"/>
    <w:rsid w:val="00847E40"/>
    <w:rsid w:val="0085027C"/>
    <w:rsid w:val="00850846"/>
    <w:rsid w:val="00850CAB"/>
    <w:rsid w:val="00851BA7"/>
    <w:rsid w:val="00852177"/>
    <w:rsid w:val="00852C04"/>
    <w:rsid w:val="00853624"/>
    <w:rsid w:val="00854034"/>
    <w:rsid w:val="00854200"/>
    <w:rsid w:val="00854800"/>
    <w:rsid w:val="00854809"/>
    <w:rsid w:val="00854893"/>
    <w:rsid w:val="00854E9C"/>
    <w:rsid w:val="00855A15"/>
    <w:rsid w:val="00856D63"/>
    <w:rsid w:val="008570B4"/>
    <w:rsid w:val="0086020D"/>
    <w:rsid w:val="00860AEF"/>
    <w:rsid w:val="00860E8D"/>
    <w:rsid w:val="00860EB3"/>
    <w:rsid w:val="00861644"/>
    <w:rsid w:val="008629BB"/>
    <w:rsid w:val="00862B38"/>
    <w:rsid w:val="00862EB0"/>
    <w:rsid w:val="00862F1D"/>
    <w:rsid w:val="00863A42"/>
    <w:rsid w:val="00864C4B"/>
    <w:rsid w:val="00865435"/>
    <w:rsid w:val="008661FE"/>
    <w:rsid w:val="0086651A"/>
    <w:rsid w:val="008667AC"/>
    <w:rsid w:val="00866E34"/>
    <w:rsid w:val="00866E81"/>
    <w:rsid w:val="0086702D"/>
    <w:rsid w:val="0086717B"/>
    <w:rsid w:val="008673F6"/>
    <w:rsid w:val="00867F5C"/>
    <w:rsid w:val="008700AC"/>
    <w:rsid w:val="00870104"/>
    <w:rsid w:val="00870C84"/>
    <w:rsid w:val="008712AF"/>
    <w:rsid w:val="008713D9"/>
    <w:rsid w:val="008716F2"/>
    <w:rsid w:val="00871A0D"/>
    <w:rsid w:val="00871F8D"/>
    <w:rsid w:val="00872649"/>
    <w:rsid w:val="008727B6"/>
    <w:rsid w:val="008729EF"/>
    <w:rsid w:val="00873854"/>
    <w:rsid w:val="00874D59"/>
    <w:rsid w:val="00875400"/>
    <w:rsid w:val="008756C9"/>
    <w:rsid w:val="008759F8"/>
    <w:rsid w:val="00875CBF"/>
    <w:rsid w:val="00875EF5"/>
    <w:rsid w:val="00876127"/>
    <w:rsid w:val="008761F7"/>
    <w:rsid w:val="00876F34"/>
    <w:rsid w:val="008772AF"/>
    <w:rsid w:val="00877CC4"/>
    <w:rsid w:val="0088006E"/>
    <w:rsid w:val="008800D6"/>
    <w:rsid w:val="00880398"/>
    <w:rsid w:val="008804B0"/>
    <w:rsid w:val="0088066D"/>
    <w:rsid w:val="00880946"/>
    <w:rsid w:val="008816B2"/>
    <w:rsid w:val="00881ACE"/>
    <w:rsid w:val="00882150"/>
    <w:rsid w:val="008829C7"/>
    <w:rsid w:val="0088345D"/>
    <w:rsid w:val="00883515"/>
    <w:rsid w:val="0088368E"/>
    <w:rsid w:val="00883C4F"/>
    <w:rsid w:val="00883C6B"/>
    <w:rsid w:val="00884C9A"/>
    <w:rsid w:val="00884D03"/>
    <w:rsid w:val="008853D5"/>
    <w:rsid w:val="008856A4"/>
    <w:rsid w:val="00885CB5"/>
    <w:rsid w:val="00886391"/>
    <w:rsid w:val="008864C5"/>
    <w:rsid w:val="0088690B"/>
    <w:rsid w:val="00887C4E"/>
    <w:rsid w:val="00887CEE"/>
    <w:rsid w:val="00887F99"/>
    <w:rsid w:val="0089129E"/>
    <w:rsid w:val="00891A37"/>
    <w:rsid w:val="00891BC1"/>
    <w:rsid w:val="008921FF"/>
    <w:rsid w:val="008929DE"/>
    <w:rsid w:val="00892B42"/>
    <w:rsid w:val="008931AF"/>
    <w:rsid w:val="0089324B"/>
    <w:rsid w:val="00893527"/>
    <w:rsid w:val="00893993"/>
    <w:rsid w:val="00893ED0"/>
    <w:rsid w:val="008946E1"/>
    <w:rsid w:val="00895407"/>
    <w:rsid w:val="00895455"/>
    <w:rsid w:val="00896D08"/>
    <w:rsid w:val="00896FAF"/>
    <w:rsid w:val="008978BC"/>
    <w:rsid w:val="00897B1F"/>
    <w:rsid w:val="00897E9A"/>
    <w:rsid w:val="008A06FD"/>
    <w:rsid w:val="008A0A0B"/>
    <w:rsid w:val="008A15D4"/>
    <w:rsid w:val="008A16E6"/>
    <w:rsid w:val="008A181C"/>
    <w:rsid w:val="008A1A80"/>
    <w:rsid w:val="008A1D6F"/>
    <w:rsid w:val="008A2089"/>
    <w:rsid w:val="008A22C6"/>
    <w:rsid w:val="008A27F8"/>
    <w:rsid w:val="008A2915"/>
    <w:rsid w:val="008A309F"/>
    <w:rsid w:val="008A37C7"/>
    <w:rsid w:val="008A3F0E"/>
    <w:rsid w:val="008A3F43"/>
    <w:rsid w:val="008A45FF"/>
    <w:rsid w:val="008A6083"/>
    <w:rsid w:val="008A6329"/>
    <w:rsid w:val="008A66F9"/>
    <w:rsid w:val="008A6DB2"/>
    <w:rsid w:val="008A7072"/>
    <w:rsid w:val="008A7292"/>
    <w:rsid w:val="008B0153"/>
    <w:rsid w:val="008B06D5"/>
    <w:rsid w:val="008B1D35"/>
    <w:rsid w:val="008B2F85"/>
    <w:rsid w:val="008B4158"/>
    <w:rsid w:val="008B41CD"/>
    <w:rsid w:val="008B4D25"/>
    <w:rsid w:val="008B5525"/>
    <w:rsid w:val="008B5685"/>
    <w:rsid w:val="008B5725"/>
    <w:rsid w:val="008B62BB"/>
    <w:rsid w:val="008B6F45"/>
    <w:rsid w:val="008B7701"/>
    <w:rsid w:val="008B77C5"/>
    <w:rsid w:val="008C0683"/>
    <w:rsid w:val="008C0CDB"/>
    <w:rsid w:val="008C1423"/>
    <w:rsid w:val="008C2490"/>
    <w:rsid w:val="008C3225"/>
    <w:rsid w:val="008C32B3"/>
    <w:rsid w:val="008C3946"/>
    <w:rsid w:val="008C4AE1"/>
    <w:rsid w:val="008C4B4C"/>
    <w:rsid w:val="008C4E4D"/>
    <w:rsid w:val="008C52D7"/>
    <w:rsid w:val="008C5F75"/>
    <w:rsid w:val="008C659B"/>
    <w:rsid w:val="008C70D2"/>
    <w:rsid w:val="008C78F4"/>
    <w:rsid w:val="008C78FF"/>
    <w:rsid w:val="008C7A96"/>
    <w:rsid w:val="008C7E66"/>
    <w:rsid w:val="008D0FFE"/>
    <w:rsid w:val="008D18E8"/>
    <w:rsid w:val="008D1DB0"/>
    <w:rsid w:val="008D2378"/>
    <w:rsid w:val="008D39D3"/>
    <w:rsid w:val="008D4105"/>
    <w:rsid w:val="008D5C03"/>
    <w:rsid w:val="008D5C62"/>
    <w:rsid w:val="008D62ED"/>
    <w:rsid w:val="008D68BA"/>
    <w:rsid w:val="008D6CC4"/>
    <w:rsid w:val="008D7311"/>
    <w:rsid w:val="008E043F"/>
    <w:rsid w:val="008E0C9C"/>
    <w:rsid w:val="008E1101"/>
    <w:rsid w:val="008E1162"/>
    <w:rsid w:val="008E144A"/>
    <w:rsid w:val="008E1E50"/>
    <w:rsid w:val="008E1E56"/>
    <w:rsid w:val="008E23E4"/>
    <w:rsid w:val="008E254B"/>
    <w:rsid w:val="008E2566"/>
    <w:rsid w:val="008E261E"/>
    <w:rsid w:val="008E26FB"/>
    <w:rsid w:val="008E2AE3"/>
    <w:rsid w:val="008E2E71"/>
    <w:rsid w:val="008E31E2"/>
    <w:rsid w:val="008E3353"/>
    <w:rsid w:val="008E3A42"/>
    <w:rsid w:val="008E3C88"/>
    <w:rsid w:val="008E44E6"/>
    <w:rsid w:val="008E4A13"/>
    <w:rsid w:val="008E4C72"/>
    <w:rsid w:val="008E5187"/>
    <w:rsid w:val="008E5A49"/>
    <w:rsid w:val="008E615D"/>
    <w:rsid w:val="008E644E"/>
    <w:rsid w:val="008E7A50"/>
    <w:rsid w:val="008F079F"/>
    <w:rsid w:val="008F0802"/>
    <w:rsid w:val="008F08F5"/>
    <w:rsid w:val="008F1516"/>
    <w:rsid w:val="008F1B01"/>
    <w:rsid w:val="008F1D0C"/>
    <w:rsid w:val="008F2CAF"/>
    <w:rsid w:val="008F32C3"/>
    <w:rsid w:val="008F438A"/>
    <w:rsid w:val="008F58C6"/>
    <w:rsid w:val="008F5D63"/>
    <w:rsid w:val="008F627E"/>
    <w:rsid w:val="008F6D04"/>
    <w:rsid w:val="008F745B"/>
    <w:rsid w:val="008F755F"/>
    <w:rsid w:val="008F773E"/>
    <w:rsid w:val="008F7E36"/>
    <w:rsid w:val="00900659"/>
    <w:rsid w:val="00900FCF"/>
    <w:rsid w:val="0090107A"/>
    <w:rsid w:val="00901923"/>
    <w:rsid w:val="00901BFD"/>
    <w:rsid w:val="009025BF"/>
    <w:rsid w:val="00902F09"/>
    <w:rsid w:val="009035BD"/>
    <w:rsid w:val="00903937"/>
    <w:rsid w:val="00903A24"/>
    <w:rsid w:val="00903D26"/>
    <w:rsid w:val="00904293"/>
    <w:rsid w:val="00904AD5"/>
    <w:rsid w:val="00904C06"/>
    <w:rsid w:val="00905181"/>
    <w:rsid w:val="00905BCA"/>
    <w:rsid w:val="00906D76"/>
    <w:rsid w:val="009076AD"/>
    <w:rsid w:val="00907BF5"/>
    <w:rsid w:val="00910160"/>
    <w:rsid w:val="00910664"/>
    <w:rsid w:val="00910B04"/>
    <w:rsid w:val="0091117A"/>
    <w:rsid w:val="00911184"/>
    <w:rsid w:val="009117DE"/>
    <w:rsid w:val="00911AE8"/>
    <w:rsid w:val="00912935"/>
    <w:rsid w:val="00912B88"/>
    <w:rsid w:val="00912DC2"/>
    <w:rsid w:val="00913BC5"/>
    <w:rsid w:val="00913E91"/>
    <w:rsid w:val="009144ED"/>
    <w:rsid w:val="00914CD9"/>
    <w:rsid w:val="009156FD"/>
    <w:rsid w:val="00915BBA"/>
    <w:rsid w:val="00915D0C"/>
    <w:rsid w:val="009165F2"/>
    <w:rsid w:val="0091688A"/>
    <w:rsid w:val="00916B04"/>
    <w:rsid w:val="009203CC"/>
    <w:rsid w:val="00920497"/>
    <w:rsid w:val="0092081A"/>
    <w:rsid w:val="009215DD"/>
    <w:rsid w:val="009217B3"/>
    <w:rsid w:val="00921CD3"/>
    <w:rsid w:val="009225E0"/>
    <w:rsid w:val="0092364A"/>
    <w:rsid w:val="00923CB1"/>
    <w:rsid w:val="0092410E"/>
    <w:rsid w:val="00924403"/>
    <w:rsid w:val="00924A32"/>
    <w:rsid w:val="0092654D"/>
    <w:rsid w:val="009274B1"/>
    <w:rsid w:val="009279C5"/>
    <w:rsid w:val="00927A5E"/>
    <w:rsid w:val="00930339"/>
    <w:rsid w:val="00930E06"/>
    <w:rsid w:val="00931AD2"/>
    <w:rsid w:val="00932337"/>
    <w:rsid w:val="00932B7E"/>
    <w:rsid w:val="00932F41"/>
    <w:rsid w:val="009335B0"/>
    <w:rsid w:val="009337F9"/>
    <w:rsid w:val="00933920"/>
    <w:rsid w:val="00933C30"/>
    <w:rsid w:val="009346BE"/>
    <w:rsid w:val="0093475E"/>
    <w:rsid w:val="00934F54"/>
    <w:rsid w:val="00935DD1"/>
    <w:rsid w:val="009362E9"/>
    <w:rsid w:val="009364BF"/>
    <w:rsid w:val="009367F8"/>
    <w:rsid w:val="009408F9"/>
    <w:rsid w:val="00940F6E"/>
    <w:rsid w:val="00941095"/>
    <w:rsid w:val="00941168"/>
    <w:rsid w:val="009411C5"/>
    <w:rsid w:val="0094123D"/>
    <w:rsid w:val="009414E0"/>
    <w:rsid w:val="00941A74"/>
    <w:rsid w:val="00941AAE"/>
    <w:rsid w:val="00942DFA"/>
    <w:rsid w:val="00942FF3"/>
    <w:rsid w:val="00943774"/>
    <w:rsid w:val="0094416C"/>
    <w:rsid w:val="00944677"/>
    <w:rsid w:val="00944770"/>
    <w:rsid w:val="00944984"/>
    <w:rsid w:val="009449E8"/>
    <w:rsid w:val="009457FE"/>
    <w:rsid w:val="00945E0D"/>
    <w:rsid w:val="009466B0"/>
    <w:rsid w:val="009466DD"/>
    <w:rsid w:val="00947076"/>
    <w:rsid w:val="009473C4"/>
    <w:rsid w:val="00947888"/>
    <w:rsid w:val="009478F8"/>
    <w:rsid w:val="0095004A"/>
    <w:rsid w:val="0095080E"/>
    <w:rsid w:val="00950A9F"/>
    <w:rsid w:val="009515F6"/>
    <w:rsid w:val="0095173E"/>
    <w:rsid w:val="009524DC"/>
    <w:rsid w:val="0095276F"/>
    <w:rsid w:val="00952799"/>
    <w:rsid w:val="0095318E"/>
    <w:rsid w:val="00953574"/>
    <w:rsid w:val="00953B3D"/>
    <w:rsid w:val="0095457A"/>
    <w:rsid w:val="00954B1C"/>
    <w:rsid w:val="00955340"/>
    <w:rsid w:val="00955920"/>
    <w:rsid w:val="00955DC9"/>
    <w:rsid w:val="00955F65"/>
    <w:rsid w:val="00956623"/>
    <w:rsid w:val="009566D7"/>
    <w:rsid w:val="00956EEF"/>
    <w:rsid w:val="0095709D"/>
    <w:rsid w:val="0095756C"/>
    <w:rsid w:val="00957768"/>
    <w:rsid w:val="009579AA"/>
    <w:rsid w:val="00957A78"/>
    <w:rsid w:val="0096044D"/>
    <w:rsid w:val="009604F3"/>
    <w:rsid w:val="00960612"/>
    <w:rsid w:val="00960936"/>
    <w:rsid w:val="009611D7"/>
    <w:rsid w:val="00961B20"/>
    <w:rsid w:val="009620FA"/>
    <w:rsid w:val="0096317F"/>
    <w:rsid w:val="00963641"/>
    <w:rsid w:val="00963B5B"/>
    <w:rsid w:val="00963CE1"/>
    <w:rsid w:val="009640C3"/>
    <w:rsid w:val="00964B06"/>
    <w:rsid w:val="009652E8"/>
    <w:rsid w:val="009661F4"/>
    <w:rsid w:val="009662CD"/>
    <w:rsid w:val="0096786E"/>
    <w:rsid w:val="009709FA"/>
    <w:rsid w:val="00970F44"/>
    <w:rsid w:val="0097120D"/>
    <w:rsid w:val="00971392"/>
    <w:rsid w:val="00971D4D"/>
    <w:rsid w:val="00971EBC"/>
    <w:rsid w:val="00972A03"/>
    <w:rsid w:val="00972ABA"/>
    <w:rsid w:val="00972EE6"/>
    <w:rsid w:val="009735B9"/>
    <w:rsid w:val="009738C8"/>
    <w:rsid w:val="00973BA8"/>
    <w:rsid w:val="0097472A"/>
    <w:rsid w:val="00974AD2"/>
    <w:rsid w:val="00975542"/>
    <w:rsid w:val="00975C37"/>
    <w:rsid w:val="0097621C"/>
    <w:rsid w:val="0097685E"/>
    <w:rsid w:val="00976D80"/>
    <w:rsid w:val="00976FCD"/>
    <w:rsid w:val="0097744C"/>
    <w:rsid w:val="00977D40"/>
    <w:rsid w:val="00977E77"/>
    <w:rsid w:val="0098011D"/>
    <w:rsid w:val="009804A8"/>
    <w:rsid w:val="009810DF"/>
    <w:rsid w:val="00981397"/>
    <w:rsid w:val="009814DB"/>
    <w:rsid w:val="009818A6"/>
    <w:rsid w:val="00981A05"/>
    <w:rsid w:val="00981B63"/>
    <w:rsid w:val="00981CA5"/>
    <w:rsid w:val="00982367"/>
    <w:rsid w:val="00983A52"/>
    <w:rsid w:val="00983E7C"/>
    <w:rsid w:val="0098422E"/>
    <w:rsid w:val="00984977"/>
    <w:rsid w:val="0098517F"/>
    <w:rsid w:val="0098540F"/>
    <w:rsid w:val="009865A2"/>
    <w:rsid w:val="00987228"/>
    <w:rsid w:val="009879F7"/>
    <w:rsid w:val="00987D14"/>
    <w:rsid w:val="009908D3"/>
    <w:rsid w:val="00991068"/>
    <w:rsid w:val="00992524"/>
    <w:rsid w:val="00992569"/>
    <w:rsid w:val="009929E0"/>
    <w:rsid w:val="00993196"/>
    <w:rsid w:val="00993480"/>
    <w:rsid w:val="009936D2"/>
    <w:rsid w:val="00993B90"/>
    <w:rsid w:val="00993E0B"/>
    <w:rsid w:val="00994F6D"/>
    <w:rsid w:val="00995129"/>
    <w:rsid w:val="00995205"/>
    <w:rsid w:val="00995385"/>
    <w:rsid w:val="0099563B"/>
    <w:rsid w:val="00995752"/>
    <w:rsid w:val="00995F32"/>
    <w:rsid w:val="009961C2"/>
    <w:rsid w:val="009962A1"/>
    <w:rsid w:val="00996786"/>
    <w:rsid w:val="00996C93"/>
    <w:rsid w:val="00997021"/>
    <w:rsid w:val="00997613"/>
    <w:rsid w:val="00997677"/>
    <w:rsid w:val="00997969"/>
    <w:rsid w:val="00997E85"/>
    <w:rsid w:val="00997F8F"/>
    <w:rsid w:val="009A0354"/>
    <w:rsid w:val="009A0815"/>
    <w:rsid w:val="009A13DB"/>
    <w:rsid w:val="009A1A54"/>
    <w:rsid w:val="009A2194"/>
    <w:rsid w:val="009A24EE"/>
    <w:rsid w:val="009A30D2"/>
    <w:rsid w:val="009A4435"/>
    <w:rsid w:val="009A47ED"/>
    <w:rsid w:val="009A550F"/>
    <w:rsid w:val="009A5A1F"/>
    <w:rsid w:val="009A5E73"/>
    <w:rsid w:val="009A6674"/>
    <w:rsid w:val="009A7282"/>
    <w:rsid w:val="009A7B32"/>
    <w:rsid w:val="009A7C8B"/>
    <w:rsid w:val="009B0FFD"/>
    <w:rsid w:val="009B1284"/>
    <w:rsid w:val="009B14B2"/>
    <w:rsid w:val="009B1987"/>
    <w:rsid w:val="009B1D16"/>
    <w:rsid w:val="009B21A3"/>
    <w:rsid w:val="009B325A"/>
    <w:rsid w:val="009B34E5"/>
    <w:rsid w:val="009B3CBC"/>
    <w:rsid w:val="009B3CCC"/>
    <w:rsid w:val="009B439E"/>
    <w:rsid w:val="009B4551"/>
    <w:rsid w:val="009B4948"/>
    <w:rsid w:val="009B4F5B"/>
    <w:rsid w:val="009B6108"/>
    <w:rsid w:val="009B7346"/>
    <w:rsid w:val="009C079D"/>
    <w:rsid w:val="009C07D2"/>
    <w:rsid w:val="009C0E0B"/>
    <w:rsid w:val="009C206E"/>
    <w:rsid w:val="009C2198"/>
    <w:rsid w:val="009C3C84"/>
    <w:rsid w:val="009C4F80"/>
    <w:rsid w:val="009C50B3"/>
    <w:rsid w:val="009C689B"/>
    <w:rsid w:val="009C6F02"/>
    <w:rsid w:val="009C7A81"/>
    <w:rsid w:val="009D056A"/>
    <w:rsid w:val="009D0F65"/>
    <w:rsid w:val="009D110C"/>
    <w:rsid w:val="009D172F"/>
    <w:rsid w:val="009D184F"/>
    <w:rsid w:val="009D1CDC"/>
    <w:rsid w:val="009D1E8D"/>
    <w:rsid w:val="009D1FD1"/>
    <w:rsid w:val="009D1FDF"/>
    <w:rsid w:val="009D21F8"/>
    <w:rsid w:val="009D228C"/>
    <w:rsid w:val="009D2661"/>
    <w:rsid w:val="009D29EF"/>
    <w:rsid w:val="009D2F46"/>
    <w:rsid w:val="009D3B23"/>
    <w:rsid w:val="009D4B44"/>
    <w:rsid w:val="009D5442"/>
    <w:rsid w:val="009D5A82"/>
    <w:rsid w:val="009D7760"/>
    <w:rsid w:val="009D7946"/>
    <w:rsid w:val="009E0213"/>
    <w:rsid w:val="009E0B09"/>
    <w:rsid w:val="009E0FB7"/>
    <w:rsid w:val="009E1D85"/>
    <w:rsid w:val="009E2161"/>
    <w:rsid w:val="009E38E0"/>
    <w:rsid w:val="009E51BD"/>
    <w:rsid w:val="009E619D"/>
    <w:rsid w:val="009E6977"/>
    <w:rsid w:val="009E6DA9"/>
    <w:rsid w:val="009F0C95"/>
    <w:rsid w:val="009F14D6"/>
    <w:rsid w:val="009F178B"/>
    <w:rsid w:val="009F1C41"/>
    <w:rsid w:val="009F1D6B"/>
    <w:rsid w:val="009F1FD0"/>
    <w:rsid w:val="009F2650"/>
    <w:rsid w:val="009F3007"/>
    <w:rsid w:val="009F39E5"/>
    <w:rsid w:val="009F3C02"/>
    <w:rsid w:val="009F3D3B"/>
    <w:rsid w:val="009F46EF"/>
    <w:rsid w:val="009F5660"/>
    <w:rsid w:val="009F5712"/>
    <w:rsid w:val="009F5BCD"/>
    <w:rsid w:val="009F5D12"/>
    <w:rsid w:val="009F64CF"/>
    <w:rsid w:val="009F693D"/>
    <w:rsid w:val="009F69EF"/>
    <w:rsid w:val="009F736C"/>
    <w:rsid w:val="009F7E12"/>
    <w:rsid w:val="009F7EDB"/>
    <w:rsid w:val="009F7FE5"/>
    <w:rsid w:val="00A005C1"/>
    <w:rsid w:val="00A00636"/>
    <w:rsid w:val="00A00AC5"/>
    <w:rsid w:val="00A00C59"/>
    <w:rsid w:val="00A01703"/>
    <w:rsid w:val="00A01B8E"/>
    <w:rsid w:val="00A01CB7"/>
    <w:rsid w:val="00A01F2F"/>
    <w:rsid w:val="00A020F7"/>
    <w:rsid w:val="00A027C3"/>
    <w:rsid w:val="00A02ABD"/>
    <w:rsid w:val="00A02B1A"/>
    <w:rsid w:val="00A02B6A"/>
    <w:rsid w:val="00A02D26"/>
    <w:rsid w:val="00A02F99"/>
    <w:rsid w:val="00A03016"/>
    <w:rsid w:val="00A03280"/>
    <w:rsid w:val="00A032C5"/>
    <w:rsid w:val="00A0356F"/>
    <w:rsid w:val="00A03C56"/>
    <w:rsid w:val="00A03F5E"/>
    <w:rsid w:val="00A04022"/>
    <w:rsid w:val="00A042AB"/>
    <w:rsid w:val="00A051B8"/>
    <w:rsid w:val="00A055F1"/>
    <w:rsid w:val="00A05B1B"/>
    <w:rsid w:val="00A05F52"/>
    <w:rsid w:val="00A0633C"/>
    <w:rsid w:val="00A06B44"/>
    <w:rsid w:val="00A073DC"/>
    <w:rsid w:val="00A07730"/>
    <w:rsid w:val="00A10D69"/>
    <w:rsid w:val="00A1106D"/>
    <w:rsid w:val="00A1120A"/>
    <w:rsid w:val="00A11267"/>
    <w:rsid w:val="00A112F7"/>
    <w:rsid w:val="00A115A7"/>
    <w:rsid w:val="00A11616"/>
    <w:rsid w:val="00A11765"/>
    <w:rsid w:val="00A117F0"/>
    <w:rsid w:val="00A12C19"/>
    <w:rsid w:val="00A12EF9"/>
    <w:rsid w:val="00A134E2"/>
    <w:rsid w:val="00A13EBA"/>
    <w:rsid w:val="00A140DB"/>
    <w:rsid w:val="00A1499E"/>
    <w:rsid w:val="00A149A2"/>
    <w:rsid w:val="00A14B98"/>
    <w:rsid w:val="00A15A0C"/>
    <w:rsid w:val="00A161A2"/>
    <w:rsid w:val="00A16E59"/>
    <w:rsid w:val="00A17026"/>
    <w:rsid w:val="00A170FE"/>
    <w:rsid w:val="00A1757E"/>
    <w:rsid w:val="00A17F82"/>
    <w:rsid w:val="00A20021"/>
    <w:rsid w:val="00A20812"/>
    <w:rsid w:val="00A20A73"/>
    <w:rsid w:val="00A214E3"/>
    <w:rsid w:val="00A217CB"/>
    <w:rsid w:val="00A2233C"/>
    <w:rsid w:val="00A2235B"/>
    <w:rsid w:val="00A22B84"/>
    <w:rsid w:val="00A22BA8"/>
    <w:rsid w:val="00A22C41"/>
    <w:rsid w:val="00A23041"/>
    <w:rsid w:val="00A23368"/>
    <w:rsid w:val="00A2365C"/>
    <w:rsid w:val="00A23A19"/>
    <w:rsid w:val="00A23B39"/>
    <w:rsid w:val="00A23CAC"/>
    <w:rsid w:val="00A2437B"/>
    <w:rsid w:val="00A248AE"/>
    <w:rsid w:val="00A24A25"/>
    <w:rsid w:val="00A24FDF"/>
    <w:rsid w:val="00A25040"/>
    <w:rsid w:val="00A255EB"/>
    <w:rsid w:val="00A259DE"/>
    <w:rsid w:val="00A25CF2"/>
    <w:rsid w:val="00A25D75"/>
    <w:rsid w:val="00A26420"/>
    <w:rsid w:val="00A265CE"/>
    <w:rsid w:val="00A26A23"/>
    <w:rsid w:val="00A27E32"/>
    <w:rsid w:val="00A308DC"/>
    <w:rsid w:val="00A30A83"/>
    <w:rsid w:val="00A31116"/>
    <w:rsid w:val="00A318DD"/>
    <w:rsid w:val="00A33C1A"/>
    <w:rsid w:val="00A33C9D"/>
    <w:rsid w:val="00A343B5"/>
    <w:rsid w:val="00A34EFB"/>
    <w:rsid w:val="00A3515F"/>
    <w:rsid w:val="00A353B2"/>
    <w:rsid w:val="00A357C5"/>
    <w:rsid w:val="00A359B2"/>
    <w:rsid w:val="00A35EE9"/>
    <w:rsid w:val="00A360B5"/>
    <w:rsid w:val="00A360BB"/>
    <w:rsid w:val="00A36A3B"/>
    <w:rsid w:val="00A36AF0"/>
    <w:rsid w:val="00A3738E"/>
    <w:rsid w:val="00A377FD"/>
    <w:rsid w:val="00A37AEC"/>
    <w:rsid w:val="00A37B9C"/>
    <w:rsid w:val="00A37D28"/>
    <w:rsid w:val="00A406BC"/>
    <w:rsid w:val="00A4076E"/>
    <w:rsid w:val="00A415DD"/>
    <w:rsid w:val="00A41965"/>
    <w:rsid w:val="00A42365"/>
    <w:rsid w:val="00A4251C"/>
    <w:rsid w:val="00A42ABB"/>
    <w:rsid w:val="00A42EE8"/>
    <w:rsid w:val="00A42F48"/>
    <w:rsid w:val="00A43114"/>
    <w:rsid w:val="00A43328"/>
    <w:rsid w:val="00A43858"/>
    <w:rsid w:val="00A439B8"/>
    <w:rsid w:val="00A44077"/>
    <w:rsid w:val="00A44BD7"/>
    <w:rsid w:val="00A45043"/>
    <w:rsid w:val="00A45F2B"/>
    <w:rsid w:val="00A462C9"/>
    <w:rsid w:val="00A465C1"/>
    <w:rsid w:val="00A46F5D"/>
    <w:rsid w:val="00A47F2B"/>
    <w:rsid w:val="00A5029F"/>
    <w:rsid w:val="00A5074D"/>
    <w:rsid w:val="00A513C0"/>
    <w:rsid w:val="00A514E2"/>
    <w:rsid w:val="00A516EB"/>
    <w:rsid w:val="00A52774"/>
    <w:rsid w:val="00A529AD"/>
    <w:rsid w:val="00A52D7E"/>
    <w:rsid w:val="00A53515"/>
    <w:rsid w:val="00A5363A"/>
    <w:rsid w:val="00A53DAC"/>
    <w:rsid w:val="00A541C3"/>
    <w:rsid w:val="00A54234"/>
    <w:rsid w:val="00A55640"/>
    <w:rsid w:val="00A556DE"/>
    <w:rsid w:val="00A55B61"/>
    <w:rsid w:val="00A55BD9"/>
    <w:rsid w:val="00A55F1E"/>
    <w:rsid w:val="00A568EB"/>
    <w:rsid w:val="00A6019B"/>
    <w:rsid w:val="00A60252"/>
    <w:rsid w:val="00A60723"/>
    <w:rsid w:val="00A60A43"/>
    <w:rsid w:val="00A60A90"/>
    <w:rsid w:val="00A614AC"/>
    <w:rsid w:val="00A615C4"/>
    <w:rsid w:val="00A61CC3"/>
    <w:rsid w:val="00A62370"/>
    <w:rsid w:val="00A6260E"/>
    <w:rsid w:val="00A627F5"/>
    <w:rsid w:val="00A62BF2"/>
    <w:rsid w:val="00A6300A"/>
    <w:rsid w:val="00A631DC"/>
    <w:rsid w:val="00A6373A"/>
    <w:rsid w:val="00A64677"/>
    <w:rsid w:val="00A64C2E"/>
    <w:rsid w:val="00A65EBA"/>
    <w:rsid w:val="00A6617D"/>
    <w:rsid w:val="00A670FA"/>
    <w:rsid w:val="00A677B4"/>
    <w:rsid w:val="00A70D7A"/>
    <w:rsid w:val="00A70FA2"/>
    <w:rsid w:val="00A71046"/>
    <w:rsid w:val="00A7104C"/>
    <w:rsid w:val="00A710E3"/>
    <w:rsid w:val="00A71660"/>
    <w:rsid w:val="00A716B8"/>
    <w:rsid w:val="00A720AE"/>
    <w:rsid w:val="00A722A8"/>
    <w:rsid w:val="00A72A95"/>
    <w:rsid w:val="00A72AF3"/>
    <w:rsid w:val="00A72F1C"/>
    <w:rsid w:val="00A741A8"/>
    <w:rsid w:val="00A74434"/>
    <w:rsid w:val="00A74939"/>
    <w:rsid w:val="00A74BF4"/>
    <w:rsid w:val="00A750D5"/>
    <w:rsid w:val="00A75241"/>
    <w:rsid w:val="00A753A4"/>
    <w:rsid w:val="00A75DB5"/>
    <w:rsid w:val="00A75FE9"/>
    <w:rsid w:val="00A763C7"/>
    <w:rsid w:val="00A76F99"/>
    <w:rsid w:val="00A7747C"/>
    <w:rsid w:val="00A77537"/>
    <w:rsid w:val="00A77998"/>
    <w:rsid w:val="00A809D2"/>
    <w:rsid w:val="00A80F5F"/>
    <w:rsid w:val="00A81A80"/>
    <w:rsid w:val="00A825DB"/>
    <w:rsid w:val="00A83BFD"/>
    <w:rsid w:val="00A83F38"/>
    <w:rsid w:val="00A84211"/>
    <w:rsid w:val="00A843A3"/>
    <w:rsid w:val="00A8452E"/>
    <w:rsid w:val="00A8472F"/>
    <w:rsid w:val="00A8498A"/>
    <w:rsid w:val="00A84AF1"/>
    <w:rsid w:val="00A84B9C"/>
    <w:rsid w:val="00A85A36"/>
    <w:rsid w:val="00A86767"/>
    <w:rsid w:val="00A86EF3"/>
    <w:rsid w:val="00A87641"/>
    <w:rsid w:val="00A9000A"/>
    <w:rsid w:val="00A90397"/>
    <w:rsid w:val="00A90C9B"/>
    <w:rsid w:val="00A91068"/>
    <w:rsid w:val="00A9126D"/>
    <w:rsid w:val="00A913A4"/>
    <w:rsid w:val="00A9166D"/>
    <w:rsid w:val="00A92086"/>
    <w:rsid w:val="00A92924"/>
    <w:rsid w:val="00A92A5F"/>
    <w:rsid w:val="00A9370F"/>
    <w:rsid w:val="00A939CE"/>
    <w:rsid w:val="00A93D8D"/>
    <w:rsid w:val="00A94130"/>
    <w:rsid w:val="00A952ED"/>
    <w:rsid w:val="00A955C2"/>
    <w:rsid w:val="00A956BA"/>
    <w:rsid w:val="00A957EE"/>
    <w:rsid w:val="00A95EA0"/>
    <w:rsid w:val="00A96A52"/>
    <w:rsid w:val="00A96C03"/>
    <w:rsid w:val="00A96D96"/>
    <w:rsid w:val="00A97249"/>
    <w:rsid w:val="00A97B77"/>
    <w:rsid w:val="00AA01D1"/>
    <w:rsid w:val="00AA11F7"/>
    <w:rsid w:val="00AA19C2"/>
    <w:rsid w:val="00AA1BB0"/>
    <w:rsid w:val="00AA1F3A"/>
    <w:rsid w:val="00AA29DB"/>
    <w:rsid w:val="00AA40F1"/>
    <w:rsid w:val="00AA4575"/>
    <w:rsid w:val="00AA5101"/>
    <w:rsid w:val="00AA56CC"/>
    <w:rsid w:val="00AA6AC5"/>
    <w:rsid w:val="00AA6C1C"/>
    <w:rsid w:val="00AA6C80"/>
    <w:rsid w:val="00AA702C"/>
    <w:rsid w:val="00AA7210"/>
    <w:rsid w:val="00AA759B"/>
    <w:rsid w:val="00AA77D3"/>
    <w:rsid w:val="00AA78F3"/>
    <w:rsid w:val="00AB0CF3"/>
    <w:rsid w:val="00AB1769"/>
    <w:rsid w:val="00AB23E1"/>
    <w:rsid w:val="00AB24BE"/>
    <w:rsid w:val="00AB27A5"/>
    <w:rsid w:val="00AB2993"/>
    <w:rsid w:val="00AB3031"/>
    <w:rsid w:val="00AB3FFC"/>
    <w:rsid w:val="00AB4159"/>
    <w:rsid w:val="00AB4A41"/>
    <w:rsid w:val="00AB4CDF"/>
    <w:rsid w:val="00AB4F18"/>
    <w:rsid w:val="00AB657C"/>
    <w:rsid w:val="00AB6AF7"/>
    <w:rsid w:val="00AB6B57"/>
    <w:rsid w:val="00AB75CC"/>
    <w:rsid w:val="00AB7C22"/>
    <w:rsid w:val="00AB7F02"/>
    <w:rsid w:val="00AC0A25"/>
    <w:rsid w:val="00AC0B08"/>
    <w:rsid w:val="00AC17DD"/>
    <w:rsid w:val="00AC1AF4"/>
    <w:rsid w:val="00AC1E9B"/>
    <w:rsid w:val="00AC2BD1"/>
    <w:rsid w:val="00AC38AB"/>
    <w:rsid w:val="00AC39E1"/>
    <w:rsid w:val="00AC3C22"/>
    <w:rsid w:val="00AC47A1"/>
    <w:rsid w:val="00AC4AB1"/>
    <w:rsid w:val="00AC5E0F"/>
    <w:rsid w:val="00AC6D04"/>
    <w:rsid w:val="00AC6E3F"/>
    <w:rsid w:val="00AC6FBF"/>
    <w:rsid w:val="00AC7805"/>
    <w:rsid w:val="00AD0041"/>
    <w:rsid w:val="00AD0732"/>
    <w:rsid w:val="00AD0DD3"/>
    <w:rsid w:val="00AD214B"/>
    <w:rsid w:val="00AD2204"/>
    <w:rsid w:val="00AD2375"/>
    <w:rsid w:val="00AD23D3"/>
    <w:rsid w:val="00AD2722"/>
    <w:rsid w:val="00AD2F58"/>
    <w:rsid w:val="00AD3256"/>
    <w:rsid w:val="00AD3DB8"/>
    <w:rsid w:val="00AD4074"/>
    <w:rsid w:val="00AD491A"/>
    <w:rsid w:val="00AD50E9"/>
    <w:rsid w:val="00AD54F0"/>
    <w:rsid w:val="00AD5C23"/>
    <w:rsid w:val="00AD649D"/>
    <w:rsid w:val="00AD6831"/>
    <w:rsid w:val="00AD6DCA"/>
    <w:rsid w:val="00AD6F02"/>
    <w:rsid w:val="00AD792B"/>
    <w:rsid w:val="00AD7E6D"/>
    <w:rsid w:val="00AE0ED8"/>
    <w:rsid w:val="00AE181B"/>
    <w:rsid w:val="00AE18A1"/>
    <w:rsid w:val="00AE1922"/>
    <w:rsid w:val="00AE1F5D"/>
    <w:rsid w:val="00AE21FD"/>
    <w:rsid w:val="00AE23F1"/>
    <w:rsid w:val="00AE2719"/>
    <w:rsid w:val="00AE2D5B"/>
    <w:rsid w:val="00AE383C"/>
    <w:rsid w:val="00AE4D14"/>
    <w:rsid w:val="00AE60CA"/>
    <w:rsid w:val="00AE7416"/>
    <w:rsid w:val="00AE75EB"/>
    <w:rsid w:val="00AE7747"/>
    <w:rsid w:val="00AF07CA"/>
    <w:rsid w:val="00AF09D3"/>
    <w:rsid w:val="00AF0EE9"/>
    <w:rsid w:val="00AF1350"/>
    <w:rsid w:val="00AF194B"/>
    <w:rsid w:val="00AF1EDF"/>
    <w:rsid w:val="00AF1F50"/>
    <w:rsid w:val="00AF21D3"/>
    <w:rsid w:val="00AF269C"/>
    <w:rsid w:val="00AF27CD"/>
    <w:rsid w:val="00AF361B"/>
    <w:rsid w:val="00AF45C5"/>
    <w:rsid w:val="00AF4989"/>
    <w:rsid w:val="00AF4E23"/>
    <w:rsid w:val="00AF5307"/>
    <w:rsid w:val="00AF5898"/>
    <w:rsid w:val="00AF5D08"/>
    <w:rsid w:val="00AF5D21"/>
    <w:rsid w:val="00AF624F"/>
    <w:rsid w:val="00AF62BC"/>
    <w:rsid w:val="00AF645D"/>
    <w:rsid w:val="00AF6918"/>
    <w:rsid w:val="00AF72FC"/>
    <w:rsid w:val="00AF75BD"/>
    <w:rsid w:val="00B011A6"/>
    <w:rsid w:val="00B01809"/>
    <w:rsid w:val="00B018F5"/>
    <w:rsid w:val="00B01909"/>
    <w:rsid w:val="00B01AB5"/>
    <w:rsid w:val="00B01FD1"/>
    <w:rsid w:val="00B02B01"/>
    <w:rsid w:val="00B02C06"/>
    <w:rsid w:val="00B02F64"/>
    <w:rsid w:val="00B03A8D"/>
    <w:rsid w:val="00B04B76"/>
    <w:rsid w:val="00B05562"/>
    <w:rsid w:val="00B05D72"/>
    <w:rsid w:val="00B068EE"/>
    <w:rsid w:val="00B06FC2"/>
    <w:rsid w:val="00B06FDD"/>
    <w:rsid w:val="00B104F6"/>
    <w:rsid w:val="00B105E2"/>
    <w:rsid w:val="00B106AD"/>
    <w:rsid w:val="00B10BCB"/>
    <w:rsid w:val="00B11013"/>
    <w:rsid w:val="00B1106D"/>
    <w:rsid w:val="00B1175B"/>
    <w:rsid w:val="00B11ACC"/>
    <w:rsid w:val="00B11DE0"/>
    <w:rsid w:val="00B125B5"/>
    <w:rsid w:val="00B1260C"/>
    <w:rsid w:val="00B12729"/>
    <w:rsid w:val="00B12C67"/>
    <w:rsid w:val="00B12F5E"/>
    <w:rsid w:val="00B1349B"/>
    <w:rsid w:val="00B1353E"/>
    <w:rsid w:val="00B1369A"/>
    <w:rsid w:val="00B13FAA"/>
    <w:rsid w:val="00B14347"/>
    <w:rsid w:val="00B15145"/>
    <w:rsid w:val="00B1520C"/>
    <w:rsid w:val="00B1536A"/>
    <w:rsid w:val="00B159CF"/>
    <w:rsid w:val="00B16B32"/>
    <w:rsid w:val="00B1763D"/>
    <w:rsid w:val="00B20B47"/>
    <w:rsid w:val="00B219BB"/>
    <w:rsid w:val="00B224A1"/>
    <w:rsid w:val="00B22EF1"/>
    <w:rsid w:val="00B23795"/>
    <w:rsid w:val="00B23B2C"/>
    <w:rsid w:val="00B24E56"/>
    <w:rsid w:val="00B24FF6"/>
    <w:rsid w:val="00B25696"/>
    <w:rsid w:val="00B25AA1"/>
    <w:rsid w:val="00B25D8D"/>
    <w:rsid w:val="00B26215"/>
    <w:rsid w:val="00B270B8"/>
    <w:rsid w:val="00B277C8"/>
    <w:rsid w:val="00B3052D"/>
    <w:rsid w:val="00B30886"/>
    <w:rsid w:val="00B30932"/>
    <w:rsid w:val="00B30AD7"/>
    <w:rsid w:val="00B3103B"/>
    <w:rsid w:val="00B312B4"/>
    <w:rsid w:val="00B31A23"/>
    <w:rsid w:val="00B31ADD"/>
    <w:rsid w:val="00B31BCE"/>
    <w:rsid w:val="00B32757"/>
    <w:rsid w:val="00B3284A"/>
    <w:rsid w:val="00B32864"/>
    <w:rsid w:val="00B32C50"/>
    <w:rsid w:val="00B33FD3"/>
    <w:rsid w:val="00B34303"/>
    <w:rsid w:val="00B34494"/>
    <w:rsid w:val="00B34AB2"/>
    <w:rsid w:val="00B34E69"/>
    <w:rsid w:val="00B3504E"/>
    <w:rsid w:val="00B3560D"/>
    <w:rsid w:val="00B365E0"/>
    <w:rsid w:val="00B365FF"/>
    <w:rsid w:val="00B36F97"/>
    <w:rsid w:val="00B3725D"/>
    <w:rsid w:val="00B407FD"/>
    <w:rsid w:val="00B40F08"/>
    <w:rsid w:val="00B41221"/>
    <w:rsid w:val="00B4157F"/>
    <w:rsid w:val="00B4163C"/>
    <w:rsid w:val="00B41CB2"/>
    <w:rsid w:val="00B425B1"/>
    <w:rsid w:val="00B433E0"/>
    <w:rsid w:val="00B43A53"/>
    <w:rsid w:val="00B43BA4"/>
    <w:rsid w:val="00B442AC"/>
    <w:rsid w:val="00B44C93"/>
    <w:rsid w:val="00B44CCB"/>
    <w:rsid w:val="00B44D63"/>
    <w:rsid w:val="00B44FB7"/>
    <w:rsid w:val="00B45145"/>
    <w:rsid w:val="00B4525D"/>
    <w:rsid w:val="00B45BBD"/>
    <w:rsid w:val="00B45BE9"/>
    <w:rsid w:val="00B47096"/>
    <w:rsid w:val="00B471D8"/>
    <w:rsid w:val="00B473AB"/>
    <w:rsid w:val="00B47548"/>
    <w:rsid w:val="00B478C4"/>
    <w:rsid w:val="00B47F49"/>
    <w:rsid w:val="00B47F76"/>
    <w:rsid w:val="00B50ACC"/>
    <w:rsid w:val="00B517A8"/>
    <w:rsid w:val="00B517D0"/>
    <w:rsid w:val="00B51A53"/>
    <w:rsid w:val="00B51DD3"/>
    <w:rsid w:val="00B523D9"/>
    <w:rsid w:val="00B5275C"/>
    <w:rsid w:val="00B54106"/>
    <w:rsid w:val="00B54255"/>
    <w:rsid w:val="00B54C54"/>
    <w:rsid w:val="00B54FE4"/>
    <w:rsid w:val="00B55983"/>
    <w:rsid w:val="00B55A71"/>
    <w:rsid w:val="00B55BD7"/>
    <w:rsid w:val="00B5612A"/>
    <w:rsid w:val="00B5648E"/>
    <w:rsid w:val="00B571BB"/>
    <w:rsid w:val="00B571D6"/>
    <w:rsid w:val="00B57914"/>
    <w:rsid w:val="00B57E6B"/>
    <w:rsid w:val="00B6007D"/>
    <w:rsid w:val="00B61053"/>
    <w:rsid w:val="00B61365"/>
    <w:rsid w:val="00B61B80"/>
    <w:rsid w:val="00B627DA"/>
    <w:rsid w:val="00B6336B"/>
    <w:rsid w:val="00B6387A"/>
    <w:rsid w:val="00B63C8C"/>
    <w:rsid w:val="00B64454"/>
    <w:rsid w:val="00B64C22"/>
    <w:rsid w:val="00B652F2"/>
    <w:rsid w:val="00B65B54"/>
    <w:rsid w:val="00B6624F"/>
    <w:rsid w:val="00B66A93"/>
    <w:rsid w:val="00B66D35"/>
    <w:rsid w:val="00B66F06"/>
    <w:rsid w:val="00B67407"/>
    <w:rsid w:val="00B67BED"/>
    <w:rsid w:val="00B67E34"/>
    <w:rsid w:val="00B70C97"/>
    <w:rsid w:val="00B70FA8"/>
    <w:rsid w:val="00B71F63"/>
    <w:rsid w:val="00B722A2"/>
    <w:rsid w:val="00B7284B"/>
    <w:rsid w:val="00B73AB3"/>
    <w:rsid w:val="00B73CE0"/>
    <w:rsid w:val="00B746A7"/>
    <w:rsid w:val="00B755D9"/>
    <w:rsid w:val="00B7637F"/>
    <w:rsid w:val="00B7656B"/>
    <w:rsid w:val="00B76863"/>
    <w:rsid w:val="00B7746A"/>
    <w:rsid w:val="00B77CC1"/>
    <w:rsid w:val="00B8001F"/>
    <w:rsid w:val="00B800F2"/>
    <w:rsid w:val="00B80947"/>
    <w:rsid w:val="00B80E9F"/>
    <w:rsid w:val="00B80F26"/>
    <w:rsid w:val="00B81278"/>
    <w:rsid w:val="00B81A62"/>
    <w:rsid w:val="00B81D48"/>
    <w:rsid w:val="00B82675"/>
    <w:rsid w:val="00B838CC"/>
    <w:rsid w:val="00B839B6"/>
    <w:rsid w:val="00B83D8E"/>
    <w:rsid w:val="00B84408"/>
    <w:rsid w:val="00B8474E"/>
    <w:rsid w:val="00B85008"/>
    <w:rsid w:val="00B86154"/>
    <w:rsid w:val="00B869FD"/>
    <w:rsid w:val="00B871D9"/>
    <w:rsid w:val="00B871F8"/>
    <w:rsid w:val="00B87303"/>
    <w:rsid w:val="00B875B5"/>
    <w:rsid w:val="00B87AC5"/>
    <w:rsid w:val="00B87F34"/>
    <w:rsid w:val="00B909B2"/>
    <w:rsid w:val="00B90E36"/>
    <w:rsid w:val="00B910AB"/>
    <w:rsid w:val="00B921D9"/>
    <w:rsid w:val="00B92539"/>
    <w:rsid w:val="00B927CE"/>
    <w:rsid w:val="00B932FF"/>
    <w:rsid w:val="00B937E6"/>
    <w:rsid w:val="00B9449D"/>
    <w:rsid w:val="00B95003"/>
    <w:rsid w:val="00B95756"/>
    <w:rsid w:val="00B96838"/>
    <w:rsid w:val="00B96B68"/>
    <w:rsid w:val="00B96D7C"/>
    <w:rsid w:val="00B96FD2"/>
    <w:rsid w:val="00B9753B"/>
    <w:rsid w:val="00B976D4"/>
    <w:rsid w:val="00B97EA1"/>
    <w:rsid w:val="00BA0650"/>
    <w:rsid w:val="00BA06A5"/>
    <w:rsid w:val="00BA0783"/>
    <w:rsid w:val="00BA0908"/>
    <w:rsid w:val="00BA09DC"/>
    <w:rsid w:val="00BA388A"/>
    <w:rsid w:val="00BA498F"/>
    <w:rsid w:val="00BA49D3"/>
    <w:rsid w:val="00BA5E37"/>
    <w:rsid w:val="00BA69B5"/>
    <w:rsid w:val="00BA745C"/>
    <w:rsid w:val="00BA78FB"/>
    <w:rsid w:val="00BA7E9F"/>
    <w:rsid w:val="00BB0838"/>
    <w:rsid w:val="00BB0B18"/>
    <w:rsid w:val="00BB0EFD"/>
    <w:rsid w:val="00BB1745"/>
    <w:rsid w:val="00BB1819"/>
    <w:rsid w:val="00BB1C69"/>
    <w:rsid w:val="00BB24BB"/>
    <w:rsid w:val="00BB2D94"/>
    <w:rsid w:val="00BB2DC2"/>
    <w:rsid w:val="00BB32CE"/>
    <w:rsid w:val="00BB364F"/>
    <w:rsid w:val="00BB3992"/>
    <w:rsid w:val="00BB3EE5"/>
    <w:rsid w:val="00BB4D96"/>
    <w:rsid w:val="00BB53B7"/>
    <w:rsid w:val="00BB551D"/>
    <w:rsid w:val="00BB6A41"/>
    <w:rsid w:val="00BB6E76"/>
    <w:rsid w:val="00BB713D"/>
    <w:rsid w:val="00BB7180"/>
    <w:rsid w:val="00BB771B"/>
    <w:rsid w:val="00BB7994"/>
    <w:rsid w:val="00BB7C67"/>
    <w:rsid w:val="00BB7D1B"/>
    <w:rsid w:val="00BB7EAB"/>
    <w:rsid w:val="00BC055C"/>
    <w:rsid w:val="00BC0B9B"/>
    <w:rsid w:val="00BC0C5F"/>
    <w:rsid w:val="00BC1381"/>
    <w:rsid w:val="00BC1A9C"/>
    <w:rsid w:val="00BC215E"/>
    <w:rsid w:val="00BC230C"/>
    <w:rsid w:val="00BC2315"/>
    <w:rsid w:val="00BC2D79"/>
    <w:rsid w:val="00BC3EF9"/>
    <w:rsid w:val="00BC4745"/>
    <w:rsid w:val="00BC5001"/>
    <w:rsid w:val="00BC50CC"/>
    <w:rsid w:val="00BC5280"/>
    <w:rsid w:val="00BC52A3"/>
    <w:rsid w:val="00BC6178"/>
    <w:rsid w:val="00BC61DA"/>
    <w:rsid w:val="00BC69B1"/>
    <w:rsid w:val="00BC6CC2"/>
    <w:rsid w:val="00BC723A"/>
    <w:rsid w:val="00BC7383"/>
    <w:rsid w:val="00BC7618"/>
    <w:rsid w:val="00BD03C8"/>
    <w:rsid w:val="00BD09D3"/>
    <w:rsid w:val="00BD0C36"/>
    <w:rsid w:val="00BD1707"/>
    <w:rsid w:val="00BD1CCF"/>
    <w:rsid w:val="00BD2920"/>
    <w:rsid w:val="00BD2ED6"/>
    <w:rsid w:val="00BD3788"/>
    <w:rsid w:val="00BD4036"/>
    <w:rsid w:val="00BD4411"/>
    <w:rsid w:val="00BD44F0"/>
    <w:rsid w:val="00BD4C11"/>
    <w:rsid w:val="00BD4F0C"/>
    <w:rsid w:val="00BD57AA"/>
    <w:rsid w:val="00BD5ACE"/>
    <w:rsid w:val="00BD5EE4"/>
    <w:rsid w:val="00BD68A3"/>
    <w:rsid w:val="00BD68F5"/>
    <w:rsid w:val="00BD6D99"/>
    <w:rsid w:val="00BD6E1A"/>
    <w:rsid w:val="00BD7616"/>
    <w:rsid w:val="00BD79B7"/>
    <w:rsid w:val="00BD7EA1"/>
    <w:rsid w:val="00BE0288"/>
    <w:rsid w:val="00BE0EDF"/>
    <w:rsid w:val="00BE0F67"/>
    <w:rsid w:val="00BE1067"/>
    <w:rsid w:val="00BE12FC"/>
    <w:rsid w:val="00BE17C3"/>
    <w:rsid w:val="00BE1A49"/>
    <w:rsid w:val="00BE1A66"/>
    <w:rsid w:val="00BE1D64"/>
    <w:rsid w:val="00BE20CA"/>
    <w:rsid w:val="00BE24AD"/>
    <w:rsid w:val="00BE290B"/>
    <w:rsid w:val="00BE2BB1"/>
    <w:rsid w:val="00BE3089"/>
    <w:rsid w:val="00BE3814"/>
    <w:rsid w:val="00BE44A6"/>
    <w:rsid w:val="00BE455A"/>
    <w:rsid w:val="00BE4806"/>
    <w:rsid w:val="00BE490B"/>
    <w:rsid w:val="00BE565A"/>
    <w:rsid w:val="00BE58A9"/>
    <w:rsid w:val="00BE6234"/>
    <w:rsid w:val="00BE7139"/>
    <w:rsid w:val="00BE75C8"/>
    <w:rsid w:val="00BE778C"/>
    <w:rsid w:val="00BF022E"/>
    <w:rsid w:val="00BF06E1"/>
    <w:rsid w:val="00BF0DE4"/>
    <w:rsid w:val="00BF0F3C"/>
    <w:rsid w:val="00BF180D"/>
    <w:rsid w:val="00BF23D4"/>
    <w:rsid w:val="00BF2541"/>
    <w:rsid w:val="00BF2BDD"/>
    <w:rsid w:val="00BF2D20"/>
    <w:rsid w:val="00BF2E2F"/>
    <w:rsid w:val="00BF3217"/>
    <w:rsid w:val="00BF3D52"/>
    <w:rsid w:val="00BF59A6"/>
    <w:rsid w:val="00BF6149"/>
    <w:rsid w:val="00BF6F32"/>
    <w:rsid w:val="00BF70B0"/>
    <w:rsid w:val="00BF7464"/>
    <w:rsid w:val="00BF76A6"/>
    <w:rsid w:val="00C0002B"/>
    <w:rsid w:val="00C00196"/>
    <w:rsid w:val="00C00749"/>
    <w:rsid w:val="00C00807"/>
    <w:rsid w:val="00C01CCA"/>
    <w:rsid w:val="00C031E0"/>
    <w:rsid w:val="00C0389E"/>
    <w:rsid w:val="00C03C57"/>
    <w:rsid w:val="00C03EFA"/>
    <w:rsid w:val="00C0460A"/>
    <w:rsid w:val="00C049B3"/>
    <w:rsid w:val="00C05054"/>
    <w:rsid w:val="00C067C0"/>
    <w:rsid w:val="00C0779C"/>
    <w:rsid w:val="00C07875"/>
    <w:rsid w:val="00C079BD"/>
    <w:rsid w:val="00C10049"/>
    <w:rsid w:val="00C102EC"/>
    <w:rsid w:val="00C107C6"/>
    <w:rsid w:val="00C10D6F"/>
    <w:rsid w:val="00C10F45"/>
    <w:rsid w:val="00C11A49"/>
    <w:rsid w:val="00C12539"/>
    <w:rsid w:val="00C1259D"/>
    <w:rsid w:val="00C1280F"/>
    <w:rsid w:val="00C13188"/>
    <w:rsid w:val="00C1332A"/>
    <w:rsid w:val="00C134B5"/>
    <w:rsid w:val="00C13554"/>
    <w:rsid w:val="00C13B74"/>
    <w:rsid w:val="00C14167"/>
    <w:rsid w:val="00C145BE"/>
    <w:rsid w:val="00C146A4"/>
    <w:rsid w:val="00C14730"/>
    <w:rsid w:val="00C14BFF"/>
    <w:rsid w:val="00C153D9"/>
    <w:rsid w:val="00C158C7"/>
    <w:rsid w:val="00C15A32"/>
    <w:rsid w:val="00C16856"/>
    <w:rsid w:val="00C170C1"/>
    <w:rsid w:val="00C173EF"/>
    <w:rsid w:val="00C17B64"/>
    <w:rsid w:val="00C2003F"/>
    <w:rsid w:val="00C20444"/>
    <w:rsid w:val="00C20CBC"/>
    <w:rsid w:val="00C21F55"/>
    <w:rsid w:val="00C2247E"/>
    <w:rsid w:val="00C22CEF"/>
    <w:rsid w:val="00C22D3F"/>
    <w:rsid w:val="00C23A7F"/>
    <w:rsid w:val="00C23F1B"/>
    <w:rsid w:val="00C24473"/>
    <w:rsid w:val="00C247AD"/>
    <w:rsid w:val="00C24B0F"/>
    <w:rsid w:val="00C25068"/>
    <w:rsid w:val="00C251AF"/>
    <w:rsid w:val="00C25425"/>
    <w:rsid w:val="00C25D62"/>
    <w:rsid w:val="00C25E9E"/>
    <w:rsid w:val="00C27060"/>
    <w:rsid w:val="00C27853"/>
    <w:rsid w:val="00C31FEF"/>
    <w:rsid w:val="00C32552"/>
    <w:rsid w:val="00C325F8"/>
    <w:rsid w:val="00C3279D"/>
    <w:rsid w:val="00C32D9D"/>
    <w:rsid w:val="00C33E4D"/>
    <w:rsid w:val="00C33FF5"/>
    <w:rsid w:val="00C34501"/>
    <w:rsid w:val="00C34AA2"/>
    <w:rsid w:val="00C35072"/>
    <w:rsid w:val="00C3539C"/>
    <w:rsid w:val="00C36354"/>
    <w:rsid w:val="00C36D43"/>
    <w:rsid w:val="00C36F36"/>
    <w:rsid w:val="00C36F84"/>
    <w:rsid w:val="00C37270"/>
    <w:rsid w:val="00C3749A"/>
    <w:rsid w:val="00C374E0"/>
    <w:rsid w:val="00C401C8"/>
    <w:rsid w:val="00C4086A"/>
    <w:rsid w:val="00C40C12"/>
    <w:rsid w:val="00C41AE2"/>
    <w:rsid w:val="00C41C53"/>
    <w:rsid w:val="00C422AE"/>
    <w:rsid w:val="00C434D2"/>
    <w:rsid w:val="00C43640"/>
    <w:rsid w:val="00C43829"/>
    <w:rsid w:val="00C43EBC"/>
    <w:rsid w:val="00C44E22"/>
    <w:rsid w:val="00C44E55"/>
    <w:rsid w:val="00C45C90"/>
    <w:rsid w:val="00C46205"/>
    <w:rsid w:val="00C462E1"/>
    <w:rsid w:val="00C463AF"/>
    <w:rsid w:val="00C46C35"/>
    <w:rsid w:val="00C5014E"/>
    <w:rsid w:val="00C5224B"/>
    <w:rsid w:val="00C5247C"/>
    <w:rsid w:val="00C52BD9"/>
    <w:rsid w:val="00C53433"/>
    <w:rsid w:val="00C540D7"/>
    <w:rsid w:val="00C5474D"/>
    <w:rsid w:val="00C54BA6"/>
    <w:rsid w:val="00C54C15"/>
    <w:rsid w:val="00C54E40"/>
    <w:rsid w:val="00C55298"/>
    <w:rsid w:val="00C56460"/>
    <w:rsid w:val="00C56734"/>
    <w:rsid w:val="00C56FF3"/>
    <w:rsid w:val="00C574B1"/>
    <w:rsid w:val="00C57538"/>
    <w:rsid w:val="00C57717"/>
    <w:rsid w:val="00C57718"/>
    <w:rsid w:val="00C57786"/>
    <w:rsid w:val="00C57B7F"/>
    <w:rsid w:val="00C57CCE"/>
    <w:rsid w:val="00C60A7E"/>
    <w:rsid w:val="00C60D8B"/>
    <w:rsid w:val="00C618D7"/>
    <w:rsid w:val="00C618F0"/>
    <w:rsid w:val="00C61E66"/>
    <w:rsid w:val="00C624AA"/>
    <w:rsid w:val="00C631C4"/>
    <w:rsid w:val="00C632EC"/>
    <w:rsid w:val="00C6374B"/>
    <w:rsid w:val="00C6478F"/>
    <w:rsid w:val="00C64B1B"/>
    <w:rsid w:val="00C64C5A"/>
    <w:rsid w:val="00C65273"/>
    <w:rsid w:val="00C65339"/>
    <w:rsid w:val="00C65ABD"/>
    <w:rsid w:val="00C65EEB"/>
    <w:rsid w:val="00C66569"/>
    <w:rsid w:val="00C66630"/>
    <w:rsid w:val="00C666B3"/>
    <w:rsid w:val="00C6749A"/>
    <w:rsid w:val="00C67783"/>
    <w:rsid w:val="00C67F66"/>
    <w:rsid w:val="00C67FEC"/>
    <w:rsid w:val="00C7041E"/>
    <w:rsid w:val="00C7087B"/>
    <w:rsid w:val="00C711D7"/>
    <w:rsid w:val="00C7183B"/>
    <w:rsid w:val="00C71B3E"/>
    <w:rsid w:val="00C71D38"/>
    <w:rsid w:val="00C720E5"/>
    <w:rsid w:val="00C724C0"/>
    <w:rsid w:val="00C72786"/>
    <w:rsid w:val="00C72905"/>
    <w:rsid w:val="00C73037"/>
    <w:rsid w:val="00C73183"/>
    <w:rsid w:val="00C7366F"/>
    <w:rsid w:val="00C737B5"/>
    <w:rsid w:val="00C738D4"/>
    <w:rsid w:val="00C73FE9"/>
    <w:rsid w:val="00C7439A"/>
    <w:rsid w:val="00C74704"/>
    <w:rsid w:val="00C74764"/>
    <w:rsid w:val="00C747A8"/>
    <w:rsid w:val="00C74B35"/>
    <w:rsid w:val="00C75606"/>
    <w:rsid w:val="00C75D8B"/>
    <w:rsid w:val="00C75F59"/>
    <w:rsid w:val="00C76BE1"/>
    <w:rsid w:val="00C77310"/>
    <w:rsid w:val="00C77437"/>
    <w:rsid w:val="00C77815"/>
    <w:rsid w:val="00C77B8F"/>
    <w:rsid w:val="00C77EA3"/>
    <w:rsid w:val="00C8023F"/>
    <w:rsid w:val="00C803C1"/>
    <w:rsid w:val="00C80CF0"/>
    <w:rsid w:val="00C81674"/>
    <w:rsid w:val="00C81F9C"/>
    <w:rsid w:val="00C8221D"/>
    <w:rsid w:val="00C82DEC"/>
    <w:rsid w:val="00C833AA"/>
    <w:rsid w:val="00C835CE"/>
    <w:rsid w:val="00C83FC7"/>
    <w:rsid w:val="00C84035"/>
    <w:rsid w:val="00C842C8"/>
    <w:rsid w:val="00C84C95"/>
    <w:rsid w:val="00C84D67"/>
    <w:rsid w:val="00C84E68"/>
    <w:rsid w:val="00C8609E"/>
    <w:rsid w:val="00C86D0B"/>
    <w:rsid w:val="00C86F03"/>
    <w:rsid w:val="00C8701E"/>
    <w:rsid w:val="00C90281"/>
    <w:rsid w:val="00C903BF"/>
    <w:rsid w:val="00C9066A"/>
    <w:rsid w:val="00C914AE"/>
    <w:rsid w:val="00C924C4"/>
    <w:rsid w:val="00C92639"/>
    <w:rsid w:val="00C93FB2"/>
    <w:rsid w:val="00C93FFE"/>
    <w:rsid w:val="00C941F0"/>
    <w:rsid w:val="00C94323"/>
    <w:rsid w:val="00C9432A"/>
    <w:rsid w:val="00C9461C"/>
    <w:rsid w:val="00C94ADE"/>
    <w:rsid w:val="00C94C93"/>
    <w:rsid w:val="00C94E59"/>
    <w:rsid w:val="00C94F04"/>
    <w:rsid w:val="00C95770"/>
    <w:rsid w:val="00C95FA9"/>
    <w:rsid w:val="00C966F4"/>
    <w:rsid w:val="00C96749"/>
    <w:rsid w:val="00C96C9D"/>
    <w:rsid w:val="00C96D46"/>
    <w:rsid w:val="00C96E1D"/>
    <w:rsid w:val="00C97125"/>
    <w:rsid w:val="00C97A71"/>
    <w:rsid w:val="00C97AE5"/>
    <w:rsid w:val="00CA0DA3"/>
    <w:rsid w:val="00CA1D32"/>
    <w:rsid w:val="00CA1D95"/>
    <w:rsid w:val="00CA1E90"/>
    <w:rsid w:val="00CA2CE4"/>
    <w:rsid w:val="00CA2D4A"/>
    <w:rsid w:val="00CA2E72"/>
    <w:rsid w:val="00CA301B"/>
    <w:rsid w:val="00CA3779"/>
    <w:rsid w:val="00CA3959"/>
    <w:rsid w:val="00CA39E3"/>
    <w:rsid w:val="00CA3D88"/>
    <w:rsid w:val="00CA4382"/>
    <w:rsid w:val="00CA4D40"/>
    <w:rsid w:val="00CA5572"/>
    <w:rsid w:val="00CA5607"/>
    <w:rsid w:val="00CA638D"/>
    <w:rsid w:val="00CA6F1C"/>
    <w:rsid w:val="00CA70EF"/>
    <w:rsid w:val="00CA7300"/>
    <w:rsid w:val="00CA7777"/>
    <w:rsid w:val="00CA779E"/>
    <w:rsid w:val="00CA79BB"/>
    <w:rsid w:val="00CB06A3"/>
    <w:rsid w:val="00CB0E8E"/>
    <w:rsid w:val="00CB1417"/>
    <w:rsid w:val="00CB1A23"/>
    <w:rsid w:val="00CB1CF6"/>
    <w:rsid w:val="00CB1DE4"/>
    <w:rsid w:val="00CB2F76"/>
    <w:rsid w:val="00CB3347"/>
    <w:rsid w:val="00CB369D"/>
    <w:rsid w:val="00CB3D34"/>
    <w:rsid w:val="00CB43C7"/>
    <w:rsid w:val="00CB46FF"/>
    <w:rsid w:val="00CB495C"/>
    <w:rsid w:val="00CB503B"/>
    <w:rsid w:val="00CB7702"/>
    <w:rsid w:val="00CC041B"/>
    <w:rsid w:val="00CC0D04"/>
    <w:rsid w:val="00CC0F72"/>
    <w:rsid w:val="00CC11A8"/>
    <w:rsid w:val="00CC1ADD"/>
    <w:rsid w:val="00CC1DAC"/>
    <w:rsid w:val="00CC1E04"/>
    <w:rsid w:val="00CC2112"/>
    <w:rsid w:val="00CC22C4"/>
    <w:rsid w:val="00CC27C0"/>
    <w:rsid w:val="00CC3A04"/>
    <w:rsid w:val="00CC4499"/>
    <w:rsid w:val="00CC4CBE"/>
    <w:rsid w:val="00CC4F17"/>
    <w:rsid w:val="00CC5C87"/>
    <w:rsid w:val="00CC5F89"/>
    <w:rsid w:val="00CC70EF"/>
    <w:rsid w:val="00CC744F"/>
    <w:rsid w:val="00CC788C"/>
    <w:rsid w:val="00CC7ACB"/>
    <w:rsid w:val="00CD0C2A"/>
    <w:rsid w:val="00CD0D79"/>
    <w:rsid w:val="00CD137B"/>
    <w:rsid w:val="00CD1CA9"/>
    <w:rsid w:val="00CD40A1"/>
    <w:rsid w:val="00CD4226"/>
    <w:rsid w:val="00CD43A2"/>
    <w:rsid w:val="00CD46F3"/>
    <w:rsid w:val="00CD5002"/>
    <w:rsid w:val="00CD721C"/>
    <w:rsid w:val="00CD728F"/>
    <w:rsid w:val="00CD7349"/>
    <w:rsid w:val="00CD7478"/>
    <w:rsid w:val="00CD75B7"/>
    <w:rsid w:val="00CD7909"/>
    <w:rsid w:val="00CE00B4"/>
    <w:rsid w:val="00CE04B9"/>
    <w:rsid w:val="00CE10BA"/>
    <w:rsid w:val="00CE115F"/>
    <w:rsid w:val="00CE15EC"/>
    <w:rsid w:val="00CE1704"/>
    <w:rsid w:val="00CE1A2C"/>
    <w:rsid w:val="00CE1AAF"/>
    <w:rsid w:val="00CE2CBD"/>
    <w:rsid w:val="00CE35AF"/>
    <w:rsid w:val="00CE3B8E"/>
    <w:rsid w:val="00CE42E6"/>
    <w:rsid w:val="00CE44B6"/>
    <w:rsid w:val="00CE536D"/>
    <w:rsid w:val="00CE5C3A"/>
    <w:rsid w:val="00CE5E6E"/>
    <w:rsid w:val="00CE7483"/>
    <w:rsid w:val="00CE7955"/>
    <w:rsid w:val="00CE7BE1"/>
    <w:rsid w:val="00CF072A"/>
    <w:rsid w:val="00CF0E09"/>
    <w:rsid w:val="00CF1326"/>
    <w:rsid w:val="00CF2035"/>
    <w:rsid w:val="00CF2181"/>
    <w:rsid w:val="00CF224F"/>
    <w:rsid w:val="00CF2881"/>
    <w:rsid w:val="00CF3267"/>
    <w:rsid w:val="00CF3B24"/>
    <w:rsid w:val="00CF437C"/>
    <w:rsid w:val="00CF4845"/>
    <w:rsid w:val="00CF4B71"/>
    <w:rsid w:val="00CF5214"/>
    <w:rsid w:val="00CF528E"/>
    <w:rsid w:val="00CF588C"/>
    <w:rsid w:val="00CF5BB4"/>
    <w:rsid w:val="00CF5C20"/>
    <w:rsid w:val="00CF5FDB"/>
    <w:rsid w:val="00CF6A4F"/>
    <w:rsid w:val="00CF6E41"/>
    <w:rsid w:val="00CF7789"/>
    <w:rsid w:val="00CF7D47"/>
    <w:rsid w:val="00CF7F85"/>
    <w:rsid w:val="00D0022E"/>
    <w:rsid w:val="00D0031B"/>
    <w:rsid w:val="00D0091F"/>
    <w:rsid w:val="00D00CDC"/>
    <w:rsid w:val="00D01707"/>
    <w:rsid w:val="00D01D2A"/>
    <w:rsid w:val="00D02A71"/>
    <w:rsid w:val="00D03394"/>
    <w:rsid w:val="00D0390F"/>
    <w:rsid w:val="00D03B1B"/>
    <w:rsid w:val="00D03DAA"/>
    <w:rsid w:val="00D04420"/>
    <w:rsid w:val="00D044F3"/>
    <w:rsid w:val="00D050C3"/>
    <w:rsid w:val="00D0620E"/>
    <w:rsid w:val="00D06556"/>
    <w:rsid w:val="00D06AC5"/>
    <w:rsid w:val="00D07245"/>
    <w:rsid w:val="00D072E2"/>
    <w:rsid w:val="00D07363"/>
    <w:rsid w:val="00D075C4"/>
    <w:rsid w:val="00D07AB1"/>
    <w:rsid w:val="00D10582"/>
    <w:rsid w:val="00D106FE"/>
    <w:rsid w:val="00D10909"/>
    <w:rsid w:val="00D10D73"/>
    <w:rsid w:val="00D10FF9"/>
    <w:rsid w:val="00D11186"/>
    <w:rsid w:val="00D112ED"/>
    <w:rsid w:val="00D11AAB"/>
    <w:rsid w:val="00D12192"/>
    <w:rsid w:val="00D1278A"/>
    <w:rsid w:val="00D12E0D"/>
    <w:rsid w:val="00D1336F"/>
    <w:rsid w:val="00D13CA4"/>
    <w:rsid w:val="00D142EA"/>
    <w:rsid w:val="00D156E0"/>
    <w:rsid w:val="00D15720"/>
    <w:rsid w:val="00D15AAD"/>
    <w:rsid w:val="00D15B08"/>
    <w:rsid w:val="00D15C13"/>
    <w:rsid w:val="00D16027"/>
    <w:rsid w:val="00D160DD"/>
    <w:rsid w:val="00D165F7"/>
    <w:rsid w:val="00D169F0"/>
    <w:rsid w:val="00D16C63"/>
    <w:rsid w:val="00D1721C"/>
    <w:rsid w:val="00D175FC"/>
    <w:rsid w:val="00D203EE"/>
    <w:rsid w:val="00D20A0E"/>
    <w:rsid w:val="00D20F14"/>
    <w:rsid w:val="00D22B12"/>
    <w:rsid w:val="00D230F7"/>
    <w:rsid w:val="00D23CF7"/>
    <w:rsid w:val="00D245C4"/>
    <w:rsid w:val="00D256C2"/>
    <w:rsid w:val="00D25BEA"/>
    <w:rsid w:val="00D25CE1"/>
    <w:rsid w:val="00D27483"/>
    <w:rsid w:val="00D275FF"/>
    <w:rsid w:val="00D27790"/>
    <w:rsid w:val="00D278DA"/>
    <w:rsid w:val="00D300B2"/>
    <w:rsid w:val="00D310AA"/>
    <w:rsid w:val="00D32319"/>
    <w:rsid w:val="00D32670"/>
    <w:rsid w:val="00D32743"/>
    <w:rsid w:val="00D32EE9"/>
    <w:rsid w:val="00D33E74"/>
    <w:rsid w:val="00D349D6"/>
    <w:rsid w:val="00D34AAF"/>
    <w:rsid w:val="00D34CFB"/>
    <w:rsid w:val="00D34EDF"/>
    <w:rsid w:val="00D34F67"/>
    <w:rsid w:val="00D35132"/>
    <w:rsid w:val="00D351D6"/>
    <w:rsid w:val="00D3551D"/>
    <w:rsid w:val="00D35D9F"/>
    <w:rsid w:val="00D37472"/>
    <w:rsid w:val="00D37827"/>
    <w:rsid w:val="00D40512"/>
    <w:rsid w:val="00D426C6"/>
    <w:rsid w:val="00D427E4"/>
    <w:rsid w:val="00D42A40"/>
    <w:rsid w:val="00D4323C"/>
    <w:rsid w:val="00D4357E"/>
    <w:rsid w:val="00D44386"/>
    <w:rsid w:val="00D451A0"/>
    <w:rsid w:val="00D452B6"/>
    <w:rsid w:val="00D45630"/>
    <w:rsid w:val="00D4683E"/>
    <w:rsid w:val="00D47006"/>
    <w:rsid w:val="00D47809"/>
    <w:rsid w:val="00D4790F"/>
    <w:rsid w:val="00D47FC5"/>
    <w:rsid w:val="00D50B19"/>
    <w:rsid w:val="00D50B4E"/>
    <w:rsid w:val="00D50E51"/>
    <w:rsid w:val="00D51499"/>
    <w:rsid w:val="00D514C6"/>
    <w:rsid w:val="00D52537"/>
    <w:rsid w:val="00D525ED"/>
    <w:rsid w:val="00D5271E"/>
    <w:rsid w:val="00D54873"/>
    <w:rsid w:val="00D54AEB"/>
    <w:rsid w:val="00D54E5D"/>
    <w:rsid w:val="00D54F78"/>
    <w:rsid w:val="00D5589D"/>
    <w:rsid w:val="00D55F94"/>
    <w:rsid w:val="00D56569"/>
    <w:rsid w:val="00D56A11"/>
    <w:rsid w:val="00D56C4B"/>
    <w:rsid w:val="00D57602"/>
    <w:rsid w:val="00D579B3"/>
    <w:rsid w:val="00D57DC5"/>
    <w:rsid w:val="00D57EEB"/>
    <w:rsid w:val="00D57F04"/>
    <w:rsid w:val="00D60153"/>
    <w:rsid w:val="00D6067B"/>
    <w:rsid w:val="00D60682"/>
    <w:rsid w:val="00D61939"/>
    <w:rsid w:val="00D61C00"/>
    <w:rsid w:val="00D62033"/>
    <w:rsid w:val="00D621E6"/>
    <w:rsid w:val="00D62217"/>
    <w:rsid w:val="00D62D76"/>
    <w:rsid w:val="00D631AF"/>
    <w:rsid w:val="00D63277"/>
    <w:rsid w:val="00D634C4"/>
    <w:rsid w:val="00D6366C"/>
    <w:rsid w:val="00D63C80"/>
    <w:rsid w:val="00D63D10"/>
    <w:rsid w:val="00D65493"/>
    <w:rsid w:val="00D6587B"/>
    <w:rsid w:val="00D65B16"/>
    <w:rsid w:val="00D65DE0"/>
    <w:rsid w:val="00D65F7B"/>
    <w:rsid w:val="00D660EC"/>
    <w:rsid w:val="00D66DCA"/>
    <w:rsid w:val="00D6710F"/>
    <w:rsid w:val="00D673C4"/>
    <w:rsid w:val="00D67458"/>
    <w:rsid w:val="00D674AE"/>
    <w:rsid w:val="00D675EC"/>
    <w:rsid w:val="00D717BD"/>
    <w:rsid w:val="00D71A52"/>
    <w:rsid w:val="00D71A9D"/>
    <w:rsid w:val="00D726EE"/>
    <w:rsid w:val="00D72E6A"/>
    <w:rsid w:val="00D737D2"/>
    <w:rsid w:val="00D73B7B"/>
    <w:rsid w:val="00D73D21"/>
    <w:rsid w:val="00D73DB0"/>
    <w:rsid w:val="00D73E2B"/>
    <w:rsid w:val="00D758A2"/>
    <w:rsid w:val="00D75BF0"/>
    <w:rsid w:val="00D7615C"/>
    <w:rsid w:val="00D76226"/>
    <w:rsid w:val="00D764C9"/>
    <w:rsid w:val="00D765A8"/>
    <w:rsid w:val="00D767EA"/>
    <w:rsid w:val="00D76C89"/>
    <w:rsid w:val="00D77355"/>
    <w:rsid w:val="00D7736A"/>
    <w:rsid w:val="00D801E1"/>
    <w:rsid w:val="00D8091D"/>
    <w:rsid w:val="00D8130F"/>
    <w:rsid w:val="00D8144E"/>
    <w:rsid w:val="00D81862"/>
    <w:rsid w:val="00D81954"/>
    <w:rsid w:val="00D81C14"/>
    <w:rsid w:val="00D821BD"/>
    <w:rsid w:val="00D83A38"/>
    <w:rsid w:val="00D83DE7"/>
    <w:rsid w:val="00D84603"/>
    <w:rsid w:val="00D85BB5"/>
    <w:rsid w:val="00D8628D"/>
    <w:rsid w:val="00D86EE1"/>
    <w:rsid w:val="00D8734D"/>
    <w:rsid w:val="00D87D16"/>
    <w:rsid w:val="00D9024D"/>
    <w:rsid w:val="00D90D25"/>
    <w:rsid w:val="00D90E47"/>
    <w:rsid w:val="00D918B1"/>
    <w:rsid w:val="00D91F82"/>
    <w:rsid w:val="00D92051"/>
    <w:rsid w:val="00D9221D"/>
    <w:rsid w:val="00D931D7"/>
    <w:rsid w:val="00D93385"/>
    <w:rsid w:val="00D94A40"/>
    <w:rsid w:val="00D94CFA"/>
    <w:rsid w:val="00D94F17"/>
    <w:rsid w:val="00D9646F"/>
    <w:rsid w:val="00D9671D"/>
    <w:rsid w:val="00D96C18"/>
    <w:rsid w:val="00D97D82"/>
    <w:rsid w:val="00D97FD8"/>
    <w:rsid w:val="00DA12E8"/>
    <w:rsid w:val="00DA1382"/>
    <w:rsid w:val="00DA1C5F"/>
    <w:rsid w:val="00DA2177"/>
    <w:rsid w:val="00DA267A"/>
    <w:rsid w:val="00DA26BF"/>
    <w:rsid w:val="00DA2EF2"/>
    <w:rsid w:val="00DA3361"/>
    <w:rsid w:val="00DA35CA"/>
    <w:rsid w:val="00DA38E6"/>
    <w:rsid w:val="00DA3CFB"/>
    <w:rsid w:val="00DA3D4B"/>
    <w:rsid w:val="00DA4371"/>
    <w:rsid w:val="00DA485E"/>
    <w:rsid w:val="00DA48C8"/>
    <w:rsid w:val="00DA494B"/>
    <w:rsid w:val="00DA5509"/>
    <w:rsid w:val="00DA5978"/>
    <w:rsid w:val="00DA5997"/>
    <w:rsid w:val="00DA62E5"/>
    <w:rsid w:val="00DA646D"/>
    <w:rsid w:val="00DA697B"/>
    <w:rsid w:val="00DA7538"/>
    <w:rsid w:val="00DA7C17"/>
    <w:rsid w:val="00DB15BD"/>
    <w:rsid w:val="00DB1670"/>
    <w:rsid w:val="00DB1A78"/>
    <w:rsid w:val="00DB1F23"/>
    <w:rsid w:val="00DB2362"/>
    <w:rsid w:val="00DB3019"/>
    <w:rsid w:val="00DB597D"/>
    <w:rsid w:val="00DB5C83"/>
    <w:rsid w:val="00DB6384"/>
    <w:rsid w:val="00DB7BD2"/>
    <w:rsid w:val="00DC12C8"/>
    <w:rsid w:val="00DC20B3"/>
    <w:rsid w:val="00DC238F"/>
    <w:rsid w:val="00DC248F"/>
    <w:rsid w:val="00DC27FD"/>
    <w:rsid w:val="00DC3433"/>
    <w:rsid w:val="00DC3E5D"/>
    <w:rsid w:val="00DC443E"/>
    <w:rsid w:val="00DC489F"/>
    <w:rsid w:val="00DC4B21"/>
    <w:rsid w:val="00DC4E47"/>
    <w:rsid w:val="00DC5A99"/>
    <w:rsid w:val="00DC5ABC"/>
    <w:rsid w:val="00DC6ACD"/>
    <w:rsid w:val="00DC7DFF"/>
    <w:rsid w:val="00DD07E8"/>
    <w:rsid w:val="00DD08AB"/>
    <w:rsid w:val="00DD0FFD"/>
    <w:rsid w:val="00DD17F4"/>
    <w:rsid w:val="00DD1AED"/>
    <w:rsid w:val="00DD1E57"/>
    <w:rsid w:val="00DD2146"/>
    <w:rsid w:val="00DD2475"/>
    <w:rsid w:val="00DD2945"/>
    <w:rsid w:val="00DD2A44"/>
    <w:rsid w:val="00DD2A5B"/>
    <w:rsid w:val="00DD37C6"/>
    <w:rsid w:val="00DD3881"/>
    <w:rsid w:val="00DD3ECE"/>
    <w:rsid w:val="00DD4A7D"/>
    <w:rsid w:val="00DD4DEB"/>
    <w:rsid w:val="00DD4E89"/>
    <w:rsid w:val="00DD5657"/>
    <w:rsid w:val="00DD5E14"/>
    <w:rsid w:val="00DD68A1"/>
    <w:rsid w:val="00DD7083"/>
    <w:rsid w:val="00DD734C"/>
    <w:rsid w:val="00DD73BB"/>
    <w:rsid w:val="00DD7EDD"/>
    <w:rsid w:val="00DE09C5"/>
    <w:rsid w:val="00DE0E6F"/>
    <w:rsid w:val="00DE1D5D"/>
    <w:rsid w:val="00DE1E39"/>
    <w:rsid w:val="00DE21A9"/>
    <w:rsid w:val="00DE25F6"/>
    <w:rsid w:val="00DE2AE0"/>
    <w:rsid w:val="00DE2C87"/>
    <w:rsid w:val="00DE2EBE"/>
    <w:rsid w:val="00DE3DCA"/>
    <w:rsid w:val="00DE4AE0"/>
    <w:rsid w:val="00DE4C0E"/>
    <w:rsid w:val="00DE58B5"/>
    <w:rsid w:val="00DE5DBF"/>
    <w:rsid w:val="00DE628B"/>
    <w:rsid w:val="00DE62B0"/>
    <w:rsid w:val="00DE62CE"/>
    <w:rsid w:val="00DE6EBE"/>
    <w:rsid w:val="00DE7405"/>
    <w:rsid w:val="00DE7E5E"/>
    <w:rsid w:val="00DE7F56"/>
    <w:rsid w:val="00DF0B75"/>
    <w:rsid w:val="00DF0D6A"/>
    <w:rsid w:val="00DF0D9F"/>
    <w:rsid w:val="00DF1F58"/>
    <w:rsid w:val="00DF27E5"/>
    <w:rsid w:val="00DF316A"/>
    <w:rsid w:val="00DF3611"/>
    <w:rsid w:val="00DF3665"/>
    <w:rsid w:val="00DF378A"/>
    <w:rsid w:val="00DF396B"/>
    <w:rsid w:val="00DF4118"/>
    <w:rsid w:val="00DF4122"/>
    <w:rsid w:val="00DF4D1D"/>
    <w:rsid w:val="00DF537E"/>
    <w:rsid w:val="00DF53A7"/>
    <w:rsid w:val="00DF5A65"/>
    <w:rsid w:val="00DF671E"/>
    <w:rsid w:val="00DF712D"/>
    <w:rsid w:val="00DF794A"/>
    <w:rsid w:val="00DF7B02"/>
    <w:rsid w:val="00DF7B26"/>
    <w:rsid w:val="00DF7D11"/>
    <w:rsid w:val="00E00885"/>
    <w:rsid w:val="00E00B79"/>
    <w:rsid w:val="00E00B9F"/>
    <w:rsid w:val="00E00FC3"/>
    <w:rsid w:val="00E014D5"/>
    <w:rsid w:val="00E015DF"/>
    <w:rsid w:val="00E01A86"/>
    <w:rsid w:val="00E02997"/>
    <w:rsid w:val="00E02D14"/>
    <w:rsid w:val="00E0322A"/>
    <w:rsid w:val="00E034C8"/>
    <w:rsid w:val="00E0355A"/>
    <w:rsid w:val="00E04042"/>
    <w:rsid w:val="00E041F0"/>
    <w:rsid w:val="00E04D7D"/>
    <w:rsid w:val="00E05170"/>
    <w:rsid w:val="00E058AA"/>
    <w:rsid w:val="00E066FC"/>
    <w:rsid w:val="00E07575"/>
    <w:rsid w:val="00E077F4"/>
    <w:rsid w:val="00E07D33"/>
    <w:rsid w:val="00E11300"/>
    <w:rsid w:val="00E1130D"/>
    <w:rsid w:val="00E11B97"/>
    <w:rsid w:val="00E12415"/>
    <w:rsid w:val="00E12499"/>
    <w:rsid w:val="00E130C2"/>
    <w:rsid w:val="00E13A5F"/>
    <w:rsid w:val="00E13C3C"/>
    <w:rsid w:val="00E13F1A"/>
    <w:rsid w:val="00E1404A"/>
    <w:rsid w:val="00E147A2"/>
    <w:rsid w:val="00E14BD8"/>
    <w:rsid w:val="00E14DED"/>
    <w:rsid w:val="00E1576F"/>
    <w:rsid w:val="00E15A9C"/>
    <w:rsid w:val="00E15BB3"/>
    <w:rsid w:val="00E1624C"/>
    <w:rsid w:val="00E163E8"/>
    <w:rsid w:val="00E163FB"/>
    <w:rsid w:val="00E1674A"/>
    <w:rsid w:val="00E16F4C"/>
    <w:rsid w:val="00E17392"/>
    <w:rsid w:val="00E173A1"/>
    <w:rsid w:val="00E174D4"/>
    <w:rsid w:val="00E17C02"/>
    <w:rsid w:val="00E17F8A"/>
    <w:rsid w:val="00E202A8"/>
    <w:rsid w:val="00E20313"/>
    <w:rsid w:val="00E20396"/>
    <w:rsid w:val="00E2059C"/>
    <w:rsid w:val="00E21B3A"/>
    <w:rsid w:val="00E21CC6"/>
    <w:rsid w:val="00E22368"/>
    <w:rsid w:val="00E2276D"/>
    <w:rsid w:val="00E23838"/>
    <w:rsid w:val="00E24236"/>
    <w:rsid w:val="00E24278"/>
    <w:rsid w:val="00E25499"/>
    <w:rsid w:val="00E2562B"/>
    <w:rsid w:val="00E25C44"/>
    <w:rsid w:val="00E263C9"/>
    <w:rsid w:val="00E26850"/>
    <w:rsid w:val="00E26B19"/>
    <w:rsid w:val="00E302FF"/>
    <w:rsid w:val="00E30E66"/>
    <w:rsid w:val="00E30F54"/>
    <w:rsid w:val="00E31196"/>
    <w:rsid w:val="00E3199A"/>
    <w:rsid w:val="00E3245F"/>
    <w:rsid w:val="00E3255B"/>
    <w:rsid w:val="00E32E5C"/>
    <w:rsid w:val="00E33606"/>
    <w:rsid w:val="00E33A5E"/>
    <w:rsid w:val="00E34206"/>
    <w:rsid w:val="00E34660"/>
    <w:rsid w:val="00E35300"/>
    <w:rsid w:val="00E35DD1"/>
    <w:rsid w:val="00E374C4"/>
    <w:rsid w:val="00E37A15"/>
    <w:rsid w:val="00E37DE7"/>
    <w:rsid w:val="00E40162"/>
    <w:rsid w:val="00E40A7E"/>
    <w:rsid w:val="00E40D18"/>
    <w:rsid w:val="00E412F3"/>
    <w:rsid w:val="00E41E31"/>
    <w:rsid w:val="00E42094"/>
    <w:rsid w:val="00E422EF"/>
    <w:rsid w:val="00E42A2D"/>
    <w:rsid w:val="00E43306"/>
    <w:rsid w:val="00E4365F"/>
    <w:rsid w:val="00E43D0F"/>
    <w:rsid w:val="00E43D5A"/>
    <w:rsid w:val="00E44201"/>
    <w:rsid w:val="00E44570"/>
    <w:rsid w:val="00E4467B"/>
    <w:rsid w:val="00E44C51"/>
    <w:rsid w:val="00E4527D"/>
    <w:rsid w:val="00E4590B"/>
    <w:rsid w:val="00E45A29"/>
    <w:rsid w:val="00E45B47"/>
    <w:rsid w:val="00E45C07"/>
    <w:rsid w:val="00E45F6A"/>
    <w:rsid w:val="00E462C4"/>
    <w:rsid w:val="00E4662A"/>
    <w:rsid w:val="00E47003"/>
    <w:rsid w:val="00E50708"/>
    <w:rsid w:val="00E51262"/>
    <w:rsid w:val="00E5156A"/>
    <w:rsid w:val="00E51747"/>
    <w:rsid w:val="00E518D1"/>
    <w:rsid w:val="00E52AA2"/>
    <w:rsid w:val="00E52B15"/>
    <w:rsid w:val="00E52E08"/>
    <w:rsid w:val="00E52E67"/>
    <w:rsid w:val="00E5314C"/>
    <w:rsid w:val="00E532D1"/>
    <w:rsid w:val="00E5333C"/>
    <w:rsid w:val="00E53601"/>
    <w:rsid w:val="00E54317"/>
    <w:rsid w:val="00E543C7"/>
    <w:rsid w:val="00E54746"/>
    <w:rsid w:val="00E5504D"/>
    <w:rsid w:val="00E55484"/>
    <w:rsid w:val="00E56482"/>
    <w:rsid w:val="00E565BF"/>
    <w:rsid w:val="00E56801"/>
    <w:rsid w:val="00E56B00"/>
    <w:rsid w:val="00E5738E"/>
    <w:rsid w:val="00E5741F"/>
    <w:rsid w:val="00E57571"/>
    <w:rsid w:val="00E576D3"/>
    <w:rsid w:val="00E57845"/>
    <w:rsid w:val="00E57D41"/>
    <w:rsid w:val="00E617C2"/>
    <w:rsid w:val="00E6188E"/>
    <w:rsid w:val="00E61946"/>
    <w:rsid w:val="00E61AF8"/>
    <w:rsid w:val="00E61F75"/>
    <w:rsid w:val="00E62B6C"/>
    <w:rsid w:val="00E63497"/>
    <w:rsid w:val="00E638F6"/>
    <w:rsid w:val="00E63B14"/>
    <w:rsid w:val="00E63C39"/>
    <w:rsid w:val="00E63CCA"/>
    <w:rsid w:val="00E63F3D"/>
    <w:rsid w:val="00E6441B"/>
    <w:rsid w:val="00E647BC"/>
    <w:rsid w:val="00E64C00"/>
    <w:rsid w:val="00E64D3A"/>
    <w:rsid w:val="00E65467"/>
    <w:rsid w:val="00E658EE"/>
    <w:rsid w:val="00E67B6D"/>
    <w:rsid w:val="00E67C3A"/>
    <w:rsid w:val="00E704C7"/>
    <w:rsid w:val="00E70863"/>
    <w:rsid w:val="00E70930"/>
    <w:rsid w:val="00E70A93"/>
    <w:rsid w:val="00E70B06"/>
    <w:rsid w:val="00E713F2"/>
    <w:rsid w:val="00E71760"/>
    <w:rsid w:val="00E71A54"/>
    <w:rsid w:val="00E71CED"/>
    <w:rsid w:val="00E722EB"/>
    <w:rsid w:val="00E72748"/>
    <w:rsid w:val="00E732DC"/>
    <w:rsid w:val="00E746FF"/>
    <w:rsid w:val="00E747C4"/>
    <w:rsid w:val="00E75172"/>
    <w:rsid w:val="00E75422"/>
    <w:rsid w:val="00E758BC"/>
    <w:rsid w:val="00E75A74"/>
    <w:rsid w:val="00E75F91"/>
    <w:rsid w:val="00E76044"/>
    <w:rsid w:val="00E76462"/>
    <w:rsid w:val="00E768EC"/>
    <w:rsid w:val="00E76A4E"/>
    <w:rsid w:val="00E77456"/>
    <w:rsid w:val="00E8010B"/>
    <w:rsid w:val="00E80153"/>
    <w:rsid w:val="00E80F96"/>
    <w:rsid w:val="00E81039"/>
    <w:rsid w:val="00E813F0"/>
    <w:rsid w:val="00E81E0B"/>
    <w:rsid w:val="00E829E4"/>
    <w:rsid w:val="00E82EC3"/>
    <w:rsid w:val="00E8328D"/>
    <w:rsid w:val="00E83454"/>
    <w:rsid w:val="00E8358B"/>
    <w:rsid w:val="00E83D2F"/>
    <w:rsid w:val="00E84006"/>
    <w:rsid w:val="00E840CD"/>
    <w:rsid w:val="00E84679"/>
    <w:rsid w:val="00E84EC9"/>
    <w:rsid w:val="00E85456"/>
    <w:rsid w:val="00E8584D"/>
    <w:rsid w:val="00E85922"/>
    <w:rsid w:val="00E8617A"/>
    <w:rsid w:val="00E871A1"/>
    <w:rsid w:val="00E87931"/>
    <w:rsid w:val="00E90262"/>
    <w:rsid w:val="00E90653"/>
    <w:rsid w:val="00E90D01"/>
    <w:rsid w:val="00E9124B"/>
    <w:rsid w:val="00E91282"/>
    <w:rsid w:val="00E91378"/>
    <w:rsid w:val="00E9148A"/>
    <w:rsid w:val="00E915B0"/>
    <w:rsid w:val="00E91F6F"/>
    <w:rsid w:val="00E92543"/>
    <w:rsid w:val="00E9264E"/>
    <w:rsid w:val="00E92940"/>
    <w:rsid w:val="00E93D8A"/>
    <w:rsid w:val="00E94009"/>
    <w:rsid w:val="00E94F1A"/>
    <w:rsid w:val="00E95A13"/>
    <w:rsid w:val="00E95B69"/>
    <w:rsid w:val="00E95BEB"/>
    <w:rsid w:val="00E96A78"/>
    <w:rsid w:val="00E96BBB"/>
    <w:rsid w:val="00E96E1F"/>
    <w:rsid w:val="00E97FD0"/>
    <w:rsid w:val="00E97FDD"/>
    <w:rsid w:val="00EA0DCD"/>
    <w:rsid w:val="00EA11CA"/>
    <w:rsid w:val="00EA19FD"/>
    <w:rsid w:val="00EA2274"/>
    <w:rsid w:val="00EA2B3B"/>
    <w:rsid w:val="00EA377A"/>
    <w:rsid w:val="00EA3B19"/>
    <w:rsid w:val="00EA3C06"/>
    <w:rsid w:val="00EA3D62"/>
    <w:rsid w:val="00EA4791"/>
    <w:rsid w:val="00EA4AB7"/>
    <w:rsid w:val="00EA602D"/>
    <w:rsid w:val="00EA6515"/>
    <w:rsid w:val="00EA6826"/>
    <w:rsid w:val="00EB001B"/>
    <w:rsid w:val="00EB0780"/>
    <w:rsid w:val="00EB16CB"/>
    <w:rsid w:val="00EB1E0F"/>
    <w:rsid w:val="00EB23C0"/>
    <w:rsid w:val="00EB3446"/>
    <w:rsid w:val="00EB3704"/>
    <w:rsid w:val="00EB4E58"/>
    <w:rsid w:val="00EB4E67"/>
    <w:rsid w:val="00EB5019"/>
    <w:rsid w:val="00EB50E1"/>
    <w:rsid w:val="00EB5B6B"/>
    <w:rsid w:val="00EB5E2B"/>
    <w:rsid w:val="00EB64CE"/>
    <w:rsid w:val="00EB6C64"/>
    <w:rsid w:val="00EB7E26"/>
    <w:rsid w:val="00EC0601"/>
    <w:rsid w:val="00EC0691"/>
    <w:rsid w:val="00EC0B89"/>
    <w:rsid w:val="00EC107D"/>
    <w:rsid w:val="00EC14A7"/>
    <w:rsid w:val="00EC1604"/>
    <w:rsid w:val="00EC1976"/>
    <w:rsid w:val="00EC20C0"/>
    <w:rsid w:val="00EC275D"/>
    <w:rsid w:val="00EC2DA1"/>
    <w:rsid w:val="00EC32F6"/>
    <w:rsid w:val="00EC3A76"/>
    <w:rsid w:val="00EC48D7"/>
    <w:rsid w:val="00EC5B38"/>
    <w:rsid w:val="00EC5B5F"/>
    <w:rsid w:val="00EC62EB"/>
    <w:rsid w:val="00EC6A06"/>
    <w:rsid w:val="00EC6A3C"/>
    <w:rsid w:val="00EC70F8"/>
    <w:rsid w:val="00ED0087"/>
    <w:rsid w:val="00ED04A6"/>
    <w:rsid w:val="00ED0616"/>
    <w:rsid w:val="00ED0622"/>
    <w:rsid w:val="00ED097F"/>
    <w:rsid w:val="00ED1163"/>
    <w:rsid w:val="00ED1DFF"/>
    <w:rsid w:val="00ED2583"/>
    <w:rsid w:val="00ED3C5D"/>
    <w:rsid w:val="00ED53E8"/>
    <w:rsid w:val="00ED5453"/>
    <w:rsid w:val="00ED5EAC"/>
    <w:rsid w:val="00ED6665"/>
    <w:rsid w:val="00ED683B"/>
    <w:rsid w:val="00ED6E55"/>
    <w:rsid w:val="00ED7809"/>
    <w:rsid w:val="00ED7AE8"/>
    <w:rsid w:val="00ED7DD9"/>
    <w:rsid w:val="00EE052E"/>
    <w:rsid w:val="00EE07FA"/>
    <w:rsid w:val="00EE0882"/>
    <w:rsid w:val="00EE1289"/>
    <w:rsid w:val="00EE132F"/>
    <w:rsid w:val="00EE135F"/>
    <w:rsid w:val="00EE137D"/>
    <w:rsid w:val="00EE1562"/>
    <w:rsid w:val="00EE1E30"/>
    <w:rsid w:val="00EE30A7"/>
    <w:rsid w:val="00EE3140"/>
    <w:rsid w:val="00EE3518"/>
    <w:rsid w:val="00EE38D2"/>
    <w:rsid w:val="00EE3B17"/>
    <w:rsid w:val="00EE3E85"/>
    <w:rsid w:val="00EE4025"/>
    <w:rsid w:val="00EE4194"/>
    <w:rsid w:val="00EE4BC1"/>
    <w:rsid w:val="00EE6E8F"/>
    <w:rsid w:val="00EE70BF"/>
    <w:rsid w:val="00EE7170"/>
    <w:rsid w:val="00EE732A"/>
    <w:rsid w:val="00EE7B3F"/>
    <w:rsid w:val="00EE7BCF"/>
    <w:rsid w:val="00EE7E78"/>
    <w:rsid w:val="00EE7EB1"/>
    <w:rsid w:val="00EF05C0"/>
    <w:rsid w:val="00EF0867"/>
    <w:rsid w:val="00EF0DBE"/>
    <w:rsid w:val="00EF126D"/>
    <w:rsid w:val="00EF1283"/>
    <w:rsid w:val="00EF21D5"/>
    <w:rsid w:val="00EF2712"/>
    <w:rsid w:val="00EF2C38"/>
    <w:rsid w:val="00EF3689"/>
    <w:rsid w:val="00EF36A0"/>
    <w:rsid w:val="00EF47B9"/>
    <w:rsid w:val="00EF4DD7"/>
    <w:rsid w:val="00EF5090"/>
    <w:rsid w:val="00EF53AF"/>
    <w:rsid w:val="00EF54C3"/>
    <w:rsid w:val="00EF572D"/>
    <w:rsid w:val="00EF5A81"/>
    <w:rsid w:val="00EF60AF"/>
    <w:rsid w:val="00EF61F2"/>
    <w:rsid w:val="00EF633F"/>
    <w:rsid w:val="00EF6743"/>
    <w:rsid w:val="00EF6A8F"/>
    <w:rsid w:val="00EF7233"/>
    <w:rsid w:val="00EF79D4"/>
    <w:rsid w:val="00F008B3"/>
    <w:rsid w:val="00F00A2E"/>
    <w:rsid w:val="00F00B0B"/>
    <w:rsid w:val="00F018ED"/>
    <w:rsid w:val="00F01F2E"/>
    <w:rsid w:val="00F02652"/>
    <w:rsid w:val="00F02D0F"/>
    <w:rsid w:val="00F03384"/>
    <w:rsid w:val="00F03418"/>
    <w:rsid w:val="00F0356A"/>
    <w:rsid w:val="00F03597"/>
    <w:rsid w:val="00F035A4"/>
    <w:rsid w:val="00F037F5"/>
    <w:rsid w:val="00F03B7F"/>
    <w:rsid w:val="00F03BB7"/>
    <w:rsid w:val="00F04233"/>
    <w:rsid w:val="00F04E43"/>
    <w:rsid w:val="00F05592"/>
    <w:rsid w:val="00F0571B"/>
    <w:rsid w:val="00F061B2"/>
    <w:rsid w:val="00F063CF"/>
    <w:rsid w:val="00F0718D"/>
    <w:rsid w:val="00F073D4"/>
    <w:rsid w:val="00F07421"/>
    <w:rsid w:val="00F07B61"/>
    <w:rsid w:val="00F07DEE"/>
    <w:rsid w:val="00F1048A"/>
    <w:rsid w:val="00F10854"/>
    <w:rsid w:val="00F10DC5"/>
    <w:rsid w:val="00F12675"/>
    <w:rsid w:val="00F12A60"/>
    <w:rsid w:val="00F12AFE"/>
    <w:rsid w:val="00F12DF4"/>
    <w:rsid w:val="00F13644"/>
    <w:rsid w:val="00F15140"/>
    <w:rsid w:val="00F152B7"/>
    <w:rsid w:val="00F1562B"/>
    <w:rsid w:val="00F1569A"/>
    <w:rsid w:val="00F1569D"/>
    <w:rsid w:val="00F156E1"/>
    <w:rsid w:val="00F16647"/>
    <w:rsid w:val="00F167D7"/>
    <w:rsid w:val="00F169CD"/>
    <w:rsid w:val="00F17659"/>
    <w:rsid w:val="00F1796C"/>
    <w:rsid w:val="00F17DF5"/>
    <w:rsid w:val="00F17E18"/>
    <w:rsid w:val="00F20718"/>
    <w:rsid w:val="00F20FBE"/>
    <w:rsid w:val="00F21C37"/>
    <w:rsid w:val="00F22880"/>
    <w:rsid w:val="00F234DC"/>
    <w:rsid w:val="00F23834"/>
    <w:rsid w:val="00F23D6D"/>
    <w:rsid w:val="00F23F09"/>
    <w:rsid w:val="00F241FA"/>
    <w:rsid w:val="00F25053"/>
    <w:rsid w:val="00F25843"/>
    <w:rsid w:val="00F25B20"/>
    <w:rsid w:val="00F26032"/>
    <w:rsid w:val="00F26236"/>
    <w:rsid w:val="00F2624A"/>
    <w:rsid w:val="00F265C8"/>
    <w:rsid w:val="00F26E94"/>
    <w:rsid w:val="00F301B4"/>
    <w:rsid w:val="00F30213"/>
    <w:rsid w:val="00F330EF"/>
    <w:rsid w:val="00F347E5"/>
    <w:rsid w:val="00F34EF5"/>
    <w:rsid w:val="00F352A5"/>
    <w:rsid w:val="00F3543C"/>
    <w:rsid w:val="00F35B81"/>
    <w:rsid w:val="00F35D7F"/>
    <w:rsid w:val="00F35E3B"/>
    <w:rsid w:val="00F36607"/>
    <w:rsid w:val="00F36E22"/>
    <w:rsid w:val="00F37726"/>
    <w:rsid w:val="00F40183"/>
    <w:rsid w:val="00F402A7"/>
    <w:rsid w:val="00F408DC"/>
    <w:rsid w:val="00F41DF9"/>
    <w:rsid w:val="00F422F1"/>
    <w:rsid w:val="00F423CE"/>
    <w:rsid w:val="00F424C4"/>
    <w:rsid w:val="00F42731"/>
    <w:rsid w:val="00F4280B"/>
    <w:rsid w:val="00F42F70"/>
    <w:rsid w:val="00F43264"/>
    <w:rsid w:val="00F43CA0"/>
    <w:rsid w:val="00F440E9"/>
    <w:rsid w:val="00F44B23"/>
    <w:rsid w:val="00F455D3"/>
    <w:rsid w:val="00F4591C"/>
    <w:rsid w:val="00F45A82"/>
    <w:rsid w:val="00F462E9"/>
    <w:rsid w:val="00F46679"/>
    <w:rsid w:val="00F46E55"/>
    <w:rsid w:val="00F473A0"/>
    <w:rsid w:val="00F47D2E"/>
    <w:rsid w:val="00F47F9A"/>
    <w:rsid w:val="00F515FE"/>
    <w:rsid w:val="00F52276"/>
    <w:rsid w:val="00F53168"/>
    <w:rsid w:val="00F532D9"/>
    <w:rsid w:val="00F532EF"/>
    <w:rsid w:val="00F546F8"/>
    <w:rsid w:val="00F54981"/>
    <w:rsid w:val="00F554DD"/>
    <w:rsid w:val="00F55BEF"/>
    <w:rsid w:val="00F55D98"/>
    <w:rsid w:val="00F56711"/>
    <w:rsid w:val="00F575AD"/>
    <w:rsid w:val="00F57E76"/>
    <w:rsid w:val="00F603D5"/>
    <w:rsid w:val="00F60F88"/>
    <w:rsid w:val="00F6113B"/>
    <w:rsid w:val="00F61C77"/>
    <w:rsid w:val="00F620EF"/>
    <w:rsid w:val="00F625FC"/>
    <w:rsid w:val="00F63297"/>
    <w:rsid w:val="00F64A67"/>
    <w:rsid w:val="00F64DE6"/>
    <w:rsid w:val="00F64E50"/>
    <w:rsid w:val="00F653A9"/>
    <w:rsid w:val="00F660D2"/>
    <w:rsid w:val="00F66ED3"/>
    <w:rsid w:val="00F673E6"/>
    <w:rsid w:val="00F674A8"/>
    <w:rsid w:val="00F67ADE"/>
    <w:rsid w:val="00F700C4"/>
    <w:rsid w:val="00F700FF"/>
    <w:rsid w:val="00F70753"/>
    <w:rsid w:val="00F70B55"/>
    <w:rsid w:val="00F719F1"/>
    <w:rsid w:val="00F71B20"/>
    <w:rsid w:val="00F72324"/>
    <w:rsid w:val="00F72480"/>
    <w:rsid w:val="00F727F0"/>
    <w:rsid w:val="00F727FB"/>
    <w:rsid w:val="00F7288B"/>
    <w:rsid w:val="00F72D0B"/>
    <w:rsid w:val="00F73161"/>
    <w:rsid w:val="00F735A2"/>
    <w:rsid w:val="00F73762"/>
    <w:rsid w:val="00F74713"/>
    <w:rsid w:val="00F7490B"/>
    <w:rsid w:val="00F7587C"/>
    <w:rsid w:val="00F76EC5"/>
    <w:rsid w:val="00F774F1"/>
    <w:rsid w:val="00F80353"/>
    <w:rsid w:val="00F81CD9"/>
    <w:rsid w:val="00F82132"/>
    <w:rsid w:val="00F82D3E"/>
    <w:rsid w:val="00F82E94"/>
    <w:rsid w:val="00F83A4B"/>
    <w:rsid w:val="00F83D36"/>
    <w:rsid w:val="00F83EBC"/>
    <w:rsid w:val="00F857E8"/>
    <w:rsid w:val="00F85D63"/>
    <w:rsid w:val="00F86455"/>
    <w:rsid w:val="00F87D0E"/>
    <w:rsid w:val="00F90518"/>
    <w:rsid w:val="00F9068C"/>
    <w:rsid w:val="00F90955"/>
    <w:rsid w:val="00F90A84"/>
    <w:rsid w:val="00F90BED"/>
    <w:rsid w:val="00F90C1A"/>
    <w:rsid w:val="00F91C5F"/>
    <w:rsid w:val="00F92581"/>
    <w:rsid w:val="00F934D0"/>
    <w:rsid w:val="00F938AA"/>
    <w:rsid w:val="00F93CEE"/>
    <w:rsid w:val="00F93F9B"/>
    <w:rsid w:val="00F9506C"/>
    <w:rsid w:val="00F953A9"/>
    <w:rsid w:val="00F95681"/>
    <w:rsid w:val="00F95685"/>
    <w:rsid w:val="00F95A48"/>
    <w:rsid w:val="00F95A83"/>
    <w:rsid w:val="00F95BF9"/>
    <w:rsid w:val="00F95D27"/>
    <w:rsid w:val="00F970BF"/>
    <w:rsid w:val="00F97918"/>
    <w:rsid w:val="00F97AE7"/>
    <w:rsid w:val="00F97DF1"/>
    <w:rsid w:val="00FA03C5"/>
    <w:rsid w:val="00FA084A"/>
    <w:rsid w:val="00FA0D58"/>
    <w:rsid w:val="00FA146B"/>
    <w:rsid w:val="00FA189F"/>
    <w:rsid w:val="00FA22AD"/>
    <w:rsid w:val="00FA2878"/>
    <w:rsid w:val="00FA28FD"/>
    <w:rsid w:val="00FA3A9B"/>
    <w:rsid w:val="00FA4808"/>
    <w:rsid w:val="00FA4E05"/>
    <w:rsid w:val="00FA503F"/>
    <w:rsid w:val="00FA5BE2"/>
    <w:rsid w:val="00FA67F4"/>
    <w:rsid w:val="00FA6834"/>
    <w:rsid w:val="00FA6AE5"/>
    <w:rsid w:val="00FA7626"/>
    <w:rsid w:val="00FA7AA4"/>
    <w:rsid w:val="00FB044F"/>
    <w:rsid w:val="00FB0DFF"/>
    <w:rsid w:val="00FB181E"/>
    <w:rsid w:val="00FB1BA0"/>
    <w:rsid w:val="00FB1F16"/>
    <w:rsid w:val="00FB1F73"/>
    <w:rsid w:val="00FB2277"/>
    <w:rsid w:val="00FB295B"/>
    <w:rsid w:val="00FB29F7"/>
    <w:rsid w:val="00FB2B59"/>
    <w:rsid w:val="00FB303A"/>
    <w:rsid w:val="00FB3492"/>
    <w:rsid w:val="00FB4D13"/>
    <w:rsid w:val="00FB565B"/>
    <w:rsid w:val="00FB5809"/>
    <w:rsid w:val="00FB62A9"/>
    <w:rsid w:val="00FB6479"/>
    <w:rsid w:val="00FB7926"/>
    <w:rsid w:val="00FB7974"/>
    <w:rsid w:val="00FB7ADF"/>
    <w:rsid w:val="00FC00A8"/>
    <w:rsid w:val="00FC02D0"/>
    <w:rsid w:val="00FC117E"/>
    <w:rsid w:val="00FC1254"/>
    <w:rsid w:val="00FC1369"/>
    <w:rsid w:val="00FC1E93"/>
    <w:rsid w:val="00FC25F0"/>
    <w:rsid w:val="00FC29D7"/>
    <w:rsid w:val="00FC341A"/>
    <w:rsid w:val="00FC37DB"/>
    <w:rsid w:val="00FC4293"/>
    <w:rsid w:val="00FC472C"/>
    <w:rsid w:val="00FC47A2"/>
    <w:rsid w:val="00FC4FF5"/>
    <w:rsid w:val="00FC512B"/>
    <w:rsid w:val="00FC5A26"/>
    <w:rsid w:val="00FC68DF"/>
    <w:rsid w:val="00FC69C6"/>
    <w:rsid w:val="00FC7F0E"/>
    <w:rsid w:val="00FD01D3"/>
    <w:rsid w:val="00FD0A42"/>
    <w:rsid w:val="00FD116F"/>
    <w:rsid w:val="00FD2203"/>
    <w:rsid w:val="00FD269B"/>
    <w:rsid w:val="00FD26D3"/>
    <w:rsid w:val="00FD2A4C"/>
    <w:rsid w:val="00FD2F3B"/>
    <w:rsid w:val="00FD3196"/>
    <w:rsid w:val="00FD384B"/>
    <w:rsid w:val="00FD41B4"/>
    <w:rsid w:val="00FD4CDA"/>
    <w:rsid w:val="00FD506F"/>
    <w:rsid w:val="00FD52A5"/>
    <w:rsid w:val="00FD57E9"/>
    <w:rsid w:val="00FD6014"/>
    <w:rsid w:val="00FD6706"/>
    <w:rsid w:val="00FD70B5"/>
    <w:rsid w:val="00FD732D"/>
    <w:rsid w:val="00FD7368"/>
    <w:rsid w:val="00FD73F4"/>
    <w:rsid w:val="00FD7D79"/>
    <w:rsid w:val="00FD7E3C"/>
    <w:rsid w:val="00FE06AA"/>
    <w:rsid w:val="00FE0CD8"/>
    <w:rsid w:val="00FE1642"/>
    <w:rsid w:val="00FE19F3"/>
    <w:rsid w:val="00FE24D7"/>
    <w:rsid w:val="00FE2BDD"/>
    <w:rsid w:val="00FE34F4"/>
    <w:rsid w:val="00FE35EE"/>
    <w:rsid w:val="00FE39F8"/>
    <w:rsid w:val="00FE3C53"/>
    <w:rsid w:val="00FE3E4B"/>
    <w:rsid w:val="00FE4930"/>
    <w:rsid w:val="00FE4A8D"/>
    <w:rsid w:val="00FE4C01"/>
    <w:rsid w:val="00FE5454"/>
    <w:rsid w:val="00FE5A15"/>
    <w:rsid w:val="00FE5CA6"/>
    <w:rsid w:val="00FE6160"/>
    <w:rsid w:val="00FE6357"/>
    <w:rsid w:val="00FE6435"/>
    <w:rsid w:val="00FE6462"/>
    <w:rsid w:val="00FE6F82"/>
    <w:rsid w:val="00FE70FF"/>
    <w:rsid w:val="00FE716A"/>
    <w:rsid w:val="00FE77EB"/>
    <w:rsid w:val="00FE792E"/>
    <w:rsid w:val="00FE7E26"/>
    <w:rsid w:val="00FF0A1C"/>
    <w:rsid w:val="00FF0EB9"/>
    <w:rsid w:val="00FF1771"/>
    <w:rsid w:val="00FF17D6"/>
    <w:rsid w:val="00FF1EB1"/>
    <w:rsid w:val="00FF2253"/>
    <w:rsid w:val="00FF249B"/>
    <w:rsid w:val="00FF2828"/>
    <w:rsid w:val="00FF2BC7"/>
    <w:rsid w:val="00FF3207"/>
    <w:rsid w:val="00FF33D0"/>
    <w:rsid w:val="00FF373A"/>
    <w:rsid w:val="00FF3989"/>
    <w:rsid w:val="00FF3A8C"/>
    <w:rsid w:val="00FF3F6D"/>
    <w:rsid w:val="00FF418C"/>
    <w:rsid w:val="00FF4CC6"/>
    <w:rsid w:val="00FF5076"/>
    <w:rsid w:val="00FF53CE"/>
    <w:rsid w:val="00FF6089"/>
    <w:rsid w:val="00FF62C9"/>
    <w:rsid w:val="00FF6884"/>
    <w:rsid w:val="00FF6C0C"/>
    <w:rsid w:val="00FF7091"/>
    <w:rsid w:val="00FF7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B96F7"/>
  <w15:docId w15:val="{6424427F-C126-4075-99D2-311B5C81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89"/>
    <w:rPr>
      <w:sz w:val="20"/>
    </w:rPr>
  </w:style>
  <w:style w:type="paragraph" w:styleId="Heading1">
    <w:name w:val="heading 1"/>
    <w:aliases w:val="h1"/>
    <w:basedOn w:val="Normal"/>
    <w:next w:val="00BodyText1"/>
    <w:link w:val="Heading1Char"/>
    <w:qFormat/>
    <w:rsid w:val="00DA5978"/>
    <w:pPr>
      <w:keepNext/>
      <w:numPr>
        <w:numId w:val="5"/>
      </w:numPr>
      <w:spacing w:after="240"/>
      <w:jc w:val="center"/>
      <w:outlineLvl w:val="0"/>
    </w:pPr>
    <w:rPr>
      <w:rFonts w:eastAsiaTheme="majorEastAsia" w:cstheme="majorBidi"/>
      <w:b/>
      <w:bCs/>
      <w:color w:val="000000"/>
      <w:szCs w:val="28"/>
    </w:rPr>
  </w:style>
  <w:style w:type="paragraph" w:styleId="Heading2">
    <w:name w:val="heading 2"/>
    <w:aliases w:val="h2"/>
    <w:basedOn w:val="Normal"/>
    <w:next w:val="00BodyText1"/>
    <w:link w:val="Heading2Char"/>
    <w:unhideWhenUsed/>
    <w:qFormat/>
    <w:rsid w:val="00790EE8"/>
    <w:pPr>
      <w:keepNext/>
      <w:numPr>
        <w:ilvl w:val="1"/>
        <w:numId w:val="5"/>
      </w:numPr>
      <w:spacing w:after="240"/>
      <w:jc w:val="both"/>
      <w:outlineLvl w:val="1"/>
    </w:pPr>
    <w:rPr>
      <w:rFonts w:eastAsiaTheme="majorEastAsia" w:cs="Times New Roman"/>
      <w:b/>
      <w:bCs/>
      <w:color w:val="000000"/>
      <w:szCs w:val="26"/>
    </w:rPr>
  </w:style>
  <w:style w:type="paragraph" w:styleId="Heading3">
    <w:name w:val="heading 3"/>
    <w:aliases w:val="h3"/>
    <w:basedOn w:val="Normal"/>
    <w:next w:val="00BodyText1"/>
    <w:link w:val="Heading3Char"/>
    <w:unhideWhenUsed/>
    <w:qFormat/>
    <w:rsid w:val="00DA5978"/>
    <w:pPr>
      <w:numPr>
        <w:ilvl w:val="2"/>
        <w:numId w:val="5"/>
      </w:numPr>
      <w:spacing w:after="240"/>
      <w:outlineLvl w:val="2"/>
    </w:pPr>
    <w:rPr>
      <w:rFonts w:eastAsiaTheme="majorEastAsia" w:cs="Times New Roman"/>
      <w:bCs/>
      <w:color w:val="000000"/>
    </w:rPr>
  </w:style>
  <w:style w:type="paragraph" w:styleId="Heading4">
    <w:name w:val="heading 4"/>
    <w:aliases w:val="h4"/>
    <w:basedOn w:val="Normal"/>
    <w:next w:val="00BodyText1"/>
    <w:link w:val="Heading4Char"/>
    <w:unhideWhenUsed/>
    <w:qFormat/>
    <w:rsid w:val="00DA5978"/>
    <w:pPr>
      <w:numPr>
        <w:ilvl w:val="3"/>
        <w:numId w:val="5"/>
      </w:numPr>
      <w:spacing w:after="240"/>
      <w:outlineLvl w:val="3"/>
    </w:pPr>
    <w:rPr>
      <w:rFonts w:eastAsiaTheme="majorEastAsia" w:cs="Times New Roman"/>
      <w:bCs/>
      <w:iCs/>
      <w:color w:val="000000"/>
    </w:rPr>
  </w:style>
  <w:style w:type="paragraph" w:styleId="Heading5">
    <w:name w:val="heading 5"/>
    <w:aliases w:val="h5"/>
    <w:basedOn w:val="Normal"/>
    <w:next w:val="00BodyText1"/>
    <w:link w:val="Heading5Char"/>
    <w:unhideWhenUsed/>
    <w:qFormat/>
    <w:rsid w:val="00DA5978"/>
    <w:pPr>
      <w:numPr>
        <w:ilvl w:val="4"/>
        <w:numId w:val="5"/>
      </w:numPr>
      <w:spacing w:after="240"/>
      <w:outlineLvl w:val="4"/>
    </w:pPr>
    <w:rPr>
      <w:rFonts w:eastAsiaTheme="majorEastAsia" w:cs="Times New Roman"/>
      <w:color w:val="000000"/>
    </w:rPr>
  </w:style>
  <w:style w:type="paragraph" w:styleId="Heading6">
    <w:name w:val="heading 6"/>
    <w:aliases w:val="h6"/>
    <w:basedOn w:val="Normal"/>
    <w:next w:val="00BodyText1"/>
    <w:link w:val="Heading6Char"/>
    <w:unhideWhenUsed/>
    <w:qFormat/>
    <w:rsid w:val="00DA5978"/>
    <w:pPr>
      <w:numPr>
        <w:ilvl w:val="5"/>
        <w:numId w:val="5"/>
      </w:numPr>
      <w:spacing w:after="240"/>
      <w:outlineLvl w:val="5"/>
    </w:pPr>
    <w:rPr>
      <w:rFonts w:eastAsiaTheme="majorEastAsia" w:cs="Times New Roman"/>
      <w:iCs/>
      <w:color w:val="000000"/>
    </w:rPr>
  </w:style>
  <w:style w:type="paragraph" w:styleId="Heading7">
    <w:name w:val="heading 7"/>
    <w:aliases w:val="h7"/>
    <w:basedOn w:val="Normal"/>
    <w:next w:val="00BodyText1"/>
    <w:link w:val="Heading7Char"/>
    <w:unhideWhenUsed/>
    <w:qFormat/>
    <w:rsid w:val="00DA5978"/>
    <w:pPr>
      <w:numPr>
        <w:ilvl w:val="6"/>
        <w:numId w:val="5"/>
      </w:numPr>
      <w:spacing w:after="240"/>
      <w:outlineLvl w:val="6"/>
    </w:pPr>
    <w:rPr>
      <w:rFonts w:eastAsiaTheme="majorEastAsia" w:cs="Times New Roman"/>
      <w:iCs/>
      <w:color w:val="000000"/>
    </w:rPr>
  </w:style>
  <w:style w:type="paragraph" w:styleId="Heading8">
    <w:name w:val="heading 8"/>
    <w:aliases w:val="h8"/>
    <w:basedOn w:val="Normal"/>
    <w:next w:val="00BodyText1"/>
    <w:link w:val="Heading8Char"/>
    <w:unhideWhenUsed/>
    <w:qFormat/>
    <w:rsid w:val="00DA5978"/>
    <w:pPr>
      <w:numPr>
        <w:ilvl w:val="7"/>
        <w:numId w:val="3"/>
      </w:numPr>
      <w:tabs>
        <w:tab w:val="num" w:pos="7200"/>
      </w:tabs>
      <w:spacing w:after="240"/>
      <w:ind w:left="0" w:firstLine="6480"/>
      <w:outlineLvl w:val="7"/>
    </w:pPr>
    <w:rPr>
      <w:rFonts w:eastAsiaTheme="majorEastAsia" w:cs="Times New Roman"/>
      <w:color w:val="000000"/>
      <w:szCs w:val="20"/>
    </w:rPr>
  </w:style>
  <w:style w:type="paragraph" w:styleId="Heading9">
    <w:name w:val="heading 9"/>
    <w:aliases w:val="h9"/>
    <w:basedOn w:val="Normal"/>
    <w:next w:val="00BodyText1"/>
    <w:link w:val="Heading9Char"/>
    <w:unhideWhenUsed/>
    <w:qFormat/>
    <w:rsid w:val="00DA5978"/>
    <w:pPr>
      <w:numPr>
        <w:ilvl w:val="8"/>
        <w:numId w:val="1"/>
      </w:numPr>
      <w:tabs>
        <w:tab w:val="num" w:pos="7920"/>
      </w:tabs>
      <w:spacing w:after="240"/>
      <w:ind w:firstLine="7200"/>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
    <w:basedOn w:val="Normal"/>
    <w:link w:val="HeaderChar"/>
    <w:unhideWhenUsed/>
    <w:rsid w:val="005A2467"/>
    <w:pPr>
      <w:tabs>
        <w:tab w:val="center" w:pos="4680"/>
        <w:tab w:val="right" w:pos="9360"/>
      </w:tabs>
    </w:pPr>
  </w:style>
  <w:style w:type="character" w:customStyle="1" w:styleId="HeaderChar">
    <w:name w:val="Header Char"/>
    <w:aliases w:val="h Char"/>
    <w:basedOn w:val="DefaultParagraphFont"/>
    <w:link w:val="Header"/>
    <w:rsid w:val="005A2467"/>
    <w:rPr>
      <w:sz w:val="22"/>
    </w:rPr>
  </w:style>
  <w:style w:type="paragraph" w:styleId="Footer">
    <w:name w:val="footer"/>
    <w:basedOn w:val="Normal"/>
    <w:link w:val="FooterChar"/>
    <w:uiPriority w:val="99"/>
    <w:unhideWhenUsed/>
    <w:rsid w:val="005A2467"/>
    <w:pPr>
      <w:tabs>
        <w:tab w:val="center" w:pos="4680"/>
        <w:tab w:val="right" w:pos="9360"/>
      </w:tabs>
    </w:pPr>
  </w:style>
  <w:style w:type="character" w:customStyle="1" w:styleId="FooterChar">
    <w:name w:val="Footer Char"/>
    <w:basedOn w:val="DefaultParagraphFont"/>
    <w:link w:val="Footer"/>
    <w:uiPriority w:val="99"/>
    <w:rsid w:val="005A2467"/>
    <w:rPr>
      <w:sz w:val="22"/>
    </w:rPr>
  </w:style>
  <w:style w:type="paragraph" w:styleId="TOC1">
    <w:name w:val="toc 1"/>
    <w:basedOn w:val="Normal"/>
    <w:next w:val="Normal"/>
    <w:autoRedefine/>
    <w:uiPriority w:val="39"/>
    <w:unhideWhenUsed/>
    <w:qFormat/>
    <w:rsid w:val="0080352B"/>
    <w:pPr>
      <w:tabs>
        <w:tab w:val="right" w:leader="dot" w:pos="4310"/>
      </w:tabs>
      <w:ind w:left="144" w:right="720" w:hanging="144"/>
    </w:pPr>
    <w:rPr>
      <w:sz w:val="14"/>
    </w:rPr>
  </w:style>
  <w:style w:type="paragraph" w:styleId="TOC2">
    <w:name w:val="toc 2"/>
    <w:basedOn w:val="Normal"/>
    <w:next w:val="Normal"/>
    <w:autoRedefine/>
    <w:uiPriority w:val="39"/>
    <w:qFormat/>
    <w:rsid w:val="00DA5978"/>
    <w:pPr>
      <w:keepLines/>
      <w:tabs>
        <w:tab w:val="right" w:leader="dot" w:pos="4306"/>
      </w:tabs>
      <w:ind w:left="288" w:right="720" w:hanging="144"/>
    </w:pPr>
    <w:rPr>
      <w:sz w:val="14"/>
      <w:szCs w:val="14"/>
    </w:rPr>
  </w:style>
  <w:style w:type="character" w:customStyle="1" w:styleId="Heading1Char">
    <w:name w:val="Heading 1 Char"/>
    <w:aliases w:val="h1 Char"/>
    <w:basedOn w:val="DefaultParagraphFont"/>
    <w:link w:val="Heading1"/>
    <w:rsid w:val="00DA5978"/>
    <w:rPr>
      <w:rFonts w:eastAsiaTheme="majorEastAsia" w:cstheme="majorBidi"/>
      <w:b/>
      <w:bCs/>
      <w:color w:val="000000"/>
      <w:sz w:val="20"/>
      <w:szCs w:val="28"/>
    </w:rPr>
  </w:style>
  <w:style w:type="paragraph" w:styleId="TOCHeading">
    <w:name w:val="TOC Heading"/>
    <w:basedOn w:val="Normal"/>
    <w:next w:val="Normal"/>
    <w:uiPriority w:val="39"/>
    <w:qFormat/>
    <w:rsid w:val="00DA5978"/>
    <w:pPr>
      <w:keepNext/>
      <w:jc w:val="center"/>
    </w:pPr>
    <w:rPr>
      <w:rFonts w:cstheme="majorBidi"/>
      <w:b/>
    </w:rPr>
  </w:style>
  <w:style w:type="paragraph" w:customStyle="1" w:styleId="00BodyText5">
    <w:name w:val="00 Body Text .5"/>
    <w:basedOn w:val="Normal"/>
    <w:link w:val="00BodyText5Char"/>
    <w:qFormat/>
    <w:rsid w:val="001E1F9A"/>
    <w:pPr>
      <w:spacing w:after="240"/>
      <w:ind w:firstLine="720"/>
      <w:jc w:val="both"/>
    </w:pPr>
    <w:rPr>
      <w:sz w:val="22"/>
    </w:rPr>
  </w:style>
  <w:style w:type="character" w:customStyle="1" w:styleId="00BodyText5Char">
    <w:name w:val="00 Body Text .5 Char"/>
    <w:link w:val="00BodyText5"/>
    <w:rsid w:val="001E1F9A"/>
    <w:rPr>
      <w:sz w:val="22"/>
    </w:rPr>
  </w:style>
  <w:style w:type="paragraph" w:customStyle="1" w:styleId="00TitleC">
    <w:name w:val="00 Title C"/>
    <w:basedOn w:val="Normal"/>
    <w:link w:val="00TitleCChar"/>
    <w:qFormat/>
    <w:rsid w:val="00DA5978"/>
    <w:pPr>
      <w:keepNext/>
      <w:spacing w:after="240"/>
      <w:jc w:val="center"/>
    </w:pPr>
    <w:rPr>
      <w:b/>
    </w:rPr>
  </w:style>
  <w:style w:type="character" w:customStyle="1" w:styleId="00TitleCChar">
    <w:name w:val="00 Title C Char"/>
    <w:link w:val="00TitleC"/>
    <w:rsid w:val="00DA5978"/>
    <w:rPr>
      <w:b/>
      <w:sz w:val="22"/>
    </w:rPr>
  </w:style>
  <w:style w:type="paragraph" w:customStyle="1" w:styleId="00BlockInd5">
    <w:name w:val="00 Block Ind .5"/>
    <w:basedOn w:val="Normal"/>
    <w:qFormat/>
    <w:rsid w:val="00DA5978"/>
    <w:pPr>
      <w:spacing w:after="240"/>
      <w:ind w:left="720" w:right="720"/>
    </w:pPr>
  </w:style>
  <w:style w:type="paragraph" w:customStyle="1" w:styleId="00BlockInd1">
    <w:name w:val="00 Block Ind 1"/>
    <w:basedOn w:val="Normal"/>
    <w:qFormat/>
    <w:rsid w:val="00DA5978"/>
    <w:pPr>
      <w:spacing w:after="240"/>
      <w:ind w:left="1440" w:right="1440"/>
    </w:pPr>
  </w:style>
  <w:style w:type="paragraph" w:customStyle="1" w:styleId="00BodyText1">
    <w:name w:val="00 Body Text 1"/>
    <w:basedOn w:val="Normal"/>
    <w:link w:val="00BodyText1Char"/>
    <w:qFormat/>
    <w:rsid w:val="00DA5978"/>
    <w:pPr>
      <w:spacing w:after="240"/>
      <w:ind w:firstLine="1440"/>
    </w:pPr>
  </w:style>
  <w:style w:type="character" w:customStyle="1" w:styleId="00BodyText1Char">
    <w:name w:val="00 Body Text 1 Char"/>
    <w:link w:val="00BodyText1"/>
    <w:rsid w:val="00DA5978"/>
    <w:rPr>
      <w:sz w:val="22"/>
    </w:rPr>
  </w:style>
  <w:style w:type="paragraph" w:customStyle="1" w:styleId="00BulletList">
    <w:name w:val="00 Bullet List"/>
    <w:basedOn w:val="Normal"/>
    <w:qFormat/>
    <w:rsid w:val="00DA5978"/>
    <w:pPr>
      <w:numPr>
        <w:numId w:val="6"/>
      </w:numPr>
      <w:spacing w:after="240"/>
    </w:pPr>
  </w:style>
  <w:style w:type="paragraph" w:customStyle="1" w:styleId="00Center">
    <w:name w:val="00 Center"/>
    <w:basedOn w:val="Normal"/>
    <w:link w:val="00CenterChar"/>
    <w:qFormat/>
    <w:rsid w:val="00DA5978"/>
    <w:pPr>
      <w:keepNext/>
      <w:spacing w:after="240"/>
      <w:jc w:val="center"/>
    </w:pPr>
    <w:rPr>
      <w:rFonts w:ascii="Times New Roman Bold" w:hAnsi="Times New Roman Bold"/>
      <w:b/>
      <w:caps/>
    </w:rPr>
  </w:style>
  <w:style w:type="character" w:customStyle="1" w:styleId="00CenterChar">
    <w:name w:val="00 Center Char"/>
    <w:link w:val="00Center"/>
    <w:rsid w:val="00DA5978"/>
    <w:rPr>
      <w:rFonts w:ascii="Times New Roman Bold" w:hAnsi="Times New Roman Bold"/>
      <w:b/>
      <w:caps/>
      <w:sz w:val="22"/>
    </w:rPr>
  </w:style>
  <w:style w:type="paragraph" w:customStyle="1" w:styleId="00HangingIndent">
    <w:name w:val="00 Hanging Indent"/>
    <w:basedOn w:val="Normal"/>
    <w:qFormat/>
    <w:rsid w:val="00DA5978"/>
    <w:pPr>
      <w:spacing w:after="240"/>
      <w:ind w:left="2880" w:hanging="2160"/>
    </w:pPr>
  </w:style>
  <w:style w:type="paragraph" w:customStyle="1" w:styleId="00LeftIndent5">
    <w:name w:val="00 Left Indent .5"/>
    <w:basedOn w:val="Normal"/>
    <w:qFormat/>
    <w:rsid w:val="00DA5978"/>
    <w:pPr>
      <w:spacing w:after="240"/>
      <w:ind w:left="720"/>
    </w:pPr>
  </w:style>
  <w:style w:type="paragraph" w:customStyle="1" w:styleId="00LeftIndent10">
    <w:name w:val="00 Left Indent 1.0"/>
    <w:basedOn w:val="Normal"/>
    <w:qFormat/>
    <w:rsid w:val="00DA5978"/>
    <w:pPr>
      <w:spacing w:after="240"/>
      <w:ind w:left="1440"/>
    </w:pPr>
  </w:style>
  <w:style w:type="paragraph" w:customStyle="1" w:styleId="00LeftIndent15">
    <w:name w:val="00 Left Indent 1.5"/>
    <w:basedOn w:val="Normal"/>
    <w:qFormat/>
    <w:rsid w:val="00DA5978"/>
    <w:pPr>
      <w:spacing w:after="240"/>
      <w:ind w:left="2160"/>
    </w:pPr>
  </w:style>
  <w:style w:type="paragraph" w:customStyle="1" w:styleId="00Normal">
    <w:name w:val="00 Normal"/>
    <w:basedOn w:val="Normal"/>
    <w:qFormat/>
    <w:rsid w:val="00DA5978"/>
    <w:pPr>
      <w:spacing w:after="240"/>
    </w:pPr>
  </w:style>
  <w:style w:type="paragraph" w:customStyle="1" w:styleId="00PlainText">
    <w:name w:val="00 Plain Text"/>
    <w:basedOn w:val="Normal"/>
    <w:qFormat/>
    <w:rsid w:val="00DA5978"/>
  </w:style>
  <w:style w:type="paragraph" w:customStyle="1" w:styleId="00TitleL">
    <w:name w:val="00 Title L"/>
    <w:basedOn w:val="Normal"/>
    <w:link w:val="00TitleLChar"/>
    <w:qFormat/>
    <w:rsid w:val="00DA5978"/>
    <w:pPr>
      <w:keepNext/>
      <w:spacing w:after="240"/>
    </w:pPr>
    <w:rPr>
      <w:b/>
    </w:rPr>
  </w:style>
  <w:style w:type="paragraph" w:customStyle="1" w:styleId="TOCPage">
    <w:name w:val="TOC Page"/>
    <w:basedOn w:val="Normal"/>
    <w:semiHidden/>
    <w:qFormat/>
    <w:rsid w:val="00DA5978"/>
    <w:pPr>
      <w:spacing w:after="240"/>
      <w:jc w:val="right"/>
    </w:pPr>
    <w:rPr>
      <w:b/>
    </w:rPr>
  </w:style>
  <w:style w:type="character" w:customStyle="1" w:styleId="Heading2Char">
    <w:name w:val="Heading 2 Char"/>
    <w:aliases w:val="h2 Char"/>
    <w:basedOn w:val="DefaultParagraphFont"/>
    <w:link w:val="Heading2"/>
    <w:rsid w:val="00790EE8"/>
    <w:rPr>
      <w:rFonts w:eastAsiaTheme="majorEastAsia" w:cs="Times New Roman"/>
      <w:b/>
      <w:bCs/>
      <w:color w:val="000000"/>
      <w:sz w:val="20"/>
      <w:szCs w:val="26"/>
    </w:rPr>
  </w:style>
  <w:style w:type="character" w:customStyle="1" w:styleId="Heading3Char">
    <w:name w:val="Heading 3 Char"/>
    <w:aliases w:val="h3 Char"/>
    <w:basedOn w:val="DefaultParagraphFont"/>
    <w:link w:val="Heading3"/>
    <w:rsid w:val="00DA5978"/>
    <w:rPr>
      <w:rFonts w:eastAsiaTheme="majorEastAsia" w:cs="Times New Roman"/>
      <w:bCs/>
      <w:color w:val="000000"/>
      <w:sz w:val="20"/>
    </w:rPr>
  </w:style>
  <w:style w:type="character" w:customStyle="1" w:styleId="Heading4Char">
    <w:name w:val="Heading 4 Char"/>
    <w:aliases w:val="h4 Char"/>
    <w:basedOn w:val="DefaultParagraphFont"/>
    <w:link w:val="Heading4"/>
    <w:rsid w:val="00DA5978"/>
    <w:rPr>
      <w:rFonts w:eastAsiaTheme="majorEastAsia" w:cs="Times New Roman"/>
      <w:bCs/>
      <w:iCs/>
      <w:color w:val="000000"/>
      <w:sz w:val="20"/>
    </w:rPr>
  </w:style>
  <w:style w:type="character" w:customStyle="1" w:styleId="Heading5Char">
    <w:name w:val="Heading 5 Char"/>
    <w:aliases w:val="h5 Char"/>
    <w:basedOn w:val="DefaultParagraphFont"/>
    <w:link w:val="Heading5"/>
    <w:rsid w:val="00DA5978"/>
    <w:rPr>
      <w:rFonts w:eastAsiaTheme="majorEastAsia" w:cs="Times New Roman"/>
      <w:color w:val="000000"/>
      <w:sz w:val="20"/>
    </w:rPr>
  </w:style>
  <w:style w:type="character" w:customStyle="1" w:styleId="Heading6Char">
    <w:name w:val="Heading 6 Char"/>
    <w:aliases w:val="h6 Char"/>
    <w:basedOn w:val="DefaultParagraphFont"/>
    <w:link w:val="Heading6"/>
    <w:rsid w:val="00DA5978"/>
    <w:rPr>
      <w:rFonts w:eastAsiaTheme="majorEastAsia" w:cs="Times New Roman"/>
      <w:iCs/>
      <w:color w:val="000000"/>
      <w:sz w:val="20"/>
    </w:rPr>
  </w:style>
  <w:style w:type="character" w:customStyle="1" w:styleId="Heading7Char">
    <w:name w:val="Heading 7 Char"/>
    <w:aliases w:val="h7 Char"/>
    <w:basedOn w:val="DefaultParagraphFont"/>
    <w:link w:val="Heading7"/>
    <w:rsid w:val="00DA5978"/>
    <w:rPr>
      <w:rFonts w:eastAsiaTheme="majorEastAsia" w:cs="Times New Roman"/>
      <w:iCs/>
      <w:color w:val="000000"/>
      <w:sz w:val="20"/>
    </w:rPr>
  </w:style>
  <w:style w:type="character" w:customStyle="1" w:styleId="Heading8Char">
    <w:name w:val="Heading 8 Char"/>
    <w:aliases w:val="h8 Char"/>
    <w:basedOn w:val="DefaultParagraphFont"/>
    <w:link w:val="Heading8"/>
    <w:rsid w:val="00DA5978"/>
    <w:rPr>
      <w:rFonts w:eastAsiaTheme="majorEastAsia" w:cs="Times New Roman"/>
      <w:color w:val="000000"/>
      <w:sz w:val="20"/>
      <w:szCs w:val="20"/>
    </w:rPr>
  </w:style>
  <w:style w:type="character" w:customStyle="1" w:styleId="Heading9Char">
    <w:name w:val="Heading 9 Char"/>
    <w:aliases w:val="h9 Char"/>
    <w:basedOn w:val="DefaultParagraphFont"/>
    <w:link w:val="Heading9"/>
    <w:rsid w:val="00DA5978"/>
    <w:rPr>
      <w:rFonts w:eastAsiaTheme="majorEastAsia" w:cs="Times New Roman"/>
      <w:iCs/>
      <w:color w:val="000000"/>
      <w:sz w:val="20"/>
      <w:szCs w:val="20"/>
    </w:rPr>
  </w:style>
  <w:style w:type="paragraph" w:styleId="Revision">
    <w:name w:val="Revision"/>
    <w:hidden/>
    <w:uiPriority w:val="99"/>
    <w:semiHidden/>
    <w:rsid w:val="00CC0D04"/>
    <w:rPr>
      <w:sz w:val="22"/>
    </w:rPr>
  </w:style>
  <w:style w:type="paragraph" w:customStyle="1" w:styleId="00NumberList">
    <w:name w:val="00 Number List"/>
    <w:basedOn w:val="Normal"/>
    <w:rsid w:val="00C8609E"/>
    <w:pPr>
      <w:numPr>
        <w:numId w:val="3"/>
      </w:numPr>
      <w:spacing w:after="240"/>
    </w:pPr>
  </w:style>
  <w:style w:type="paragraph" w:styleId="TOAHeading">
    <w:name w:val="toa heading"/>
    <w:basedOn w:val="Normal"/>
    <w:next w:val="Normal"/>
    <w:uiPriority w:val="99"/>
    <w:rsid w:val="00393600"/>
    <w:pPr>
      <w:keepNext/>
      <w:widowControl w:val="0"/>
      <w:spacing w:before="120" w:after="120" w:line="240" w:lineRule="exact"/>
      <w:jc w:val="center"/>
    </w:pPr>
    <w:rPr>
      <w:rFonts w:eastAsia="Times New Roman" w:cs="Times New Roman"/>
      <w:b/>
      <w:caps/>
      <w:szCs w:val="20"/>
    </w:rPr>
  </w:style>
  <w:style w:type="paragraph" w:styleId="TOC3">
    <w:name w:val="toc 3"/>
    <w:basedOn w:val="Normal"/>
    <w:next w:val="Normal"/>
    <w:uiPriority w:val="39"/>
    <w:rsid w:val="00393600"/>
    <w:pPr>
      <w:keepLines/>
      <w:tabs>
        <w:tab w:val="right" w:leader="dot" w:pos="4306"/>
      </w:tabs>
      <w:ind w:left="2160" w:right="720" w:hanging="720"/>
    </w:pPr>
    <w:rPr>
      <w:rFonts w:eastAsia="Times New Roman" w:cs="Times New Roman"/>
      <w:szCs w:val="20"/>
    </w:rPr>
  </w:style>
  <w:style w:type="paragraph" w:styleId="TOC4">
    <w:name w:val="toc 4"/>
    <w:basedOn w:val="Normal"/>
    <w:next w:val="Normal"/>
    <w:uiPriority w:val="39"/>
    <w:rsid w:val="00393600"/>
    <w:pPr>
      <w:keepLines/>
      <w:tabs>
        <w:tab w:val="right" w:leader="dot" w:pos="4306"/>
      </w:tabs>
      <w:ind w:left="2880" w:right="720" w:hanging="720"/>
    </w:pPr>
    <w:rPr>
      <w:rFonts w:eastAsia="Times New Roman" w:cs="Times New Roman"/>
      <w:szCs w:val="20"/>
    </w:rPr>
  </w:style>
  <w:style w:type="paragraph" w:styleId="TOC5">
    <w:name w:val="toc 5"/>
    <w:basedOn w:val="Normal"/>
    <w:next w:val="Normal"/>
    <w:uiPriority w:val="39"/>
    <w:rsid w:val="00393600"/>
    <w:pPr>
      <w:keepLines/>
      <w:tabs>
        <w:tab w:val="right" w:leader="dot" w:pos="4306"/>
      </w:tabs>
      <w:ind w:left="3600" w:right="720" w:hanging="720"/>
    </w:pPr>
    <w:rPr>
      <w:rFonts w:eastAsia="Times New Roman" w:cs="Times New Roman"/>
      <w:szCs w:val="20"/>
    </w:rPr>
  </w:style>
  <w:style w:type="paragraph" w:styleId="TOC6">
    <w:name w:val="toc 6"/>
    <w:basedOn w:val="Normal"/>
    <w:next w:val="Normal"/>
    <w:uiPriority w:val="39"/>
    <w:rsid w:val="00393600"/>
    <w:pPr>
      <w:keepLines/>
      <w:tabs>
        <w:tab w:val="right" w:leader="dot" w:pos="4306"/>
      </w:tabs>
      <w:ind w:left="4320" w:right="720" w:hanging="720"/>
    </w:pPr>
    <w:rPr>
      <w:rFonts w:eastAsia="Times New Roman" w:cs="Times New Roman"/>
      <w:szCs w:val="20"/>
    </w:rPr>
  </w:style>
  <w:style w:type="paragraph" w:styleId="TOC7">
    <w:name w:val="toc 7"/>
    <w:basedOn w:val="Normal"/>
    <w:next w:val="Normal"/>
    <w:uiPriority w:val="39"/>
    <w:rsid w:val="00393600"/>
    <w:pPr>
      <w:keepLines/>
      <w:tabs>
        <w:tab w:val="right" w:leader="dot" w:pos="4306"/>
      </w:tabs>
      <w:ind w:left="5040" w:right="720" w:hanging="720"/>
    </w:pPr>
    <w:rPr>
      <w:rFonts w:eastAsia="Times New Roman" w:cs="Times New Roman"/>
      <w:szCs w:val="20"/>
    </w:rPr>
  </w:style>
  <w:style w:type="paragraph" w:styleId="TOC8">
    <w:name w:val="toc 8"/>
    <w:basedOn w:val="Normal"/>
    <w:next w:val="Normal"/>
    <w:uiPriority w:val="39"/>
    <w:rsid w:val="00393600"/>
    <w:pPr>
      <w:keepLines/>
      <w:tabs>
        <w:tab w:val="right" w:leader="dot" w:pos="4306"/>
      </w:tabs>
      <w:ind w:left="5760" w:right="720" w:hanging="720"/>
    </w:pPr>
    <w:rPr>
      <w:rFonts w:eastAsia="Times New Roman" w:cs="Times New Roman"/>
      <w:szCs w:val="20"/>
    </w:rPr>
  </w:style>
  <w:style w:type="paragraph" w:styleId="TOC9">
    <w:name w:val="toc 9"/>
    <w:basedOn w:val="Normal"/>
    <w:next w:val="Normal"/>
    <w:uiPriority w:val="39"/>
    <w:rsid w:val="00393600"/>
    <w:pPr>
      <w:keepLines/>
      <w:tabs>
        <w:tab w:val="right" w:leader="dot" w:pos="4306"/>
      </w:tabs>
      <w:ind w:left="6480" w:right="720" w:hanging="720"/>
    </w:pPr>
    <w:rPr>
      <w:rFonts w:eastAsia="Times New Roman" w:cs="Times New Roman"/>
      <w:szCs w:val="20"/>
    </w:rPr>
  </w:style>
  <w:style w:type="paragraph" w:customStyle="1" w:styleId="TOCHeader">
    <w:name w:val="TOC Header"/>
    <w:basedOn w:val="Normal"/>
    <w:rsid w:val="00393600"/>
    <w:pPr>
      <w:ind w:left="115" w:right="115"/>
      <w:jc w:val="center"/>
    </w:pPr>
    <w:rPr>
      <w:rFonts w:eastAsia="Times New Roman" w:cs="Times New Roman"/>
      <w:szCs w:val="20"/>
    </w:rPr>
  </w:style>
  <w:style w:type="paragraph" w:customStyle="1" w:styleId="00CoverText">
    <w:name w:val="00 Cover Text"/>
    <w:basedOn w:val="00Normal"/>
    <w:rsid w:val="00EF47B9"/>
    <w:pPr>
      <w:tabs>
        <w:tab w:val="right" w:pos="9360"/>
      </w:tabs>
      <w:ind w:firstLine="720"/>
    </w:pPr>
  </w:style>
  <w:style w:type="paragraph" w:customStyle="1" w:styleId="00BodyText15">
    <w:name w:val="00 Body Text 1.5"/>
    <w:basedOn w:val="Normal"/>
    <w:rsid w:val="003A4549"/>
    <w:pPr>
      <w:spacing w:line="360" w:lineRule="auto"/>
      <w:ind w:firstLine="1440"/>
    </w:pPr>
    <w:rPr>
      <w:sz w:val="24"/>
    </w:rPr>
  </w:style>
  <w:style w:type="paragraph" w:customStyle="1" w:styleId="00BodyTextDbl">
    <w:name w:val="00 Body Text Dbl"/>
    <w:basedOn w:val="Normal"/>
    <w:rsid w:val="003A4549"/>
    <w:pPr>
      <w:spacing w:line="480" w:lineRule="auto"/>
      <w:ind w:firstLine="1440"/>
    </w:pPr>
    <w:rPr>
      <w:sz w:val="24"/>
    </w:rPr>
  </w:style>
  <w:style w:type="paragraph" w:customStyle="1" w:styleId="00Double">
    <w:name w:val="00 Double"/>
    <w:basedOn w:val="Normal"/>
    <w:rsid w:val="003A4549"/>
    <w:pPr>
      <w:spacing w:line="480" w:lineRule="auto"/>
    </w:pPr>
    <w:rPr>
      <w:sz w:val="24"/>
    </w:rPr>
  </w:style>
  <w:style w:type="paragraph" w:customStyle="1" w:styleId="00JBodyText1">
    <w:name w:val="00 J Body Text 1"/>
    <w:basedOn w:val="Normal"/>
    <w:rsid w:val="003A4549"/>
    <w:pPr>
      <w:spacing w:after="240"/>
      <w:ind w:firstLine="1440"/>
    </w:pPr>
    <w:rPr>
      <w:sz w:val="24"/>
    </w:rPr>
  </w:style>
  <w:style w:type="paragraph" w:customStyle="1" w:styleId="HeadingBody2">
    <w:name w:val="HeadingBody 2"/>
    <w:basedOn w:val="Normal"/>
    <w:next w:val="00BodyText1"/>
    <w:link w:val="HeadingBody2Char"/>
    <w:uiPriority w:val="49"/>
    <w:semiHidden/>
    <w:rsid w:val="00B869FD"/>
    <w:pPr>
      <w:spacing w:after="240"/>
      <w:ind w:firstLine="2160"/>
    </w:pPr>
    <w:rPr>
      <w:rFonts w:eastAsia="Times New Roman" w:cs="Times New Roman"/>
      <w:szCs w:val="20"/>
    </w:rPr>
  </w:style>
  <w:style w:type="character" w:customStyle="1" w:styleId="HeadingBody2Char">
    <w:name w:val="HeadingBody 2 Char"/>
    <w:basedOn w:val="DefaultParagraphFont"/>
    <w:link w:val="HeadingBody2"/>
    <w:uiPriority w:val="49"/>
    <w:semiHidden/>
    <w:rsid w:val="00B869FD"/>
    <w:rPr>
      <w:rFonts w:eastAsia="Times New Roman" w:cs="Times New Roman"/>
      <w:sz w:val="22"/>
      <w:szCs w:val="20"/>
    </w:rPr>
  </w:style>
  <w:style w:type="paragraph" w:styleId="BalloonText">
    <w:name w:val="Balloon Text"/>
    <w:basedOn w:val="Normal"/>
    <w:link w:val="BalloonTextChar"/>
    <w:uiPriority w:val="99"/>
    <w:semiHidden/>
    <w:unhideWhenUsed/>
    <w:rsid w:val="006E04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EA"/>
    <w:rPr>
      <w:rFonts w:ascii="Segoe UI" w:hAnsi="Segoe UI" w:cs="Segoe UI"/>
      <w:sz w:val="18"/>
      <w:szCs w:val="18"/>
    </w:rPr>
  </w:style>
  <w:style w:type="paragraph" w:styleId="Bibliography">
    <w:name w:val="Bibliography"/>
    <w:basedOn w:val="Normal"/>
    <w:next w:val="Normal"/>
    <w:uiPriority w:val="37"/>
    <w:unhideWhenUsed/>
    <w:rsid w:val="001A647B"/>
    <w:pPr>
      <w:jc w:val="both"/>
    </w:pPr>
    <w:rPr>
      <w:sz w:val="22"/>
    </w:rPr>
  </w:style>
  <w:style w:type="paragraph" w:styleId="BodyText">
    <w:name w:val="Body Text"/>
    <w:aliases w:val="b0,Body Text Char1,b0 Char1,Body Text Char Char,b0 Char Char,bt, Char,Char,Body Text Char2,Body Text Char1 Char1,Body Text Char1 Char Char Char,Body Text Char Char Char Char Char,Body Text Char Char1 Char,Body Text Char Char2,Ch,b"/>
    <w:basedOn w:val="Normal"/>
    <w:link w:val="BodyTextChar"/>
    <w:unhideWhenUsed/>
    <w:qFormat/>
    <w:rsid w:val="00E71A54"/>
    <w:pPr>
      <w:spacing w:after="120"/>
      <w:jc w:val="both"/>
    </w:pPr>
    <w:rPr>
      <w:sz w:val="22"/>
    </w:rPr>
  </w:style>
  <w:style w:type="character" w:customStyle="1" w:styleId="BodyTextChar">
    <w:name w:val="Body Text Char"/>
    <w:aliases w:val="b0 Char,Body Text Char1 Char,b0 Char1 Char,Body Text Char Char Char,b0 Char Char Char,bt Char, Char Char,Char Char,Body Text Char2 Char,Body Text Char1 Char1 Char,Body Text Char1 Char Char Char Char,Body Text Char Char Char Char Char Char"/>
    <w:basedOn w:val="DefaultParagraphFont"/>
    <w:link w:val="BodyText"/>
    <w:rsid w:val="00E71A54"/>
    <w:rPr>
      <w:sz w:val="22"/>
    </w:rPr>
  </w:style>
  <w:style w:type="paragraph" w:customStyle="1" w:styleId="BodyText5">
    <w:name w:val="Body Text .5"/>
    <w:basedOn w:val="BodyText"/>
    <w:rsid w:val="00C8023F"/>
    <w:pPr>
      <w:ind w:left="720" w:firstLine="720"/>
    </w:pPr>
    <w:rPr>
      <w:szCs w:val="22"/>
    </w:rPr>
  </w:style>
  <w:style w:type="paragraph" w:customStyle="1" w:styleId="Level2">
    <w:name w:val="Level 2"/>
    <w:basedOn w:val="Normal"/>
    <w:link w:val="Level2Char"/>
    <w:rsid w:val="008E5187"/>
    <w:pPr>
      <w:keepNext/>
      <w:spacing w:after="240"/>
      <w:jc w:val="both"/>
      <w:outlineLvl w:val="1"/>
    </w:pPr>
    <w:rPr>
      <w:rFonts w:eastAsiaTheme="minorEastAsia"/>
      <w:b/>
      <w:bCs/>
      <w:sz w:val="24"/>
      <w:lang w:eastAsia="zh-CN"/>
    </w:rPr>
  </w:style>
  <w:style w:type="character" w:customStyle="1" w:styleId="Level2Char">
    <w:name w:val="Level 2 Char"/>
    <w:basedOn w:val="DefaultParagraphFont"/>
    <w:link w:val="Level2"/>
    <w:rsid w:val="008E5187"/>
    <w:rPr>
      <w:rFonts w:eastAsiaTheme="minorEastAsia"/>
      <w:b/>
      <w:bCs/>
      <w:lang w:eastAsia="zh-CN"/>
    </w:rPr>
  </w:style>
  <w:style w:type="table" w:customStyle="1" w:styleId="TableGrid1">
    <w:name w:val="Table Grid1"/>
    <w:basedOn w:val="TableNormal"/>
    <w:next w:val="TableGrid"/>
    <w:rsid w:val="00421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1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
    <w:basedOn w:val="Normal"/>
    <w:link w:val="FootnoteTextChar"/>
    <w:uiPriority w:val="99"/>
    <w:unhideWhenUsed/>
    <w:qFormat/>
    <w:rsid w:val="003A1134"/>
    <w:rPr>
      <w:szCs w:val="20"/>
    </w:rPr>
  </w:style>
  <w:style w:type="character" w:customStyle="1" w:styleId="FootnoteTextChar">
    <w:name w:val="Footnote Text Char"/>
    <w:aliases w:val="ft Char,footnote text Char"/>
    <w:basedOn w:val="DefaultParagraphFont"/>
    <w:link w:val="FootnoteText"/>
    <w:uiPriority w:val="99"/>
    <w:rsid w:val="003A1134"/>
    <w:rPr>
      <w:sz w:val="20"/>
      <w:szCs w:val="20"/>
    </w:rPr>
  </w:style>
  <w:style w:type="character" w:styleId="FootnoteReference">
    <w:name w:val="footnote reference"/>
    <w:aliases w:val="fr"/>
    <w:basedOn w:val="DefaultParagraphFont"/>
    <w:unhideWhenUsed/>
    <w:rsid w:val="003A1134"/>
    <w:rPr>
      <w:vertAlign w:val="superscript"/>
    </w:rPr>
  </w:style>
  <w:style w:type="character" w:styleId="Hyperlink">
    <w:name w:val="Hyperlink"/>
    <w:basedOn w:val="DefaultParagraphFont"/>
    <w:uiPriority w:val="99"/>
    <w:rsid w:val="00B05D72"/>
    <w:rPr>
      <w:color w:val="0000FF"/>
      <w:u w:val="single"/>
    </w:rPr>
  </w:style>
  <w:style w:type="paragraph" w:styleId="ListParagraph">
    <w:name w:val="List Paragraph"/>
    <w:basedOn w:val="Normal"/>
    <w:link w:val="ListParagraphChar"/>
    <w:uiPriority w:val="72"/>
    <w:qFormat/>
    <w:rsid w:val="006D59B7"/>
    <w:pPr>
      <w:ind w:left="720"/>
      <w:contextualSpacing/>
    </w:pPr>
  </w:style>
  <w:style w:type="paragraph" w:styleId="EndnoteText">
    <w:name w:val="endnote text"/>
    <w:basedOn w:val="Normal"/>
    <w:link w:val="EndnoteTextChar"/>
    <w:uiPriority w:val="99"/>
    <w:semiHidden/>
    <w:unhideWhenUsed/>
    <w:rsid w:val="00FC68DF"/>
    <w:rPr>
      <w:szCs w:val="20"/>
    </w:rPr>
  </w:style>
  <w:style w:type="character" w:customStyle="1" w:styleId="EndnoteTextChar">
    <w:name w:val="Endnote Text Char"/>
    <w:basedOn w:val="DefaultParagraphFont"/>
    <w:link w:val="EndnoteText"/>
    <w:uiPriority w:val="99"/>
    <w:semiHidden/>
    <w:rsid w:val="00FC68DF"/>
    <w:rPr>
      <w:sz w:val="20"/>
      <w:szCs w:val="20"/>
    </w:rPr>
  </w:style>
  <w:style w:type="character" w:styleId="EndnoteReference">
    <w:name w:val="endnote reference"/>
    <w:basedOn w:val="DefaultParagraphFont"/>
    <w:uiPriority w:val="99"/>
    <w:semiHidden/>
    <w:unhideWhenUsed/>
    <w:rsid w:val="00FC68DF"/>
    <w:rPr>
      <w:vertAlign w:val="superscript"/>
    </w:rPr>
  </w:style>
  <w:style w:type="paragraph" w:customStyle="1" w:styleId="TitleL">
    <w:name w:val="* Title L"/>
    <w:basedOn w:val="Normal"/>
    <w:link w:val="TitleLChar"/>
    <w:rsid w:val="00E130C2"/>
    <w:pPr>
      <w:keepNext/>
      <w:spacing w:after="240"/>
    </w:pPr>
    <w:rPr>
      <w:rFonts w:eastAsia="Times New Roman" w:cs="Times New Roman"/>
      <w:b/>
      <w:szCs w:val="20"/>
    </w:rPr>
  </w:style>
  <w:style w:type="character" w:customStyle="1" w:styleId="TitleLChar">
    <w:name w:val="* Title L Char"/>
    <w:basedOn w:val="DefaultParagraphFont"/>
    <w:link w:val="TitleL"/>
    <w:rsid w:val="00E130C2"/>
    <w:rPr>
      <w:rFonts w:eastAsia="Times New Roman" w:cs="Times New Roman"/>
      <w:b/>
      <w:sz w:val="20"/>
      <w:szCs w:val="20"/>
    </w:rPr>
  </w:style>
  <w:style w:type="character" w:customStyle="1" w:styleId="00TitleLChar">
    <w:name w:val="00 Title L Char"/>
    <w:basedOn w:val="DefaultParagraphFont"/>
    <w:link w:val="00TitleL"/>
    <w:rsid w:val="00E130C2"/>
    <w:rPr>
      <w:b/>
      <w:sz w:val="20"/>
    </w:rPr>
  </w:style>
  <w:style w:type="character" w:styleId="CommentReference">
    <w:name w:val="annotation reference"/>
    <w:basedOn w:val="DefaultParagraphFont"/>
    <w:semiHidden/>
    <w:unhideWhenUsed/>
    <w:rsid w:val="00240E92"/>
    <w:rPr>
      <w:sz w:val="16"/>
      <w:szCs w:val="16"/>
    </w:rPr>
  </w:style>
  <w:style w:type="paragraph" w:styleId="CommentText">
    <w:name w:val="annotation text"/>
    <w:basedOn w:val="Normal"/>
    <w:link w:val="CommentTextChar"/>
    <w:unhideWhenUsed/>
    <w:rsid w:val="00240E92"/>
    <w:rPr>
      <w:szCs w:val="20"/>
    </w:rPr>
  </w:style>
  <w:style w:type="character" w:customStyle="1" w:styleId="CommentTextChar">
    <w:name w:val="Comment Text Char"/>
    <w:basedOn w:val="DefaultParagraphFont"/>
    <w:link w:val="CommentText"/>
    <w:rsid w:val="00240E92"/>
    <w:rPr>
      <w:sz w:val="20"/>
      <w:szCs w:val="20"/>
    </w:rPr>
  </w:style>
  <w:style w:type="paragraph" w:customStyle="1" w:styleId="DocID">
    <w:name w:val="DocID"/>
    <w:basedOn w:val="Normal"/>
    <w:next w:val="Footer"/>
    <w:link w:val="DocIDChar"/>
    <w:rsid w:val="006E6A19"/>
    <w:pPr>
      <w:tabs>
        <w:tab w:val="center" w:pos="4680"/>
      </w:tabs>
    </w:pPr>
    <w:rPr>
      <w:rFonts w:eastAsia="Times New Roman" w:cs="Times New Roman"/>
      <w:color w:val="000000"/>
      <w:sz w:val="16"/>
      <w:szCs w:val="22"/>
    </w:rPr>
  </w:style>
  <w:style w:type="character" w:customStyle="1" w:styleId="DocIDChar">
    <w:name w:val="DocID Char"/>
    <w:link w:val="DocID"/>
    <w:rsid w:val="006E6A19"/>
    <w:rPr>
      <w:rFonts w:eastAsia="Times New Roman" w:cs="Times New Roman"/>
      <w:color w:val="000000"/>
      <w:sz w:val="16"/>
      <w:szCs w:val="22"/>
    </w:rPr>
  </w:style>
  <w:style w:type="paragraph" w:customStyle="1" w:styleId="AutoCorrect">
    <w:name w:val="AutoCorrect"/>
    <w:rsid w:val="002C29D7"/>
    <w:pPr>
      <w:spacing w:after="160" w:line="259" w:lineRule="auto"/>
    </w:pPr>
    <w:rPr>
      <w:rFonts w:asciiTheme="minorHAnsi" w:eastAsiaTheme="minorEastAsia" w:hAnsiTheme="minorHAnsi"/>
      <w:sz w:val="22"/>
      <w:szCs w:val="22"/>
    </w:rPr>
  </w:style>
  <w:style w:type="paragraph" w:customStyle="1" w:styleId="05BodyTextJustified">
    <w:name w:val=".05 Body Text Justified"/>
    <w:basedOn w:val="Normal"/>
    <w:link w:val="05BodyTextJustifiedChar"/>
    <w:qFormat/>
    <w:rsid w:val="0097472A"/>
    <w:pPr>
      <w:spacing w:after="240"/>
      <w:ind w:firstLine="720"/>
      <w:jc w:val="both"/>
    </w:pPr>
    <w:rPr>
      <w:szCs w:val="22"/>
    </w:rPr>
  </w:style>
  <w:style w:type="character" w:customStyle="1" w:styleId="05BodyTextJustifiedChar">
    <w:name w:val=".05 Body Text Justified Char"/>
    <w:basedOn w:val="DefaultParagraphFont"/>
    <w:link w:val="05BodyTextJustified"/>
    <w:rsid w:val="0097472A"/>
    <w:rPr>
      <w:sz w:val="20"/>
      <w:szCs w:val="22"/>
    </w:rPr>
  </w:style>
  <w:style w:type="paragraph" w:customStyle="1" w:styleId="MKTGBullets">
    <w:name w:val="MKTG Bullets"/>
    <w:qFormat/>
    <w:rsid w:val="001C1320"/>
    <w:pPr>
      <w:numPr>
        <w:numId w:val="9"/>
      </w:numPr>
      <w:tabs>
        <w:tab w:val="clear" w:pos="216"/>
      </w:tabs>
      <w:spacing w:after="240" w:line="240" w:lineRule="exact"/>
      <w:ind w:left="0" w:firstLine="0"/>
    </w:pPr>
    <w:rPr>
      <w:rFonts w:ascii="Garamond" w:hAnsi="Garamond"/>
    </w:rPr>
  </w:style>
  <w:style w:type="numbering" w:customStyle="1" w:styleId="MKTGBullets-list">
    <w:name w:val="MKTG Bullets-list"/>
    <w:basedOn w:val="NoList"/>
    <w:rsid w:val="001C1320"/>
    <w:pPr>
      <w:numPr>
        <w:numId w:val="9"/>
      </w:numPr>
    </w:pPr>
  </w:style>
  <w:style w:type="table" w:customStyle="1" w:styleId="TableGrid2">
    <w:name w:val="Table Grid2"/>
    <w:basedOn w:val="TableNormal"/>
    <w:next w:val="TableGrid"/>
    <w:uiPriority w:val="59"/>
    <w:rsid w:val="003F5DA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70675"/>
    <w:rPr>
      <w:b/>
      <w:bCs/>
    </w:rPr>
  </w:style>
  <w:style w:type="character" w:customStyle="1" w:styleId="CommentSubjectChar">
    <w:name w:val="Comment Subject Char"/>
    <w:basedOn w:val="CommentTextChar"/>
    <w:link w:val="CommentSubject"/>
    <w:uiPriority w:val="99"/>
    <w:semiHidden/>
    <w:rsid w:val="00370675"/>
    <w:rPr>
      <w:b/>
      <w:bCs/>
      <w:sz w:val="20"/>
      <w:szCs w:val="20"/>
    </w:rPr>
  </w:style>
  <w:style w:type="paragraph" w:customStyle="1" w:styleId="Article2L2">
    <w:name w:val="Article2_L2"/>
    <w:basedOn w:val="Normal"/>
    <w:next w:val="BodyText"/>
    <w:rsid w:val="00910B04"/>
    <w:pPr>
      <w:tabs>
        <w:tab w:val="num" w:pos="2340"/>
      </w:tabs>
      <w:spacing w:after="240"/>
      <w:ind w:left="1440" w:hanging="360"/>
      <w:jc w:val="both"/>
      <w:outlineLvl w:val="1"/>
    </w:pPr>
    <w:rPr>
      <w:rFonts w:eastAsia="Times New Roman" w:cs="Times New Roman"/>
      <w:sz w:val="24"/>
      <w:szCs w:val="20"/>
    </w:rPr>
  </w:style>
  <w:style w:type="paragraph" w:customStyle="1" w:styleId="Kutak1L1">
    <w:name w:val="Kutak1_L1"/>
    <w:basedOn w:val="Normal"/>
    <w:next w:val="BodyText"/>
    <w:qFormat/>
    <w:rsid w:val="003A2F25"/>
    <w:pPr>
      <w:keepNext/>
      <w:keepLines/>
      <w:tabs>
        <w:tab w:val="num" w:pos="0"/>
      </w:tabs>
      <w:spacing w:after="240"/>
      <w:jc w:val="center"/>
      <w:outlineLvl w:val="0"/>
    </w:pPr>
    <w:rPr>
      <w:rFonts w:eastAsia="Times New Roman" w:cs="Times New Roman"/>
      <w:b/>
      <w:caps/>
      <w:sz w:val="22"/>
      <w:szCs w:val="20"/>
    </w:rPr>
  </w:style>
  <w:style w:type="paragraph" w:customStyle="1" w:styleId="Kutak1L2">
    <w:name w:val="Kutak1_L2"/>
    <w:basedOn w:val="Kutak1L1"/>
    <w:next w:val="BodyText"/>
    <w:link w:val="Kutak1L2Char"/>
    <w:qFormat/>
    <w:rsid w:val="003A2F25"/>
    <w:pPr>
      <w:jc w:val="left"/>
      <w:outlineLvl w:val="1"/>
    </w:pPr>
    <w:rPr>
      <w:caps w:val="0"/>
    </w:rPr>
  </w:style>
  <w:style w:type="character" w:customStyle="1" w:styleId="Kutak1L2Char">
    <w:name w:val="Kutak1_L2 Char"/>
    <w:basedOn w:val="DefaultParagraphFont"/>
    <w:link w:val="Kutak1L2"/>
    <w:rsid w:val="003A2F25"/>
    <w:rPr>
      <w:rFonts w:eastAsia="Times New Roman" w:cs="Times New Roman"/>
      <w:b/>
      <w:sz w:val="22"/>
      <w:szCs w:val="20"/>
    </w:rPr>
  </w:style>
  <w:style w:type="paragraph" w:customStyle="1" w:styleId="Kutak1L3">
    <w:name w:val="Kutak1_L3"/>
    <w:basedOn w:val="Kutak1L2"/>
    <w:next w:val="BodyText"/>
    <w:qFormat/>
    <w:rsid w:val="003A2F25"/>
    <w:pPr>
      <w:keepNext w:val="0"/>
      <w:keepLines w:val="0"/>
      <w:tabs>
        <w:tab w:val="clear" w:pos="0"/>
        <w:tab w:val="num" w:pos="3600"/>
      </w:tabs>
      <w:ind w:firstLine="2880"/>
      <w:outlineLvl w:val="2"/>
    </w:pPr>
    <w:rPr>
      <w:b w:val="0"/>
    </w:rPr>
  </w:style>
  <w:style w:type="paragraph" w:customStyle="1" w:styleId="Kutak1L4">
    <w:name w:val="Kutak1_L4"/>
    <w:basedOn w:val="Kutak1L3"/>
    <w:next w:val="BodyText"/>
    <w:rsid w:val="003A2F25"/>
    <w:pPr>
      <w:tabs>
        <w:tab w:val="clear" w:pos="3600"/>
        <w:tab w:val="num" w:pos="4320"/>
      </w:tabs>
      <w:ind w:firstLine="3600"/>
      <w:jc w:val="both"/>
      <w:outlineLvl w:val="3"/>
    </w:pPr>
  </w:style>
  <w:style w:type="paragraph" w:customStyle="1" w:styleId="Kutak1L5">
    <w:name w:val="Kutak1_L5"/>
    <w:basedOn w:val="Kutak1L4"/>
    <w:next w:val="BodyText"/>
    <w:rsid w:val="003A2F25"/>
    <w:pPr>
      <w:tabs>
        <w:tab w:val="clear" w:pos="4320"/>
        <w:tab w:val="num" w:pos="5040"/>
      </w:tabs>
      <w:ind w:firstLine="4320"/>
      <w:outlineLvl w:val="4"/>
    </w:pPr>
  </w:style>
  <w:style w:type="paragraph" w:customStyle="1" w:styleId="Kutak1L6">
    <w:name w:val="Kutak1_L6"/>
    <w:basedOn w:val="Kutak1L5"/>
    <w:next w:val="BodyText"/>
    <w:rsid w:val="003A2F25"/>
    <w:pPr>
      <w:tabs>
        <w:tab w:val="clear" w:pos="5040"/>
        <w:tab w:val="num" w:pos="5760"/>
      </w:tabs>
      <w:ind w:firstLine="5040"/>
      <w:outlineLvl w:val="5"/>
    </w:pPr>
  </w:style>
  <w:style w:type="paragraph" w:customStyle="1" w:styleId="Kutak1L7">
    <w:name w:val="Kutak1_L7"/>
    <w:basedOn w:val="Kutak1L6"/>
    <w:next w:val="BodyText"/>
    <w:rsid w:val="003A2F25"/>
    <w:pPr>
      <w:tabs>
        <w:tab w:val="clear" w:pos="5760"/>
        <w:tab w:val="num" w:pos="6480"/>
      </w:tabs>
      <w:ind w:firstLine="5760"/>
      <w:outlineLvl w:val="6"/>
    </w:pPr>
  </w:style>
  <w:style w:type="character" w:styleId="UnresolvedMention">
    <w:name w:val="Unresolved Mention"/>
    <w:basedOn w:val="DefaultParagraphFont"/>
    <w:uiPriority w:val="99"/>
    <w:semiHidden/>
    <w:unhideWhenUsed/>
    <w:rsid w:val="007151D6"/>
    <w:rPr>
      <w:color w:val="605E5C"/>
      <w:shd w:val="clear" w:color="auto" w:fill="E1DFDD"/>
    </w:rPr>
  </w:style>
  <w:style w:type="character" w:customStyle="1" w:styleId="ui-provider">
    <w:name w:val="ui-provider"/>
    <w:basedOn w:val="DefaultParagraphFont"/>
    <w:rsid w:val="007D29D3"/>
  </w:style>
  <w:style w:type="character" w:customStyle="1" w:styleId="ListParagraphChar">
    <w:name w:val="List Paragraph Char"/>
    <w:basedOn w:val="DefaultParagraphFont"/>
    <w:link w:val="ListParagraph"/>
    <w:uiPriority w:val="72"/>
    <w:rsid w:val="0056046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306">
      <w:bodyDiv w:val="1"/>
      <w:marLeft w:val="0"/>
      <w:marRight w:val="0"/>
      <w:marTop w:val="0"/>
      <w:marBottom w:val="0"/>
      <w:divBdr>
        <w:top w:val="none" w:sz="0" w:space="0" w:color="auto"/>
        <w:left w:val="none" w:sz="0" w:space="0" w:color="auto"/>
        <w:bottom w:val="none" w:sz="0" w:space="0" w:color="auto"/>
        <w:right w:val="none" w:sz="0" w:space="0" w:color="auto"/>
      </w:divBdr>
    </w:div>
    <w:div w:id="257258757">
      <w:bodyDiv w:val="1"/>
      <w:marLeft w:val="0"/>
      <w:marRight w:val="0"/>
      <w:marTop w:val="0"/>
      <w:marBottom w:val="0"/>
      <w:divBdr>
        <w:top w:val="none" w:sz="0" w:space="0" w:color="auto"/>
        <w:left w:val="none" w:sz="0" w:space="0" w:color="auto"/>
        <w:bottom w:val="none" w:sz="0" w:space="0" w:color="auto"/>
        <w:right w:val="none" w:sz="0" w:space="0" w:color="auto"/>
      </w:divBdr>
    </w:div>
    <w:div w:id="394932518">
      <w:bodyDiv w:val="1"/>
      <w:marLeft w:val="0"/>
      <w:marRight w:val="0"/>
      <w:marTop w:val="0"/>
      <w:marBottom w:val="0"/>
      <w:divBdr>
        <w:top w:val="none" w:sz="0" w:space="0" w:color="auto"/>
        <w:left w:val="none" w:sz="0" w:space="0" w:color="auto"/>
        <w:bottom w:val="none" w:sz="0" w:space="0" w:color="auto"/>
        <w:right w:val="none" w:sz="0" w:space="0" w:color="auto"/>
      </w:divBdr>
      <w:divsChild>
        <w:div w:id="542179822">
          <w:marLeft w:val="0"/>
          <w:marRight w:val="0"/>
          <w:marTop w:val="0"/>
          <w:marBottom w:val="0"/>
          <w:divBdr>
            <w:top w:val="single" w:sz="2" w:space="0" w:color="D9D9E3"/>
            <w:left w:val="single" w:sz="2" w:space="0" w:color="D9D9E3"/>
            <w:bottom w:val="single" w:sz="2" w:space="0" w:color="D9D9E3"/>
            <w:right w:val="single" w:sz="2" w:space="0" w:color="D9D9E3"/>
          </w:divBdr>
          <w:divsChild>
            <w:div w:id="1744837828">
              <w:marLeft w:val="0"/>
              <w:marRight w:val="0"/>
              <w:marTop w:val="0"/>
              <w:marBottom w:val="0"/>
              <w:divBdr>
                <w:top w:val="single" w:sz="2" w:space="0" w:color="D9D9E3"/>
                <w:left w:val="single" w:sz="2" w:space="0" w:color="D9D9E3"/>
                <w:bottom w:val="single" w:sz="2" w:space="0" w:color="D9D9E3"/>
                <w:right w:val="single" w:sz="2" w:space="0" w:color="D9D9E3"/>
              </w:divBdr>
              <w:divsChild>
                <w:div w:id="557519486">
                  <w:marLeft w:val="0"/>
                  <w:marRight w:val="0"/>
                  <w:marTop w:val="0"/>
                  <w:marBottom w:val="0"/>
                  <w:divBdr>
                    <w:top w:val="single" w:sz="2" w:space="0" w:color="D9D9E3"/>
                    <w:left w:val="single" w:sz="2" w:space="0" w:color="D9D9E3"/>
                    <w:bottom w:val="single" w:sz="2" w:space="0" w:color="D9D9E3"/>
                    <w:right w:val="single" w:sz="2" w:space="0" w:color="D9D9E3"/>
                  </w:divBdr>
                  <w:divsChild>
                    <w:div w:id="1926844426">
                      <w:marLeft w:val="0"/>
                      <w:marRight w:val="0"/>
                      <w:marTop w:val="0"/>
                      <w:marBottom w:val="0"/>
                      <w:divBdr>
                        <w:top w:val="single" w:sz="2" w:space="0" w:color="D9D9E3"/>
                        <w:left w:val="single" w:sz="2" w:space="0" w:color="D9D9E3"/>
                        <w:bottom w:val="single" w:sz="2" w:space="0" w:color="D9D9E3"/>
                        <w:right w:val="single" w:sz="2" w:space="0" w:color="D9D9E3"/>
                      </w:divBdr>
                      <w:divsChild>
                        <w:div w:id="485511246">
                          <w:marLeft w:val="0"/>
                          <w:marRight w:val="0"/>
                          <w:marTop w:val="0"/>
                          <w:marBottom w:val="0"/>
                          <w:divBdr>
                            <w:top w:val="single" w:sz="2" w:space="0" w:color="D9D9E3"/>
                            <w:left w:val="single" w:sz="2" w:space="0" w:color="D9D9E3"/>
                            <w:bottom w:val="single" w:sz="2" w:space="0" w:color="D9D9E3"/>
                            <w:right w:val="single" w:sz="2" w:space="0" w:color="D9D9E3"/>
                          </w:divBdr>
                          <w:divsChild>
                            <w:div w:id="712774731">
                              <w:marLeft w:val="0"/>
                              <w:marRight w:val="0"/>
                              <w:marTop w:val="100"/>
                              <w:marBottom w:val="100"/>
                              <w:divBdr>
                                <w:top w:val="single" w:sz="2" w:space="0" w:color="D9D9E3"/>
                                <w:left w:val="single" w:sz="2" w:space="0" w:color="D9D9E3"/>
                                <w:bottom w:val="single" w:sz="2" w:space="0" w:color="D9D9E3"/>
                                <w:right w:val="single" w:sz="2" w:space="0" w:color="D9D9E3"/>
                              </w:divBdr>
                              <w:divsChild>
                                <w:div w:id="378553900">
                                  <w:marLeft w:val="0"/>
                                  <w:marRight w:val="0"/>
                                  <w:marTop w:val="0"/>
                                  <w:marBottom w:val="0"/>
                                  <w:divBdr>
                                    <w:top w:val="single" w:sz="2" w:space="0" w:color="D9D9E3"/>
                                    <w:left w:val="single" w:sz="2" w:space="0" w:color="D9D9E3"/>
                                    <w:bottom w:val="single" w:sz="2" w:space="0" w:color="D9D9E3"/>
                                    <w:right w:val="single" w:sz="2" w:space="0" w:color="D9D9E3"/>
                                  </w:divBdr>
                                  <w:divsChild>
                                    <w:div w:id="513305858">
                                      <w:marLeft w:val="0"/>
                                      <w:marRight w:val="0"/>
                                      <w:marTop w:val="0"/>
                                      <w:marBottom w:val="0"/>
                                      <w:divBdr>
                                        <w:top w:val="single" w:sz="2" w:space="0" w:color="D9D9E3"/>
                                        <w:left w:val="single" w:sz="2" w:space="0" w:color="D9D9E3"/>
                                        <w:bottom w:val="single" w:sz="2" w:space="0" w:color="D9D9E3"/>
                                        <w:right w:val="single" w:sz="2" w:space="0" w:color="D9D9E3"/>
                                      </w:divBdr>
                                      <w:divsChild>
                                        <w:div w:id="1134719255">
                                          <w:marLeft w:val="0"/>
                                          <w:marRight w:val="0"/>
                                          <w:marTop w:val="0"/>
                                          <w:marBottom w:val="0"/>
                                          <w:divBdr>
                                            <w:top w:val="single" w:sz="2" w:space="0" w:color="D9D9E3"/>
                                            <w:left w:val="single" w:sz="2" w:space="0" w:color="D9D9E3"/>
                                            <w:bottom w:val="single" w:sz="2" w:space="0" w:color="D9D9E3"/>
                                            <w:right w:val="single" w:sz="2" w:space="0" w:color="D9D9E3"/>
                                          </w:divBdr>
                                          <w:divsChild>
                                            <w:div w:id="635911374">
                                              <w:marLeft w:val="0"/>
                                              <w:marRight w:val="0"/>
                                              <w:marTop w:val="0"/>
                                              <w:marBottom w:val="0"/>
                                              <w:divBdr>
                                                <w:top w:val="single" w:sz="2" w:space="0" w:color="D9D9E3"/>
                                                <w:left w:val="single" w:sz="2" w:space="0" w:color="D9D9E3"/>
                                                <w:bottom w:val="single" w:sz="2" w:space="0" w:color="D9D9E3"/>
                                                <w:right w:val="single" w:sz="2" w:space="0" w:color="D9D9E3"/>
                                              </w:divBdr>
                                              <w:divsChild>
                                                <w:div w:id="777412432">
                                                  <w:marLeft w:val="0"/>
                                                  <w:marRight w:val="0"/>
                                                  <w:marTop w:val="0"/>
                                                  <w:marBottom w:val="0"/>
                                                  <w:divBdr>
                                                    <w:top w:val="single" w:sz="2" w:space="0" w:color="D9D9E3"/>
                                                    <w:left w:val="single" w:sz="2" w:space="0" w:color="D9D9E3"/>
                                                    <w:bottom w:val="single" w:sz="2" w:space="0" w:color="D9D9E3"/>
                                                    <w:right w:val="single" w:sz="2" w:space="0" w:color="D9D9E3"/>
                                                  </w:divBdr>
                                                  <w:divsChild>
                                                    <w:div w:id="300887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36555663">
          <w:marLeft w:val="0"/>
          <w:marRight w:val="0"/>
          <w:marTop w:val="0"/>
          <w:marBottom w:val="0"/>
          <w:divBdr>
            <w:top w:val="none" w:sz="0" w:space="0" w:color="auto"/>
            <w:left w:val="none" w:sz="0" w:space="0" w:color="auto"/>
            <w:bottom w:val="none" w:sz="0" w:space="0" w:color="auto"/>
            <w:right w:val="none" w:sz="0" w:space="0" w:color="auto"/>
          </w:divBdr>
        </w:div>
      </w:divsChild>
    </w:div>
    <w:div w:id="578514523">
      <w:bodyDiv w:val="1"/>
      <w:marLeft w:val="0"/>
      <w:marRight w:val="0"/>
      <w:marTop w:val="0"/>
      <w:marBottom w:val="0"/>
      <w:divBdr>
        <w:top w:val="none" w:sz="0" w:space="0" w:color="auto"/>
        <w:left w:val="none" w:sz="0" w:space="0" w:color="auto"/>
        <w:bottom w:val="none" w:sz="0" w:space="0" w:color="auto"/>
        <w:right w:val="none" w:sz="0" w:space="0" w:color="auto"/>
      </w:divBdr>
    </w:div>
    <w:div w:id="595016302">
      <w:bodyDiv w:val="1"/>
      <w:marLeft w:val="0"/>
      <w:marRight w:val="0"/>
      <w:marTop w:val="0"/>
      <w:marBottom w:val="0"/>
      <w:divBdr>
        <w:top w:val="none" w:sz="0" w:space="0" w:color="auto"/>
        <w:left w:val="none" w:sz="0" w:space="0" w:color="auto"/>
        <w:bottom w:val="none" w:sz="0" w:space="0" w:color="auto"/>
        <w:right w:val="none" w:sz="0" w:space="0" w:color="auto"/>
      </w:divBdr>
    </w:div>
    <w:div w:id="1029645419">
      <w:bodyDiv w:val="1"/>
      <w:marLeft w:val="0"/>
      <w:marRight w:val="0"/>
      <w:marTop w:val="0"/>
      <w:marBottom w:val="0"/>
      <w:divBdr>
        <w:top w:val="none" w:sz="0" w:space="0" w:color="auto"/>
        <w:left w:val="none" w:sz="0" w:space="0" w:color="auto"/>
        <w:bottom w:val="none" w:sz="0" w:space="0" w:color="auto"/>
        <w:right w:val="none" w:sz="0" w:space="0" w:color="auto"/>
      </w:divBdr>
    </w:div>
    <w:div w:id="1159274731">
      <w:bodyDiv w:val="1"/>
      <w:marLeft w:val="0"/>
      <w:marRight w:val="0"/>
      <w:marTop w:val="0"/>
      <w:marBottom w:val="0"/>
      <w:divBdr>
        <w:top w:val="none" w:sz="0" w:space="0" w:color="auto"/>
        <w:left w:val="none" w:sz="0" w:space="0" w:color="auto"/>
        <w:bottom w:val="none" w:sz="0" w:space="0" w:color="auto"/>
        <w:right w:val="none" w:sz="0" w:space="0" w:color="auto"/>
      </w:divBdr>
    </w:div>
    <w:div w:id="1253588806">
      <w:bodyDiv w:val="1"/>
      <w:marLeft w:val="0"/>
      <w:marRight w:val="0"/>
      <w:marTop w:val="0"/>
      <w:marBottom w:val="0"/>
      <w:divBdr>
        <w:top w:val="none" w:sz="0" w:space="0" w:color="auto"/>
        <w:left w:val="none" w:sz="0" w:space="0" w:color="auto"/>
        <w:bottom w:val="none" w:sz="0" w:space="0" w:color="auto"/>
        <w:right w:val="none" w:sz="0" w:space="0" w:color="auto"/>
      </w:divBdr>
    </w:div>
    <w:div w:id="1357270175">
      <w:bodyDiv w:val="1"/>
      <w:marLeft w:val="0"/>
      <w:marRight w:val="0"/>
      <w:marTop w:val="0"/>
      <w:marBottom w:val="0"/>
      <w:divBdr>
        <w:top w:val="none" w:sz="0" w:space="0" w:color="auto"/>
        <w:left w:val="none" w:sz="0" w:space="0" w:color="auto"/>
        <w:bottom w:val="none" w:sz="0" w:space="0" w:color="auto"/>
        <w:right w:val="none" w:sz="0" w:space="0" w:color="auto"/>
      </w:divBdr>
    </w:div>
    <w:div w:id="1571117834">
      <w:bodyDiv w:val="1"/>
      <w:marLeft w:val="0"/>
      <w:marRight w:val="0"/>
      <w:marTop w:val="0"/>
      <w:marBottom w:val="0"/>
      <w:divBdr>
        <w:top w:val="none" w:sz="0" w:space="0" w:color="auto"/>
        <w:left w:val="none" w:sz="0" w:space="0" w:color="auto"/>
        <w:bottom w:val="none" w:sz="0" w:space="0" w:color="auto"/>
        <w:right w:val="none" w:sz="0" w:space="0" w:color="auto"/>
      </w:divBdr>
    </w:div>
    <w:div w:id="1670674478">
      <w:bodyDiv w:val="1"/>
      <w:marLeft w:val="0"/>
      <w:marRight w:val="0"/>
      <w:marTop w:val="0"/>
      <w:marBottom w:val="0"/>
      <w:divBdr>
        <w:top w:val="none" w:sz="0" w:space="0" w:color="auto"/>
        <w:left w:val="none" w:sz="0" w:space="0" w:color="auto"/>
        <w:bottom w:val="none" w:sz="0" w:space="0" w:color="auto"/>
        <w:right w:val="none" w:sz="0" w:space="0" w:color="auto"/>
      </w:divBdr>
    </w:div>
    <w:div w:id="1793472406">
      <w:bodyDiv w:val="1"/>
      <w:marLeft w:val="0"/>
      <w:marRight w:val="0"/>
      <w:marTop w:val="0"/>
      <w:marBottom w:val="0"/>
      <w:divBdr>
        <w:top w:val="none" w:sz="0" w:space="0" w:color="auto"/>
        <w:left w:val="none" w:sz="0" w:space="0" w:color="auto"/>
        <w:bottom w:val="none" w:sz="0" w:space="0" w:color="auto"/>
        <w:right w:val="none" w:sz="0" w:space="0" w:color="auto"/>
      </w:divBdr>
    </w:div>
    <w:div w:id="1908224023">
      <w:bodyDiv w:val="1"/>
      <w:marLeft w:val="0"/>
      <w:marRight w:val="0"/>
      <w:marTop w:val="0"/>
      <w:marBottom w:val="0"/>
      <w:divBdr>
        <w:top w:val="none" w:sz="0" w:space="0" w:color="auto"/>
        <w:left w:val="none" w:sz="0" w:space="0" w:color="auto"/>
        <w:bottom w:val="none" w:sz="0" w:space="0" w:color="auto"/>
        <w:right w:val="none" w:sz="0" w:space="0" w:color="auto"/>
      </w:divBdr>
    </w:div>
    <w:div w:id="2075466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2.png"/><Relationship Id="rId39" Type="http://schemas.openxmlformats.org/officeDocument/2006/relationships/footer" Target="footer15.xml"/><Relationship Id="rId21" Type="http://schemas.openxmlformats.org/officeDocument/2006/relationships/header" Target="header7.xml"/><Relationship Id="rId34" Type="http://schemas.openxmlformats.org/officeDocument/2006/relationships/hyperlink" Target="file:///C:\Users\awade\ND%20Office%20Echo\VAULT-873PWMH0\Olympia%20PID%20No.%202%20Development%20Summary%20(as%20of%206.4.2026)%20-%20with%20notes%20from%20call%20with%20Ryan%206-12%204910-4845-5860%20v.1.xlsx" TargetMode="External"/><Relationship Id="rId42"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yperlink" Target="file:///C:\Users\awade\ND%20Office%20Echo\VAULT-873PWMH0\Olympia%20PID%20No.%202%20Development%20Summary%20(as%20of%206.4.2026)%20-%20with%20notes%20from%20call%20with%20Ryan%206-12%204910-4845-5860%20v.1.xls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png"/><Relationship Id="rId30" Type="http://schemas.openxmlformats.org/officeDocument/2006/relationships/hyperlink" Target="file:///C:\Users\awade\ND%20Office%20Echo\VAULT-873PWMH0\Olympia%20PID%20No.%202%20Development%20Summary%20(as%20of%206.4.2026)%20-%20with%20notes%20from%20call%20with%20Ryan%206-12%204910-4845-5860%20v.1.xlsx" TargetMode="External"/><Relationship Id="rId35" Type="http://schemas.openxmlformats.org/officeDocument/2006/relationships/image" Target="media/image5.png"/><Relationship Id="rId43" Type="http://schemas.openxmlformats.org/officeDocument/2006/relationships/footer" Target="footer1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yperlink" Target="file:///C:\Users\awade\ND%20Office%20Echo\VAULT-873PWMH0\Olympia%20PID%20No.%202%20Development%20Summary%20(as%20of%206.4.2026)%20-%20with%20notes%20from%20call%20with%20Ryan%206-12%204910-4845-5860%20v.1.xlsx" TargetMode="External"/><Relationship Id="rId38" Type="http://schemas.openxmlformats.org/officeDocument/2006/relationships/footer" Target="footer14.xml"/><Relationship Id="rId20" Type="http://schemas.openxmlformats.org/officeDocument/2006/relationships/header" Target="header6.xml"/><Relationship Id="rId41"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39ECEF2-A8D1-4D5A-9D6E-6A18D2C79D2E}">
  <we:reference id="cd1ec702-43e4-413d-be70-d7091f6397ea" version="1.0.0.207" store="EXCatalog" storeType="EX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99D795C2-6D88-45A8-A224-419C9B00331D}">
  <we:reference id="d51ccb01-85e7-42ab-885b-de05c07799f3" version="1.0.0.1" store="EXCatalog" storeType="EXCatalog"/>
  <we:alternateReferences>
    <we:reference id="WA200010453" version="1.0.0.1" store="en-US" storeType="OMEX"/>
  </we:alternateReferences>
  <we:properties>
    <we:property name="claude.fileId" value="&quot;e890b0ce-fce9-4caf-9bb9-4180e14e94e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A6E1A-D284-49EB-8B1F-3C58B9A0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166</Pages>
  <Words>91713</Words>
  <Characters>486084</Characters>
  <Application>Microsoft Office Word</Application>
  <DocSecurity>0</DocSecurity>
  <Lines>10567</Lines>
  <Paragraphs>3727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Adam (G&amp;B)</dc:creator>
  <cp:keywords/>
  <dc:description/>
  <cp:lastModifiedBy>Cannon, Jari (G&amp;B)</cp:lastModifiedBy>
  <cp:revision>25</cp:revision>
  <dcterms:created xsi:type="dcterms:W3CDTF">2026-07-21T20:12:00Z</dcterms:created>
  <dcterms:modified xsi:type="dcterms:W3CDTF">2026-07-23T13:22:00Z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4903-7475-4219</vt:lpwstr>
  </op:property>
</op:Properties>
</file>