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C6E8C" w14:textId="363991BA" w:rsidR="006A2A83" w:rsidRDefault="00A51A71">
      <w:pPr>
        <w:pStyle w:val="Heading1"/>
        <w:spacing w:after="50"/>
        <w:jc w:val="center"/>
      </w:pPr>
      <w:r>
        <w:rPr>
          <w:noProof/>
        </w:rPr>
        <mc:AlternateContent>
          <mc:Choice Requires="wps">
            <w:drawing>
              <wp:anchor distT="45720" distB="45720" distL="114300" distR="114300" simplePos="0" relativeHeight="251659264" behindDoc="0" locked="0" layoutInCell="1" allowOverlap="1" wp14:anchorId="59986DFA" wp14:editId="47F3C9AC">
                <wp:simplePos x="0" y="0"/>
                <wp:positionH relativeFrom="column">
                  <wp:posOffset>4245610</wp:posOffset>
                </wp:positionH>
                <wp:positionV relativeFrom="paragraph">
                  <wp:posOffset>0</wp:posOffset>
                </wp:positionV>
                <wp:extent cx="2345055" cy="969645"/>
                <wp:effectExtent l="0" t="0" r="1714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055" cy="969645"/>
                        </a:xfrm>
                        <a:prstGeom prst="rect">
                          <a:avLst/>
                        </a:prstGeom>
                        <a:solidFill>
                          <a:srgbClr val="FFFFFF"/>
                        </a:solidFill>
                        <a:ln w="9525">
                          <a:solidFill>
                            <a:srgbClr val="000000"/>
                          </a:solidFill>
                          <a:miter lim="800000"/>
                          <a:headEnd/>
                          <a:tailEnd/>
                        </a:ln>
                      </wps:spPr>
                      <wps:txbx>
                        <w:txbxContent>
                          <w:p w14:paraId="4B7A50DF" w14:textId="77777777" w:rsidR="00A51A71" w:rsidRPr="00FB1BA6" w:rsidRDefault="00A51A71" w:rsidP="00A51A71">
                            <w:pPr>
                              <w:spacing w:line="257" w:lineRule="auto"/>
                              <w:ind w:right="666"/>
                              <w:rPr>
                                <w:sz w:val="18"/>
                                <w:szCs w:val="18"/>
                              </w:rPr>
                            </w:pPr>
                            <w:r w:rsidRPr="00FB1BA6">
                              <w:rPr>
                                <w:rFonts w:ascii="Cambria" w:eastAsia="Cambria" w:hAnsi="Cambria" w:cs="Cambria"/>
                                <w:b/>
                                <w:bCs/>
                                <w:color w:val="000000" w:themeColor="text1"/>
                                <w:sz w:val="18"/>
                                <w:szCs w:val="18"/>
                              </w:rPr>
                              <w:t xml:space="preserve">Mayor Bryan Cox </w:t>
                            </w:r>
                          </w:p>
                          <w:p w14:paraId="2E7D53A7" w14:textId="77777777" w:rsidR="00A51A71" w:rsidRPr="00FB1BA6" w:rsidRDefault="00A51A71" w:rsidP="00A51A71">
                            <w:pPr>
                              <w:spacing w:line="257" w:lineRule="auto"/>
                              <w:ind w:right="710"/>
                              <w:rPr>
                                <w:sz w:val="18"/>
                                <w:szCs w:val="18"/>
                              </w:rPr>
                            </w:pPr>
                            <w:r w:rsidRPr="00FB1BA6">
                              <w:rPr>
                                <w:rFonts w:ascii="Cambria" w:eastAsia="Cambria" w:hAnsi="Cambria" w:cs="Cambria"/>
                                <w:b/>
                                <w:bCs/>
                                <w:color w:val="000000" w:themeColor="text1"/>
                                <w:sz w:val="18"/>
                                <w:szCs w:val="18"/>
                              </w:rPr>
                              <w:t>PC Chair Melinda Lee</w:t>
                            </w:r>
                            <w:r w:rsidRPr="00FB1BA6">
                              <w:rPr>
                                <w:rFonts w:ascii="Cambria" w:eastAsia="Cambria" w:hAnsi="Cambria" w:cs="Cambria"/>
                                <w:color w:val="000000" w:themeColor="text1"/>
                                <w:sz w:val="18"/>
                                <w:szCs w:val="18"/>
                              </w:rPr>
                              <w:t xml:space="preserve"> </w:t>
                            </w:r>
                          </w:p>
                          <w:p w14:paraId="18FF02F0"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Michael Mowes </w:t>
                            </w:r>
                          </w:p>
                          <w:p w14:paraId="0A207FCA"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Heather Taylor </w:t>
                            </w:r>
                          </w:p>
                          <w:p w14:paraId="1BD3309E" w14:textId="77777777" w:rsidR="00A51A71" w:rsidRPr="00FB1BA6" w:rsidRDefault="00A51A71" w:rsidP="00A51A71">
                            <w:pPr>
                              <w:tabs>
                                <w:tab w:val="center" w:pos="3321"/>
                                <w:tab w:val="left" w:pos="8911"/>
                              </w:tabs>
                              <w:spacing w:line="257" w:lineRule="auto"/>
                              <w:ind w:right="720"/>
                              <w:rPr>
                                <w:sz w:val="18"/>
                                <w:szCs w:val="18"/>
                              </w:rPr>
                            </w:pPr>
                            <w:r w:rsidRPr="00FB1BA6">
                              <w:rPr>
                                <w:rFonts w:ascii="Calibri" w:eastAsia="Calibri" w:hAnsi="Calibri" w:cs="Calibri"/>
                                <w:color w:val="000000" w:themeColor="text1"/>
                                <w:sz w:val="18"/>
                                <w:szCs w:val="18"/>
                              </w:rPr>
                              <w:t>C</w:t>
                            </w:r>
                            <w:r w:rsidRPr="00FB1BA6">
                              <w:rPr>
                                <w:rFonts w:ascii="Cambria" w:eastAsia="Cambria" w:hAnsi="Cambria" w:cs="Cambria"/>
                                <w:color w:val="000000" w:themeColor="text1"/>
                                <w:sz w:val="18"/>
                                <w:szCs w:val="18"/>
                              </w:rPr>
                              <w:t xml:space="preserve">ommissioner Charlene Williams  </w:t>
                            </w:r>
                          </w:p>
                          <w:p w14:paraId="0FFCD4C6"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Ned Hansen </w:t>
                            </w:r>
                          </w:p>
                          <w:p w14:paraId="07E9B947" w14:textId="54C95979" w:rsidR="00A51A71" w:rsidRDefault="00A51A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986DFA" id="_x0000_t202" coordsize="21600,21600" o:spt="202" path="m,l,21600r21600,l21600,xe">
                <v:stroke joinstyle="miter"/>
                <v:path gradientshapeok="t" o:connecttype="rect"/>
              </v:shapetype>
              <v:shape id="Text Box 2" o:spid="_x0000_s1026" type="#_x0000_t202" style="position:absolute;left:0;text-align:left;margin-left:334.3pt;margin-top:0;width:184.65pt;height:76.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">
                <v:textbox>
                  <w:txbxContent>
                    <w:p w14:paraId="4B7A50DF" w14:textId="77777777" w:rsidR="00A51A71" w:rsidRPr="00FB1BA6" w:rsidRDefault="00A51A71" w:rsidP="00A51A71">
                      <w:pPr>
                        <w:spacing w:line="257" w:lineRule="auto"/>
                        <w:ind w:right="666"/>
                        <w:rPr>
                          <w:sz w:val="18"/>
                          <w:szCs w:val="18"/>
                        </w:rPr>
                      </w:pPr>
                      <w:r w:rsidRPr="00FB1BA6">
                        <w:rPr>
                          <w:rFonts w:ascii="Cambria" w:eastAsia="Cambria" w:hAnsi="Cambria" w:cs="Cambria"/>
                          <w:b/>
                          <w:bCs/>
                          <w:color w:val="000000" w:themeColor="text1"/>
                          <w:sz w:val="18"/>
                          <w:szCs w:val="18"/>
                        </w:rPr>
                        <w:t xml:space="preserve">Mayor Bryan Cox </w:t>
                      </w:r>
                    </w:p>
                    <w:p w14:paraId="2E7D53A7" w14:textId="77777777" w:rsidR="00A51A71" w:rsidRPr="00FB1BA6" w:rsidRDefault="00A51A71" w:rsidP="00A51A71">
                      <w:pPr>
                        <w:spacing w:line="257" w:lineRule="auto"/>
                        <w:ind w:right="710"/>
                        <w:rPr>
                          <w:sz w:val="18"/>
                          <w:szCs w:val="18"/>
                        </w:rPr>
                      </w:pPr>
                      <w:r w:rsidRPr="00FB1BA6">
                        <w:rPr>
                          <w:rFonts w:ascii="Cambria" w:eastAsia="Cambria" w:hAnsi="Cambria" w:cs="Cambria"/>
                          <w:b/>
                          <w:bCs/>
                          <w:color w:val="000000" w:themeColor="text1"/>
                          <w:sz w:val="18"/>
                          <w:szCs w:val="18"/>
                        </w:rPr>
                        <w:t>PC Chair Melinda Lee</w:t>
                      </w:r>
                      <w:r w:rsidRPr="00FB1BA6">
                        <w:rPr>
                          <w:rFonts w:ascii="Cambria" w:eastAsia="Cambria" w:hAnsi="Cambria" w:cs="Cambria"/>
                          <w:color w:val="000000" w:themeColor="text1"/>
                          <w:sz w:val="18"/>
                          <w:szCs w:val="18"/>
                        </w:rPr>
                        <w:t xml:space="preserve"> </w:t>
                      </w:r>
                    </w:p>
                    <w:p w14:paraId="18FF02F0"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Michael Mowes </w:t>
                      </w:r>
                    </w:p>
                    <w:p w14:paraId="0A207FCA"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Heather Taylor </w:t>
                      </w:r>
                    </w:p>
                    <w:p w14:paraId="1BD3309E" w14:textId="77777777" w:rsidR="00A51A71" w:rsidRPr="00FB1BA6" w:rsidRDefault="00A51A71" w:rsidP="00A51A71">
                      <w:pPr>
                        <w:tabs>
                          <w:tab w:val="center" w:pos="3321"/>
                          <w:tab w:val="left" w:pos="8911"/>
                        </w:tabs>
                        <w:spacing w:line="257" w:lineRule="auto"/>
                        <w:ind w:right="720"/>
                        <w:rPr>
                          <w:sz w:val="18"/>
                          <w:szCs w:val="18"/>
                        </w:rPr>
                      </w:pPr>
                      <w:r w:rsidRPr="00FB1BA6">
                        <w:rPr>
                          <w:rFonts w:ascii="Calibri" w:eastAsia="Calibri" w:hAnsi="Calibri" w:cs="Calibri"/>
                          <w:color w:val="000000" w:themeColor="text1"/>
                          <w:sz w:val="18"/>
                          <w:szCs w:val="18"/>
                        </w:rPr>
                        <w:t>C</w:t>
                      </w:r>
                      <w:r w:rsidRPr="00FB1BA6">
                        <w:rPr>
                          <w:rFonts w:ascii="Cambria" w:eastAsia="Cambria" w:hAnsi="Cambria" w:cs="Cambria"/>
                          <w:color w:val="000000" w:themeColor="text1"/>
                          <w:sz w:val="18"/>
                          <w:szCs w:val="18"/>
                        </w:rPr>
                        <w:t xml:space="preserve">ommissioner Charlene Williams  </w:t>
                      </w:r>
                    </w:p>
                    <w:p w14:paraId="0FFCD4C6" w14:textId="77777777" w:rsidR="00A51A71" w:rsidRPr="00FB1BA6" w:rsidRDefault="00A51A71" w:rsidP="00A51A71">
                      <w:pPr>
                        <w:spacing w:line="257" w:lineRule="auto"/>
                        <w:ind w:right="700"/>
                        <w:rPr>
                          <w:sz w:val="18"/>
                          <w:szCs w:val="18"/>
                        </w:rPr>
                      </w:pPr>
                      <w:r w:rsidRPr="00FB1BA6">
                        <w:rPr>
                          <w:rFonts w:ascii="Cambria" w:eastAsia="Cambria" w:hAnsi="Cambria" w:cs="Cambria"/>
                          <w:color w:val="000000" w:themeColor="text1"/>
                          <w:sz w:val="18"/>
                          <w:szCs w:val="18"/>
                        </w:rPr>
                        <w:t xml:space="preserve">Commissioner Ned Hansen </w:t>
                      </w:r>
                    </w:p>
                    <w:p w14:paraId="07E9B947" w14:textId="54C95979" w:rsidR="00A51A71" w:rsidRDefault="00A51A71"/>
                  </w:txbxContent>
                </v:textbox>
                <w10:wrap type="square"/>
              </v:shape>
            </w:pict>
          </mc:Fallback>
        </mc:AlternateContent>
      </w:r>
    </w:p>
    <w:p w14:paraId="639613C8" w14:textId="77777777" w:rsidR="00FB1BA6" w:rsidRDefault="00FB1BA6" w:rsidP="00FB1BA6">
      <w:pPr>
        <w:pStyle w:val="Heading1"/>
        <w:spacing w:after="0"/>
        <w:jc w:val="center"/>
        <w:rPr>
          <w:sz w:val="30"/>
          <w:szCs w:val="30"/>
        </w:rPr>
      </w:pPr>
      <w:r>
        <w:rPr>
          <w:sz w:val="30"/>
          <w:szCs w:val="30"/>
        </w:rPr>
        <w:t xml:space="preserve">                                       </w:t>
      </w:r>
    </w:p>
    <w:p w14:paraId="02F49DED" w14:textId="77777777" w:rsidR="00FB1BA6" w:rsidRDefault="00FB1BA6" w:rsidP="00FB1BA6">
      <w:pPr>
        <w:pStyle w:val="Heading1"/>
        <w:spacing w:after="0"/>
        <w:jc w:val="center"/>
        <w:rPr>
          <w:sz w:val="30"/>
          <w:szCs w:val="30"/>
        </w:rPr>
      </w:pPr>
    </w:p>
    <w:p w14:paraId="32FC7FBB" w14:textId="77777777" w:rsidR="00FB1BA6" w:rsidRDefault="00FB1BA6" w:rsidP="00FB1BA6">
      <w:pPr>
        <w:pStyle w:val="Heading1"/>
        <w:spacing w:after="0"/>
        <w:jc w:val="center"/>
        <w:rPr>
          <w:sz w:val="30"/>
          <w:szCs w:val="30"/>
        </w:rPr>
      </w:pPr>
    </w:p>
    <w:p w14:paraId="5327BF56" w14:textId="73F90286" w:rsidR="009C613A" w:rsidRPr="00A51A71" w:rsidRDefault="007C6A11" w:rsidP="00FB1BA6">
      <w:pPr>
        <w:pStyle w:val="Heading1"/>
        <w:spacing w:after="0"/>
        <w:ind w:left="2160" w:firstLine="720"/>
        <w:jc w:val="center"/>
        <w:rPr>
          <w:sz w:val="30"/>
          <w:szCs w:val="30"/>
        </w:rPr>
      </w:pPr>
      <w:r w:rsidRPr="00A51A71">
        <w:rPr>
          <w:sz w:val="30"/>
          <w:szCs w:val="30"/>
        </w:rPr>
        <w:t>City of Hyde Park</w:t>
      </w:r>
    </w:p>
    <w:p w14:paraId="62C70838" w14:textId="32E2BA94" w:rsidR="007D1DFB" w:rsidRPr="007D1DFB" w:rsidRDefault="007D1DFB" w:rsidP="00FB1BA6">
      <w:pPr>
        <w:jc w:val="center"/>
        <w:rPr>
          <w:sz w:val="28"/>
          <w:szCs w:val="28"/>
        </w:rPr>
      </w:pPr>
      <w:r w:rsidRPr="007D1DFB">
        <w:rPr>
          <w:sz w:val="28"/>
          <w:szCs w:val="28"/>
        </w:rPr>
        <w:t>113 East Center</w:t>
      </w:r>
    </w:p>
    <w:p w14:paraId="36E41990" w14:textId="3F1C88D2" w:rsidR="009C613A" w:rsidRPr="00A51A71" w:rsidRDefault="007C6A11" w:rsidP="00FB1BA6">
      <w:pPr>
        <w:pStyle w:val="Title"/>
        <w:jc w:val="center"/>
        <w:rPr>
          <w:sz w:val="30"/>
          <w:szCs w:val="30"/>
        </w:rPr>
      </w:pPr>
      <w:r w:rsidRPr="00A51A71">
        <w:rPr>
          <w:sz w:val="30"/>
          <w:szCs w:val="30"/>
        </w:rPr>
        <w:t>Planning Commission</w:t>
      </w:r>
    </w:p>
    <w:p w14:paraId="67B5828D" w14:textId="44B9BDF3" w:rsidR="009C613A" w:rsidRPr="007D1DFB" w:rsidRDefault="007C6A11" w:rsidP="00FB1BA6">
      <w:pPr>
        <w:pStyle w:val="Heading1"/>
        <w:spacing w:after="0"/>
        <w:jc w:val="center"/>
        <w:rPr>
          <w:sz w:val="28"/>
          <w:szCs w:val="28"/>
        </w:rPr>
      </w:pPr>
      <w:r w:rsidRPr="007D1DFB">
        <w:rPr>
          <w:sz w:val="28"/>
          <w:szCs w:val="28"/>
        </w:rPr>
        <w:t>Meeting minutes</w:t>
      </w:r>
    </w:p>
    <w:p w14:paraId="77D9F7D4" w14:textId="4CC7A523" w:rsidR="00F63393" w:rsidRDefault="002916DE" w:rsidP="00FB1BA6">
      <w:pPr>
        <w:jc w:val="center"/>
        <w:rPr>
          <w:sz w:val="28"/>
          <w:szCs w:val="28"/>
        </w:rPr>
      </w:pPr>
      <w:r>
        <w:rPr>
          <w:sz w:val="28"/>
          <w:szCs w:val="28"/>
        </w:rPr>
        <w:t>Ju</w:t>
      </w:r>
      <w:r w:rsidR="00020DA4">
        <w:rPr>
          <w:sz w:val="28"/>
          <w:szCs w:val="28"/>
        </w:rPr>
        <w:t>ly 1</w:t>
      </w:r>
      <w:r w:rsidR="00F63393">
        <w:rPr>
          <w:sz w:val="28"/>
          <w:szCs w:val="28"/>
        </w:rPr>
        <w:t>, 2026</w:t>
      </w:r>
    </w:p>
    <w:p w14:paraId="17697504" w14:textId="5F77CB6C" w:rsidR="00A2703D" w:rsidRDefault="00A2703D" w:rsidP="00FB1BA6">
      <w:pPr>
        <w:jc w:val="center"/>
        <w:rPr>
          <w:sz w:val="28"/>
          <w:szCs w:val="28"/>
        </w:rPr>
      </w:pPr>
      <w:r>
        <w:rPr>
          <w:sz w:val="28"/>
          <w:szCs w:val="28"/>
        </w:rPr>
        <w:t>7:00 pm</w:t>
      </w:r>
    </w:p>
    <w:p w14:paraId="74FC9455" w14:textId="77777777" w:rsidR="00B227A6" w:rsidRPr="00F63393" w:rsidRDefault="00B227A6" w:rsidP="00B227A6">
      <w:pPr>
        <w:jc w:val="center"/>
        <w:rPr>
          <w:sz w:val="28"/>
          <w:szCs w:val="28"/>
        </w:rPr>
      </w:pPr>
    </w:p>
    <w:p w14:paraId="395E41E0" w14:textId="5C2DA843" w:rsidR="009C613A" w:rsidRPr="007D1DFB" w:rsidRDefault="007C6A11" w:rsidP="00A23B72">
      <w:pPr>
        <w:pStyle w:val="Heading2"/>
        <w:spacing w:before="0" w:after="0"/>
        <w:rPr>
          <w:b/>
          <w:bCs/>
          <w:sz w:val="28"/>
          <w:szCs w:val="28"/>
          <w:u w:val="single"/>
        </w:rPr>
      </w:pPr>
      <w:r w:rsidRPr="007D1DFB">
        <w:rPr>
          <w:b/>
          <w:bCs/>
          <w:sz w:val="28"/>
          <w:szCs w:val="28"/>
          <w:u w:val="single"/>
        </w:rPr>
        <w:t xml:space="preserve">Call </w:t>
      </w:r>
      <w:r w:rsidR="007E630D" w:rsidRPr="007D1DFB">
        <w:rPr>
          <w:b/>
          <w:bCs/>
          <w:sz w:val="28"/>
          <w:szCs w:val="28"/>
          <w:u w:val="single"/>
        </w:rPr>
        <w:t>t</w:t>
      </w:r>
      <w:r w:rsidRPr="007D1DFB">
        <w:rPr>
          <w:b/>
          <w:bCs/>
          <w:sz w:val="28"/>
          <w:szCs w:val="28"/>
          <w:u w:val="single"/>
        </w:rPr>
        <w:t>o Order &amp; Take Roll</w:t>
      </w:r>
    </w:p>
    <w:p w14:paraId="0092294A" w14:textId="4F6E1F70" w:rsidR="002916DE" w:rsidRDefault="002916DE" w:rsidP="002916DE">
      <w:pPr>
        <w:spacing w:after="150"/>
      </w:pPr>
      <w:r>
        <w:t>Commission Chair Melinda Lee called the meeting to order at approximately 7:00 PM on Wednesday, Ju</w:t>
      </w:r>
      <w:r w:rsidR="00020DA4">
        <w:t>ly 1</w:t>
      </w:r>
      <w:r>
        <w:t>, 2026, in the Council Chambers at 113 E Center, Hyde Park, Utah.</w:t>
      </w:r>
    </w:p>
    <w:p w14:paraId="2120FA0E" w14:textId="00F9D461" w:rsidR="00020DA4" w:rsidRPr="00E230A5" w:rsidRDefault="00020DA4" w:rsidP="00020DA4">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b/>
          <w:bCs/>
          <w:sz w:val="24"/>
          <w:szCs w:val="24"/>
        </w:rPr>
        <w:t>Present:</w:t>
      </w:r>
      <w:r w:rsidRPr="00E230A5">
        <w:rPr>
          <w:rFonts w:ascii="Times New Roman" w:eastAsia="Times New Roman" w:hAnsi="Times New Roman" w:cs="Times New Roman"/>
          <w:sz w:val="24"/>
          <w:szCs w:val="24"/>
        </w:rPr>
        <w:t xml:space="preserve"> Chair Melinda Lee, Commissioner Williams, Commissioner </w:t>
      </w:r>
      <w:r w:rsidR="00AD40DE">
        <w:rPr>
          <w:rFonts w:ascii="Times New Roman" w:eastAsia="Times New Roman" w:hAnsi="Times New Roman" w:cs="Times New Roman"/>
          <w:sz w:val="24"/>
          <w:szCs w:val="24"/>
        </w:rPr>
        <w:t>Mowes</w:t>
      </w:r>
      <w:r w:rsidRPr="00E230A5">
        <w:rPr>
          <w:rFonts w:ascii="Times New Roman" w:eastAsia="Times New Roman" w:hAnsi="Times New Roman" w:cs="Times New Roman"/>
          <w:sz w:val="24"/>
          <w:szCs w:val="24"/>
        </w:rPr>
        <w:t xml:space="preserve">, Commissioner Hansen, Commissioner Taylor (via Zoom) </w:t>
      </w:r>
    </w:p>
    <w:p w14:paraId="0A27E2F0" w14:textId="29A3D874" w:rsidR="00570F54" w:rsidRDefault="001A2C8A" w:rsidP="00A23B72">
      <w:pPr>
        <w:rPr>
          <w:sz w:val="24"/>
          <w:szCs w:val="24"/>
        </w:rPr>
      </w:pPr>
      <w:r w:rsidRPr="008F5663">
        <w:rPr>
          <w:b/>
          <w:bCs/>
          <w:sz w:val="24"/>
          <w:szCs w:val="24"/>
        </w:rPr>
        <w:t>C</w:t>
      </w:r>
      <w:r w:rsidR="00570F54" w:rsidRPr="008F5663">
        <w:rPr>
          <w:b/>
          <w:bCs/>
          <w:sz w:val="24"/>
          <w:szCs w:val="24"/>
        </w:rPr>
        <w:t>ity staff present</w:t>
      </w:r>
      <w:r w:rsidR="008F5663" w:rsidRPr="008F5663">
        <w:rPr>
          <w:b/>
          <w:bCs/>
          <w:sz w:val="24"/>
          <w:szCs w:val="24"/>
        </w:rPr>
        <w:t>:</w:t>
      </w:r>
      <w:r w:rsidR="008F5663">
        <w:rPr>
          <w:b/>
          <w:bCs/>
          <w:sz w:val="24"/>
          <w:szCs w:val="24"/>
        </w:rPr>
        <w:t xml:space="preserve"> </w:t>
      </w:r>
      <w:r w:rsidR="008F5663">
        <w:rPr>
          <w:sz w:val="24"/>
          <w:szCs w:val="24"/>
        </w:rPr>
        <w:t>City Planner Machael Layton, Intern Kyle Stutz.</w:t>
      </w:r>
    </w:p>
    <w:p w14:paraId="4082A793" w14:textId="77777777" w:rsidR="00020DA4" w:rsidRPr="008F5663" w:rsidRDefault="00020DA4" w:rsidP="00A23B72">
      <w:pPr>
        <w:rPr>
          <w:sz w:val="24"/>
          <w:szCs w:val="24"/>
        </w:rPr>
      </w:pPr>
    </w:p>
    <w:p w14:paraId="3C4666A3" w14:textId="4D389179" w:rsidR="00570F54" w:rsidRPr="008F5663" w:rsidRDefault="00570F54" w:rsidP="00A23B72">
      <w:pPr>
        <w:rPr>
          <w:sz w:val="24"/>
          <w:szCs w:val="24"/>
        </w:rPr>
      </w:pPr>
      <w:r w:rsidRPr="00C27C17">
        <w:rPr>
          <w:b/>
          <w:bCs/>
          <w:sz w:val="24"/>
          <w:szCs w:val="24"/>
        </w:rPr>
        <w:t>Others present</w:t>
      </w:r>
      <w:r w:rsidR="008F5663">
        <w:rPr>
          <w:b/>
          <w:bCs/>
          <w:sz w:val="24"/>
          <w:szCs w:val="24"/>
        </w:rPr>
        <w:t xml:space="preserve">: </w:t>
      </w:r>
      <w:r w:rsidR="00020DA4">
        <w:rPr>
          <w:sz w:val="24"/>
          <w:szCs w:val="24"/>
        </w:rPr>
        <w:t>Kelly Harmon</w:t>
      </w:r>
    </w:p>
    <w:p w14:paraId="567BF20D" w14:textId="77777777" w:rsidR="00A23B72" w:rsidRDefault="00A23B72" w:rsidP="00A23B72"/>
    <w:p w14:paraId="635872A3" w14:textId="77777777" w:rsidR="00B41E72" w:rsidRDefault="007C6A11" w:rsidP="00B41E72">
      <w:pPr>
        <w:pStyle w:val="Heading2"/>
        <w:spacing w:before="0" w:after="0"/>
        <w:rPr>
          <w:b/>
          <w:bCs/>
          <w:sz w:val="28"/>
          <w:szCs w:val="28"/>
          <w:u w:val="single"/>
        </w:rPr>
      </w:pPr>
      <w:r w:rsidRPr="00CF0754">
        <w:rPr>
          <w:b/>
          <w:bCs/>
          <w:sz w:val="28"/>
          <w:szCs w:val="28"/>
          <w:u w:val="single"/>
        </w:rPr>
        <w:t>Opening Remarks</w:t>
      </w:r>
    </w:p>
    <w:p w14:paraId="6AE77909" w14:textId="668F8649" w:rsidR="00B41E72" w:rsidRPr="00B41E72" w:rsidRDefault="00B41E72" w:rsidP="00B41E72">
      <w:pPr>
        <w:pStyle w:val="Heading2"/>
        <w:spacing w:before="0" w:after="0"/>
        <w:rPr>
          <w:b/>
          <w:bCs/>
          <w:sz w:val="28"/>
          <w:szCs w:val="28"/>
          <w:u w:val="single"/>
        </w:rPr>
      </w:pPr>
      <w:r w:rsidRPr="00B41E72">
        <w:rPr>
          <w:sz w:val="24"/>
          <w:szCs w:val="24"/>
        </w:rPr>
        <w:t>C</w:t>
      </w:r>
      <w:r w:rsidR="00020DA4">
        <w:rPr>
          <w:sz w:val="24"/>
          <w:szCs w:val="24"/>
        </w:rPr>
        <w:t>hair Lee</w:t>
      </w:r>
      <w:r w:rsidRPr="00B41E72">
        <w:rPr>
          <w:sz w:val="24"/>
          <w:szCs w:val="24"/>
        </w:rPr>
        <w:t xml:space="preserve"> offered the invocation then led those present in the Pledge of Allegiance.</w:t>
      </w:r>
    </w:p>
    <w:p w14:paraId="71EDFE93" w14:textId="4D1B3AFD" w:rsidR="00B41E72" w:rsidRPr="00B41E72" w:rsidRDefault="00B41E72" w:rsidP="00B41E72">
      <w:pPr>
        <w:pStyle w:val="Heading2"/>
        <w:spacing w:before="0" w:after="0"/>
      </w:pPr>
    </w:p>
    <w:p w14:paraId="50F87832" w14:textId="357BAE85" w:rsidR="00894019" w:rsidRPr="00894019" w:rsidRDefault="00894019" w:rsidP="00894019">
      <w:pPr>
        <w:rPr>
          <w:b/>
          <w:bCs/>
        </w:rPr>
      </w:pPr>
      <w:r w:rsidRPr="00894019">
        <w:rPr>
          <w:b/>
          <w:bCs/>
        </w:rPr>
        <w:t xml:space="preserve">Approval of Minutes: Meeting </w:t>
      </w:r>
      <w:r w:rsidR="00836197">
        <w:rPr>
          <w:b/>
          <w:bCs/>
        </w:rPr>
        <w:t>June 17</w:t>
      </w:r>
      <w:r w:rsidRPr="00894019">
        <w:rPr>
          <w:b/>
          <w:bCs/>
        </w:rPr>
        <w:t xml:space="preserve">, 2026 </w:t>
      </w:r>
    </w:p>
    <w:p w14:paraId="54A17777" w14:textId="446C7547" w:rsidR="00894019" w:rsidRDefault="00836197" w:rsidP="00894019">
      <w:r>
        <w:t>INSERT WHEN REVIEWED</w:t>
      </w:r>
    </w:p>
    <w:p w14:paraId="063A393A" w14:textId="77777777" w:rsidR="00836197" w:rsidRPr="00894019" w:rsidRDefault="00836197" w:rsidP="00894019"/>
    <w:p w14:paraId="5FD50983" w14:textId="77777777" w:rsidR="009C613A" w:rsidRPr="00CF0754" w:rsidRDefault="007C6A11" w:rsidP="00A23B72">
      <w:pPr>
        <w:pStyle w:val="Heading2"/>
        <w:spacing w:before="0" w:after="0"/>
        <w:rPr>
          <w:b/>
          <w:bCs/>
          <w:sz w:val="28"/>
          <w:szCs w:val="28"/>
          <w:u w:val="single"/>
        </w:rPr>
      </w:pPr>
      <w:r w:rsidRPr="00CF0754">
        <w:rPr>
          <w:b/>
          <w:bCs/>
          <w:sz w:val="28"/>
          <w:szCs w:val="28"/>
          <w:u w:val="single"/>
        </w:rPr>
        <w:t>Planning Staff Report</w:t>
      </w:r>
    </w:p>
    <w:p w14:paraId="701B20FC" w14:textId="1D7F118E" w:rsidR="00836197" w:rsidRPr="00E230A5" w:rsidRDefault="00836197" w:rsidP="00836197">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City Planner Layton deferred most of the staff report to Planning Intern Kyle Stutz, who provided a brief update regarding IT improvements in the meeting chamber. Intern Stutz explained that he and the city's IT staff had worked to activate the monitors on the commissioners' table so that presentation slides could be viewed directly in front of them</w:t>
      </w:r>
      <w:r w:rsidR="00A67555">
        <w:rPr>
          <w:rFonts w:ascii="Times New Roman" w:eastAsia="Times New Roman" w:hAnsi="Times New Roman" w:cs="Times New Roman"/>
          <w:sz w:val="24"/>
          <w:szCs w:val="24"/>
        </w:rPr>
        <w:t>.</w:t>
      </w:r>
    </w:p>
    <w:p w14:paraId="5BCD4973" w14:textId="3DC7B081" w:rsidR="00836197" w:rsidRDefault="00836197" w:rsidP="00836197">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Several commissioners expressed support for the improvement and noted a desire for additional electrical outlets at the commission table</w:t>
      </w:r>
      <w:r w:rsidR="00A67555">
        <w:rPr>
          <w:rFonts w:ascii="Times New Roman" w:eastAsia="Times New Roman" w:hAnsi="Times New Roman" w:cs="Times New Roman"/>
          <w:sz w:val="24"/>
          <w:szCs w:val="24"/>
        </w:rPr>
        <w:t>.</w:t>
      </w:r>
    </w:p>
    <w:p w14:paraId="76C877D6" w14:textId="77777777" w:rsidR="00836197" w:rsidRDefault="00836197" w:rsidP="00836197">
      <w:pPr>
        <w:spacing w:before="100" w:beforeAutospacing="1" w:after="100" w:afterAutospacing="1"/>
        <w:rPr>
          <w:rFonts w:ascii="Times New Roman" w:eastAsia="Times New Roman" w:hAnsi="Times New Roman" w:cs="Times New Roman"/>
          <w:sz w:val="24"/>
          <w:szCs w:val="24"/>
        </w:rPr>
      </w:pPr>
    </w:p>
    <w:p w14:paraId="799F857E" w14:textId="77777777" w:rsidR="00A67555" w:rsidRPr="00E230A5" w:rsidRDefault="00A67555" w:rsidP="00836197">
      <w:pPr>
        <w:spacing w:before="100" w:beforeAutospacing="1" w:after="100" w:afterAutospacing="1"/>
        <w:rPr>
          <w:rFonts w:ascii="Times New Roman" w:eastAsia="Times New Roman" w:hAnsi="Times New Roman" w:cs="Times New Roman"/>
          <w:sz w:val="24"/>
          <w:szCs w:val="24"/>
        </w:rPr>
      </w:pPr>
    </w:p>
    <w:p w14:paraId="600C4FA5" w14:textId="77777777" w:rsidR="00D54C94" w:rsidRPr="00D54C94" w:rsidRDefault="00D54C94" w:rsidP="00D54C94"/>
    <w:p w14:paraId="2BAE4713" w14:textId="77777777" w:rsidR="00894019" w:rsidRDefault="005B187E" w:rsidP="00A23B72">
      <w:pPr>
        <w:pStyle w:val="Heading2"/>
        <w:spacing w:before="0" w:after="0"/>
        <w:rPr>
          <w:b/>
          <w:bCs/>
          <w:sz w:val="28"/>
          <w:szCs w:val="28"/>
        </w:rPr>
      </w:pPr>
      <w:r w:rsidRPr="00D40CFE">
        <w:rPr>
          <w:b/>
          <w:bCs/>
          <w:sz w:val="28"/>
          <w:szCs w:val="28"/>
          <w:u w:val="single"/>
        </w:rPr>
        <w:t>Administrative</w:t>
      </w:r>
      <w:r w:rsidR="007C6A11" w:rsidRPr="00D40CFE">
        <w:rPr>
          <w:b/>
          <w:bCs/>
          <w:sz w:val="28"/>
          <w:szCs w:val="28"/>
          <w:u w:val="single"/>
        </w:rPr>
        <w:t xml:space="preserve"> Items</w:t>
      </w:r>
      <w:r w:rsidR="00663C27" w:rsidRPr="00CF0754">
        <w:rPr>
          <w:b/>
          <w:bCs/>
          <w:sz w:val="28"/>
          <w:szCs w:val="28"/>
          <w:u w:val="single"/>
        </w:rPr>
        <w:t xml:space="preserve"> </w:t>
      </w:r>
      <w:r w:rsidR="00663C27" w:rsidRPr="00CF0754">
        <w:rPr>
          <w:b/>
          <w:bCs/>
          <w:sz w:val="28"/>
          <w:szCs w:val="28"/>
        </w:rPr>
        <w:t xml:space="preserve">  </w:t>
      </w:r>
    </w:p>
    <w:p w14:paraId="5EC649EA" w14:textId="025BFAD9" w:rsidR="003C4360" w:rsidRPr="00E230A5" w:rsidRDefault="003C4360" w:rsidP="003C4360">
      <w:pPr>
        <w:spacing w:before="100" w:beforeAutospacing="1" w:after="100" w:afterAutospacing="1"/>
        <w:outlineLvl w:val="2"/>
        <w:rPr>
          <w:rFonts w:ascii="Times New Roman" w:eastAsia="Times New Roman" w:hAnsi="Times New Roman" w:cs="Times New Roman"/>
          <w:b/>
          <w:bCs/>
          <w:sz w:val="27"/>
          <w:szCs w:val="27"/>
        </w:rPr>
      </w:pPr>
      <w:r w:rsidRPr="00E230A5">
        <w:rPr>
          <w:rFonts w:ascii="Times New Roman" w:eastAsia="Times New Roman" w:hAnsi="Times New Roman" w:cs="Times New Roman"/>
          <w:b/>
          <w:bCs/>
          <w:sz w:val="27"/>
          <w:szCs w:val="27"/>
        </w:rPr>
        <w:lastRenderedPageBreak/>
        <w:t xml:space="preserve">a. Application #26053 DA Amendment for Hyde Park Gateway </w:t>
      </w:r>
    </w:p>
    <w:p w14:paraId="780E89C5" w14:textId="77777777" w:rsidR="003C4360" w:rsidRPr="00E230A5" w:rsidRDefault="003C4360" w:rsidP="003C4360">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City Planner Layton introduced the item, explaining that an application had been submitted for a third amendment to the development agreement for the Hyde Park Gateway project. Because the item was added to the agenda on an expedited basis, a full staff report was not prepared in advance, and the applicant — Kelly Harmon — was invited to present the request directly to the Commission.</w:t>
      </w:r>
    </w:p>
    <w:p w14:paraId="60C83CC1" w14:textId="68E6BE3E" w:rsidR="003C4360" w:rsidRPr="00E230A5" w:rsidRDefault="003C4360" w:rsidP="003C4360">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Mr. Harmon opened by providing context on the background of the project. He explained that the apartment component of the Gateway development — which he described interchangeably as flats, apartments, or condominiums, noting that the original development agreement uses the term "condominium" alongside "</w:t>
      </w:r>
      <w:r w:rsidR="00D40CFE" w:rsidRPr="00E230A5">
        <w:rPr>
          <w:rFonts w:ascii="Times New Roman" w:eastAsia="Times New Roman" w:hAnsi="Times New Roman" w:cs="Times New Roman"/>
          <w:sz w:val="24"/>
          <w:szCs w:val="24"/>
        </w:rPr>
        <w:t>apartment”</w:t>
      </w:r>
      <w:r w:rsidRPr="00E230A5">
        <w:rPr>
          <w:rFonts w:ascii="Times New Roman" w:eastAsia="Times New Roman" w:hAnsi="Times New Roman" w:cs="Times New Roman"/>
          <w:sz w:val="24"/>
          <w:szCs w:val="24"/>
        </w:rPr>
        <w:t xml:space="preserve"> had originally been planned at 120 units on a market-rate financing basis. However, given prevailing interest rates, which he described as painful from a development standpoint, securing conventional market-rate financing for the apartment section had become extremely difficult.</w:t>
      </w:r>
    </w:p>
    <w:p w14:paraId="7CCFB16B" w14:textId="77777777" w:rsidR="003C4360" w:rsidRPr="00E230A5" w:rsidRDefault="003C4360" w:rsidP="003C4360">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In response to this challenge, the development team retained a consultant and initiated an application to the State of Utah for a 4% Low Income Housing Tax Credit. Mr. Harmon took care to distinguish the 4% program from the more competitive 9% program: the 4% program is less competitive but still provides meaningful tax credit financing, while the 9% program offers greater credits but has lower income thresholds — potentially targeting tenants at 45% of the area median income, with a sliding scale up to 60% — and carries a compliance period of approximately 45 to 50 years. The 4% program, by contrast, targets tenants at 60% of the local county median income and carries a compliance and affordability restriction period of approximately 15 years.</w:t>
      </w:r>
    </w:p>
    <w:p w14:paraId="46D658FF" w14:textId="77777777" w:rsidR="003C4360" w:rsidRPr="00E230A5" w:rsidRDefault="003C4360" w:rsidP="003C4360">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Mr. Harmon noted that the consultant reviewed the project's pro forma and determined that five additional units would be needed to make the application financially viable. The development team accordingly engaged their designer, Ken Ericsson, to redesign the clubhouse building to incorporate those five additional units — one unit on the ground floor alongside the clubhouse and pump room, and four additional units stacked above the clubhouse on upper floors. Mr. Harmon acknowledged that the footprint of the clubhouse building increased modestly, but stated that the pool deck, playground, and overall amenity package remained unchanged.</w:t>
      </w:r>
    </w:p>
    <w:p w14:paraId="282103AF" w14:textId="77777777" w:rsidR="003C4360" w:rsidRPr="00E230A5" w:rsidRDefault="003C4360" w:rsidP="003C4360">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He also provided some branding updates: the apartment component would be known as Ridgeview Flats at the Gateway, and the townhome component as Parkview Townhomes at the Gateway.</w:t>
      </w:r>
    </w:p>
    <w:p w14:paraId="15970A46" w14:textId="77777777" w:rsidR="003C4360" w:rsidRPr="00E230A5" w:rsidRDefault="003C4360" w:rsidP="003C4360">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Mr. Harmon explained that the amendment formally requests a change from 120 to 125 apartment/condominium units, dedicates an additional 2.25 acre-feet of culinary water to account for the increased density, and provides that all applicable impact fees would be adjusted accordingly. All other terms and conditions of the original development agreement would remain in full force.</w:t>
      </w:r>
    </w:p>
    <w:p w14:paraId="5E71CDA9" w14:textId="77777777" w:rsidR="003C4360" w:rsidRPr="00E230A5" w:rsidRDefault="003C4360" w:rsidP="003C4360">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 xml:space="preserve">Commissioners asked several clarifying questions. Commissioner Hansen confirmed that only the apartment component was changing — the 78 townhomes remained unaffected. Commissioner Hansen asked about the income-targeting threshold, and it was clarified by </w:t>
      </w:r>
      <w:r w:rsidRPr="00E230A5">
        <w:rPr>
          <w:rFonts w:ascii="Times New Roman" w:eastAsia="Times New Roman" w:hAnsi="Times New Roman" w:cs="Times New Roman"/>
          <w:sz w:val="24"/>
          <w:szCs w:val="24"/>
        </w:rPr>
        <w:lastRenderedPageBreak/>
        <w:t>others in the room that the 60% figure referenced is the county area median income, not a statewide figure, which was agreed to make more sense given the localized nature of such programs. Commissioners also clarified that both the townhomes and the apartments are rental units, with the townhomes rented at market rate and the apartment component subject to the income restrictions of the tax credit program for the 15-year compliance period.</w:t>
      </w:r>
    </w:p>
    <w:p w14:paraId="4EEBA901" w14:textId="77777777" w:rsidR="003C4360" w:rsidRPr="00E230A5" w:rsidRDefault="003C4360" w:rsidP="003C4360">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Chair Lee asked about the internal roads on the submitted site plan, which showed some question marks indicating uncertainty. Mr. Harmon clarified that only the roads along the western perimeter (580 West) and the east-west road (50th or 60th) are public roads, and all internal roads within the development are private. The question marks were understood to reflect addresses not yet assigned rather than uncertainty about public or private status.</w:t>
      </w:r>
    </w:p>
    <w:p w14:paraId="41BF78AF" w14:textId="77777777" w:rsidR="003C4360" w:rsidRPr="00E230A5" w:rsidRDefault="003C4360" w:rsidP="003C4360">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Chair Lee asked about references in the amendment to phases 4, 5, and 6, which did not all appear clearly on the site plan. Mr. Harmon explained that the phasing numbering had evolved over the life of the project: the townhomes on the east side had originally been phased as phases 1 and 2, the remaining townhomes as phases 3 and 4, and the apartment buildings as phases 5 and 6, with the original assumption that $30 million in financing would need to be split. With the tax credit approach, the apartments could now be built together.</w:t>
      </w:r>
    </w:p>
    <w:p w14:paraId="6985ABEF" w14:textId="77777777" w:rsidR="003C4360" w:rsidRPr="00E230A5" w:rsidRDefault="003C4360" w:rsidP="003C4360">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Mr. Harmon outlined the anticipated timeline: phase 1 townhomes were expected to be complete by end of year, construction on the apartment component (phase 3 in practical terms) would follow tax credit award notification expected in the fall, with a target groundbreaking in early spring. Phase 2 of the townhomes would proceed after phase 1 was stabilized and fully occupied. He spoke with evident pride about the occupancy performance at L59 in downtown Logan — a comparable property under the same management — which had maintained 97% to 100% occupancy over the past two months while competitors were in the low 90s and high 80s, attributing this performance to the quality of the product.</w:t>
      </w:r>
    </w:p>
    <w:p w14:paraId="4821F246" w14:textId="77777777" w:rsidR="003C4360" w:rsidRPr="00E230A5" w:rsidRDefault="003C4360" w:rsidP="003C4360">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Commissioners asked about the carport structures, and Chair Lee — who noted she had been away from the Commission during some of the prior approvals — asked whether these were covered structures or enclosed. Mr. Harmon confirmed they were simply covered, open-sided carports, and Commissioner Hansen compared them to similar carport structures at another local development.</w:t>
      </w:r>
    </w:p>
    <w:p w14:paraId="59584A55" w14:textId="77777777" w:rsidR="003C4360" w:rsidRPr="00E230A5" w:rsidRDefault="003C4360" w:rsidP="003C4360">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City Planner Layton clarified for the Commission that this amendment does not require a public hearing in the traditional sense because the applicant is not seeking financial concessions — in fact, the amendment explicitly acknowledges the obligation to pay additional water dedication fees and impact fees. Layton distinguished this from situations where applicants seek to have financial obligations waived or reduced, which would require a public hearing.</w:t>
      </w:r>
    </w:p>
    <w:p w14:paraId="2B289617" w14:textId="77777777" w:rsidR="003C4360" w:rsidRPr="00E230A5" w:rsidRDefault="003C4360" w:rsidP="003C4360">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A brief discussion arose around the precise legal distinction between an "amendment" and an "addendum." Layton acknowledged the document was drafted in the style of an addendum — meaning it does not contain the traditional redline strikethroughs showing what is being changed in the original text — but that it functionally constitutes an amendment, and the item was being treated as such.</w:t>
      </w:r>
    </w:p>
    <w:p w14:paraId="1ED5527C" w14:textId="64CD90EB" w:rsidR="003C4360" w:rsidRPr="00E230A5" w:rsidRDefault="003C4360" w:rsidP="003C4360">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lastRenderedPageBreak/>
        <w:t xml:space="preserve">Motion to recommend approval of Application #26053, the Development Agreement Amendment for the Hyde Park Gateway, to the City Council was made by Commissioner </w:t>
      </w:r>
      <w:r w:rsidR="00AD40DE">
        <w:rPr>
          <w:rFonts w:ascii="Times New Roman" w:eastAsia="Times New Roman" w:hAnsi="Times New Roman" w:cs="Times New Roman"/>
          <w:sz w:val="24"/>
          <w:szCs w:val="24"/>
        </w:rPr>
        <w:t>Mowes</w:t>
      </w:r>
      <w:r w:rsidRPr="00E230A5">
        <w:rPr>
          <w:rFonts w:ascii="Times New Roman" w:eastAsia="Times New Roman" w:hAnsi="Times New Roman" w:cs="Times New Roman"/>
          <w:sz w:val="24"/>
          <w:szCs w:val="24"/>
        </w:rPr>
        <w:t xml:space="preserve"> and seconded by Commissioner Hansen. The motion carried unanimously, 5–0, including the vote of Commissioner Taylor participating remotely via Zoom.</w:t>
      </w:r>
    </w:p>
    <w:p w14:paraId="0F76E1EF" w14:textId="78CA26AD" w:rsidR="003C4360" w:rsidRPr="003C4360" w:rsidRDefault="003C4360" w:rsidP="003C4360">
      <w:r w:rsidRPr="00E230A5">
        <w:rPr>
          <w:rFonts w:ascii="Times New Roman" w:eastAsia="Times New Roman" w:hAnsi="Times New Roman" w:cs="Times New Roman"/>
          <w:i/>
          <w:iCs/>
          <w:sz w:val="24"/>
          <w:szCs w:val="24"/>
        </w:rPr>
        <w:t>Note: Commissioner Taylor's participation via Zoom was confirmed after the vote was initially taken with four commissioners. Chair Lee confirmed, upon realizing Commissioner Taylor had been present on Zoom throughout the meeting, that the vote was unanimous with five commissioners in favor</w:t>
      </w:r>
    </w:p>
    <w:p w14:paraId="69DC8791" w14:textId="77777777" w:rsidR="005B187E" w:rsidRDefault="005B187E" w:rsidP="005B187E">
      <w:pPr>
        <w:pStyle w:val="Heading2"/>
        <w:rPr>
          <w:b/>
          <w:bCs/>
          <w:sz w:val="28"/>
          <w:szCs w:val="28"/>
          <w:u w:val="single"/>
        </w:rPr>
      </w:pPr>
      <w:r w:rsidRPr="00AD40DE">
        <w:rPr>
          <w:b/>
          <w:bCs/>
          <w:sz w:val="28"/>
          <w:szCs w:val="28"/>
          <w:u w:val="single"/>
        </w:rPr>
        <w:t>Legislative Items</w:t>
      </w:r>
    </w:p>
    <w:p w14:paraId="205CC8F1" w14:textId="39582DF0" w:rsidR="00AD40DE" w:rsidRPr="00AD40DE" w:rsidRDefault="00AD40DE" w:rsidP="00AD40DE">
      <w:r>
        <w:t>None</w:t>
      </w:r>
    </w:p>
    <w:p w14:paraId="11A62981" w14:textId="25609BCB" w:rsidR="00D54C94" w:rsidRPr="00D54C94" w:rsidRDefault="00D54C94" w:rsidP="00F27DD7">
      <w:pPr>
        <w:pStyle w:val="Heading3"/>
      </w:pPr>
    </w:p>
    <w:p w14:paraId="0BEDFA71" w14:textId="27693471" w:rsidR="009C613A" w:rsidRDefault="001626B4" w:rsidP="00B227A6">
      <w:pPr>
        <w:pStyle w:val="Heading2"/>
        <w:spacing w:before="0" w:after="0"/>
        <w:rPr>
          <w:b/>
          <w:bCs/>
          <w:u w:val="single"/>
        </w:rPr>
      </w:pPr>
      <w:r>
        <w:rPr>
          <w:b/>
          <w:bCs/>
          <w:u w:val="single"/>
        </w:rPr>
        <w:t>Discussion</w:t>
      </w:r>
      <w:r w:rsidR="007C6A11" w:rsidRPr="00A23B72">
        <w:rPr>
          <w:b/>
          <w:bCs/>
          <w:u w:val="single"/>
        </w:rPr>
        <w:t xml:space="preserve"> Items</w:t>
      </w:r>
    </w:p>
    <w:p w14:paraId="1553CF88" w14:textId="0608E914" w:rsidR="00AD40DE" w:rsidRPr="00E230A5" w:rsidRDefault="00AD40DE" w:rsidP="00AD40DE">
      <w:pPr>
        <w:spacing w:before="100" w:beforeAutospacing="1" w:after="100" w:afterAutospacing="1"/>
        <w:outlineLvl w:val="2"/>
        <w:rPr>
          <w:rFonts w:ascii="Times New Roman" w:eastAsia="Times New Roman" w:hAnsi="Times New Roman" w:cs="Times New Roman"/>
          <w:b/>
          <w:bCs/>
          <w:sz w:val="27"/>
          <w:szCs w:val="27"/>
        </w:rPr>
      </w:pPr>
      <w:r w:rsidRPr="00E230A5">
        <w:rPr>
          <w:rFonts w:ascii="Times New Roman" w:eastAsia="Times New Roman" w:hAnsi="Times New Roman" w:cs="Times New Roman"/>
          <w:b/>
          <w:bCs/>
          <w:sz w:val="27"/>
          <w:szCs w:val="27"/>
        </w:rPr>
        <w:t xml:space="preserve">a. Ordinance for Definitions — Additions and Changes </w:t>
      </w:r>
    </w:p>
    <w:p w14:paraId="4B4D43D6"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City Planner Layton introduced the item and turned the presentation over to Intern Stutz, who had prepared draft ordinance language for the definitions discussed at the previous meeting. Stutz explained that the principal purpose of the discussion was to gauge whether the ordinance was ready to be scheduled for a public hearing and vote at the next meeting on July 15th.</w:t>
      </w:r>
    </w:p>
    <w:p w14:paraId="6E3041C1" w14:textId="6DA02D6D"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 xml:space="preserve">Stutz noted that the only substantive change from the prior meeting's discussion was the addition of language to the definition of "Detached Accessory Dwelling Unit" (ADU), incorporating the requirement that such units be offered for long-term rental of 30 consecutive days or longer, as had been requested by Commissioner </w:t>
      </w:r>
      <w:r w:rsidR="006D0953">
        <w:rPr>
          <w:rFonts w:ascii="Times New Roman" w:eastAsia="Times New Roman" w:hAnsi="Times New Roman" w:cs="Times New Roman"/>
          <w:sz w:val="24"/>
          <w:szCs w:val="24"/>
        </w:rPr>
        <w:t>Mowes</w:t>
      </w:r>
      <w:r w:rsidRPr="00E230A5">
        <w:rPr>
          <w:rFonts w:ascii="Times New Roman" w:eastAsia="Times New Roman" w:hAnsi="Times New Roman" w:cs="Times New Roman"/>
          <w:sz w:val="24"/>
          <w:szCs w:val="24"/>
        </w:rPr>
        <w:t>. This was described as a first step in the broader effort — also being worked on — to include deed restrictions that would prevent detached ADUs from being used as short-term vacation rentals in the style of Airbnb.</w:t>
      </w:r>
    </w:p>
    <w:p w14:paraId="4C578139" w14:textId="1808231C"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 xml:space="preserve">Commissioner Hansen raised a concern: by defining the purpose of a detached ADU as being for long-term rental, the ordinance might inadvertently create ambiguity or a barrier for homeowners whose actual intent is to house a family member — a classic mother-in-law apartment situation — rather than to </w:t>
      </w:r>
      <w:r w:rsidR="006D0953" w:rsidRPr="00E230A5">
        <w:rPr>
          <w:rFonts w:ascii="Times New Roman" w:eastAsia="Times New Roman" w:hAnsi="Times New Roman" w:cs="Times New Roman"/>
          <w:sz w:val="24"/>
          <w:szCs w:val="24"/>
        </w:rPr>
        <w:t>enter</w:t>
      </w:r>
      <w:r w:rsidRPr="00E230A5">
        <w:rPr>
          <w:rFonts w:ascii="Times New Roman" w:eastAsia="Times New Roman" w:hAnsi="Times New Roman" w:cs="Times New Roman"/>
          <w:sz w:val="24"/>
          <w:szCs w:val="24"/>
        </w:rPr>
        <w:t xml:space="preserve"> a formal rental arrangement. He noted that defining an ADU primarily in terms of rental could either confuse applicants or, in the worst case, discourage the very construction the city wishes to encourage.</w:t>
      </w:r>
    </w:p>
    <w:p w14:paraId="54054824" w14:textId="256B8A01"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Chair Lee noted that, in practice, a unit occupied by a family member is often not formally considered an ADU for regulatory purposes — it is simply treated as part of the same household. Commissioner Hansen's concern, however, was that the definition as written could be read to mean that if a unit is not being used as a rental, it technically does not qualify as an ADU, which would deprive the owner of the regulatory benefits associated with that classification under state law.</w:t>
      </w:r>
    </w:p>
    <w:p w14:paraId="69AD5E26"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lastRenderedPageBreak/>
        <w:t>City Planner Layton explained that the internal ADU definition was taken word-for-word from state code, and that the added sentence on the detached ADU definition was drafted to mirror that state language for consistency. She emphasized that the city does not license long-term rentals, does not collect lease agreements, and does not monitor the nature of relationships between residents and homeowners. The intent behind the language was simply to signal that the unit is for residential long-term use rather than short-term vacation rental — not to exclude family arrangements.</w:t>
      </w:r>
    </w:p>
    <w:p w14:paraId="3B01C62D"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Several alternatives were proposed: inserting the word "primary" before "purpose," changing the language to reference "long-term residential use" rather than "long-term rental," or framing the provision negatively as "shall not be used for short-term rental." The consensus leaned toward "long-term residential use" as more inclusive and less likely to discourage construction, though Layton cautioned that since the internal ADU definition was taken directly from state code, consistency between the two definitions was valuable. The Commission ultimately agreed to maintain language consistent with the state definition, noting that if the state code is updated, the city's ordinance would be updated to match. Commissioner Hansen acknowledged he was not strongly opposed, describing his concern as a somewhat technical but genuine point about unintended consequences.</w:t>
      </w:r>
    </w:p>
    <w:p w14:paraId="4E1C752D"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The Commission confirmed that the ordinance for definitions was ready for a public hearing to be scheduled on July 15, 2026.</w:t>
      </w:r>
    </w:p>
    <w:p w14:paraId="34C82E78" w14:textId="77777777" w:rsidR="00AD40DE" w:rsidRPr="00E230A5" w:rsidRDefault="00814300" w:rsidP="00AD40D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7AA43D6C">
          <v:rect id="_x0000_i1025" style="width:0;height:1.5pt" o:hralign="center" o:hrstd="t" o:hr="t" fillcolor="#a0a0a0" stroked="f"/>
        </w:pict>
      </w:r>
    </w:p>
    <w:p w14:paraId="7EAB7361" w14:textId="2DBF55EA" w:rsidR="00AD40DE" w:rsidRPr="00E230A5" w:rsidRDefault="00AD40DE" w:rsidP="00AD40DE">
      <w:pPr>
        <w:spacing w:before="100" w:beforeAutospacing="1" w:after="100" w:afterAutospacing="1"/>
        <w:outlineLvl w:val="2"/>
        <w:rPr>
          <w:rFonts w:ascii="Times New Roman" w:eastAsia="Times New Roman" w:hAnsi="Times New Roman" w:cs="Times New Roman"/>
          <w:b/>
          <w:bCs/>
          <w:sz w:val="27"/>
          <w:szCs w:val="27"/>
        </w:rPr>
      </w:pPr>
      <w:r w:rsidRPr="00E230A5">
        <w:rPr>
          <w:rFonts w:ascii="Times New Roman" w:eastAsia="Times New Roman" w:hAnsi="Times New Roman" w:cs="Times New Roman"/>
          <w:b/>
          <w:bCs/>
          <w:sz w:val="27"/>
          <w:szCs w:val="27"/>
        </w:rPr>
        <w:t>b. Ordinance to Repeal of RT, MXD and R2 Zones</w:t>
      </w:r>
    </w:p>
    <w:p w14:paraId="12763C83"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Intern Stutz presented the draft ordinances related to sunsetting applications for the R2 and MXD zones and outright repealing the RT zone. He described the R2 and MXD ordinances as relatively straightforward: they add a clause prohibiting new applications for those zones — meaning no new rezones to R2 or MXD, and no new annexations into those zones — until the City Council re-authorizes them. Existing properties zoned R2 or MXD would remain so and would continue to be governed by the existing development standards for those zones.</w:t>
      </w:r>
    </w:p>
    <w:p w14:paraId="5CFC3332"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Commissioner Hansen, who had been absent from the prior meeting, asked a clarifying question about whether this was primarily a name change exercise, with the intent being to eventually rename the zones to new designations such as "low density." Intern Stutz confirmed that in essence, yes — the existing development standards would remain intact for now, and the sunset was intended to halt new designations to those zones while the city worked on successor zones. Chair Lee added helpful historical context, noting that for years the city had similarly limited new residential rezones to the R-E20 (half-acre) and A-1 (full acre) zones, with R2 effectively unavailable as a new zoning designation for incoming development.</w:t>
      </w:r>
    </w:p>
    <w:p w14:paraId="5244FB8D"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 xml:space="preserve">On the question of the RT zone repeal, Intern Stutz confirmed that no applications had ever been submitted under the RT zone — all development in areas carrying RT zoning had proceeded through development agreements rather than directly under the RT standards. City Planner Layton elaborated that the RT zone had been applied only as a partial overlay on properties that were also zoned agricultural, creating a split-zone situation that was </w:t>
      </w:r>
      <w:r w:rsidRPr="00E230A5">
        <w:rPr>
          <w:rFonts w:ascii="Times New Roman" w:eastAsia="Times New Roman" w:hAnsi="Times New Roman" w:cs="Times New Roman"/>
          <w:sz w:val="24"/>
          <w:szCs w:val="24"/>
        </w:rPr>
        <w:lastRenderedPageBreak/>
        <w:t>administratively awkward and practically unhelpful. Reverting the RT-zoned portion of those parcels to their prior zoning — primarily agricultural, with a small section of R-E20 — would give property owners a clean, unified zone across their entire parcel and allow them to proceed with development under that zone without having to separately rezone the RT slice.</w:t>
      </w:r>
    </w:p>
    <w:p w14:paraId="3B7329C3" w14:textId="3A21E794"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 xml:space="preserve">Commissioner Hansen pressed on whether there was any risk in repealing the RT zone rather than simply amending or replacing it. Layton acknowledged that there is always the possibility of an unforeseen </w:t>
      </w:r>
      <w:r w:rsidR="00D40CFE" w:rsidRPr="00E230A5">
        <w:rPr>
          <w:rFonts w:ascii="Times New Roman" w:eastAsia="Times New Roman" w:hAnsi="Times New Roman" w:cs="Times New Roman"/>
          <w:sz w:val="24"/>
          <w:szCs w:val="24"/>
        </w:rPr>
        <w:t>consequence but</w:t>
      </w:r>
      <w:r w:rsidRPr="00E230A5">
        <w:rPr>
          <w:rFonts w:ascii="Times New Roman" w:eastAsia="Times New Roman" w:hAnsi="Times New Roman" w:cs="Times New Roman"/>
          <w:sz w:val="24"/>
          <w:szCs w:val="24"/>
        </w:rPr>
        <w:t xml:space="preserve"> explained that the more significant risk was leaving RT in place: someone could theoretically file an application under the RT zone before it is closed, creating a vested rights situation. More practically, leaving split-zoned parcels in place creates complications for property owners who want to develop their land as a whole unit.</w:t>
      </w:r>
    </w:p>
    <w:p w14:paraId="4C15FA00"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Commissioner Hansen asked a follow-up question regarding the Visionary development, which had some RT-zoned land in its area. Layton clarified that the Visionary development agreement had been withdrawn, so there was no active application to be affected. If and when Visionary or any other developer returns with a new proposal, they would work within whatever zoning exists at that time and, if seeking density above what the base zone allows, would need to pursue a development agreement or rezone accordingly.</w:t>
      </w:r>
    </w:p>
    <w:p w14:paraId="0224BBE1"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Chair Lee raised a broader policy question about whether sunsetting MXD signaled that the city no longer wanted mixed-use development along Wolfpack Way. Layton confirmed that was precisely the intent as communicated in prior discussions — the city wished to preserve genuine commercial development along that corridor and to provide for high-density housing in purpose-built housing zones rather than through MXD designations that developers then sought to modify via development agreements to eliminate the commercial component.</w:t>
      </w:r>
    </w:p>
    <w:p w14:paraId="56484D1A" w14:textId="3086A52B"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Intern Stutz noted one drafting suggestion raised by a commissioner: the RT ordinance as structured buried the repeal language at the very end of what appeared to be a full recitation of the zone's provisions, which could be confusing to a reader who works through the entire text expecting it to govern something, only to find the final line repeals it. The Commission agreed that a notation — such as "</w:t>
      </w:r>
      <w:r w:rsidR="00D40CFE" w:rsidRPr="00E230A5">
        <w:rPr>
          <w:rFonts w:ascii="Times New Roman" w:eastAsia="Times New Roman" w:hAnsi="Times New Roman" w:cs="Times New Roman"/>
          <w:sz w:val="24"/>
          <w:szCs w:val="24"/>
        </w:rPr>
        <w:t>REPEALED”</w:t>
      </w:r>
      <w:r w:rsidRPr="00E230A5">
        <w:rPr>
          <w:rFonts w:ascii="Times New Roman" w:eastAsia="Times New Roman" w:hAnsi="Times New Roman" w:cs="Times New Roman"/>
          <w:sz w:val="24"/>
          <w:szCs w:val="24"/>
        </w:rPr>
        <w:t xml:space="preserve"> should appear prominently near the title of the relevant section so that readers are not misled. Intern Stutz confirmed he would also carry that approach over to the R2 and MXD ordinances for clarity.</w:t>
      </w:r>
    </w:p>
    <w:p w14:paraId="2EC2B84A" w14:textId="3F911A36"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 xml:space="preserve">The Commission confirmed these ordinances were ready for public hearing to be scheduled </w:t>
      </w:r>
      <w:r w:rsidR="00D40CFE" w:rsidRPr="00E230A5">
        <w:rPr>
          <w:rFonts w:ascii="Times New Roman" w:eastAsia="Times New Roman" w:hAnsi="Times New Roman" w:cs="Times New Roman"/>
          <w:sz w:val="24"/>
          <w:szCs w:val="24"/>
        </w:rPr>
        <w:t>for</w:t>
      </w:r>
      <w:r w:rsidRPr="00E230A5">
        <w:rPr>
          <w:rFonts w:ascii="Times New Roman" w:eastAsia="Times New Roman" w:hAnsi="Times New Roman" w:cs="Times New Roman"/>
          <w:sz w:val="24"/>
          <w:szCs w:val="24"/>
        </w:rPr>
        <w:t xml:space="preserve"> July 15, 2026.</w:t>
      </w:r>
    </w:p>
    <w:p w14:paraId="7F24B131" w14:textId="77777777" w:rsidR="00AD40DE" w:rsidRPr="00E230A5" w:rsidRDefault="00814300" w:rsidP="00AD40D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9D54496">
          <v:rect id="_x0000_i1026" style="width:0;height:1.5pt" o:hralign="center" o:hrstd="t" o:hr="t" fillcolor="#a0a0a0" stroked="f"/>
        </w:pict>
      </w:r>
    </w:p>
    <w:p w14:paraId="3DAE9B7D" w14:textId="6D2AF16E" w:rsidR="00AD40DE" w:rsidRPr="00E230A5" w:rsidRDefault="00AD40DE" w:rsidP="00AD40DE">
      <w:pPr>
        <w:spacing w:before="100" w:beforeAutospacing="1" w:after="100" w:afterAutospacing="1"/>
        <w:outlineLvl w:val="2"/>
        <w:rPr>
          <w:rFonts w:ascii="Times New Roman" w:eastAsia="Times New Roman" w:hAnsi="Times New Roman" w:cs="Times New Roman"/>
          <w:b/>
          <w:bCs/>
          <w:sz w:val="27"/>
          <w:szCs w:val="27"/>
        </w:rPr>
      </w:pPr>
      <w:r w:rsidRPr="00E230A5">
        <w:rPr>
          <w:rFonts w:ascii="Times New Roman" w:eastAsia="Times New Roman" w:hAnsi="Times New Roman" w:cs="Times New Roman"/>
          <w:b/>
          <w:bCs/>
          <w:sz w:val="27"/>
          <w:szCs w:val="27"/>
        </w:rPr>
        <w:t xml:space="preserve">c. Development Agreements </w:t>
      </w:r>
    </w:p>
    <w:p w14:paraId="6E8FD975" w14:textId="3CA75C6A"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 xml:space="preserve">Intern Stutz presented a summary of research he and City Planner Layton had conducted on development agreement best practices, drawing on guidance from the Utah Land Use Institute, the American Planning Association, and the Utah League of Cities and Towns.  </w:t>
      </w:r>
      <w:r w:rsidR="00F314AD">
        <w:rPr>
          <w:rFonts w:ascii="Times New Roman" w:eastAsia="Times New Roman" w:hAnsi="Times New Roman" w:cs="Times New Roman"/>
          <w:sz w:val="24"/>
          <w:szCs w:val="24"/>
        </w:rPr>
        <w:t xml:space="preserve">Commissioners and staff did a </w:t>
      </w:r>
      <w:r w:rsidRPr="00E230A5">
        <w:rPr>
          <w:rFonts w:ascii="Times New Roman" w:eastAsia="Times New Roman" w:hAnsi="Times New Roman" w:cs="Times New Roman"/>
          <w:sz w:val="24"/>
          <w:szCs w:val="24"/>
        </w:rPr>
        <w:t>candid assessment of how the city had been handling development agreements and how to improve going forward.</w:t>
      </w:r>
    </w:p>
    <w:p w14:paraId="1F964F8C"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lastRenderedPageBreak/>
        <w:t>Stutz began by grounding the discussion in the fundamental nature of development agreements: they are legally binding contracts between two parties, and as such, they involve genuine give and take. That mutuality of obligation is the essential justification for entering into one. Because they are contracts, they are also subject to contract law rather than purely land use law in certain respects, which can make disputes expensive and difficult to resolve administratively.</w:t>
      </w:r>
    </w:p>
    <w:p w14:paraId="64767304"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On the question of specificity, Stutz relayed guidance from the American Planning Association that development agreements should be detailed enough to minimize ambiguous interpretation but should not be cluttered with minor design details — such as the direction of a fence — that are not material to the deal. Items of that nature should be left as administrative leeway for the developer and handled outside the agreement. The Commission responded positively to this framing, with several members reflecting on past experiences where considerable meeting time had been devoted to debating site plan particulars that ultimately were not central to the contractual terms being negotiated.</w:t>
      </w:r>
    </w:p>
    <w:p w14:paraId="2F275365" w14:textId="3494E588"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 xml:space="preserve">Stutz raised a specific recommendation for Commission feedback: whether to add a provision to the city's development agreement process requiring developers to bear the city's attorney fees incurred in reviewing and negotiating the agreement. The rationale offered was twofold — it would reduce the financial burden on the city and, perhaps more importantly, it would serve as a meaningful filter, encouraging developers to submit more complete, well-considered applications rather than submitting preliminary materials knowing the city would bear the cost of iterative legal review. Commissioner Hansen and Commissioner </w:t>
      </w:r>
      <w:r w:rsidR="006D0953">
        <w:rPr>
          <w:rFonts w:ascii="Times New Roman" w:eastAsia="Times New Roman" w:hAnsi="Times New Roman" w:cs="Times New Roman"/>
          <w:sz w:val="24"/>
          <w:szCs w:val="24"/>
        </w:rPr>
        <w:t>Mowes</w:t>
      </w:r>
      <w:r w:rsidRPr="00E230A5">
        <w:rPr>
          <w:rFonts w:ascii="Times New Roman" w:eastAsia="Times New Roman" w:hAnsi="Times New Roman" w:cs="Times New Roman"/>
          <w:sz w:val="24"/>
          <w:szCs w:val="24"/>
        </w:rPr>
        <w:t xml:space="preserve"> both expressed support for the idea, with Hansen noting it would effectively require developers to do their homework before coming to the table.</w:t>
      </w:r>
    </w:p>
    <w:p w14:paraId="12B71599"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Commissioner Hansen added a related suggestion: that engineering review costs might similarly be passed to the developer. There was general agreement on the principle.</w:t>
      </w:r>
    </w:p>
    <w:p w14:paraId="14C44223"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Layton expanded on the Utah League of Cities and Towns' guidance that development agreements should represent substantive deviations from the code — not minor adjustments to height limits or setbacks that might be addressed through a variance or a targeted text amendment. She expressed concern that development agreements had begun to function as a default workaround, with some applicants apparently bypassing the ordinance review process entirely and simply submitting a development agreement instead. She noted that this approach is costly and time-consuming for all parties, and that the better path is to update zoning standards and ordinances when there are recurring needs — which is precisely what the current rezoning and definitions work is intended to address.</w:t>
      </w:r>
    </w:p>
    <w:p w14:paraId="4829EAFE" w14:textId="6BE8366A"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Layton reflected on the experience during the Visionary development agreement workshop. She noted that the session had been dominated by discussion of an elaborate site plan that, as it turned out, was not actually buildable — among other issues, it showed zero setbacks in locations where 15-foot utility easements would be required to separate water and sewer lines. A substantial portion of the commission's time had been devoted to that plan rather than to the actual contractual terms. She suggested that future development agreement workshops should orient first around a clear summary of what the city is offering and what it expects to receive in return — essentially a consideration ledger — before any discussion of site design.</w:t>
      </w:r>
    </w:p>
    <w:p w14:paraId="0B28E78C" w14:textId="30BB4A0C"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lastRenderedPageBreak/>
        <w:t xml:space="preserve">Commissioner </w:t>
      </w:r>
      <w:r w:rsidR="00CE41DB">
        <w:rPr>
          <w:rFonts w:ascii="Times New Roman" w:eastAsia="Times New Roman" w:hAnsi="Times New Roman" w:cs="Times New Roman"/>
          <w:sz w:val="24"/>
          <w:szCs w:val="24"/>
        </w:rPr>
        <w:t xml:space="preserve">Williams </w:t>
      </w:r>
      <w:r w:rsidRPr="00E230A5">
        <w:rPr>
          <w:rFonts w:ascii="Times New Roman" w:eastAsia="Times New Roman" w:hAnsi="Times New Roman" w:cs="Times New Roman"/>
          <w:sz w:val="24"/>
          <w:szCs w:val="24"/>
        </w:rPr>
        <w:t xml:space="preserve">recalled that the Visionary applicant had used one of the city's own boilerplate development agreement templates. </w:t>
      </w:r>
      <w:r w:rsidR="00CE41DB">
        <w:rPr>
          <w:rFonts w:ascii="Times New Roman" w:eastAsia="Times New Roman" w:hAnsi="Times New Roman" w:cs="Times New Roman"/>
          <w:sz w:val="24"/>
          <w:szCs w:val="24"/>
        </w:rPr>
        <w:t>She</w:t>
      </w:r>
      <w:r w:rsidRPr="00E230A5">
        <w:rPr>
          <w:rFonts w:ascii="Times New Roman" w:eastAsia="Times New Roman" w:hAnsi="Times New Roman" w:cs="Times New Roman"/>
          <w:sz w:val="24"/>
          <w:szCs w:val="24"/>
        </w:rPr>
        <w:t xml:space="preserve"> raised a concern about how current that template was, and Layton acknowledged it was at least five years old and likely in need of review. She noted the same was true of the city's subdivision improvement agreement template, which she believed still </w:t>
      </w:r>
      <w:r w:rsidR="00D40CFE" w:rsidRPr="00E230A5">
        <w:rPr>
          <w:rFonts w:ascii="Times New Roman" w:eastAsia="Times New Roman" w:hAnsi="Times New Roman" w:cs="Times New Roman"/>
          <w:sz w:val="24"/>
          <w:szCs w:val="24"/>
        </w:rPr>
        <w:t xml:space="preserve">referenced </w:t>
      </w:r>
      <w:r w:rsidRPr="00E230A5">
        <w:rPr>
          <w:rFonts w:ascii="Times New Roman" w:eastAsia="Times New Roman" w:hAnsi="Times New Roman" w:cs="Times New Roman"/>
          <w:sz w:val="24"/>
          <w:szCs w:val="24"/>
        </w:rPr>
        <w:t xml:space="preserve">a company that may no longer exist. Both were identified as items for future attention, with the acknowledgment that attorney review of template updates </w:t>
      </w:r>
      <w:r w:rsidR="00D40CFE" w:rsidRPr="00E230A5">
        <w:rPr>
          <w:rFonts w:ascii="Times New Roman" w:eastAsia="Times New Roman" w:hAnsi="Times New Roman" w:cs="Times New Roman"/>
          <w:sz w:val="24"/>
          <w:szCs w:val="24"/>
        </w:rPr>
        <w:t>would</w:t>
      </w:r>
      <w:r w:rsidRPr="00E230A5">
        <w:rPr>
          <w:rFonts w:ascii="Times New Roman" w:eastAsia="Times New Roman" w:hAnsi="Times New Roman" w:cs="Times New Roman"/>
          <w:sz w:val="24"/>
          <w:szCs w:val="24"/>
        </w:rPr>
        <w:t xml:space="preserve"> carry cost.</w:t>
      </w:r>
    </w:p>
    <w:p w14:paraId="3B478E19" w14:textId="757EE315"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 xml:space="preserve">Commissioner </w:t>
      </w:r>
      <w:r w:rsidR="006D0953">
        <w:rPr>
          <w:rFonts w:ascii="Times New Roman" w:eastAsia="Times New Roman" w:hAnsi="Times New Roman" w:cs="Times New Roman"/>
          <w:sz w:val="24"/>
          <w:szCs w:val="24"/>
        </w:rPr>
        <w:t>Mowes</w:t>
      </w:r>
      <w:r w:rsidRPr="00E230A5">
        <w:rPr>
          <w:rFonts w:ascii="Times New Roman" w:eastAsia="Times New Roman" w:hAnsi="Times New Roman" w:cs="Times New Roman"/>
          <w:sz w:val="24"/>
          <w:szCs w:val="24"/>
        </w:rPr>
        <w:t xml:space="preserve"> reiterated a position he had stated previously: that the public hearing for development agreements ought to be held at the city council level rather than the planning commission level, given that development agreements are fundamentally business and financial arrangements into which the city is entering as a party, and the planning commission is not authorized to act on financial matters. Chair Lee indicated this had also struck her as sensible when reviewing prior meeting minutes on the topic.</w:t>
      </w:r>
    </w:p>
    <w:p w14:paraId="43231D50" w14:textId="3760232C"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 xml:space="preserve">Layton concluded by noting that the Utah League of Cities and Towns </w:t>
      </w:r>
      <w:r w:rsidR="00D40CFE" w:rsidRPr="00E230A5">
        <w:rPr>
          <w:rFonts w:ascii="Times New Roman" w:eastAsia="Times New Roman" w:hAnsi="Times New Roman" w:cs="Times New Roman"/>
          <w:sz w:val="24"/>
          <w:szCs w:val="24"/>
        </w:rPr>
        <w:t>maintain</w:t>
      </w:r>
      <w:r w:rsidRPr="00E230A5">
        <w:rPr>
          <w:rFonts w:ascii="Times New Roman" w:eastAsia="Times New Roman" w:hAnsi="Times New Roman" w:cs="Times New Roman"/>
          <w:sz w:val="24"/>
          <w:szCs w:val="24"/>
        </w:rPr>
        <w:t xml:space="preserve"> a current YouTube video series on development agreements, and offered to share the link with commissioners who wished to review it independently ahead of future applications.</w:t>
      </w:r>
    </w:p>
    <w:p w14:paraId="352863CC" w14:textId="77777777" w:rsidR="00AD40DE" w:rsidRPr="00E230A5" w:rsidRDefault="00814300" w:rsidP="00AD40DE">
      <w:pPr>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B4D4C8">
          <v:rect id="_x0000_i1027" style="width:0;height:1.5pt" o:hralign="center" o:hrstd="t" o:hr="t" fillcolor="#a0a0a0" stroked="f"/>
        </w:pict>
      </w:r>
    </w:p>
    <w:p w14:paraId="6821FAED" w14:textId="77777777" w:rsidR="00AD40DE" w:rsidRPr="00AD40DE" w:rsidRDefault="00AD40DE" w:rsidP="00AD40DE"/>
    <w:p w14:paraId="7D784150" w14:textId="77777777" w:rsidR="00DF14B3" w:rsidRPr="00DF14B3" w:rsidRDefault="00DF14B3" w:rsidP="00DF14B3"/>
    <w:p w14:paraId="448E605D" w14:textId="77777777" w:rsidR="00A51A71" w:rsidRDefault="00C54F42" w:rsidP="00A51A71">
      <w:pPr>
        <w:pStyle w:val="Heading2"/>
        <w:spacing w:before="0" w:after="0"/>
        <w:rPr>
          <w:b/>
          <w:bCs/>
          <w:u w:val="single"/>
        </w:rPr>
      </w:pPr>
      <w:r>
        <w:rPr>
          <w:b/>
          <w:bCs/>
          <w:u w:val="single"/>
        </w:rPr>
        <w:t>Future Items</w:t>
      </w:r>
    </w:p>
    <w:p w14:paraId="041ED86D" w14:textId="467C8116" w:rsidR="00AD40DE" w:rsidRPr="00E230A5" w:rsidRDefault="00AD40DE" w:rsidP="00AD40DE">
      <w:pPr>
        <w:spacing w:before="100" w:beforeAutospacing="1" w:after="100" w:afterAutospacing="1"/>
        <w:outlineLvl w:val="2"/>
        <w:rPr>
          <w:rFonts w:ascii="Times New Roman" w:eastAsia="Times New Roman" w:hAnsi="Times New Roman" w:cs="Times New Roman"/>
          <w:b/>
          <w:bCs/>
          <w:sz w:val="27"/>
          <w:szCs w:val="27"/>
        </w:rPr>
      </w:pPr>
      <w:r w:rsidRPr="00E230A5">
        <w:rPr>
          <w:rFonts w:ascii="Times New Roman" w:eastAsia="Times New Roman" w:hAnsi="Times New Roman" w:cs="Times New Roman"/>
          <w:b/>
          <w:bCs/>
          <w:sz w:val="27"/>
          <w:szCs w:val="27"/>
        </w:rPr>
        <w:t xml:space="preserve">a. Use Table </w:t>
      </w:r>
    </w:p>
    <w:p w14:paraId="2E617504"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City Planner Layton previewed upcoming work on the city's land use table, which is currently stored in Box for commissioner review. She explained that as new zone categories are developed — anticipated to include high density, medium density, low density, and center density designations — the use table will need to be updated in parallel. To get ahead of that transition, Layton and Intern Stutz had already begun reformatting and updating the use table, including adding data centers, detention facilities, and other uses that had been missing, as well as linking uses to applicable use-specific development standards so that the table would function as a genuinely useful reference document rather than a bare matrix.</w:t>
      </w:r>
    </w:p>
    <w:p w14:paraId="6BD2D363"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Layton described the overall intent as giving readers of the table visibility into the direction zoning is heading. For example, the agricultural and R2 columns, which currently have similar development standards, would be grouped under a header indicating their future designation as a "low density zone," so the eventual transition would feel less abrupt. One commissioner requested that the column headers be locked to repeat on every printed page of the table, making it easier to follow when reviewing a printed copy — a suggestion Layton confirmed would be incorporated.</w:t>
      </w:r>
    </w:p>
    <w:p w14:paraId="12046FB8"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Layton indicated the updated use table would be brought back as a discussion item at the July 15th meeting, with a target of scheduling it for public notice to be heard in August.</w:t>
      </w:r>
    </w:p>
    <w:p w14:paraId="4F3EB38B" w14:textId="63720E0D"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lastRenderedPageBreak/>
        <w:t xml:space="preserve">One specific use mentioned as forthcoming was a conditional use permit application from a business operator on Wolfpack Way who stores overflow dumpsters and related equipment on a </w:t>
      </w:r>
      <w:r w:rsidR="00D40CFE" w:rsidRPr="00E230A5">
        <w:rPr>
          <w:rFonts w:ascii="Times New Roman" w:eastAsia="Times New Roman" w:hAnsi="Times New Roman" w:cs="Times New Roman"/>
          <w:sz w:val="24"/>
          <w:szCs w:val="24"/>
        </w:rPr>
        <w:t>commercially zoned</w:t>
      </w:r>
      <w:r w:rsidRPr="00E230A5">
        <w:rPr>
          <w:rFonts w:ascii="Times New Roman" w:eastAsia="Times New Roman" w:hAnsi="Times New Roman" w:cs="Times New Roman"/>
          <w:sz w:val="24"/>
          <w:szCs w:val="24"/>
        </w:rPr>
        <w:t xml:space="preserve"> lot that lacks the improvements required for that use. Layton indicated the city was working with the operator to either formalize the use through a conditional use permit — with appropriate lot improvements — or address it as a code enforcement matter. The item had not yet come through the Development Review Committee and would eventually come before the Planning Commission.</w:t>
      </w:r>
    </w:p>
    <w:p w14:paraId="337AC333" w14:textId="3170F725" w:rsidR="00AD40DE" w:rsidRPr="00E230A5" w:rsidRDefault="00AD40DE" w:rsidP="00AD40DE">
      <w:pPr>
        <w:spacing w:before="100" w:beforeAutospacing="1" w:after="100" w:afterAutospacing="1"/>
        <w:outlineLvl w:val="2"/>
        <w:rPr>
          <w:rFonts w:ascii="Times New Roman" w:eastAsia="Times New Roman" w:hAnsi="Times New Roman" w:cs="Times New Roman"/>
          <w:b/>
          <w:bCs/>
          <w:sz w:val="27"/>
          <w:szCs w:val="27"/>
        </w:rPr>
      </w:pPr>
      <w:r w:rsidRPr="00E230A5">
        <w:rPr>
          <w:rFonts w:ascii="Times New Roman" w:eastAsia="Times New Roman" w:hAnsi="Times New Roman" w:cs="Times New Roman"/>
          <w:b/>
          <w:bCs/>
          <w:sz w:val="27"/>
          <w:szCs w:val="27"/>
        </w:rPr>
        <w:t xml:space="preserve">b. Rezone Criteria </w:t>
      </w:r>
    </w:p>
    <w:p w14:paraId="079F3DFE" w14:textId="77777777"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Layton noted that updated rezone criteria had also been placed in Box for commissioner review. She recalled that earlier discussions had identified the existing rezone criteria as insufficiently robust for making meaningful decisions about whether a rezone should be granted. With the help of Intern Stutz's additional research and legal drafting support, revised criteria had been developed and were available for commissioners to review prior to the July 15th meeting, at which point the Commission would formally discuss and refine them. Layton emphasized the importance of having strong rezone criteria in place before the new zone designations were formally proposed, so that the standards for moving properties into those zones would be clear and defensible.</w:t>
      </w:r>
    </w:p>
    <w:p w14:paraId="0319F12D" w14:textId="55C60B39" w:rsidR="00AD40DE" w:rsidRPr="00E230A5" w:rsidRDefault="00AD40DE" w:rsidP="00AD40DE">
      <w:pPr>
        <w:spacing w:before="100" w:beforeAutospacing="1" w:after="100" w:afterAutospacing="1"/>
        <w:outlineLvl w:val="2"/>
        <w:rPr>
          <w:rFonts w:ascii="Times New Roman" w:eastAsia="Times New Roman" w:hAnsi="Times New Roman" w:cs="Times New Roman"/>
          <w:b/>
          <w:bCs/>
          <w:sz w:val="27"/>
          <w:szCs w:val="27"/>
        </w:rPr>
      </w:pPr>
      <w:r w:rsidRPr="00E230A5">
        <w:rPr>
          <w:rFonts w:ascii="Times New Roman" w:eastAsia="Times New Roman" w:hAnsi="Times New Roman" w:cs="Times New Roman"/>
          <w:b/>
          <w:bCs/>
          <w:sz w:val="27"/>
          <w:szCs w:val="27"/>
        </w:rPr>
        <w:t xml:space="preserve">c. Next Meeting July 15, 2026 </w:t>
      </w:r>
    </w:p>
    <w:p w14:paraId="1545EBCB" w14:textId="28D81408" w:rsidR="00AD40DE" w:rsidRPr="00E230A5"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City Planner Layton confirmed the next meeting is scheduled for July 15, 2026. All members confirmed their availability, and a full quorum of five was anticipated.</w:t>
      </w:r>
    </w:p>
    <w:p w14:paraId="4CA57466" w14:textId="3673972D" w:rsidR="00AD40DE" w:rsidRPr="00AD40DE" w:rsidRDefault="00814300" w:rsidP="00AD40DE">
      <w:r>
        <w:rPr>
          <w:rFonts w:ascii="Times New Roman" w:eastAsia="Times New Roman" w:hAnsi="Times New Roman" w:cs="Times New Roman"/>
          <w:sz w:val="24"/>
          <w:szCs w:val="24"/>
        </w:rPr>
        <w:pict w14:anchorId="026F550F">
          <v:rect id="_x0000_i1028" style="width:0;height:1.5pt" o:hralign="center" o:hrstd="t" o:hr="t" fillcolor="#a0a0a0" stroked="f"/>
        </w:pict>
      </w:r>
    </w:p>
    <w:p w14:paraId="71EBBEBC" w14:textId="0E95E98C" w:rsidR="009C613A" w:rsidRDefault="007C6A11" w:rsidP="00B227A6">
      <w:pPr>
        <w:pStyle w:val="Heading2"/>
        <w:spacing w:before="0" w:after="0"/>
        <w:rPr>
          <w:b/>
          <w:bCs/>
          <w:u w:val="single"/>
        </w:rPr>
      </w:pPr>
      <w:r w:rsidRPr="00A23B72">
        <w:rPr>
          <w:b/>
          <w:bCs/>
          <w:u w:val="single"/>
        </w:rPr>
        <w:t>Adjourn</w:t>
      </w:r>
    </w:p>
    <w:p w14:paraId="400B3A43" w14:textId="1F4C99E3" w:rsidR="00AD40DE" w:rsidRDefault="00AD40DE" w:rsidP="00AD40DE">
      <w:pPr>
        <w:spacing w:before="100" w:beforeAutospacing="1" w:after="100" w:afterAutospacing="1"/>
        <w:rPr>
          <w:rFonts w:ascii="Times New Roman" w:eastAsia="Times New Roman" w:hAnsi="Times New Roman" w:cs="Times New Roman"/>
          <w:sz w:val="24"/>
          <w:szCs w:val="24"/>
        </w:rPr>
      </w:pPr>
      <w:r w:rsidRPr="00E230A5">
        <w:rPr>
          <w:rFonts w:ascii="Times New Roman" w:eastAsia="Times New Roman" w:hAnsi="Times New Roman" w:cs="Times New Roman"/>
          <w:sz w:val="24"/>
          <w:szCs w:val="24"/>
        </w:rPr>
        <w:t xml:space="preserve">A motion to adjourn was made by Commissioner Hansen and seconded by Commissioner </w:t>
      </w:r>
      <w:r w:rsidR="006D0953">
        <w:rPr>
          <w:rFonts w:ascii="Times New Roman" w:eastAsia="Times New Roman" w:hAnsi="Times New Roman" w:cs="Times New Roman"/>
          <w:sz w:val="24"/>
          <w:szCs w:val="24"/>
        </w:rPr>
        <w:t>Mowes</w:t>
      </w:r>
      <w:r w:rsidRPr="00E230A5">
        <w:rPr>
          <w:rFonts w:ascii="Times New Roman" w:eastAsia="Times New Roman" w:hAnsi="Times New Roman" w:cs="Times New Roman"/>
          <w:sz w:val="24"/>
          <w:szCs w:val="24"/>
        </w:rPr>
        <w:t>. The motion carried unanimously.</w:t>
      </w:r>
    </w:p>
    <w:p w14:paraId="3773D803" w14:textId="39E3B270" w:rsidR="006206B8" w:rsidRPr="00E230A5" w:rsidRDefault="006206B8" w:rsidP="00AD40DE">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Meeting adjourned at 8:17 pm.</w:t>
      </w:r>
    </w:p>
    <w:p w14:paraId="24B1475B" w14:textId="77777777" w:rsidR="00AD40DE" w:rsidRPr="00AD40DE" w:rsidRDefault="00AD40DE" w:rsidP="00AD40DE"/>
    <w:p w14:paraId="07ED8122" w14:textId="77777777" w:rsidR="00A362F7" w:rsidRDefault="00A362F7" w:rsidP="00A362F7"/>
    <w:p w14:paraId="64040FA1" w14:textId="77777777" w:rsidR="00A362F7" w:rsidRPr="00A362F7" w:rsidRDefault="00A362F7" w:rsidP="00A362F7"/>
    <w:p w14:paraId="54A79AC7" w14:textId="77777777" w:rsidR="005D6E75" w:rsidRDefault="005D6E75">
      <w:pPr>
        <w:spacing w:after="150"/>
      </w:pPr>
    </w:p>
    <w:p w14:paraId="68955955" w14:textId="16875D7D" w:rsidR="005D6E75" w:rsidRDefault="005D6E75">
      <w:pPr>
        <w:spacing w:after="150"/>
      </w:pPr>
      <w:r>
        <w:t>______________________________________________________________________</w:t>
      </w:r>
    </w:p>
    <w:p w14:paraId="2700A18C" w14:textId="4D63C6E0" w:rsidR="005D6E75" w:rsidRDefault="005D6E75">
      <w:pPr>
        <w:spacing w:after="150"/>
      </w:pPr>
      <w:r>
        <w:t>Colette Dursteler</w:t>
      </w:r>
    </w:p>
    <w:p w14:paraId="06DF5311" w14:textId="71EC51AB" w:rsidR="005D6E75" w:rsidRDefault="005D6E75">
      <w:pPr>
        <w:spacing w:after="150"/>
      </w:pPr>
      <w:r>
        <w:t>Planning Assistant</w:t>
      </w:r>
    </w:p>
    <w:sectPr w:rsidR="005D6E75" w:rsidSect="009C750B">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32339" w14:textId="77777777" w:rsidR="00814300" w:rsidRDefault="00814300" w:rsidP="00EA231F">
      <w:r>
        <w:separator/>
      </w:r>
    </w:p>
  </w:endnote>
  <w:endnote w:type="continuationSeparator" w:id="0">
    <w:p w14:paraId="12683C20" w14:textId="77777777" w:rsidR="00814300" w:rsidRDefault="00814300" w:rsidP="00EA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285623"/>
      <w:docPartObj>
        <w:docPartGallery w:val="Page Numbers (Bottom of Page)"/>
        <w:docPartUnique/>
      </w:docPartObj>
    </w:sdtPr>
    <w:sdtEndPr/>
    <w:sdtContent>
      <w:sdt>
        <w:sdtPr>
          <w:id w:val="-1769616900"/>
          <w:docPartObj>
            <w:docPartGallery w:val="Page Numbers (Top of Page)"/>
            <w:docPartUnique/>
          </w:docPartObj>
        </w:sdtPr>
        <w:sdtEndPr/>
        <w:sdtContent>
          <w:p w14:paraId="2F6B6AB4" w14:textId="714874F6" w:rsidR="00EA231F" w:rsidRDefault="00EA231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E41647" w14:textId="0A5F11F3" w:rsidR="00EA231F" w:rsidRDefault="00382343">
    <w:pPr>
      <w:pStyle w:val="Footer"/>
    </w:pPr>
    <w:r>
      <w:t xml:space="preserve">Planning Commission </w:t>
    </w:r>
    <w:r w:rsidR="006D6170">
      <w:t>Ju</w:t>
    </w:r>
    <w:r w:rsidR="00A67555">
      <w:t>ly 1</w:t>
    </w:r>
    <w:r>
      <w:t>,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4A2DE" w14:textId="77777777" w:rsidR="00814300" w:rsidRDefault="00814300" w:rsidP="00EA231F">
      <w:r>
        <w:separator/>
      </w:r>
    </w:p>
  </w:footnote>
  <w:footnote w:type="continuationSeparator" w:id="0">
    <w:p w14:paraId="5FBCF4CD" w14:textId="77777777" w:rsidR="00814300" w:rsidRDefault="00814300" w:rsidP="00EA23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506BF" w14:textId="38598131" w:rsidR="00EA231F" w:rsidRDefault="00814300">
    <w:pPr>
      <w:pStyle w:val="Header"/>
    </w:pPr>
    <w:r>
      <w:rPr>
        <w:noProof/>
      </w:rPr>
      <w:object w:dxaOrig="7485" w:dyaOrig="4140" w14:anchorId="5E73E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77.75pt;margin-top:-13.85pt;width:108pt;height:60pt;z-index:251658240;mso-wrap-edited:f;mso-position-horizontal-relative:text;mso-position-vertical-relative:text" wrapcoords="-100 0 -100 21420 21600 21420 21600 0 -100 0">
          <v:imagedata r:id="rId1" o:title=""/>
          <w10:wrap type="tight"/>
        </v:shape>
        <o:OLEObject Type="Embed" ProgID="MSPhotoEd.3" ShapeID="_x0000_s1025" DrawAspect="Content" ObjectID="_1846124531" r:id="rId2"/>
      </w:object>
    </w:r>
    <w:r w:rsidR="009C750B">
      <w:tab/>
    </w:r>
    <w:r w:rsidR="009C750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A03B1"/>
    <w:multiLevelType w:val="multilevel"/>
    <w:tmpl w:val="5BE26A90"/>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2C79A5"/>
    <w:multiLevelType w:val="hybridMultilevel"/>
    <w:tmpl w:val="3EEA0FA6"/>
    <w:lvl w:ilvl="0" w:tplc="9C1EA542">
      <w:start w:val="1"/>
      <w:numFmt w:val="bullet"/>
      <w:lvlText w:val="●"/>
      <w:lvlJc w:val="left"/>
      <w:pPr>
        <w:ind w:left="720" w:hanging="360"/>
      </w:pPr>
    </w:lvl>
    <w:lvl w:ilvl="1" w:tplc="537642B4">
      <w:start w:val="1"/>
      <w:numFmt w:val="bullet"/>
      <w:lvlText w:val="○"/>
      <w:lvlJc w:val="left"/>
      <w:pPr>
        <w:ind w:left="1440" w:hanging="360"/>
      </w:pPr>
    </w:lvl>
    <w:lvl w:ilvl="2" w:tplc="48F0A850">
      <w:start w:val="1"/>
      <w:numFmt w:val="bullet"/>
      <w:lvlText w:val="■"/>
      <w:lvlJc w:val="left"/>
      <w:pPr>
        <w:ind w:left="2160" w:hanging="360"/>
      </w:pPr>
    </w:lvl>
    <w:lvl w:ilvl="3" w:tplc="73DA166A">
      <w:start w:val="1"/>
      <w:numFmt w:val="bullet"/>
      <w:lvlText w:val="●"/>
      <w:lvlJc w:val="left"/>
      <w:pPr>
        <w:ind w:left="2880" w:hanging="360"/>
      </w:pPr>
    </w:lvl>
    <w:lvl w:ilvl="4" w:tplc="2516107E">
      <w:start w:val="1"/>
      <w:numFmt w:val="bullet"/>
      <w:lvlText w:val="○"/>
      <w:lvlJc w:val="left"/>
      <w:pPr>
        <w:ind w:left="3600" w:hanging="360"/>
      </w:pPr>
    </w:lvl>
    <w:lvl w:ilvl="5" w:tplc="FF6EE7C6">
      <w:start w:val="1"/>
      <w:numFmt w:val="bullet"/>
      <w:lvlText w:val="■"/>
      <w:lvlJc w:val="left"/>
      <w:pPr>
        <w:ind w:left="4320" w:hanging="360"/>
      </w:pPr>
    </w:lvl>
    <w:lvl w:ilvl="6" w:tplc="5802A2C6">
      <w:start w:val="1"/>
      <w:numFmt w:val="bullet"/>
      <w:lvlText w:val="●"/>
      <w:lvlJc w:val="left"/>
      <w:pPr>
        <w:ind w:left="5040" w:hanging="360"/>
      </w:pPr>
    </w:lvl>
    <w:lvl w:ilvl="7" w:tplc="07825B14">
      <w:start w:val="1"/>
      <w:numFmt w:val="bullet"/>
      <w:lvlText w:val="●"/>
      <w:lvlJc w:val="left"/>
      <w:pPr>
        <w:ind w:left="5760" w:hanging="360"/>
      </w:pPr>
    </w:lvl>
    <w:lvl w:ilvl="8" w:tplc="A0D47C2E">
      <w:start w:val="1"/>
      <w:numFmt w:val="bullet"/>
      <w:lvlText w:val="●"/>
      <w:lvlJc w:val="left"/>
      <w:pPr>
        <w:ind w:left="6480" w:hanging="360"/>
      </w:pPr>
    </w:lvl>
  </w:abstractNum>
  <w:abstractNum w:abstractNumId="2" w15:restartNumberingAfterBreak="0">
    <w:nsid w:val="2C962B3F"/>
    <w:multiLevelType w:val="multilevel"/>
    <w:tmpl w:val="B4E4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FE0AC2"/>
    <w:multiLevelType w:val="multilevel"/>
    <w:tmpl w:val="C9A09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EB60C8"/>
    <w:multiLevelType w:val="hybridMultilevel"/>
    <w:tmpl w:val="EDA465C8"/>
    <w:lvl w:ilvl="0" w:tplc="1F0A4662">
      <w:start w:val="1"/>
      <w:numFmt w:val="bullet"/>
      <w:lvlText w:val="●"/>
      <w:lvlJc w:val="left"/>
      <w:pPr>
        <w:ind w:left="720" w:hanging="360"/>
      </w:pPr>
    </w:lvl>
    <w:lvl w:ilvl="1" w:tplc="7E34094C">
      <w:start w:val="1"/>
      <w:numFmt w:val="bullet"/>
      <w:lvlText w:val="○"/>
      <w:lvlJc w:val="left"/>
      <w:pPr>
        <w:ind w:left="1440" w:hanging="360"/>
      </w:pPr>
    </w:lvl>
    <w:lvl w:ilvl="2" w:tplc="14EE4A9A">
      <w:start w:val="1"/>
      <w:numFmt w:val="bullet"/>
      <w:lvlText w:val="■"/>
      <w:lvlJc w:val="left"/>
      <w:pPr>
        <w:ind w:left="2160" w:hanging="360"/>
      </w:pPr>
    </w:lvl>
    <w:lvl w:ilvl="3" w:tplc="80665CAE">
      <w:start w:val="1"/>
      <w:numFmt w:val="bullet"/>
      <w:lvlText w:val="●"/>
      <w:lvlJc w:val="left"/>
      <w:pPr>
        <w:ind w:left="2880" w:hanging="360"/>
      </w:pPr>
    </w:lvl>
    <w:lvl w:ilvl="4" w:tplc="D6E0D950">
      <w:start w:val="1"/>
      <w:numFmt w:val="bullet"/>
      <w:lvlText w:val="○"/>
      <w:lvlJc w:val="left"/>
      <w:pPr>
        <w:ind w:left="3600" w:hanging="360"/>
      </w:pPr>
    </w:lvl>
    <w:lvl w:ilvl="5" w:tplc="5CA0E3BA">
      <w:start w:val="1"/>
      <w:numFmt w:val="bullet"/>
      <w:lvlText w:val="■"/>
      <w:lvlJc w:val="left"/>
      <w:pPr>
        <w:ind w:left="4320" w:hanging="360"/>
      </w:pPr>
    </w:lvl>
    <w:lvl w:ilvl="6" w:tplc="EE0AA780">
      <w:start w:val="1"/>
      <w:numFmt w:val="bullet"/>
      <w:lvlText w:val="●"/>
      <w:lvlJc w:val="left"/>
      <w:pPr>
        <w:ind w:left="5040" w:hanging="360"/>
      </w:pPr>
    </w:lvl>
    <w:lvl w:ilvl="7" w:tplc="52B2F0BA">
      <w:start w:val="1"/>
      <w:numFmt w:val="bullet"/>
      <w:lvlText w:val="●"/>
      <w:lvlJc w:val="left"/>
      <w:pPr>
        <w:ind w:left="5760" w:hanging="360"/>
      </w:pPr>
    </w:lvl>
    <w:lvl w:ilvl="8" w:tplc="CADCF464">
      <w:start w:val="1"/>
      <w:numFmt w:val="bullet"/>
      <w:lvlText w:val="●"/>
      <w:lvlJc w:val="left"/>
      <w:pPr>
        <w:ind w:left="6480" w:hanging="360"/>
      </w:pPr>
    </w:lvl>
  </w:abstractNum>
  <w:abstractNum w:abstractNumId="5" w15:restartNumberingAfterBreak="0">
    <w:nsid w:val="54434B6C"/>
    <w:multiLevelType w:val="multilevel"/>
    <w:tmpl w:val="6E8EC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610A03"/>
    <w:multiLevelType w:val="hybridMultilevel"/>
    <w:tmpl w:val="C938F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7E3E5F"/>
    <w:multiLevelType w:val="multilevel"/>
    <w:tmpl w:val="E506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0D7A61"/>
    <w:multiLevelType w:val="hybridMultilevel"/>
    <w:tmpl w:val="62FAA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C76862"/>
    <w:multiLevelType w:val="multilevel"/>
    <w:tmpl w:val="979CA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18910564">
    <w:abstractNumId w:val="4"/>
    <w:lvlOverride w:ilvl="0">
      <w:startOverride w:val="1"/>
    </w:lvlOverride>
  </w:num>
  <w:num w:numId="2" w16cid:durableId="685980313">
    <w:abstractNumId w:val="8"/>
  </w:num>
  <w:num w:numId="3" w16cid:durableId="475685476">
    <w:abstractNumId w:val="6"/>
  </w:num>
  <w:num w:numId="4" w16cid:durableId="1094322821">
    <w:abstractNumId w:val="1"/>
    <w:lvlOverride w:ilvl="0">
      <w:startOverride w:val="1"/>
    </w:lvlOverride>
  </w:num>
  <w:num w:numId="5" w16cid:durableId="1606428363">
    <w:abstractNumId w:val="9"/>
  </w:num>
  <w:num w:numId="6" w16cid:durableId="1475835543">
    <w:abstractNumId w:val="7"/>
  </w:num>
  <w:num w:numId="7" w16cid:durableId="36707214">
    <w:abstractNumId w:val="2"/>
  </w:num>
  <w:num w:numId="8" w16cid:durableId="1963807160">
    <w:abstractNumId w:val="5"/>
  </w:num>
  <w:num w:numId="9" w16cid:durableId="17592521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13A"/>
    <w:rsid w:val="00020DA4"/>
    <w:rsid w:val="00025903"/>
    <w:rsid w:val="00074FF0"/>
    <w:rsid w:val="0007546A"/>
    <w:rsid w:val="000D5173"/>
    <w:rsid w:val="000D5C6A"/>
    <w:rsid w:val="000F3770"/>
    <w:rsid w:val="000F6874"/>
    <w:rsid w:val="000F7CCA"/>
    <w:rsid w:val="00106755"/>
    <w:rsid w:val="00111672"/>
    <w:rsid w:val="001626B4"/>
    <w:rsid w:val="001856A7"/>
    <w:rsid w:val="001A2C8A"/>
    <w:rsid w:val="00230376"/>
    <w:rsid w:val="002916DE"/>
    <w:rsid w:val="0029299F"/>
    <w:rsid w:val="002B2966"/>
    <w:rsid w:val="002B2C1D"/>
    <w:rsid w:val="002C311B"/>
    <w:rsid w:val="002D7358"/>
    <w:rsid w:val="00354CD9"/>
    <w:rsid w:val="003724E8"/>
    <w:rsid w:val="00382343"/>
    <w:rsid w:val="003A2C8B"/>
    <w:rsid w:val="003C4360"/>
    <w:rsid w:val="003F6ACA"/>
    <w:rsid w:val="00401588"/>
    <w:rsid w:val="0045688D"/>
    <w:rsid w:val="00542F0D"/>
    <w:rsid w:val="00570F54"/>
    <w:rsid w:val="005A1112"/>
    <w:rsid w:val="005B187E"/>
    <w:rsid w:val="005D6E75"/>
    <w:rsid w:val="006206B8"/>
    <w:rsid w:val="00663C27"/>
    <w:rsid w:val="006A2A83"/>
    <w:rsid w:val="006C7C13"/>
    <w:rsid w:val="006D0953"/>
    <w:rsid w:val="006D6170"/>
    <w:rsid w:val="006D74BC"/>
    <w:rsid w:val="006E55C1"/>
    <w:rsid w:val="006F7572"/>
    <w:rsid w:val="007C6A11"/>
    <w:rsid w:val="007D1DFB"/>
    <w:rsid w:val="007E630D"/>
    <w:rsid w:val="00814300"/>
    <w:rsid w:val="00836197"/>
    <w:rsid w:val="00883CA5"/>
    <w:rsid w:val="00894019"/>
    <w:rsid w:val="008F5663"/>
    <w:rsid w:val="00955E97"/>
    <w:rsid w:val="00976494"/>
    <w:rsid w:val="00994286"/>
    <w:rsid w:val="009C17C4"/>
    <w:rsid w:val="009C613A"/>
    <w:rsid w:val="009C750B"/>
    <w:rsid w:val="00A23B72"/>
    <w:rsid w:val="00A2703D"/>
    <w:rsid w:val="00A362F7"/>
    <w:rsid w:val="00A51A71"/>
    <w:rsid w:val="00A67555"/>
    <w:rsid w:val="00AB70EB"/>
    <w:rsid w:val="00AD40DE"/>
    <w:rsid w:val="00AE4551"/>
    <w:rsid w:val="00B101EB"/>
    <w:rsid w:val="00B227A6"/>
    <w:rsid w:val="00B25059"/>
    <w:rsid w:val="00B41E72"/>
    <w:rsid w:val="00B4743F"/>
    <w:rsid w:val="00BC5814"/>
    <w:rsid w:val="00C16E4C"/>
    <w:rsid w:val="00C27C17"/>
    <w:rsid w:val="00C41238"/>
    <w:rsid w:val="00C54F42"/>
    <w:rsid w:val="00C764FB"/>
    <w:rsid w:val="00CB289B"/>
    <w:rsid w:val="00CE41DB"/>
    <w:rsid w:val="00CF02B3"/>
    <w:rsid w:val="00CF0754"/>
    <w:rsid w:val="00CF4729"/>
    <w:rsid w:val="00D1193E"/>
    <w:rsid w:val="00D14E72"/>
    <w:rsid w:val="00D34E5D"/>
    <w:rsid w:val="00D40CFE"/>
    <w:rsid w:val="00D51413"/>
    <w:rsid w:val="00D54C94"/>
    <w:rsid w:val="00D758B2"/>
    <w:rsid w:val="00D958A3"/>
    <w:rsid w:val="00DD1CFE"/>
    <w:rsid w:val="00DD2E20"/>
    <w:rsid w:val="00DF14B3"/>
    <w:rsid w:val="00E27844"/>
    <w:rsid w:val="00E538DD"/>
    <w:rsid w:val="00EA231F"/>
    <w:rsid w:val="00EF5C02"/>
    <w:rsid w:val="00F004B8"/>
    <w:rsid w:val="00F27DD7"/>
    <w:rsid w:val="00F314AD"/>
    <w:rsid w:val="00F63393"/>
    <w:rsid w:val="00FB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ED8CB"/>
  <w15:docId w15:val="{9133CCE5-3728-4ADA-B7B4-1C51AFE9B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nter" w:eastAsia="Inter" w:hAnsi="Inter" w:cs="Inter"/>
      <w:sz w:val="23"/>
      <w:szCs w:val="23"/>
    </w:rPr>
  </w:style>
  <w:style w:type="paragraph" w:styleId="Heading1">
    <w:name w:val="heading 1"/>
    <w:basedOn w:val="Normal"/>
    <w:next w:val="Normal"/>
    <w:uiPriority w:val="9"/>
    <w:qFormat/>
    <w:pPr>
      <w:spacing w:after="120"/>
      <w:outlineLvl w:val="0"/>
    </w:pPr>
    <w:rPr>
      <w:sz w:val="35"/>
      <w:szCs w:val="35"/>
    </w:rPr>
  </w:style>
  <w:style w:type="paragraph" w:styleId="Heading2">
    <w:name w:val="heading 2"/>
    <w:basedOn w:val="Normal"/>
    <w:next w:val="Normal"/>
    <w:uiPriority w:val="9"/>
    <w:unhideWhenUsed/>
    <w:qFormat/>
    <w:pPr>
      <w:spacing w:before="500" w:after="120"/>
      <w:outlineLvl w:val="1"/>
    </w:pPr>
    <w:rPr>
      <w:sz w:val="30"/>
      <w:szCs w:val="30"/>
    </w:rPr>
  </w:style>
  <w:style w:type="paragraph" w:styleId="Heading3">
    <w:name w:val="heading 3"/>
    <w:basedOn w:val="Normal"/>
    <w:next w:val="Normal"/>
    <w:uiPriority w:val="9"/>
    <w:unhideWhenUsed/>
    <w:qFormat/>
    <w:pPr>
      <w:spacing w:before="120" w:after="100"/>
      <w:outlineLvl w:val="2"/>
    </w:pPr>
    <w:rPr>
      <w:sz w:val="28"/>
      <w:szCs w:val="28"/>
    </w:rPr>
  </w:style>
  <w:style w:type="paragraph" w:styleId="Heading4">
    <w:name w:val="heading 4"/>
    <w:basedOn w:val="Normal"/>
    <w:next w:val="Normal"/>
    <w:uiPriority w:val="9"/>
    <w:semiHidden/>
    <w:unhideWhenUsed/>
    <w:qFormat/>
    <w:pPr>
      <w:spacing w:before="120" w:after="100"/>
      <w:outlineLvl w:val="3"/>
    </w:pPr>
    <w:rPr>
      <w:sz w:val="25"/>
      <w:szCs w:val="25"/>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Aside">
    <w:name w:val="Aside"/>
    <w:basedOn w:val="Normal"/>
    <w:next w:val="Normal"/>
    <w:pPr>
      <w:spacing w:line="276" w:lineRule="auto"/>
      <w:ind w:left="500"/>
    </w:pPr>
    <w:rPr>
      <w:color w:val="333333"/>
    </w:rPr>
  </w:style>
  <w:style w:type="paragraph" w:styleId="Header">
    <w:name w:val="header"/>
    <w:basedOn w:val="Normal"/>
    <w:link w:val="HeaderChar"/>
    <w:uiPriority w:val="99"/>
    <w:unhideWhenUsed/>
    <w:rsid w:val="00EA231F"/>
    <w:pPr>
      <w:tabs>
        <w:tab w:val="center" w:pos="4680"/>
        <w:tab w:val="right" w:pos="9360"/>
      </w:tabs>
    </w:pPr>
  </w:style>
  <w:style w:type="character" w:customStyle="1" w:styleId="HeaderChar">
    <w:name w:val="Header Char"/>
    <w:basedOn w:val="DefaultParagraphFont"/>
    <w:link w:val="Header"/>
    <w:uiPriority w:val="99"/>
    <w:rsid w:val="00EA231F"/>
    <w:rPr>
      <w:rFonts w:ascii="Inter" w:eastAsia="Inter" w:hAnsi="Inter" w:cs="Inter"/>
      <w:sz w:val="23"/>
      <w:szCs w:val="23"/>
    </w:rPr>
  </w:style>
  <w:style w:type="paragraph" w:styleId="Footer">
    <w:name w:val="footer"/>
    <w:basedOn w:val="Normal"/>
    <w:link w:val="FooterChar"/>
    <w:uiPriority w:val="99"/>
    <w:unhideWhenUsed/>
    <w:rsid w:val="00EA231F"/>
    <w:pPr>
      <w:tabs>
        <w:tab w:val="center" w:pos="4680"/>
        <w:tab w:val="right" w:pos="9360"/>
      </w:tabs>
    </w:pPr>
  </w:style>
  <w:style w:type="character" w:customStyle="1" w:styleId="FooterChar">
    <w:name w:val="Footer Char"/>
    <w:basedOn w:val="DefaultParagraphFont"/>
    <w:link w:val="Footer"/>
    <w:uiPriority w:val="99"/>
    <w:rsid w:val="00EA231F"/>
    <w:rPr>
      <w:rFonts w:ascii="Inter" w:eastAsia="Inter" w:hAnsi="Inter" w:cs="Inter"/>
      <w:sz w:val="23"/>
      <w:szCs w:val="23"/>
    </w:rPr>
  </w:style>
  <w:style w:type="paragraph" w:styleId="NormalWeb">
    <w:name w:val="Normal (Web)"/>
    <w:basedOn w:val="Normal"/>
    <w:uiPriority w:val="99"/>
    <w:semiHidden/>
    <w:unhideWhenUsed/>
    <w:rsid w:val="00B41E7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9</Pages>
  <Words>3764</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Planning Commission - Meeting Minutes</vt:lpstr>
    </vt:vector>
  </TitlesOfParts>
  <Company/>
  <LinksUpToDate>false</LinksUpToDate>
  <CharactersWithSpaces>25169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Commission - Meeting Minutes</dc:title>
  <dc:creator>ClerkMinutes</dc:creator>
  <cp:lastModifiedBy>Colette Dursteler</cp:lastModifiedBy>
  <cp:revision>13</cp:revision>
  <cp:lastPrinted>2026-06-18T18:59:00Z</cp:lastPrinted>
  <dcterms:created xsi:type="dcterms:W3CDTF">2026-07-06T19:51:00Z</dcterms:created>
  <dcterms:modified xsi:type="dcterms:W3CDTF">2026-07-21T13:36:00Z</dcterms:modified>
</cp:coreProperties>
</file>