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6E8C" w14:textId="363991BA" w:rsidR="006A2A83" w:rsidRDefault="00A51A71">
      <w:pPr>
        <w:pStyle w:val="Heading1"/>
        <w:spacing w:after="50"/>
        <w:jc w:val="center"/>
      </w:pPr>
      <w:r>
        <w:rPr>
          <w:noProof/>
        </w:rPr>
        <mc:AlternateContent>
          <mc:Choice Requires="wps">
            <w:drawing>
              <wp:anchor distT="45720" distB="45720" distL="114300" distR="114300" simplePos="0" relativeHeight="251659264" behindDoc="0" locked="0" layoutInCell="1" allowOverlap="1" wp14:anchorId="59986DFA" wp14:editId="47F3C9AC">
                <wp:simplePos x="0" y="0"/>
                <wp:positionH relativeFrom="column">
                  <wp:posOffset>4245610</wp:posOffset>
                </wp:positionH>
                <wp:positionV relativeFrom="paragraph">
                  <wp:posOffset>0</wp:posOffset>
                </wp:positionV>
                <wp:extent cx="2345055" cy="969645"/>
                <wp:effectExtent l="0" t="0" r="1714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969645"/>
                        </a:xfrm>
                        <a:prstGeom prst="rect">
                          <a:avLst/>
                        </a:prstGeom>
                        <a:solidFill>
                          <a:srgbClr val="FFFFFF"/>
                        </a:solidFill>
                        <a:ln w="9525">
                          <a:solidFill>
                            <a:srgbClr val="000000"/>
                          </a:solidFill>
                          <a:miter lim="800000"/>
                          <a:headEnd/>
                          <a:tailEnd/>
                        </a:ln>
                      </wps:spPr>
                      <wps:txbx>
                        <w:txbxContent>
                          <w:p w14:paraId="4B7A50DF" w14:textId="77777777" w:rsidR="00A51A71" w:rsidRPr="00FB1BA6" w:rsidRDefault="00A51A71" w:rsidP="00A51A71">
                            <w:pPr>
                              <w:spacing w:line="257" w:lineRule="auto"/>
                              <w:ind w:right="666"/>
                              <w:rPr>
                                <w:sz w:val="18"/>
                                <w:szCs w:val="18"/>
                              </w:rPr>
                            </w:pPr>
                            <w:r w:rsidRPr="00FB1BA6">
                              <w:rPr>
                                <w:rFonts w:ascii="Cambria" w:eastAsia="Cambria" w:hAnsi="Cambria" w:cs="Cambria"/>
                                <w:b/>
                                <w:bCs/>
                                <w:color w:val="000000" w:themeColor="text1"/>
                                <w:sz w:val="18"/>
                                <w:szCs w:val="18"/>
                              </w:rPr>
                              <w:t xml:space="preserve">Mayor Bryan Cox </w:t>
                            </w:r>
                          </w:p>
                          <w:p w14:paraId="2E7D53A7" w14:textId="77777777" w:rsidR="00A51A71" w:rsidRPr="00FB1BA6" w:rsidRDefault="00A51A71" w:rsidP="00A51A71">
                            <w:pPr>
                              <w:spacing w:line="257" w:lineRule="auto"/>
                              <w:ind w:right="710"/>
                              <w:rPr>
                                <w:sz w:val="18"/>
                                <w:szCs w:val="18"/>
                              </w:rPr>
                            </w:pPr>
                            <w:r w:rsidRPr="00FB1BA6">
                              <w:rPr>
                                <w:rFonts w:ascii="Cambria" w:eastAsia="Cambria" w:hAnsi="Cambria" w:cs="Cambria"/>
                                <w:b/>
                                <w:bCs/>
                                <w:color w:val="000000" w:themeColor="text1"/>
                                <w:sz w:val="18"/>
                                <w:szCs w:val="18"/>
                              </w:rPr>
                              <w:t>PC Chair Melinda Lee</w:t>
                            </w:r>
                            <w:r w:rsidRPr="00FB1BA6">
                              <w:rPr>
                                <w:rFonts w:ascii="Cambria" w:eastAsia="Cambria" w:hAnsi="Cambria" w:cs="Cambria"/>
                                <w:color w:val="000000" w:themeColor="text1"/>
                                <w:sz w:val="18"/>
                                <w:szCs w:val="18"/>
                              </w:rPr>
                              <w:t xml:space="preserve"> </w:t>
                            </w:r>
                          </w:p>
                          <w:p w14:paraId="18FF02F0"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Michael Mowes </w:t>
                            </w:r>
                          </w:p>
                          <w:p w14:paraId="0A207FCA"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Heather Taylor </w:t>
                            </w:r>
                          </w:p>
                          <w:p w14:paraId="1BD3309E" w14:textId="77777777" w:rsidR="00A51A71" w:rsidRPr="00FB1BA6" w:rsidRDefault="00A51A71" w:rsidP="00A51A71">
                            <w:pPr>
                              <w:tabs>
                                <w:tab w:val="center" w:pos="3321"/>
                                <w:tab w:val="left" w:pos="8911"/>
                              </w:tabs>
                              <w:spacing w:line="257" w:lineRule="auto"/>
                              <w:ind w:right="720"/>
                              <w:rPr>
                                <w:sz w:val="18"/>
                                <w:szCs w:val="18"/>
                              </w:rPr>
                            </w:pPr>
                            <w:r w:rsidRPr="00FB1BA6">
                              <w:rPr>
                                <w:rFonts w:ascii="Calibri" w:eastAsia="Calibri" w:hAnsi="Calibri" w:cs="Calibri"/>
                                <w:color w:val="000000" w:themeColor="text1"/>
                                <w:sz w:val="18"/>
                                <w:szCs w:val="18"/>
                              </w:rPr>
                              <w:t>C</w:t>
                            </w:r>
                            <w:r w:rsidRPr="00FB1BA6">
                              <w:rPr>
                                <w:rFonts w:ascii="Cambria" w:eastAsia="Cambria" w:hAnsi="Cambria" w:cs="Cambria"/>
                                <w:color w:val="000000" w:themeColor="text1"/>
                                <w:sz w:val="18"/>
                                <w:szCs w:val="18"/>
                              </w:rPr>
                              <w:t xml:space="preserve">ommissioner Charlene Williams  </w:t>
                            </w:r>
                          </w:p>
                          <w:p w14:paraId="0FFCD4C6"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Ned Hansen </w:t>
                            </w:r>
                          </w:p>
                          <w:p w14:paraId="07E9B947" w14:textId="54C95979" w:rsidR="00A51A71" w:rsidRDefault="00A51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86DFA" id="_x0000_t202" coordsize="21600,21600" o:spt="202" path="m,l,21600r21600,l21600,xe">
                <v:stroke joinstyle="miter"/>
                <v:path gradientshapeok="t" o:connecttype="rect"/>
              </v:shapetype>
              <v:shape id="Text Box 2" o:spid="_x0000_s1026" type="#_x0000_t202" style="position:absolute;left:0;text-align:left;margin-left:334.3pt;margin-top:0;width:184.65pt;height:7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">
                <v:textbox>
                  <w:txbxContent>
                    <w:p w14:paraId="4B7A50DF" w14:textId="77777777" w:rsidR="00A51A71" w:rsidRPr="00FB1BA6" w:rsidRDefault="00A51A71" w:rsidP="00A51A71">
                      <w:pPr>
                        <w:spacing w:line="257" w:lineRule="auto"/>
                        <w:ind w:right="666"/>
                        <w:rPr>
                          <w:sz w:val="18"/>
                          <w:szCs w:val="18"/>
                        </w:rPr>
                      </w:pPr>
                      <w:r w:rsidRPr="00FB1BA6">
                        <w:rPr>
                          <w:rFonts w:ascii="Cambria" w:eastAsia="Cambria" w:hAnsi="Cambria" w:cs="Cambria"/>
                          <w:b/>
                          <w:bCs/>
                          <w:color w:val="000000" w:themeColor="text1"/>
                          <w:sz w:val="18"/>
                          <w:szCs w:val="18"/>
                        </w:rPr>
                        <w:t xml:space="preserve">Mayor Bryan Cox </w:t>
                      </w:r>
                    </w:p>
                    <w:p w14:paraId="2E7D53A7" w14:textId="77777777" w:rsidR="00A51A71" w:rsidRPr="00FB1BA6" w:rsidRDefault="00A51A71" w:rsidP="00A51A71">
                      <w:pPr>
                        <w:spacing w:line="257" w:lineRule="auto"/>
                        <w:ind w:right="710"/>
                        <w:rPr>
                          <w:sz w:val="18"/>
                          <w:szCs w:val="18"/>
                        </w:rPr>
                      </w:pPr>
                      <w:r w:rsidRPr="00FB1BA6">
                        <w:rPr>
                          <w:rFonts w:ascii="Cambria" w:eastAsia="Cambria" w:hAnsi="Cambria" w:cs="Cambria"/>
                          <w:b/>
                          <w:bCs/>
                          <w:color w:val="000000" w:themeColor="text1"/>
                          <w:sz w:val="18"/>
                          <w:szCs w:val="18"/>
                        </w:rPr>
                        <w:t>PC Chair Melinda Lee</w:t>
                      </w:r>
                      <w:r w:rsidRPr="00FB1BA6">
                        <w:rPr>
                          <w:rFonts w:ascii="Cambria" w:eastAsia="Cambria" w:hAnsi="Cambria" w:cs="Cambria"/>
                          <w:color w:val="000000" w:themeColor="text1"/>
                          <w:sz w:val="18"/>
                          <w:szCs w:val="18"/>
                        </w:rPr>
                        <w:t xml:space="preserve"> </w:t>
                      </w:r>
                    </w:p>
                    <w:p w14:paraId="18FF02F0"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Michael Mowes </w:t>
                      </w:r>
                    </w:p>
                    <w:p w14:paraId="0A207FCA"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Heather Taylor </w:t>
                      </w:r>
                    </w:p>
                    <w:p w14:paraId="1BD3309E" w14:textId="77777777" w:rsidR="00A51A71" w:rsidRPr="00FB1BA6" w:rsidRDefault="00A51A71" w:rsidP="00A51A71">
                      <w:pPr>
                        <w:tabs>
                          <w:tab w:val="center" w:pos="3321"/>
                          <w:tab w:val="left" w:pos="8911"/>
                        </w:tabs>
                        <w:spacing w:line="257" w:lineRule="auto"/>
                        <w:ind w:right="720"/>
                        <w:rPr>
                          <w:sz w:val="18"/>
                          <w:szCs w:val="18"/>
                        </w:rPr>
                      </w:pPr>
                      <w:r w:rsidRPr="00FB1BA6">
                        <w:rPr>
                          <w:rFonts w:ascii="Calibri" w:eastAsia="Calibri" w:hAnsi="Calibri" w:cs="Calibri"/>
                          <w:color w:val="000000" w:themeColor="text1"/>
                          <w:sz w:val="18"/>
                          <w:szCs w:val="18"/>
                        </w:rPr>
                        <w:t>C</w:t>
                      </w:r>
                      <w:r w:rsidRPr="00FB1BA6">
                        <w:rPr>
                          <w:rFonts w:ascii="Cambria" w:eastAsia="Cambria" w:hAnsi="Cambria" w:cs="Cambria"/>
                          <w:color w:val="000000" w:themeColor="text1"/>
                          <w:sz w:val="18"/>
                          <w:szCs w:val="18"/>
                        </w:rPr>
                        <w:t xml:space="preserve">ommissioner Charlene Williams  </w:t>
                      </w:r>
                    </w:p>
                    <w:p w14:paraId="0FFCD4C6"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Ned Hansen </w:t>
                      </w:r>
                    </w:p>
                    <w:p w14:paraId="07E9B947" w14:textId="54C95979" w:rsidR="00A51A71" w:rsidRDefault="00A51A71"/>
                  </w:txbxContent>
                </v:textbox>
                <w10:wrap type="square"/>
              </v:shape>
            </w:pict>
          </mc:Fallback>
        </mc:AlternateContent>
      </w:r>
    </w:p>
    <w:p w14:paraId="639613C8" w14:textId="77777777" w:rsidR="00FB1BA6" w:rsidRDefault="00FB1BA6" w:rsidP="00FB1BA6">
      <w:pPr>
        <w:pStyle w:val="Heading1"/>
        <w:spacing w:after="0"/>
        <w:jc w:val="center"/>
        <w:rPr>
          <w:sz w:val="30"/>
          <w:szCs w:val="30"/>
        </w:rPr>
      </w:pPr>
      <w:r>
        <w:rPr>
          <w:sz w:val="30"/>
          <w:szCs w:val="30"/>
        </w:rPr>
        <w:t xml:space="preserve">                                       </w:t>
      </w:r>
    </w:p>
    <w:p w14:paraId="02F49DED" w14:textId="77777777" w:rsidR="00FB1BA6" w:rsidRDefault="00FB1BA6" w:rsidP="00FB1BA6">
      <w:pPr>
        <w:pStyle w:val="Heading1"/>
        <w:spacing w:after="0"/>
        <w:jc w:val="center"/>
        <w:rPr>
          <w:sz w:val="30"/>
          <w:szCs w:val="30"/>
        </w:rPr>
      </w:pPr>
    </w:p>
    <w:p w14:paraId="32FC7FBB" w14:textId="77777777" w:rsidR="00FB1BA6" w:rsidRDefault="00FB1BA6" w:rsidP="00FB1BA6">
      <w:pPr>
        <w:pStyle w:val="Heading1"/>
        <w:spacing w:after="0"/>
        <w:jc w:val="center"/>
        <w:rPr>
          <w:sz w:val="30"/>
          <w:szCs w:val="30"/>
        </w:rPr>
      </w:pPr>
    </w:p>
    <w:p w14:paraId="5327BF56" w14:textId="73F90286" w:rsidR="009C613A" w:rsidRPr="00A51A71" w:rsidRDefault="007C6A11" w:rsidP="00FB1BA6">
      <w:pPr>
        <w:pStyle w:val="Heading1"/>
        <w:spacing w:after="0"/>
        <w:ind w:left="2160" w:firstLine="720"/>
        <w:jc w:val="center"/>
        <w:rPr>
          <w:sz w:val="30"/>
          <w:szCs w:val="30"/>
        </w:rPr>
      </w:pPr>
      <w:r w:rsidRPr="00A51A71">
        <w:rPr>
          <w:sz w:val="30"/>
          <w:szCs w:val="30"/>
        </w:rPr>
        <w:t>City of Hyde Park</w:t>
      </w:r>
    </w:p>
    <w:p w14:paraId="62C70838" w14:textId="32E2BA94" w:rsidR="007D1DFB" w:rsidRPr="007D1DFB" w:rsidRDefault="007D1DFB" w:rsidP="00FB1BA6">
      <w:pPr>
        <w:jc w:val="center"/>
        <w:rPr>
          <w:sz w:val="28"/>
          <w:szCs w:val="28"/>
        </w:rPr>
      </w:pPr>
      <w:r w:rsidRPr="007D1DFB">
        <w:rPr>
          <w:sz w:val="28"/>
          <w:szCs w:val="28"/>
        </w:rPr>
        <w:t>113 East Center</w:t>
      </w:r>
    </w:p>
    <w:p w14:paraId="36E41990" w14:textId="3F1C88D2" w:rsidR="009C613A" w:rsidRPr="00A51A71" w:rsidRDefault="007C6A11" w:rsidP="00FB1BA6">
      <w:pPr>
        <w:pStyle w:val="Title"/>
        <w:jc w:val="center"/>
        <w:rPr>
          <w:sz w:val="30"/>
          <w:szCs w:val="30"/>
        </w:rPr>
      </w:pPr>
      <w:r w:rsidRPr="00A51A71">
        <w:rPr>
          <w:sz w:val="30"/>
          <w:szCs w:val="30"/>
        </w:rPr>
        <w:t>Planning Commission</w:t>
      </w:r>
    </w:p>
    <w:p w14:paraId="67B5828D" w14:textId="44B9BDF3" w:rsidR="009C613A" w:rsidRPr="007D1DFB" w:rsidRDefault="007C6A11" w:rsidP="00FB1BA6">
      <w:pPr>
        <w:pStyle w:val="Heading1"/>
        <w:spacing w:after="0"/>
        <w:jc w:val="center"/>
        <w:rPr>
          <w:sz w:val="28"/>
          <w:szCs w:val="28"/>
        </w:rPr>
      </w:pPr>
      <w:r w:rsidRPr="007D1DFB">
        <w:rPr>
          <w:sz w:val="28"/>
          <w:szCs w:val="28"/>
        </w:rPr>
        <w:t>Meeting minutes</w:t>
      </w:r>
    </w:p>
    <w:p w14:paraId="77D9F7D4" w14:textId="2717DB6F" w:rsidR="00F63393" w:rsidRDefault="002916DE" w:rsidP="00FB1BA6">
      <w:pPr>
        <w:jc w:val="center"/>
        <w:rPr>
          <w:sz w:val="28"/>
          <w:szCs w:val="28"/>
        </w:rPr>
      </w:pPr>
      <w:r>
        <w:rPr>
          <w:sz w:val="28"/>
          <w:szCs w:val="28"/>
        </w:rPr>
        <w:t>June 17</w:t>
      </w:r>
      <w:r w:rsidR="00F63393">
        <w:rPr>
          <w:sz w:val="28"/>
          <w:szCs w:val="28"/>
        </w:rPr>
        <w:t>, 2026</w:t>
      </w:r>
    </w:p>
    <w:p w14:paraId="17697504" w14:textId="5F77CB6C" w:rsidR="00A2703D" w:rsidRDefault="00A2703D" w:rsidP="00FB1BA6">
      <w:pPr>
        <w:jc w:val="center"/>
        <w:rPr>
          <w:sz w:val="28"/>
          <w:szCs w:val="28"/>
        </w:rPr>
      </w:pPr>
      <w:r>
        <w:rPr>
          <w:sz w:val="28"/>
          <w:szCs w:val="28"/>
        </w:rPr>
        <w:t>7:00 pm</w:t>
      </w:r>
    </w:p>
    <w:p w14:paraId="74FC9455" w14:textId="77777777" w:rsidR="00B227A6" w:rsidRPr="00F63393" w:rsidRDefault="00B227A6" w:rsidP="00B227A6">
      <w:pPr>
        <w:jc w:val="center"/>
        <w:rPr>
          <w:sz w:val="28"/>
          <w:szCs w:val="28"/>
        </w:rPr>
      </w:pPr>
    </w:p>
    <w:p w14:paraId="395E41E0" w14:textId="5C2DA843" w:rsidR="009C613A" w:rsidRPr="007D1DFB" w:rsidRDefault="007C6A11" w:rsidP="00A23B72">
      <w:pPr>
        <w:pStyle w:val="Heading2"/>
        <w:spacing w:before="0" w:after="0"/>
        <w:rPr>
          <w:b/>
          <w:bCs/>
          <w:sz w:val="28"/>
          <w:szCs w:val="28"/>
          <w:u w:val="single"/>
        </w:rPr>
      </w:pPr>
      <w:r w:rsidRPr="007D1DFB">
        <w:rPr>
          <w:b/>
          <w:bCs/>
          <w:sz w:val="28"/>
          <w:szCs w:val="28"/>
          <w:u w:val="single"/>
        </w:rPr>
        <w:t xml:space="preserve">Call </w:t>
      </w:r>
      <w:r w:rsidR="007E630D" w:rsidRPr="007D1DFB">
        <w:rPr>
          <w:b/>
          <w:bCs/>
          <w:sz w:val="28"/>
          <w:szCs w:val="28"/>
          <w:u w:val="single"/>
        </w:rPr>
        <w:t>t</w:t>
      </w:r>
      <w:r w:rsidRPr="007D1DFB">
        <w:rPr>
          <w:b/>
          <w:bCs/>
          <w:sz w:val="28"/>
          <w:szCs w:val="28"/>
          <w:u w:val="single"/>
        </w:rPr>
        <w:t>o Order &amp; Take Roll</w:t>
      </w:r>
    </w:p>
    <w:p w14:paraId="0092294A" w14:textId="77777777" w:rsidR="002916DE" w:rsidRDefault="002916DE" w:rsidP="002916DE">
      <w:pPr>
        <w:spacing w:after="150"/>
      </w:pPr>
      <w:r>
        <w:t>Commission Chair Melinda Lee called the meeting to order at approximately 7:00 PM on Wednesday, June 17, 2026, in the Council Chambers at 113 E Center, Hyde Park, Utah.</w:t>
      </w:r>
    </w:p>
    <w:p w14:paraId="02469DAE" w14:textId="77777777" w:rsidR="002916DE" w:rsidRDefault="002916DE" w:rsidP="002916DE">
      <w:pPr>
        <w:spacing w:after="150"/>
      </w:pPr>
      <w:r>
        <w:t>Present: Commission Chair Melinda Lee, Commissioner Charlene Williams, Commissioner Michael Mowes</w:t>
      </w:r>
    </w:p>
    <w:p w14:paraId="6A1BCC9D" w14:textId="1CBFF6D3" w:rsidR="002916DE" w:rsidRDefault="002916DE" w:rsidP="002916DE">
      <w:pPr>
        <w:spacing w:after="150"/>
      </w:pPr>
      <w:r>
        <w:t>Absent: Commissioner Hans</w:t>
      </w:r>
      <w:r w:rsidR="007F47A2">
        <w:t>e</w:t>
      </w:r>
      <w:r>
        <w:t>n, Commissioner Taylor</w:t>
      </w:r>
    </w:p>
    <w:p w14:paraId="0A27E2F0" w14:textId="558436E6" w:rsidR="00570F54" w:rsidRPr="008F5663" w:rsidRDefault="001A2C8A" w:rsidP="00A23B72">
      <w:pPr>
        <w:rPr>
          <w:sz w:val="24"/>
          <w:szCs w:val="24"/>
        </w:rPr>
      </w:pPr>
      <w:r w:rsidRPr="008F5663">
        <w:rPr>
          <w:b/>
          <w:bCs/>
          <w:sz w:val="24"/>
          <w:szCs w:val="24"/>
        </w:rPr>
        <w:t>C</w:t>
      </w:r>
      <w:r w:rsidR="00570F54" w:rsidRPr="008F5663">
        <w:rPr>
          <w:b/>
          <w:bCs/>
          <w:sz w:val="24"/>
          <w:szCs w:val="24"/>
        </w:rPr>
        <w:t>ity staff present</w:t>
      </w:r>
      <w:r w:rsidR="008F5663" w:rsidRPr="008F5663">
        <w:rPr>
          <w:b/>
          <w:bCs/>
          <w:sz w:val="24"/>
          <w:szCs w:val="24"/>
        </w:rPr>
        <w:t>:</w:t>
      </w:r>
      <w:r w:rsidR="008F5663">
        <w:rPr>
          <w:b/>
          <w:bCs/>
          <w:sz w:val="24"/>
          <w:szCs w:val="24"/>
        </w:rPr>
        <w:t xml:space="preserve"> </w:t>
      </w:r>
      <w:r w:rsidR="008F5663">
        <w:rPr>
          <w:sz w:val="24"/>
          <w:szCs w:val="24"/>
        </w:rPr>
        <w:t>City Administrator Marcus Allton, City Planner Machael Layton, Intern Kyle Stutz.</w:t>
      </w:r>
    </w:p>
    <w:p w14:paraId="3C4666A3" w14:textId="6EAC0A02" w:rsidR="00570F54" w:rsidRPr="008F5663" w:rsidRDefault="00570F54" w:rsidP="00A23B72">
      <w:pPr>
        <w:rPr>
          <w:sz w:val="24"/>
          <w:szCs w:val="24"/>
        </w:rPr>
      </w:pPr>
      <w:r w:rsidRPr="00C27C17">
        <w:rPr>
          <w:b/>
          <w:bCs/>
          <w:sz w:val="24"/>
          <w:szCs w:val="24"/>
        </w:rPr>
        <w:t>Others present</w:t>
      </w:r>
      <w:r w:rsidR="008F5663">
        <w:rPr>
          <w:b/>
          <w:bCs/>
          <w:sz w:val="24"/>
          <w:szCs w:val="24"/>
        </w:rPr>
        <w:t xml:space="preserve">: </w:t>
      </w:r>
      <w:r w:rsidR="008F5663">
        <w:rPr>
          <w:sz w:val="24"/>
          <w:szCs w:val="24"/>
        </w:rPr>
        <w:t xml:space="preserve">Thayne Braegger, Jen Quayle, Annette Nelson, Charlie Nelson, Dave Fowles, Jake Thompson, Tom Hill, Gail Bagley. </w:t>
      </w:r>
    </w:p>
    <w:p w14:paraId="567BF20D" w14:textId="77777777" w:rsidR="00A23B72" w:rsidRDefault="00A23B72" w:rsidP="00A23B72"/>
    <w:p w14:paraId="635872A3" w14:textId="77777777" w:rsidR="00B41E72" w:rsidRDefault="007C6A11" w:rsidP="00B41E72">
      <w:pPr>
        <w:pStyle w:val="Heading2"/>
        <w:spacing w:before="0" w:after="0"/>
        <w:rPr>
          <w:b/>
          <w:bCs/>
          <w:sz w:val="28"/>
          <w:szCs w:val="28"/>
          <w:u w:val="single"/>
        </w:rPr>
      </w:pPr>
      <w:r w:rsidRPr="00CF0754">
        <w:rPr>
          <w:b/>
          <w:bCs/>
          <w:sz w:val="28"/>
          <w:szCs w:val="28"/>
          <w:u w:val="single"/>
        </w:rPr>
        <w:t>Opening Remarks</w:t>
      </w:r>
    </w:p>
    <w:p w14:paraId="6AE77909" w14:textId="51E54645" w:rsidR="00B41E72" w:rsidRPr="00B41E72" w:rsidRDefault="00B41E72" w:rsidP="00B41E72">
      <w:pPr>
        <w:pStyle w:val="Heading2"/>
        <w:spacing w:before="0" w:after="0"/>
        <w:rPr>
          <w:b/>
          <w:bCs/>
          <w:sz w:val="28"/>
          <w:szCs w:val="28"/>
          <w:u w:val="single"/>
        </w:rPr>
      </w:pPr>
      <w:r w:rsidRPr="00B41E72">
        <w:rPr>
          <w:sz w:val="24"/>
          <w:szCs w:val="24"/>
        </w:rPr>
        <w:t xml:space="preserve">Commissioner </w:t>
      </w:r>
      <w:r w:rsidR="00F50B2B">
        <w:rPr>
          <w:sz w:val="24"/>
          <w:szCs w:val="24"/>
        </w:rPr>
        <w:t>Mowes</w:t>
      </w:r>
      <w:r w:rsidRPr="00B41E72">
        <w:rPr>
          <w:sz w:val="24"/>
          <w:szCs w:val="24"/>
        </w:rPr>
        <w:t xml:space="preserve"> offered the invocation then led those present in the Pledge of Allegiance.</w:t>
      </w:r>
    </w:p>
    <w:p w14:paraId="71EDFE93" w14:textId="4D1B3AFD" w:rsidR="00B41E72" w:rsidRPr="00B41E72" w:rsidRDefault="00B41E72" w:rsidP="00B41E72">
      <w:pPr>
        <w:pStyle w:val="Heading2"/>
        <w:spacing w:before="0" w:after="0"/>
      </w:pPr>
    </w:p>
    <w:p w14:paraId="50F87832" w14:textId="18B8A2C1" w:rsidR="00894019" w:rsidRPr="00894019" w:rsidRDefault="00894019" w:rsidP="00894019">
      <w:pPr>
        <w:rPr>
          <w:b/>
          <w:bCs/>
        </w:rPr>
      </w:pPr>
      <w:r w:rsidRPr="00894019">
        <w:rPr>
          <w:b/>
          <w:bCs/>
        </w:rPr>
        <w:t xml:space="preserve">Approval of Minutes: Meeting May 20, </w:t>
      </w:r>
      <w:r w:rsidR="00E16946" w:rsidRPr="00894019">
        <w:rPr>
          <w:b/>
          <w:bCs/>
        </w:rPr>
        <w:t>2026,</w:t>
      </w:r>
      <w:r w:rsidRPr="00894019">
        <w:rPr>
          <w:b/>
          <w:bCs/>
        </w:rPr>
        <w:t xml:space="preserve"> and June 3, 2026 </w:t>
      </w:r>
    </w:p>
    <w:p w14:paraId="6728031C" w14:textId="44E2E7BB" w:rsidR="00894019" w:rsidRPr="00894019" w:rsidRDefault="00894019" w:rsidP="00894019">
      <w:r w:rsidRPr="00894019">
        <w:t>Chair Lee introduced the two sets of minutes for approval. There was no further discussion.</w:t>
      </w:r>
    </w:p>
    <w:p w14:paraId="050C2710" w14:textId="46A799BC" w:rsidR="00894019" w:rsidRPr="00894019" w:rsidRDefault="00894019" w:rsidP="00894019">
      <w:r w:rsidRPr="00894019">
        <w:t xml:space="preserve">Commissioner Williams moved to approve the minutes from </w:t>
      </w:r>
      <w:r w:rsidR="008F5663" w:rsidRPr="00894019">
        <w:t>May</w:t>
      </w:r>
      <w:r w:rsidRPr="00894019">
        <w:t xml:space="preserve"> 20, </w:t>
      </w:r>
      <w:r w:rsidR="00E16946" w:rsidRPr="00894019">
        <w:t>2026,</w:t>
      </w:r>
      <w:r w:rsidRPr="00894019">
        <w:t xml:space="preserve"> and June 3, </w:t>
      </w:r>
      <w:r w:rsidR="001E5507" w:rsidRPr="00894019">
        <w:t>2026,</w:t>
      </w:r>
      <w:r w:rsidRPr="00894019">
        <w:t xml:space="preserve"> meetings without changes. Commissioner Mowes seconded the motion. The motion carried unanimously.</w:t>
      </w:r>
    </w:p>
    <w:p w14:paraId="54A17777" w14:textId="77777777" w:rsidR="00894019" w:rsidRPr="00894019" w:rsidRDefault="00894019" w:rsidP="00894019"/>
    <w:p w14:paraId="5FD50983" w14:textId="77777777" w:rsidR="009C613A" w:rsidRPr="00CF0754" w:rsidRDefault="007C6A11" w:rsidP="00A23B72">
      <w:pPr>
        <w:pStyle w:val="Heading2"/>
        <w:spacing w:before="0" w:after="0"/>
        <w:rPr>
          <w:b/>
          <w:bCs/>
          <w:sz w:val="28"/>
          <w:szCs w:val="28"/>
          <w:u w:val="single"/>
        </w:rPr>
      </w:pPr>
      <w:r w:rsidRPr="00CF0754">
        <w:rPr>
          <w:b/>
          <w:bCs/>
          <w:sz w:val="28"/>
          <w:szCs w:val="28"/>
          <w:u w:val="single"/>
        </w:rPr>
        <w:t>Planning Staff Report</w:t>
      </w:r>
    </w:p>
    <w:p w14:paraId="7CCCA37D" w14:textId="1EF063B2" w:rsidR="00894019" w:rsidRPr="00894019" w:rsidRDefault="00894019" w:rsidP="00894019">
      <w:r w:rsidRPr="00894019">
        <w:t xml:space="preserve">City Planner Machael Layton provided the planning staff report, noting that the department was actively processing multiple subdivision applications, numerous zoning clearance letters in connection with building permits, and had heard a variance application earlier that same afternoon, with a conditional use permit forthcoming. Layton noted the application queue was substantial and that the department was moving items through the Development Review Committee (DRC) as efficiently as possible. </w:t>
      </w:r>
      <w:r w:rsidR="008F5663">
        <w:t>Sh</w:t>
      </w:r>
      <w:r w:rsidRPr="00894019">
        <w:t>e advised the Commission to anticipate a busy slate of future agenda items as a result.</w:t>
      </w:r>
    </w:p>
    <w:p w14:paraId="51A8FB27" w14:textId="4F82C4E8" w:rsidR="00894019" w:rsidRPr="00894019" w:rsidRDefault="00894019" w:rsidP="00894019">
      <w:r w:rsidRPr="00894019">
        <w:t xml:space="preserve">Layton also introduced Kyle, a planning intern who had assisted in compiling and preparing several of the materials to be presented during the evening's discussion items. Layton </w:t>
      </w:r>
      <w:r w:rsidRPr="00894019">
        <w:lastRenderedPageBreak/>
        <w:t>announced h</w:t>
      </w:r>
      <w:r w:rsidR="008F5663">
        <w:t>er</w:t>
      </w:r>
      <w:r w:rsidRPr="00894019">
        <w:t xml:space="preserve"> intention to have Kyle present portions of the meeting as a learning exercise, and the Commission extended a warm welcome.</w:t>
      </w:r>
    </w:p>
    <w:p w14:paraId="600C4FA5" w14:textId="77777777" w:rsidR="00D54C94" w:rsidRPr="00D54C94" w:rsidRDefault="00D54C94" w:rsidP="00D54C94"/>
    <w:p w14:paraId="2BAE4713" w14:textId="77777777" w:rsidR="00894019" w:rsidRDefault="005B187E" w:rsidP="00A23B72">
      <w:pPr>
        <w:pStyle w:val="Heading2"/>
        <w:spacing w:before="0" w:after="0"/>
        <w:rPr>
          <w:b/>
          <w:bCs/>
          <w:sz w:val="28"/>
          <w:szCs w:val="28"/>
        </w:rPr>
      </w:pPr>
      <w:r w:rsidRPr="00CF0754">
        <w:rPr>
          <w:b/>
          <w:bCs/>
          <w:sz w:val="28"/>
          <w:szCs w:val="28"/>
          <w:u w:val="single"/>
        </w:rPr>
        <w:t>Administrative</w:t>
      </w:r>
      <w:r w:rsidR="007C6A11" w:rsidRPr="00CF0754">
        <w:rPr>
          <w:b/>
          <w:bCs/>
          <w:sz w:val="28"/>
          <w:szCs w:val="28"/>
          <w:u w:val="single"/>
        </w:rPr>
        <w:t xml:space="preserve"> Items</w:t>
      </w:r>
      <w:r w:rsidR="00663C27" w:rsidRPr="00CF0754">
        <w:rPr>
          <w:b/>
          <w:bCs/>
          <w:sz w:val="28"/>
          <w:szCs w:val="28"/>
          <w:u w:val="single"/>
        </w:rPr>
        <w:t xml:space="preserve"> </w:t>
      </w:r>
      <w:r w:rsidR="00663C27" w:rsidRPr="00CF0754">
        <w:rPr>
          <w:b/>
          <w:bCs/>
          <w:sz w:val="28"/>
          <w:szCs w:val="28"/>
        </w:rPr>
        <w:t xml:space="preserve">  </w:t>
      </w:r>
    </w:p>
    <w:p w14:paraId="07203619" w14:textId="50E2BC5A" w:rsidR="009C613A" w:rsidRPr="008F5663" w:rsidRDefault="00894019" w:rsidP="00A23B72">
      <w:pPr>
        <w:pStyle w:val="Heading2"/>
        <w:spacing w:before="0" w:after="0"/>
        <w:rPr>
          <w:b/>
          <w:bCs/>
          <w:sz w:val="24"/>
          <w:szCs w:val="24"/>
        </w:rPr>
      </w:pPr>
      <w:r w:rsidRPr="008F5663">
        <w:rPr>
          <w:sz w:val="24"/>
          <w:szCs w:val="24"/>
        </w:rPr>
        <w:t>None</w:t>
      </w:r>
      <w:r w:rsidR="00663C27" w:rsidRPr="008F5663">
        <w:rPr>
          <w:b/>
          <w:bCs/>
          <w:sz w:val="24"/>
          <w:szCs w:val="24"/>
        </w:rPr>
        <w:t xml:space="preserve"> </w:t>
      </w:r>
    </w:p>
    <w:p w14:paraId="69DC8791" w14:textId="77777777" w:rsidR="005B187E" w:rsidRPr="00CF0754" w:rsidRDefault="005B187E" w:rsidP="005B187E">
      <w:pPr>
        <w:pStyle w:val="Heading2"/>
        <w:rPr>
          <w:b/>
          <w:bCs/>
          <w:sz w:val="28"/>
          <w:szCs w:val="28"/>
        </w:rPr>
      </w:pPr>
      <w:r w:rsidRPr="00CF0754">
        <w:rPr>
          <w:b/>
          <w:bCs/>
          <w:sz w:val="28"/>
          <w:szCs w:val="28"/>
        </w:rPr>
        <w:t>Legislative Items</w:t>
      </w:r>
    </w:p>
    <w:p w14:paraId="312C0386" w14:textId="5690F5A6" w:rsidR="00894019" w:rsidRPr="00894019" w:rsidRDefault="00894019" w:rsidP="00894019">
      <w:pPr>
        <w:pStyle w:val="Heading3"/>
        <w:rPr>
          <w:b/>
          <w:bCs/>
        </w:rPr>
      </w:pPr>
      <w:r w:rsidRPr="00894019">
        <w:rPr>
          <w:b/>
          <w:bCs/>
        </w:rPr>
        <w:t xml:space="preserve">a. Public Hearing for Rezone of City Parcel 19-030-1129 </w:t>
      </w:r>
    </w:p>
    <w:p w14:paraId="008FF437" w14:textId="4786564D" w:rsidR="00894019" w:rsidRPr="008F5663" w:rsidRDefault="00894019" w:rsidP="00894019">
      <w:pPr>
        <w:pStyle w:val="Heading3"/>
        <w:rPr>
          <w:sz w:val="24"/>
          <w:szCs w:val="24"/>
        </w:rPr>
      </w:pPr>
      <w:r w:rsidRPr="008F5663">
        <w:rPr>
          <w:sz w:val="24"/>
          <w:szCs w:val="24"/>
        </w:rPr>
        <w:t xml:space="preserve">City Planner Layton presented a staff report and vicinity map for the proposed rezone. </w:t>
      </w:r>
      <w:r w:rsidR="008F5663">
        <w:rPr>
          <w:sz w:val="24"/>
          <w:szCs w:val="24"/>
        </w:rPr>
        <w:t>Sh</w:t>
      </w:r>
      <w:r w:rsidRPr="008F5663">
        <w:rPr>
          <w:sz w:val="24"/>
          <w:szCs w:val="24"/>
        </w:rPr>
        <w:t xml:space="preserve">e oriented the Commission to the subject parcel by reference to the main roundabout at the end of Center Street, near the park and school. </w:t>
      </w:r>
      <w:r w:rsidR="008F5663">
        <w:rPr>
          <w:sz w:val="24"/>
          <w:szCs w:val="24"/>
        </w:rPr>
        <w:t>Sh</w:t>
      </w:r>
      <w:r w:rsidRPr="008F5663">
        <w:rPr>
          <w:sz w:val="24"/>
          <w:szCs w:val="24"/>
        </w:rPr>
        <w:t>e explained that as the roundabout extends northward through the Gateway development, it reaches parcels belonging to Hart Acres. At the eastern terminus of the adjacent subdivision sits a lot that was originally dedicated to the city at the time of subdivision creation, intended to serve as a future road corridor. However, subsequent planning relocated the future road alignment to a different position, rendering the original dedication no longer necessary for that purpose.</w:t>
      </w:r>
    </w:p>
    <w:p w14:paraId="2D988EDD" w14:textId="77777777" w:rsidR="00894019" w:rsidRPr="008F5663" w:rsidRDefault="00894019" w:rsidP="00894019">
      <w:pPr>
        <w:pStyle w:val="Heading3"/>
        <w:rPr>
          <w:sz w:val="24"/>
          <w:szCs w:val="24"/>
        </w:rPr>
      </w:pPr>
      <w:r w:rsidRPr="008F5663">
        <w:rPr>
          <w:sz w:val="24"/>
          <w:szCs w:val="24"/>
        </w:rPr>
        <w:t>Layton described the proposed land swap: Hart Acres would convey to the city the parcel needed to construct Wolfpack Way in exchange for the city's parcel, which would then be combined with Hart Acres' remaining landholdings on the east side of Wolfpack Way. The purpose of the rezone was to bring the city-owned parcel into commercial zoning so that it matched the zoning designation of the parcel being dedicated by Hart Acres, ensuring that the receiving entity — Hart Acres — would end up with contiguous, consistently zoned commercial property on both sides of Wolfpack Way.</w:t>
      </w:r>
    </w:p>
    <w:p w14:paraId="50AD868F" w14:textId="00514D9F" w:rsidR="00894019" w:rsidRPr="008F5663" w:rsidRDefault="00894019" w:rsidP="00894019">
      <w:pPr>
        <w:pStyle w:val="Heading3"/>
        <w:rPr>
          <w:sz w:val="24"/>
          <w:szCs w:val="24"/>
        </w:rPr>
      </w:pPr>
      <w:r w:rsidRPr="008F5663">
        <w:rPr>
          <w:sz w:val="24"/>
          <w:szCs w:val="24"/>
        </w:rPr>
        <w:t xml:space="preserve">Layton further explained that a plat amendment would be forthcoming to formally remove the subject parcel from the existing subdivision, after which Hart Acres could combine it with the adjacent piece and develop the consolidated property with direct access to Wolfpack Way. </w:t>
      </w:r>
      <w:r w:rsidR="008F5663">
        <w:rPr>
          <w:sz w:val="24"/>
          <w:szCs w:val="24"/>
        </w:rPr>
        <w:t>She</w:t>
      </w:r>
      <w:r w:rsidRPr="008F5663">
        <w:rPr>
          <w:sz w:val="24"/>
          <w:szCs w:val="24"/>
        </w:rPr>
        <w:t xml:space="preserve"> noted that without the trade, Hart Acres would have been left with a very small, landlocked remnant parcel of limited utility.</w:t>
      </w:r>
    </w:p>
    <w:p w14:paraId="2C0FEBDD" w14:textId="32CA4AC5" w:rsidR="00894019" w:rsidRPr="008F5663" w:rsidRDefault="00894019" w:rsidP="00894019">
      <w:pPr>
        <w:pStyle w:val="Heading3"/>
        <w:rPr>
          <w:sz w:val="24"/>
          <w:szCs w:val="24"/>
        </w:rPr>
      </w:pPr>
      <w:r w:rsidRPr="008F5663">
        <w:rPr>
          <w:sz w:val="24"/>
          <w:szCs w:val="24"/>
        </w:rPr>
        <w:t xml:space="preserve">Commissioner Williams asked whether the Hart Acres property extended all the way to State Route 91. Layton clarified that the parcels do connect via adjacent Hart Acres-owned land, but the subject parcel does not have direct highway access. The land is currently vacant. </w:t>
      </w:r>
      <w:r w:rsidR="008F5663">
        <w:rPr>
          <w:sz w:val="24"/>
          <w:szCs w:val="24"/>
        </w:rPr>
        <w:t>She</w:t>
      </w:r>
      <w:r w:rsidRPr="008F5663">
        <w:rPr>
          <w:sz w:val="24"/>
          <w:szCs w:val="24"/>
        </w:rPr>
        <w:t xml:space="preserve"> noted that there is an existing commercial business — identified by the Commission as the former Maverick building, which currently houses U-Haul rentals and storage — on a neighboring parcel through which physical access to the subject land is possible.</w:t>
      </w:r>
    </w:p>
    <w:p w14:paraId="79D83939" w14:textId="60E15FD1" w:rsidR="00894019" w:rsidRPr="008F5663" w:rsidRDefault="00894019" w:rsidP="00894019">
      <w:pPr>
        <w:pStyle w:val="Heading3"/>
        <w:rPr>
          <w:sz w:val="24"/>
          <w:szCs w:val="24"/>
        </w:rPr>
      </w:pPr>
      <w:r w:rsidRPr="008F5663">
        <w:rPr>
          <w:sz w:val="24"/>
          <w:szCs w:val="24"/>
        </w:rPr>
        <w:t xml:space="preserve">Commissioner </w:t>
      </w:r>
      <w:r w:rsidR="00E16946">
        <w:rPr>
          <w:sz w:val="24"/>
          <w:szCs w:val="24"/>
        </w:rPr>
        <w:t>Mowes</w:t>
      </w:r>
      <w:r w:rsidRPr="008F5663">
        <w:rPr>
          <w:sz w:val="24"/>
          <w:szCs w:val="24"/>
        </w:rPr>
        <w:t xml:space="preserve"> also asked how close the commercial zoning on the east side of Wolfpack Way would be to existing residences in the subdivision. Layton acknowledged that proximity was a consideration, noting that any future commercial development would be subject to buffering and screening requirements, the intensity of which would depend on the specific commercial use proposed. </w:t>
      </w:r>
      <w:r w:rsidR="008F5663">
        <w:rPr>
          <w:sz w:val="24"/>
          <w:szCs w:val="24"/>
        </w:rPr>
        <w:t>She</w:t>
      </w:r>
      <w:r w:rsidRPr="008F5663">
        <w:rPr>
          <w:sz w:val="24"/>
          <w:szCs w:val="24"/>
        </w:rPr>
        <w:t xml:space="preserve"> added that the adjacent homeowners had already been made aware of the potential future development, and </w:t>
      </w:r>
      <w:r w:rsidRPr="008F5663">
        <w:rPr>
          <w:sz w:val="24"/>
          <w:szCs w:val="24"/>
        </w:rPr>
        <w:lastRenderedPageBreak/>
        <w:t>that at least one homeowner had proactively removed a shed that was near the property line.</w:t>
      </w:r>
    </w:p>
    <w:p w14:paraId="77184BE5" w14:textId="0A057774" w:rsidR="00894019" w:rsidRPr="008F5663" w:rsidRDefault="00894019" w:rsidP="00894019">
      <w:pPr>
        <w:pStyle w:val="Heading3"/>
        <w:rPr>
          <w:sz w:val="24"/>
          <w:szCs w:val="24"/>
        </w:rPr>
      </w:pPr>
      <w:r w:rsidRPr="008F5663">
        <w:rPr>
          <w:sz w:val="24"/>
          <w:szCs w:val="24"/>
        </w:rPr>
        <w:t xml:space="preserve">Commissioner </w:t>
      </w:r>
      <w:r w:rsidR="00AE7F0D">
        <w:rPr>
          <w:sz w:val="24"/>
          <w:szCs w:val="24"/>
        </w:rPr>
        <w:t>Williams</w:t>
      </w:r>
      <w:r w:rsidRPr="008F5663">
        <w:rPr>
          <w:sz w:val="24"/>
          <w:szCs w:val="24"/>
        </w:rPr>
        <w:t xml:space="preserve"> asked whether Hart Acres would have access to Wolfpack Way from both the east and west sides of their landholdings. Layton confirmed that both the eastern parcel (to be consolidated with the city's parcel) and the western parcel would ultimately have access from Wolfpack Way. </w:t>
      </w:r>
      <w:r w:rsidR="00AE7F0D">
        <w:rPr>
          <w:sz w:val="24"/>
          <w:szCs w:val="24"/>
        </w:rPr>
        <w:t>Sh</w:t>
      </w:r>
      <w:r w:rsidRPr="008F5663">
        <w:rPr>
          <w:sz w:val="24"/>
          <w:szCs w:val="24"/>
        </w:rPr>
        <w:t>e clarified the parcel numbering implications: the east side parcels would be merged and assigned a combined parcel, while the west side parcel would retain its existing number but receive an updated legal description reflecting the Wolfpack Way dedication.</w:t>
      </w:r>
    </w:p>
    <w:p w14:paraId="7A248AB2" w14:textId="77777777" w:rsidR="00894019" w:rsidRPr="008F5663" w:rsidRDefault="00894019" w:rsidP="00894019">
      <w:pPr>
        <w:pStyle w:val="Heading3"/>
        <w:rPr>
          <w:sz w:val="24"/>
          <w:szCs w:val="24"/>
        </w:rPr>
      </w:pPr>
      <w:r w:rsidRPr="008F5663">
        <w:rPr>
          <w:b/>
          <w:bCs/>
          <w:sz w:val="24"/>
          <w:szCs w:val="24"/>
        </w:rPr>
        <w:t>Public Hearing</w:t>
      </w:r>
    </w:p>
    <w:p w14:paraId="66E9CE44" w14:textId="77777777" w:rsidR="00894019" w:rsidRPr="008F5663" w:rsidRDefault="00894019" w:rsidP="00894019">
      <w:pPr>
        <w:pStyle w:val="Heading3"/>
        <w:rPr>
          <w:sz w:val="24"/>
          <w:szCs w:val="24"/>
        </w:rPr>
      </w:pPr>
      <w:r w:rsidRPr="008F5663">
        <w:rPr>
          <w:sz w:val="24"/>
          <w:szCs w:val="24"/>
        </w:rPr>
        <w:t>Chair Lee opened the public hearing for the rezone of City Parcel 19-030-1129. No members of the public came forward to comment, and the Chair closed the public hearing with no public comment received.</w:t>
      </w:r>
    </w:p>
    <w:p w14:paraId="329AED6E" w14:textId="63845A6D" w:rsidR="00894019" w:rsidRPr="008F5663" w:rsidRDefault="00894019" w:rsidP="00894019">
      <w:pPr>
        <w:pStyle w:val="Heading3"/>
        <w:rPr>
          <w:sz w:val="24"/>
          <w:szCs w:val="24"/>
        </w:rPr>
      </w:pPr>
      <w:r w:rsidRPr="008F5663">
        <w:rPr>
          <w:sz w:val="24"/>
          <w:szCs w:val="24"/>
        </w:rPr>
        <w:t xml:space="preserve">Commissioner </w:t>
      </w:r>
      <w:r w:rsidR="00AE7F0D">
        <w:rPr>
          <w:sz w:val="24"/>
          <w:szCs w:val="24"/>
        </w:rPr>
        <w:t>Williams</w:t>
      </w:r>
      <w:r w:rsidRPr="008F5663">
        <w:rPr>
          <w:sz w:val="24"/>
          <w:szCs w:val="24"/>
        </w:rPr>
        <w:t xml:space="preserve"> moved to approve the rezoning of City Parcel 19-030-1129 as proposed. Chair Lee seconded the motion. The motion carried unanimously.</w:t>
      </w:r>
    </w:p>
    <w:p w14:paraId="11A62981" w14:textId="25609BCB" w:rsidR="00D54C94" w:rsidRPr="00D54C94" w:rsidRDefault="00D54C94" w:rsidP="00F27DD7">
      <w:pPr>
        <w:pStyle w:val="Heading3"/>
      </w:pPr>
    </w:p>
    <w:p w14:paraId="0BEDFA71" w14:textId="27693471" w:rsidR="009C613A" w:rsidRDefault="001626B4" w:rsidP="00B227A6">
      <w:pPr>
        <w:pStyle w:val="Heading2"/>
        <w:spacing w:before="0" w:after="0"/>
        <w:rPr>
          <w:b/>
          <w:bCs/>
          <w:u w:val="single"/>
        </w:rPr>
      </w:pPr>
      <w:r>
        <w:rPr>
          <w:b/>
          <w:bCs/>
          <w:u w:val="single"/>
        </w:rPr>
        <w:t>Discussion</w:t>
      </w:r>
      <w:r w:rsidR="007C6A11" w:rsidRPr="00A23B72">
        <w:rPr>
          <w:b/>
          <w:bCs/>
          <w:u w:val="single"/>
        </w:rPr>
        <w:t xml:space="preserve"> Items</w:t>
      </w:r>
    </w:p>
    <w:p w14:paraId="1BE90DBE" w14:textId="2FE01FF7" w:rsidR="00894019" w:rsidRPr="00894019" w:rsidRDefault="00894019" w:rsidP="00894019">
      <w:pPr>
        <w:spacing w:after="150"/>
        <w:rPr>
          <w:b/>
          <w:bCs/>
        </w:rPr>
      </w:pPr>
      <w:r w:rsidRPr="00894019">
        <w:rPr>
          <w:b/>
          <w:bCs/>
        </w:rPr>
        <w:t xml:space="preserve">a. Moving Public Hearings to City Council Meetings </w:t>
      </w:r>
    </w:p>
    <w:p w14:paraId="56C0E3DA" w14:textId="5B5ABC7E" w:rsidR="00894019" w:rsidRPr="001E5507" w:rsidRDefault="00894019" w:rsidP="00894019">
      <w:pPr>
        <w:spacing w:after="150"/>
        <w:rPr>
          <w:sz w:val="24"/>
          <w:szCs w:val="24"/>
        </w:rPr>
      </w:pPr>
      <w:r w:rsidRPr="00976494">
        <w:rPr>
          <w:sz w:val="24"/>
          <w:szCs w:val="24"/>
        </w:rPr>
        <w:t xml:space="preserve">Commissioner </w:t>
      </w:r>
      <w:r w:rsidR="00AE7F0D">
        <w:rPr>
          <w:sz w:val="24"/>
          <w:szCs w:val="24"/>
        </w:rPr>
        <w:t>Mowes</w:t>
      </w:r>
      <w:r w:rsidRPr="00976494">
        <w:rPr>
          <w:sz w:val="24"/>
          <w:szCs w:val="24"/>
        </w:rPr>
        <w:t xml:space="preserve"> introduced this discussion item, framing the issue as one of appropriate accountability and governance. </w:t>
      </w:r>
      <w:r w:rsidR="00AE7F0D">
        <w:rPr>
          <w:sz w:val="24"/>
          <w:szCs w:val="24"/>
        </w:rPr>
        <w:t>H</w:t>
      </w:r>
      <w:r w:rsidRPr="00976494">
        <w:rPr>
          <w:sz w:val="24"/>
          <w:szCs w:val="24"/>
        </w:rPr>
        <w:t xml:space="preserve">e noted that while the Planning </w:t>
      </w:r>
      <w:r w:rsidRPr="001E5507">
        <w:rPr>
          <w:sz w:val="24"/>
          <w:szCs w:val="24"/>
        </w:rPr>
        <w:t xml:space="preserve">Commission is the body currently charged with holding </w:t>
      </w:r>
      <w:r w:rsidR="008F5663" w:rsidRPr="001E5507">
        <w:rPr>
          <w:sz w:val="24"/>
          <w:szCs w:val="24"/>
        </w:rPr>
        <w:t>many</w:t>
      </w:r>
      <w:r w:rsidRPr="001E5507">
        <w:rPr>
          <w:sz w:val="24"/>
          <w:szCs w:val="24"/>
        </w:rPr>
        <w:t xml:space="preserve"> public hearings on land</w:t>
      </w:r>
      <w:r w:rsidRPr="00976494">
        <w:rPr>
          <w:sz w:val="24"/>
          <w:szCs w:val="24"/>
        </w:rPr>
        <w:t xml:space="preserve"> use matters, some applications — particularly development agreements — are large, complicated, and carry significant community-wide impact. Because City Council members are elected officials who are directly accountable to the public, Commissioner </w:t>
      </w:r>
      <w:r w:rsidR="00AE7F0D">
        <w:rPr>
          <w:sz w:val="24"/>
          <w:szCs w:val="24"/>
        </w:rPr>
        <w:t>Mowes</w:t>
      </w:r>
      <w:r w:rsidRPr="00976494">
        <w:rPr>
          <w:sz w:val="24"/>
          <w:szCs w:val="24"/>
        </w:rPr>
        <w:t xml:space="preserve"> argued that it would be more appropriate for those elected officials to hear from residents firsthand on the most consequential matters, rather than through </w:t>
      </w:r>
      <w:r w:rsidR="00AE7F0D" w:rsidRPr="00976494">
        <w:rPr>
          <w:sz w:val="24"/>
          <w:szCs w:val="24"/>
        </w:rPr>
        <w:t>secondhand</w:t>
      </w:r>
      <w:r w:rsidRPr="00976494">
        <w:rPr>
          <w:sz w:val="24"/>
          <w:szCs w:val="24"/>
        </w:rPr>
        <w:t xml:space="preserve"> </w:t>
      </w:r>
      <w:r w:rsidRPr="001E5507">
        <w:rPr>
          <w:sz w:val="24"/>
          <w:szCs w:val="24"/>
        </w:rPr>
        <w:t>recounting from the Commission's recommendation.</w:t>
      </w:r>
    </w:p>
    <w:p w14:paraId="40F1F404" w14:textId="7FD4191A" w:rsidR="00894019" w:rsidRPr="00976494" w:rsidRDefault="00894019" w:rsidP="00894019">
      <w:pPr>
        <w:spacing w:after="150"/>
        <w:rPr>
          <w:sz w:val="24"/>
          <w:szCs w:val="24"/>
        </w:rPr>
      </w:pPr>
      <w:r w:rsidRPr="001E5507">
        <w:rPr>
          <w:sz w:val="24"/>
          <w:szCs w:val="24"/>
        </w:rPr>
        <w:t xml:space="preserve">Commissioner </w:t>
      </w:r>
      <w:r w:rsidR="00AE7F0D" w:rsidRPr="001E5507">
        <w:rPr>
          <w:sz w:val="24"/>
          <w:szCs w:val="24"/>
        </w:rPr>
        <w:t>Mowes</w:t>
      </w:r>
      <w:r w:rsidRPr="001E5507">
        <w:rPr>
          <w:sz w:val="24"/>
          <w:szCs w:val="24"/>
        </w:rPr>
        <w:t xml:space="preserve"> was careful to clarify that </w:t>
      </w:r>
      <w:r w:rsidR="00AE7F0D" w:rsidRPr="001E5507">
        <w:rPr>
          <w:sz w:val="24"/>
          <w:szCs w:val="24"/>
        </w:rPr>
        <w:t xml:space="preserve">his </w:t>
      </w:r>
      <w:r w:rsidRPr="001E5507">
        <w:rPr>
          <w:sz w:val="24"/>
          <w:szCs w:val="24"/>
        </w:rPr>
        <w:t xml:space="preserve">suggestion was not an attempt to pass the burden of difficult meetings to the City Council, but rather a recognition that development agreements are more akin to a business or contractual arrangement between the city and a developer, and that reviewing the legal and financial terms of those contracts falls outside the proper purview of the Planning Commission, which is a land use body. </w:t>
      </w:r>
      <w:r w:rsidR="00AE7F0D" w:rsidRPr="001E5507">
        <w:rPr>
          <w:sz w:val="24"/>
          <w:szCs w:val="24"/>
        </w:rPr>
        <w:t>H</w:t>
      </w:r>
      <w:r w:rsidRPr="001E5507">
        <w:rPr>
          <w:sz w:val="24"/>
          <w:szCs w:val="24"/>
        </w:rPr>
        <w:t>e noted that while the Commission does provide a recommendation on the land use component, analyzing the adequacy of consideration in a contract or negotiating impact fee provisions is appropriately the City Council's responsibility.</w:t>
      </w:r>
    </w:p>
    <w:p w14:paraId="1D2B24C8" w14:textId="2420378F" w:rsidR="00894019" w:rsidRPr="00976494" w:rsidRDefault="00894019" w:rsidP="00894019">
      <w:pPr>
        <w:spacing w:after="150"/>
        <w:rPr>
          <w:sz w:val="24"/>
          <w:szCs w:val="24"/>
        </w:rPr>
      </w:pPr>
      <w:r w:rsidRPr="00976494">
        <w:rPr>
          <w:sz w:val="24"/>
          <w:szCs w:val="24"/>
        </w:rPr>
        <w:t xml:space="preserve">Commissioner </w:t>
      </w:r>
      <w:r w:rsidR="009C5988">
        <w:rPr>
          <w:sz w:val="24"/>
          <w:szCs w:val="24"/>
        </w:rPr>
        <w:t>William</w:t>
      </w:r>
      <w:r w:rsidRPr="00976494">
        <w:rPr>
          <w:sz w:val="24"/>
          <w:szCs w:val="24"/>
        </w:rPr>
        <w:t xml:space="preserve"> agreed with the framing, and the discussion then turned to the mechanics of how the process would work. A key question arose around sequencing: if the public hearing were moved to the City Council level, how would the Planning Commission formulate its recommendation without having first heard from the public, given that public input often informs the Commission's deliberations?</w:t>
      </w:r>
    </w:p>
    <w:p w14:paraId="6EE355CE" w14:textId="77777777" w:rsidR="008F5663" w:rsidRPr="00976494" w:rsidRDefault="008F5663" w:rsidP="00894019">
      <w:pPr>
        <w:spacing w:after="150"/>
        <w:rPr>
          <w:sz w:val="24"/>
          <w:szCs w:val="24"/>
        </w:rPr>
      </w:pPr>
    </w:p>
    <w:p w14:paraId="1B2ED2A4" w14:textId="030033BB" w:rsidR="00894019" w:rsidRPr="00976494" w:rsidRDefault="00894019" w:rsidP="00894019">
      <w:pPr>
        <w:spacing w:after="150"/>
        <w:rPr>
          <w:sz w:val="24"/>
          <w:szCs w:val="24"/>
        </w:rPr>
      </w:pPr>
      <w:r w:rsidRPr="00976494">
        <w:rPr>
          <w:sz w:val="24"/>
          <w:szCs w:val="24"/>
        </w:rPr>
        <w:lastRenderedPageBreak/>
        <w:t xml:space="preserve">City Planner Layton noted that many municipalities conduct public hearings at both the Planning Commission and City Council levels, though </w:t>
      </w:r>
      <w:r w:rsidR="00A2062D">
        <w:rPr>
          <w:sz w:val="24"/>
          <w:szCs w:val="24"/>
        </w:rPr>
        <w:t>s</w:t>
      </w:r>
      <w:r w:rsidRPr="00976494">
        <w:rPr>
          <w:sz w:val="24"/>
          <w:szCs w:val="24"/>
        </w:rPr>
        <w:t xml:space="preserve">he acknowledged the result is often repetitive public comment. </w:t>
      </w:r>
      <w:r w:rsidR="00A2062D">
        <w:rPr>
          <w:sz w:val="24"/>
          <w:szCs w:val="24"/>
        </w:rPr>
        <w:t>Sh</w:t>
      </w:r>
      <w:r w:rsidRPr="00976494">
        <w:rPr>
          <w:sz w:val="24"/>
          <w:szCs w:val="24"/>
        </w:rPr>
        <w:t>e suggested an alternative framework: the Planning Commission meeting could serve as an informational presentation — where the DRC's recommendation is reviewed, the applicant presents, and the Commission deliberates — with the public formally notified that the public hearing itself would be held the following week at City Council. This model, he observed, could function as an additional notice mechanism, giving residents who might not otherwise be aware of a project the opportunity to prepare more substantive, fact-based comments before appearing at the City Council hearing.</w:t>
      </w:r>
    </w:p>
    <w:p w14:paraId="6E53AA14" w14:textId="661ACB36" w:rsidR="00894019" w:rsidRPr="00976494" w:rsidRDefault="00894019" w:rsidP="00894019">
      <w:pPr>
        <w:spacing w:after="150"/>
        <w:rPr>
          <w:sz w:val="24"/>
          <w:szCs w:val="24"/>
        </w:rPr>
      </w:pPr>
      <w:r w:rsidRPr="00976494">
        <w:rPr>
          <w:sz w:val="24"/>
          <w:szCs w:val="24"/>
        </w:rPr>
        <w:t xml:space="preserve">Commissioner </w:t>
      </w:r>
      <w:r w:rsidR="009C5988">
        <w:rPr>
          <w:sz w:val="24"/>
          <w:szCs w:val="24"/>
        </w:rPr>
        <w:t>Williams</w:t>
      </w:r>
      <w:r w:rsidRPr="00976494">
        <w:rPr>
          <w:sz w:val="24"/>
          <w:szCs w:val="24"/>
        </w:rPr>
        <w:t xml:space="preserve"> not</w:t>
      </w:r>
      <w:r w:rsidR="00A2062D">
        <w:rPr>
          <w:sz w:val="24"/>
          <w:szCs w:val="24"/>
        </w:rPr>
        <w:t>ed</w:t>
      </w:r>
      <w:r w:rsidRPr="00976494">
        <w:rPr>
          <w:sz w:val="24"/>
          <w:szCs w:val="24"/>
        </w:rPr>
        <w:t xml:space="preserve"> that it could lead to a more informed and productive public hearing because residents would have time to fully digest the application details before speaking on the record. </w:t>
      </w:r>
      <w:r w:rsidR="009C5988">
        <w:rPr>
          <w:sz w:val="24"/>
          <w:szCs w:val="24"/>
        </w:rPr>
        <w:t>Sh</w:t>
      </w:r>
      <w:r w:rsidRPr="00976494">
        <w:rPr>
          <w:sz w:val="24"/>
          <w:szCs w:val="24"/>
        </w:rPr>
        <w:t>e also noted that this arrangement would allow City Council to hear both the formal public hearing testimony and, at the outset of the same meeting, any broader citizen comments through open public comment, giving elected officials a full picture — both factual testimony and community sentiment — in a single session.</w:t>
      </w:r>
    </w:p>
    <w:p w14:paraId="1AB0AC91" w14:textId="77777777" w:rsidR="00894019" w:rsidRPr="00976494" w:rsidRDefault="00894019" w:rsidP="00894019">
      <w:pPr>
        <w:spacing w:after="150"/>
        <w:rPr>
          <w:sz w:val="24"/>
          <w:szCs w:val="24"/>
        </w:rPr>
      </w:pPr>
      <w:r w:rsidRPr="00976494">
        <w:rPr>
          <w:sz w:val="24"/>
          <w:szCs w:val="24"/>
        </w:rPr>
        <w:t xml:space="preserve">Chair Lee raised a practical concern about the distinction between </w:t>
      </w:r>
      <w:proofErr w:type="gramStart"/>
      <w:r w:rsidRPr="00976494">
        <w:rPr>
          <w:sz w:val="24"/>
          <w:szCs w:val="24"/>
        </w:rPr>
        <w:t>a "</w:t>
      </w:r>
      <w:proofErr w:type="gramEnd"/>
      <w:r w:rsidRPr="00976494">
        <w:rPr>
          <w:sz w:val="24"/>
          <w:szCs w:val="24"/>
        </w:rPr>
        <w:t>public hearing" and "public input," noting that from the public's perspective, the operative question is simply whether they will be heard, and the formal label matters little to residents. She expressed reservations about holding two separate comment opportunities under different names, as she anticipated many residents would attend both and repeat themselves. She concluded that she was opposed to dual hearings under any name.</w:t>
      </w:r>
    </w:p>
    <w:p w14:paraId="06D8EE5A" w14:textId="59646A65" w:rsidR="00894019" w:rsidRPr="00976494" w:rsidRDefault="00894019" w:rsidP="00894019">
      <w:pPr>
        <w:spacing w:after="150"/>
        <w:rPr>
          <w:sz w:val="24"/>
          <w:szCs w:val="24"/>
        </w:rPr>
      </w:pPr>
      <w:r w:rsidRPr="00976494">
        <w:rPr>
          <w:sz w:val="24"/>
          <w:szCs w:val="24"/>
        </w:rPr>
        <w:t xml:space="preserve">Commissioner </w:t>
      </w:r>
      <w:r w:rsidR="009C5988">
        <w:rPr>
          <w:sz w:val="24"/>
          <w:szCs w:val="24"/>
        </w:rPr>
        <w:t xml:space="preserve">Mowes </w:t>
      </w:r>
      <w:r w:rsidRPr="00976494">
        <w:rPr>
          <w:sz w:val="24"/>
          <w:szCs w:val="24"/>
        </w:rPr>
        <w:t xml:space="preserve">proposed focusing specifically on development agreements as the category of matters that should be heard at the City Council level. Chair Lee and Commissioner </w:t>
      </w:r>
      <w:r w:rsidR="009C5988">
        <w:rPr>
          <w:sz w:val="24"/>
          <w:szCs w:val="24"/>
        </w:rPr>
        <w:t>Williams</w:t>
      </w:r>
      <w:r w:rsidRPr="00976494">
        <w:rPr>
          <w:sz w:val="24"/>
          <w:szCs w:val="24"/>
        </w:rPr>
        <w:t xml:space="preserve"> both agreed with this delineation, acknowledging that the Planning Commission was most appropriately focused on the land use dimensions of applications, while City Council should bear responsibility for the contractual and financial terms of development agreements.</w:t>
      </w:r>
    </w:p>
    <w:p w14:paraId="4B3CA499" w14:textId="0605719A" w:rsidR="00894019" w:rsidRPr="00976494" w:rsidRDefault="00894019" w:rsidP="00894019">
      <w:pPr>
        <w:spacing w:after="150"/>
        <w:rPr>
          <w:sz w:val="24"/>
          <w:szCs w:val="24"/>
        </w:rPr>
      </w:pPr>
      <w:r w:rsidRPr="00976494">
        <w:rPr>
          <w:sz w:val="24"/>
          <w:szCs w:val="24"/>
        </w:rPr>
        <w:t xml:space="preserve">Layton confirmed the full list of items currently requiring a public hearing: rezones, conditional use permits, development agreements, and new ordinances. He noted that with conditional use permits under consideration for </w:t>
      </w:r>
      <w:r w:rsidR="00976494" w:rsidRPr="00976494">
        <w:rPr>
          <w:sz w:val="24"/>
          <w:szCs w:val="24"/>
        </w:rPr>
        <w:t>elimination and</w:t>
      </w:r>
      <w:r w:rsidRPr="00976494">
        <w:rPr>
          <w:sz w:val="24"/>
          <w:szCs w:val="24"/>
        </w:rPr>
        <w:t xml:space="preserve"> given that site plans and most subdivision applications do not require public hearings, the category in practical terms was relatively limited. He recommended the Commission allow the topic to be placed as an action item on the next agenda, noting that staff would reach out to City Council to ensure the proposal would not be a surprise.</w:t>
      </w:r>
    </w:p>
    <w:p w14:paraId="70835A5F" w14:textId="77777777" w:rsidR="00894019" w:rsidRPr="00976494" w:rsidRDefault="00894019" w:rsidP="00894019">
      <w:pPr>
        <w:spacing w:after="150"/>
        <w:rPr>
          <w:sz w:val="24"/>
          <w:szCs w:val="24"/>
        </w:rPr>
      </w:pPr>
      <w:r w:rsidRPr="00976494">
        <w:rPr>
          <w:sz w:val="24"/>
          <w:szCs w:val="24"/>
        </w:rPr>
        <w:t xml:space="preserve">The Commission reached consensus to place the topic of moving public hearings for development agreements to the City Council level as an </w:t>
      </w:r>
      <w:r w:rsidRPr="00976494">
        <w:rPr>
          <w:b/>
          <w:bCs/>
          <w:sz w:val="24"/>
          <w:szCs w:val="24"/>
        </w:rPr>
        <w:t>action item</w:t>
      </w:r>
      <w:r w:rsidRPr="00976494">
        <w:rPr>
          <w:sz w:val="24"/>
          <w:szCs w:val="24"/>
        </w:rPr>
        <w:t xml:space="preserve"> on the next meeting agenda.</w:t>
      </w:r>
    </w:p>
    <w:p w14:paraId="545D9D7C" w14:textId="77777777" w:rsidR="00976494" w:rsidRDefault="00976494" w:rsidP="00894019">
      <w:pPr>
        <w:spacing w:after="150"/>
      </w:pPr>
    </w:p>
    <w:p w14:paraId="210BA676" w14:textId="77777777" w:rsidR="00976494" w:rsidRDefault="00976494" w:rsidP="00894019">
      <w:pPr>
        <w:spacing w:after="150"/>
      </w:pPr>
    </w:p>
    <w:p w14:paraId="796FA5EC" w14:textId="77777777" w:rsidR="00976494" w:rsidRDefault="00976494" w:rsidP="00894019">
      <w:pPr>
        <w:spacing w:after="150"/>
      </w:pPr>
    </w:p>
    <w:p w14:paraId="71304633" w14:textId="22F70460" w:rsidR="00894019" w:rsidRPr="00976494" w:rsidRDefault="00894019" w:rsidP="00894019">
      <w:pPr>
        <w:spacing w:after="150"/>
      </w:pPr>
      <w:r w:rsidRPr="00894019">
        <w:rPr>
          <w:b/>
          <w:bCs/>
        </w:rPr>
        <w:lastRenderedPageBreak/>
        <w:t xml:space="preserve">b. Repeal of RT, MXD and R2 Zones </w:t>
      </w:r>
    </w:p>
    <w:p w14:paraId="640201F2" w14:textId="05E21E93" w:rsidR="00894019" w:rsidRPr="00976494" w:rsidRDefault="00894019" w:rsidP="00894019">
      <w:pPr>
        <w:spacing w:after="150"/>
        <w:rPr>
          <w:sz w:val="24"/>
          <w:szCs w:val="24"/>
        </w:rPr>
      </w:pPr>
      <w:r w:rsidRPr="00976494">
        <w:rPr>
          <w:sz w:val="24"/>
          <w:szCs w:val="24"/>
        </w:rPr>
        <w:t xml:space="preserve">City Planner Layton introduced this item by noting it was a direct outgrowth of the earlier workshop on the future land use map. </w:t>
      </w:r>
      <w:r w:rsidR="00976494" w:rsidRPr="00976494">
        <w:rPr>
          <w:sz w:val="24"/>
          <w:szCs w:val="24"/>
        </w:rPr>
        <w:t>Sh</w:t>
      </w:r>
      <w:r w:rsidRPr="00976494">
        <w:rPr>
          <w:sz w:val="24"/>
          <w:szCs w:val="24"/>
        </w:rPr>
        <w:t xml:space="preserve">e indicated that intern Kyle had prepared written talking points and a PowerPoint presentation, and invited Kyle to present. </w:t>
      </w:r>
    </w:p>
    <w:p w14:paraId="3C117EA6" w14:textId="77777777" w:rsidR="00894019" w:rsidRPr="00894019" w:rsidRDefault="00894019" w:rsidP="00894019">
      <w:pPr>
        <w:spacing w:after="150"/>
      </w:pPr>
      <w:r w:rsidRPr="00894019">
        <w:rPr>
          <w:b/>
          <w:bCs/>
        </w:rPr>
        <w:t>Residential Transition (RT) Zone</w:t>
      </w:r>
    </w:p>
    <w:p w14:paraId="06348910" w14:textId="77777777" w:rsidR="00894019" w:rsidRPr="00976494" w:rsidRDefault="00894019" w:rsidP="00894019">
      <w:pPr>
        <w:spacing w:after="150"/>
        <w:rPr>
          <w:sz w:val="24"/>
          <w:szCs w:val="24"/>
        </w:rPr>
      </w:pPr>
      <w:r w:rsidRPr="00976494">
        <w:rPr>
          <w:sz w:val="24"/>
          <w:szCs w:val="24"/>
        </w:rPr>
        <w:t>Layton explained that the RT zone exists only as a very small strip of land — depicted in a brown color on the zoning map — running along Wolfpack Way. Despite the zone having been established with the intent of accommodating transitional development along the corridor, not a single application in the RT zone had ever been approved, nor had any project successfully navigated the application process. As a result, repealing the RT zone would have no practical effect on any property owner.</w:t>
      </w:r>
    </w:p>
    <w:p w14:paraId="287AEDBA" w14:textId="0E45D2DB" w:rsidR="00894019" w:rsidRPr="00976494" w:rsidRDefault="00894019" w:rsidP="00894019">
      <w:pPr>
        <w:spacing w:after="150"/>
        <w:rPr>
          <w:sz w:val="24"/>
          <w:szCs w:val="24"/>
        </w:rPr>
      </w:pPr>
      <w:r w:rsidRPr="00976494">
        <w:rPr>
          <w:sz w:val="24"/>
          <w:szCs w:val="24"/>
        </w:rPr>
        <w:t xml:space="preserve">Layton explained that the strip of land had been created as a split-zone in conjunction with the Wolfpack Way corridor plan, applying an RT designation to a narrow portion of several parcels that are otherwise zoned agricultural. He acknowledged that split-zoning is generally frowned upon in land use </w:t>
      </w:r>
      <w:r w:rsidR="00976494" w:rsidRPr="00976494">
        <w:rPr>
          <w:sz w:val="24"/>
          <w:szCs w:val="24"/>
        </w:rPr>
        <w:t>practice but</w:t>
      </w:r>
      <w:r w:rsidRPr="00976494">
        <w:rPr>
          <w:sz w:val="24"/>
          <w:szCs w:val="24"/>
        </w:rPr>
        <w:t xml:space="preserve"> noted that it does occur in municipalities along major corridors. The original rationale was tied to development expectations for the Wolfpack Way area that ultimately did not materialize.</w:t>
      </w:r>
    </w:p>
    <w:p w14:paraId="0EFEB3EB" w14:textId="2527E218" w:rsidR="00894019" w:rsidRPr="00976494" w:rsidRDefault="00894019" w:rsidP="00894019">
      <w:pPr>
        <w:spacing w:after="150"/>
        <w:rPr>
          <w:sz w:val="24"/>
          <w:szCs w:val="24"/>
        </w:rPr>
      </w:pPr>
      <w:r w:rsidRPr="00976494">
        <w:rPr>
          <w:sz w:val="24"/>
          <w:szCs w:val="24"/>
        </w:rPr>
        <w:t xml:space="preserve">Commissioner </w:t>
      </w:r>
      <w:r w:rsidR="006C33C8">
        <w:rPr>
          <w:sz w:val="24"/>
          <w:szCs w:val="24"/>
        </w:rPr>
        <w:t>Mowes</w:t>
      </w:r>
      <w:r w:rsidRPr="00976494">
        <w:rPr>
          <w:sz w:val="24"/>
          <w:szCs w:val="24"/>
        </w:rPr>
        <w:t xml:space="preserve"> confirmed h</w:t>
      </w:r>
      <w:r w:rsidR="006C33C8">
        <w:rPr>
          <w:sz w:val="24"/>
          <w:szCs w:val="24"/>
        </w:rPr>
        <w:t>is</w:t>
      </w:r>
      <w:r w:rsidRPr="00976494">
        <w:rPr>
          <w:sz w:val="24"/>
          <w:szCs w:val="24"/>
        </w:rPr>
        <w:t xml:space="preserve"> understanding that the affected parcels are partially zoned RT and partially zoned </w:t>
      </w:r>
      <w:r w:rsidR="00976494" w:rsidRPr="00976494">
        <w:rPr>
          <w:sz w:val="24"/>
          <w:szCs w:val="24"/>
        </w:rPr>
        <w:t>agricultural and</w:t>
      </w:r>
      <w:r w:rsidRPr="00976494">
        <w:rPr>
          <w:sz w:val="24"/>
          <w:szCs w:val="24"/>
        </w:rPr>
        <w:t xml:space="preserve"> expressed some surprise that split zoning had been applied. Layton affirmed that this was the case and noted that repealing the RT zone would trigger a process of returning those parcels to their parent zoning — primarily agricultural — unless individual property owners wished to pursue a different designation at that time. </w:t>
      </w:r>
      <w:r w:rsidR="006C33C8">
        <w:rPr>
          <w:sz w:val="24"/>
          <w:szCs w:val="24"/>
        </w:rPr>
        <w:t>Sh</w:t>
      </w:r>
      <w:r w:rsidRPr="00976494">
        <w:rPr>
          <w:sz w:val="24"/>
          <w:szCs w:val="24"/>
        </w:rPr>
        <w:t>e noted there might be some parcels near the Visionary Homes section that could require additional research to determine the pre-RT zoning.</w:t>
      </w:r>
    </w:p>
    <w:p w14:paraId="5C48EC73" w14:textId="401BE364" w:rsidR="00894019" w:rsidRPr="00976494" w:rsidRDefault="00894019" w:rsidP="00894019">
      <w:pPr>
        <w:spacing w:after="150"/>
        <w:rPr>
          <w:sz w:val="24"/>
          <w:szCs w:val="24"/>
        </w:rPr>
      </w:pPr>
      <w:r w:rsidRPr="00976494">
        <w:rPr>
          <w:sz w:val="24"/>
          <w:szCs w:val="24"/>
        </w:rPr>
        <w:t xml:space="preserve">Commissioner </w:t>
      </w:r>
      <w:r w:rsidR="006C33C8">
        <w:rPr>
          <w:sz w:val="24"/>
          <w:szCs w:val="24"/>
        </w:rPr>
        <w:t>Williams</w:t>
      </w:r>
      <w:r w:rsidRPr="00976494">
        <w:rPr>
          <w:sz w:val="24"/>
          <w:szCs w:val="24"/>
        </w:rPr>
        <w:t xml:space="preserve"> described the repeal as essentially an "undo" action on those parcels, and Layton confirmed that while the administrative paperwork involved would be more substantial than that characterization implies, the practical effect was similar. The Commission expressed no objection to pursuing the repeal.</w:t>
      </w:r>
    </w:p>
    <w:p w14:paraId="74A3ECD0" w14:textId="77777777" w:rsidR="00894019" w:rsidRPr="00976494" w:rsidRDefault="00894019" w:rsidP="00894019">
      <w:pPr>
        <w:spacing w:after="150"/>
        <w:rPr>
          <w:sz w:val="24"/>
          <w:szCs w:val="24"/>
        </w:rPr>
      </w:pPr>
      <w:r w:rsidRPr="00976494">
        <w:rPr>
          <w:sz w:val="24"/>
          <w:szCs w:val="24"/>
        </w:rPr>
        <w:t>The Commission reached consensus to direct staff to begin drafting an ordinance for the repeal of the Residential Transition (RT) zone as a future action item.</w:t>
      </w:r>
    </w:p>
    <w:p w14:paraId="4FC0DD20" w14:textId="77777777" w:rsidR="00894019" w:rsidRPr="00894019" w:rsidRDefault="00894019" w:rsidP="00894019">
      <w:pPr>
        <w:spacing w:after="150"/>
      </w:pPr>
      <w:r w:rsidRPr="00894019">
        <w:rPr>
          <w:b/>
          <w:bCs/>
        </w:rPr>
        <w:t>Mixed Use Development (MXD) Zone</w:t>
      </w:r>
    </w:p>
    <w:p w14:paraId="34EFEE51" w14:textId="77777777" w:rsidR="00894019" w:rsidRPr="00976494" w:rsidRDefault="00894019" w:rsidP="00894019">
      <w:pPr>
        <w:spacing w:after="150"/>
        <w:rPr>
          <w:sz w:val="24"/>
          <w:szCs w:val="24"/>
        </w:rPr>
      </w:pPr>
      <w:r w:rsidRPr="00976494">
        <w:rPr>
          <w:sz w:val="24"/>
          <w:szCs w:val="24"/>
        </w:rPr>
        <w:t>Layton described the current state of the MXD zone, noting that several parcels along Wolfpack Way — depicted in red on the zoning map — are already zoned MXD, and that multiple applications for MXD projects are currently in process. Because the zone has been actively used and property owners have vested interests in their existing MXD designations, staff was not proposing outright repeal. Instead, the recommendation was to sunset the zone — meaning that current MXD-zoned properties would retain their designation and the governing development standards would remain in place, but no new parcels could apply for a rezone to MXD going forward.</w:t>
      </w:r>
    </w:p>
    <w:p w14:paraId="73965D28" w14:textId="16D6C2F2" w:rsidR="00894019" w:rsidRPr="00976494" w:rsidRDefault="00894019" w:rsidP="00894019">
      <w:pPr>
        <w:spacing w:after="150"/>
        <w:rPr>
          <w:sz w:val="24"/>
          <w:szCs w:val="24"/>
        </w:rPr>
      </w:pPr>
      <w:r w:rsidRPr="00976494">
        <w:rPr>
          <w:sz w:val="24"/>
          <w:szCs w:val="24"/>
        </w:rPr>
        <w:lastRenderedPageBreak/>
        <w:t xml:space="preserve">Layton noted that the sunset could be lifted in the future through the same legislative process if circumstances changed. </w:t>
      </w:r>
      <w:r w:rsidR="00976494" w:rsidRPr="00976494">
        <w:rPr>
          <w:sz w:val="24"/>
          <w:szCs w:val="24"/>
        </w:rPr>
        <w:t>Sh</w:t>
      </w:r>
      <w:r w:rsidRPr="00976494">
        <w:rPr>
          <w:sz w:val="24"/>
          <w:szCs w:val="24"/>
        </w:rPr>
        <w:t>e framed this as consistent with the broader conversation about the future land use map: the Commission had discussed at a prior workshop whether additional commercial properties should be rezoned to mixed use, or whether a better alternative was available. The proposal to sunset MXD reflected the conclusion that the city should not expand that zone further while also exploring replacement frameworks.</w:t>
      </w:r>
    </w:p>
    <w:p w14:paraId="6A80CF86" w14:textId="77777777" w:rsidR="00894019" w:rsidRPr="00976494" w:rsidRDefault="00894019" w:rsidP="00894019">
      <w:pPr>
        <w:spacing w:after="150"/>
        <w:rPr>
          <w:sz w:val="24"/>
          <w:szCs w:val="24"/>
        </w:rPr>
      </w:pPr>
      <w:r w:rsidRPr="00976494">
        <w:rPr>
          <w:sz w:val="24"/>
          <w:szCs w:val="24"/>
        </w:rPr>
        <w:t>Chair Lee asked what would fill the gap — that is, what designation would be used on the future land use map for areas that might previously have been designated MXD. Layton indicated that this question would be addressed in the subsequent discussion item on the establishment of new zones.</w:t>
      </w:r>
    </w:p>
    <w:p w14:paraId="6AA63B97" w14:textId="77777777" w:rsidR="00894019" w:rsidRPr="00976494" w:rsidRDefault="00894019" w:rsidP="00894019">
      <w:pPr>
        <w:spacing w:after="150"/>
        <w:rPr>
          <w:sz w:val="24"/>
          <w:szCs w:val="24"/>
        </w:rPr>
      </w:pPr>
      <w:r w:rsidRPr="00976494">
        <w:rPr>
          <w:sz w:val="24"/>
          <w:szCs w:val="24"/>
        </w:rPr>
        <w:t>Commissioner Mowes asked about the difference between sunsetting the zone, as proposed for MXD, versus outright repeal as proposed for RT. Layton clarified that the distinction turned on whether the zone had been put to use: because RT had never been applied to a development, repeal was clean and uncomplicated; because MXD had been used and property owners hold vested rights, the governing standards must remain on the books to continue to regulate those existing properties, even while closing the door to new MXD rezones.</w:t>
      </w:r>
    </w:p>
    <w:p w14:paraId="06490FFD" w14:textId="77777777" w:rsidR="00894019" w:rsidRPr="00976494" w:rsidRDefault="00894019" w:rsidP="00894019">
      <w:pPr>
        <w:spacing w:after="150"/>
        <w:rPr>
          <w:sz w:val="24"/>
          <w:szCs w:val="24"/>
        </w:rPr>
      </w:pPr>
      <w:r w:rsidRPr="00976494">
        <w:rPr>
          <w:sz w:val="24"/>
          <w:szCs w:val="24"/>
        </w:rPr>
        <w:t>The Commission reached consensus to direct staff to proceed with drafting a sunset provision for the MXD zone, under which no new applications for MXD rezoning would be accepted, while existing MXD-zoned properties retain their current designation and development standards.</w:t>
      </w:r>
    </w:p>
    <w:p w14:paraId="3BF70140" w14:textId="77777777" w:rsidR="00894019" w:rsidRPr="00894019" w:rsidRDefault="00894019" w:rsidP="00894019">
      <w:pPr>
        <w:spacing w:after="150"/>
      </w:pPr>
      <w:r w:rsidRPr="00894019">
        <w:rPr>
          <w:b/>
          <w:bCs/>
        </w:rPr>
        <w:t>R2 Zone</w:t>
      </w:r>
    </w:p>
    <w:p w14:paraId="0DF7D1C4" w14:textId="16D1FBC6" w:rsidR="00894019" w:rsidRPr="00976494" w:rsidRDefault="00894019" w:rsidP="00894019">
      <w:pPr>
        <w:spacing w:after="150"/>
        <w:rPr>
          <w:sz w:val="24"/>
          <w:szCs w:val="24"/>
        </w:rPr>
      </w:pPr>
      <w:r w:rsidRPr="00976494">
        <w:rPr>
          <w:sz w:val="24"/>
          <w:szCs w:val="24"/>
        </w:rPr>
        <w:t xml:space="preserve">Layton explained that the R2 zone — which requires half-acre lots — had been the subject of conversations with multiple developers, all of whom indicated that half-acre lots in the current market do not pencil financially. Developers stated that quarter-acre lots remain viable, but that the infrastructure costs associated with large lots — due to the extensive frontage relative to the number of units — exceed the revenue those lots generate. </w:t>
      </w:r>
      <w:r w:rsidR="00976494" w:rsidRPr="00976494">
        <w:rPr>
          <w:sz w:val="24"/>
          <w:szCs w:val="24"/>
        </w:rPr>
        <w:t>Sh</w:t>
      </w:r>
      <w:r w:rsidRPr="00976494">
        <w:rPr>
          <w:sz w:val="24"/>
          <w:szCs w:val="24"/>
        </w:rPr>
        <w:t xml:space="preserve">e noted that there are </w:t>
      </w:r>
      <w:r w:rsidR="00976494" w:rsidRPr="00976494">
        <w:rPr>
          <w:sz w:val="24"/>
          <w:szCs w:val="24"/>
        </w:rPr>
        <w:t>many</w:t>
      </w:r>
      <w:r w:rsidRPr="00976494">
        <w:rPr>
          <w:sz w:val="24"/>
          <w:szCs w:val="24"/>
        </w:rPr>
        <w:t xml:space="preserve"> R2-zoned properties across the city, making the zone significant in scale.</w:t>
      </w:r>
    </w:p>
    <w:p w14:paraId="7736F3B0" w14:textId="1AC226A8" w:rsidR="00894019" w:rsidRPr="00976494" w:rsidRDefault="00894019" w:rsidP="00894019">
      <w:pPr>
        <w:spacing w:after="150"/>
        <w:rPr>
          <w:sz w:val="24"/>
          <w:szCs w:val="24"/>
        </w:rPr>
      </w:pPr>
      <w:r w:rsidRPr="00976494">
        <w:rPr>
          <w:sz w:val="24"/>
          <w:szCs w:val="24"/>
        </w:rPr>
        <w:t xml:space="preserve">Rather than proposing a hard repeal of R2, Layton described a rebranding and restructuring approach: the R2 designation would be replaced with a Low Density Residential (LDR) designation that would preserve the spirit of large-lot residential development while expanding the permissible range of lot sizes. Under LDR, property owners could retain half-acre lots if they </w:t>
      </w:r>
      <w:r w:rsidR="00976494" w:rsidRPr="00976494">
        <w:rPr>
          <w:sz w:val="24"/>
          <w:szCs w:val="24"/>
        </w:rPr>
        <w:t>wished or</w:t>
      </w:r>
      <w:r w:rsidRPr="00976494">
        <w:rPr>
          <w:sz w:val="24"/>
          <w:szCs w:val="24"/>
        </w:rPr>
        <w:t xml:space="preserve"> could develop at a smaller scale — including quarter-acre lots — without the need to formally rezone their property. This flexibility, Layton argued, would enable more development to occur without the friction of a rezone application and the associated public hearing process.</w:t>
      </w:r>
    </w:p>
    <w:p w14:paraId="122F9C94" w14:textId="7FF8164F" w:rsidR="00894019" w:rsidRPr="00976494" w:rsidRDefault="00894019" w:rsidP="00894019">
      <w:pPr>
        <w:spacing w:after="150"/>
        <w:rPr>
          <w:sz w:val="24"/>
          <w:szCs w:val="24"/>
        </w:rPr>
      </w:pPr>
      <w:r w:rsidRPr="00976494">
        <w:rPr>
          <w:sz w:val="24"/>
          <w:szCs w:val="24"/>
        </w:rPr>
        <w:t xml:space="preserve">Layton also noted an existing deficiency in the R2 zone: there is currently no maximum lot coverage requirement, meaning structures or impermeable surfaces could theoretically cover an entire R2 parcel. </w:t>
      </w:r>
      <w:r w:rsidR="00976494" w:rsidRPr="00976494">
        <w:rPr>
          <w:sz w:val="24"/>
          <w:szCs w:val="24"/>
        </w:rPr>
        <w:t>She</w:t>
      </w:r>
      <w:r w:rsidRPr="00976494">
        <w:rPr>
          <w:sz w:val="24"/>
          <w:szCs w:val="24"/>
        </w:rPr>
        <w:t xml:space="preserve"> indicated that the LDR zone would include appropriate lot coverage standards to address stormwater and related concerns.</w:t>
      </w:r>
    </w:p>
    <w:p w14:paraId="47969422" w14:textId="79E0E33F" w:rsidR="00894019" w:rsidRPr="00976494" w:rsidRDefault="00894019" w:rsidP="00894019">
      <w:pPr>
        <w:spacing w:after="150"/>
        <w:rPr>
          <w:sz w:val="24"/>
          <w:szCs w:val="24"/>
        </w:rPr>
      </w:pPr>
      <w:r w:rsidRPr="00976494">
        <w:rPr>
          <w:sz w:val="24"/>
          <w:szCs w:val="24"/>
        </w:rPr>
        <w:lastRenderedPageBreak/>
        <w:t xml:space="preserve">Commissioner </w:t>
      </w:r>
      <w:r w:rsidR="00A83CA9">
        <w:rPr>
          <w:sz w:val="24"/>
          <w:szCs w:val="24"/>
        </w:rPr>
        <w:t>Williams</w:t>
      </w:r>
      <w:r w:rsidRPr="00976494">
        <w:rPr>
          <w:sz w:val="24"/>
          <w:szCs w:val="24"/>
        </w:rPr>
        <w:t xml:space="preserve"> raised the question of whether some property owners' reluctance to rezone might be based on a perception that they would face resistance or opposition if they sought to rezone to R4 or R5, and whether correcting that perception might be sufficient without a formal zone change. Layton agreed that perception was a </w:t>
      </w:r>
      <w:r w:rsidR="00976494" w:rsidRPr="00976494">
        <w:rPr>
          <w:sz w:val="24"/>
          <w:szCs w:val="24"/>
        </w:rPr>
        <w:t>factor and</w:t>
      </w:r>
      <w:r w:rsidRPr="00976494">
        <w:rPr>
          <w:sz w:val="24"/>
          <w:szCs w:val="24"/>
        </w:rPr>
        <w:t xml:space="preserve"> indicated that the LDR approach was designed in part to address exactly that: by broadening the zone itself rather than requiring individual rezone applications, property owners would have options available to them without having to navigate the rezone process. He emphasized that no property owner would be compelled to change anything about their current use; the change would simply expand their options going forward.</w:t>
      </w:r>
    </w:p>
    <w:p w14:paraId="76BDC94B" w14:textId="77777777" w:rsidR="00894019" w:rsidRPr="00976494" w:rsidRDefault="00894019" w:rsidP="00894019">
      <w:pPr>
        <w:spacing w:after="150"/>
        <w:rPr>
          <w:sz w:val="24"/>
          <w:szCs w:val="24"/>
        </w:rPr>
      </w:pPr>
      <w:r w:rsidRPr="00976494">
        <w:rPr>
          <w:sz w:val="24"/>
          <w:szCs w:val="24"/>
        </w:rPr>
        <w:t>The Commission expressed general support for the LDR concept and the direction proposed.</w:t>
      </w:r>
    </w:p>
    <w:p w14:paraId="69E0467E" w14:textId="77777777" w:rsidR="00894019" w:rsidRPr="00976494" w:rsidRDefault="00894019" w:rsidP="00894019">
      <w:pPr>
        <w:spacing w:after="150"/>
        <w:rPr>
          <w:sz w:val="24"/>
          <w:szCs w:val="24"/>
        </w:rPr>
      </w:pPr>
      <w:r w:rsidRPr="00976494">
        <w:rPr>
          <w:sz w:val="24"/>
          <w:szCs w:val="24"/>
        </w:rPr>
        <w:t>The Commission reached consensus to direct staff to continue developing the Low Density Residential (LDR) zone as a replacement framework for R2, to be brought back for future action.</w:t>
      </w:r>
    </w:p>
    <w:p w14:paraId="5BFD408A" w14:textId="77777777" w:rsidR="00894019" w:rsidRPr="00894019" w:rsidRDefault="002A2F5A" w:rsidP="00894019">
      <w:pPr>
        <w:spacing w:after="150"/>
      </w:pPr>
      <w:r>
        <w:pict w14:anchorId="13A722E3">
          <v:rect id="_x0000_i1025" style="width:0;height:1.5pt" o:hralign="center" o:hrstd="t" o:hr="t" fillcolor="#a0a0a0" stroked="f"/>
        </w:pict>
      </w:r>
    </w:p>
    <w:p w14:paraId="1DA1D623" w14:textId="10B4A63C" w:rsidR="00894019" w:rsidRPr="00894019" w:rsidRDefault="00894019" w:rsidP="00894019">
      <w:pPr>
        <w:spacing w:after="150"/>
        <w:rPr>
          <w:b/>
          <w:bCs/>
        </w:rPr>
      </w:pPr>
      <w:r w:rsidRPr="00894019">
        <w:rPr>
          <w:b/>
          <w:bCs/>
        </w:rPr>
        <w:t xml:space="preserve">c. Definitions — Additions and Changes </w:t>
      </w:r>
    </w:p>
    <w:p w14:paraId="64A0B4AF" w14:textId="77777777" w:rsidR="00894019" w:rsidRPr="00976494" w:rsidRDefault="00894019" w:rsidP="00894019">
      <w:pPr>
        <w:spacing w:after="150"/>
        <w:rPr>
          <w:sz w:val="24"/>
          <w:szCs w:val="24"/>
        </w:rPr>
      </w:pPr>
      <w:r w:rsidRPr="00976494">
        <w:rPr>
          <w:sz w:val="24"/>
          <w:szCs w:val="24"/>
        </w:rPr>
        <w:t>Kyle presented the proposed changes to the definitions section of the city's land use code, noting these were driven primarily by updated state code provisions related to accessory dwelling units (ADUs).</w:t>
      </w:r>
    </w:p>
    <w:p w14:paraId="044091B8" w14:textId="77777777" w:rsidR="00894019" w:rsidRPr="00894019" w:rsidRDefault="00894019" w:rsidP="00894019">
      <w:pPr>
        <w:spacing w:after="150"/>
      </w:pPr>
      <w:r w:rsidRPr="00894019">
        <w:rPr>
          <w:b/>
          <w:bCs/>
        </w:rPr>
        <w:t>Accessory Dwelling Unit (</w:t>
      </w:r>
      <w:proofErr w:type="gramStart"/>
      <w:r w:rsidRPr="00894019">
        <w:rPr>
          <w:b/>
          <w:bCs/>
        </w:rPr>
        <w:t>ADU) —</w:t>
      </w:r>
      <w:proofErr w:type="gramEnd"/>
      <w:r w:rsidRPr="00894019">
        <w:rPr>
          <w:b/>
          <w:bCs/>
        </w:rPr>
        <w:t xml:space="preserve"> General Definition</w:t>
      </w:r>
    </w:p>
    <w:p w14:paraId="3C22E1C9" w14:textId="6DB4FF66" w:rsidR="00894019" w:rsidRPr="00106755" w:rsidRDefault="00894019" w:rsidP="00894019">
      <w:pPr>
        <w:spacing w:after="150"/>
        <w:rPr>
          <w:sz w:val="24"/>
          <w:szCs w:val="24"/>
        </w:rPr>
      </w:pPr>
      <w:r w:rsidRPr="00106755">
        <w:rPr>
          <w:sz w:val="24"/>
          <w:szCs w:val="24"/>
        </w:rPr>
        <w:t xml:space="preserve">The only change to the general ADU definition was the addition of the word "parcel" alongside "lot." The purpose of this addition was to clarify that an ADU may be constructed on any piece of land, </w:t>
      </w:r>
      <w:r w:rsidR="00976494" w:rsidRPr="00106755">
        <w:rPr>
          <w:sz w:val="24"/>
          <w:szCs w:val="24"/>
        </w:rPr>
        <w:t>whether</w:t>
      </w:r>
      <w:r w:rsidRPr="00106755">
        <w:rPr>
          <w:sz w:val="24"/>
          <w:szCs w:val="24"/>
        </w:rPr>
        <w:t xml:space="preserve"> it is formally </w:t>
      </w:r>
      <w:proofErr w:type="gramStart"/>
      <w:r w:rsidRPr="00106755">
        <w:rPr>
          <w:sz w:val="24"/>
          <w:szCs w:val="24"/>
        </w:rPr>
        <w:t>platted</w:t>
      </w:r>
      <w:proofErr w:type="gramEnd"/>
      <w:r w:rsidRPr="00106755">
        <w:rPr>
          <w:sz w:val="24"/>
          <w:szCs w:val="24"/>
        </w:rPr>
        <w:t xml:space="preserve"> as a lot within a subdivision. This brought the definition into alignment with state code and removed any ambiguity for property owners with </w:t>
      </w:r>
      <w:proofErr w:type="spellStart"/>
      <w:r w:rsidRPr="00106755">
        <w:rPr>
          <w:sz w:val="24"/>
          <w:szCs w:val="24"/>
        </w:rPr>
        <w:t>unplatted</w:t>
      </w:r>
      <w:proofErr w:type="spellEnd"/>
      <w:r w:rsidRPr="00106755">
        <w:rPr>
          <w:sz w:val="24"/>
          <w:szCs w:val="24"/>
        </w:rPr>
        <w:t xml:space="preserve"> parcels.</w:t>
      </w:r>
    </w:p>
    <w:p w14:paraId="213CC0BA" w14:textId="77777777" w:rsidR="00894019" w:rsidRPr="00894019" w:rsidRDefault="00894019" w:rsidP="00894019">
      <w:pPr>
        <w:spacing w:after="150"/>
      </w:pPr>
      <w:r w:rsidRPr="00894019">
        <w:rPr>
          <w:b/>
          <w:bCs/>
        </w:rPr>
        <w:t>Internal Accessory Dwelling Unit (IADU)</w:t>
      </w:r>
    </w:p>
    <w:p w14:paraId="32BA57D8" w14:textId="77777777" w:rsidR="00894019" w:rsidRPr="00106755" w:rsidRDefault="00894019" w:rsidP="00894019">
      <w:pPr>
        <w:spacing w:after="150"/>
        <w:rPr>
          <w:sz w:val="24"/>
          <w:szCs w:val="24"/>
        </w:rPr>
      </w:pPr>
      <w:r w:rsidRPr="00106755">
        <w:rPr>
          <w:sz w:val="24"/>
          <w:szCs w:val="24"/>
        </w:rPr>
        <w:t>The state made a clarifying change to the IADU definition to specify that an internal ADU is intended for the purpose of offering long-term rental of 30 days or longer. Kyle explained that this change was designed to ensure that IADUs are not used as a de facto authorization for short-term rental accommodations. Commissioner Mowes confirmed his understanding that this provision was intended to prevent IADUs from becoming Airbnb-style rentals.</w:t>
      </w:r>
    </w:p>
    <w:p w14:paraId="31C8BCC1" w14:textId="77777777" w:rsidR="00894019" w:rsidRPr="00106755" w:rsidRDefault="00894019" w:rsidP="00894019">
      <w:pPr>
        <w:spacing w:after="150"/>
        <w:rPr>
          <w:sz w:val="24"/>
          <w:szCs w:val="24"/>
        </w:rPr>
      </w:pPr>
      <w:r w:rsidRPr="00106755">
        <w:rPr>
          <w:sz w:val="24"/>
          <w:szCs w:val="24"/>
        </w:rPr>
        <w:t>Commissioner Williams raised the question of whether the detached ADU (DADU) definition should carry a similar long-term rental restriction. Layton noted that the city did not currently have any such provision in place for DADUs, and that staff's intended approach was to address the question of short-term rentals in DADUs through a separate deed restriction discussion — a mechanism Layton noted had been used effectively in Grand County. He indicated that the short-term rental policy discussion would be taken up as part of a forthcoming agenda item, and that the outcome of that conversation would determine whether any restriction on DADU usage was warranted.</w:t>
      </w:r>
    </w:p>
    <w:p w14:paraId="7CFE164B" w14:textId="77777777" w:rsidR="00894019" w:rsidRPr="00106755" w:rsidRDefault="00894019" w:rsidP="00894019">
      <w:pPr>
        <w:spacing w:after="150"/>
        <w:rPr>
          <w:sz w:val="24"/>
          <w:szCs w:val="24"/>
        </w:rPr>
      </w:pPr>
      <w:r w:rsidRPr="00106755">
        <w:rPr>
          <w:sz w:val="24"/>
          <w:szCs w:val="24"/>
        </w:rPr>
        <w:lastRenderedPageBreak/>
        <w:t xml:space="preserve">Commissioner Williams stated her preference for adding long-term rental language to the DADU definition consistent with the IADU provision, acknowledging the original legislative purpose of ADU authorization was to expand long-term housing supply. She recognized, however, that the policy should ultimately align with whatever short-term rental framework the city adopts, and suggested any added language </w:t>
      </w:r>
      <w:proofErr w:type="gramStart"/>
      <w:r w:rsidRPr="00106755">
        <w:rPr>
          <w:sz w:val="24"/>
          <w:szCs w:val="24"/>
        </w:rPr>
        <w:t>include</w:t>
      </w:r>
      <w:proofErr w:type="gramEnd"/>
      <w:r w:rsidRPr="00106755">
        <w:rPr>
          <w:sz w:val="24"/>
          <w:szCs w:val="24"/>
        </w:rPr>
        <w:t xml:space="preserve"> a cross-reference to the city's short-term rental code. Layton acknowledged the comment and indicated staff would consider incorporating it into the upcoming definitions ordinance.</w:t>
      </w:r>
    </w:p>
    <w:p w14:paraId="3AAA47D0" w14:textId="77777777" w:rsidR="00894019" w:rsidRPr="00894019" w:rsidRDefault="00894019" w:rsidP="00894019">
      <w:pPr>
        <w:spacing w:after="150"/>
      </w:pPr>
      <w:r w:rsidRPr="00894019">
        <w:rPr>
          <w:b/>
          <w:bCs/>
        </w:rPr>
        <w:t>Detached Accessory Dwelling Unit (DADU)</w:t>
      </w:r>
    </w:p>
    <w:p w14:paraId="3191C71D" w14:textId="77777777" w:rsidR="00894019" w:rsidRPr="00106755" w:rsidRDefault="00894019" w:rsidP="00894019">
      <w:pPr>
        <w:spacing w:after="150"/>
        <w:rPr>
          <w:sz w:val="24"/>
          <w:szCs w:val="24"/>
        </w:rPr>
      </w:pPr>
      <w:r w:rsidRPr="00106755">
        <w:rPr>
          <w:sz w:val="24"/>
          <w:szCs w:val="24"/>
        </w:rPr>
        <w:t>Kyle explained that the proposed change to the DADU definition was largely a simplification — paring the definition down to align with state code language by removing redundant descriptors such as references to living, sleeping, and eating functions, which are already implied by the term "habitable dwelling unit."</w:t>
      </w:r>
    </w:p>
    <w:p w14:paraId="40906120" w14:textId="77777777" w:rsidR="00894019" w:rsidRPr="00894019" w:rsidRDefault="00894019" w:rsidP="00894019">
      <w:pPr>
        <w:spacing w:after="150"/>
      </w:pPr>
      <w:r w:rsidRPr="00894019">
        <w:rPr>
          <w:b/>
          <w:bCs/>
        </w:rPr>
        <w:t>Retail Sales Establishment</w:t>
      </w:r>
    </w:p>
    <w:p w14:paraId="7DEAEE4D" w14:textId="2371EEB8" w:rsidR="00894019" w:rsidRPr="00106755" w:rsidRDefault="00894019" w:rsidP="00894019">
      <w:pPr>
        <w:spacing w:after="150"/>
        <w:rPr>
          <w:sz w:val="24"/>
          <w:szCs w:val="24"/>
        </w:rPr>
      </w:pPr>
      <w:r w:rsidRPr="00106755">
        <w:rPr>
          <w:sz w:val="24"/>
          <w:szCs w:val="24"/>
        </w:rPr>
        <w:t xml:space="preserve">Kyle explained that the land use table currently contains an extensive itemized list of every type of retail establishment, which had been incorporated directly into the table rather than residing in the definitions section. The proposed change would move that definitional content into the definitions section as a standalone defined </w:t>
      </w:r>
      <w:r w:rsidR="00106755" w:rsidRPr="00106755">
        <w:rPr>
          <w:sz w:val="24"/>
          <w:szCs w:val="24"/>
        </w:rPr>
        <w:t>term “</w:t>
      </w:r>
      <w:r w:rsidRPr="00106755">
        <w:rPr>
          <w:sz w:val="24"/>
          <w:szCs w:val="24"/>
        </w:rPr>
        <w:t>Retail Sales Establishment" — eliminating the need for an exhaustive list in the land use table and allowing the City Planner to exercise reasonable interpretive discretion when categorizing a particular use. Layton noted that attempting to enumerate every conceivable retail use in the code was both impractical and unnecessary given a clear governing definition. Kyle noted that Exhibit C in the materials provided a clean copy of how the updated definitions section would appear in final form.</w:t>
      </w:r>
    </w:p>
    <w:p w14:paraId="75B09207" w14:textId="795C0406" w:rsidR="00894019" w:rsidRPr="00106755" w:rsidRDefault="00894019" w:rsidP="00894019">
      <w:pPr>
        <w:spacing w:after="150"/>
        <w:rPr>
          <w:sz w:val="24"/>
          <w:szCs w:val="24"/>
        </w:rPr>
      </w:pPr>
      <w:r w:rsidRPr="00106755">
        <w:rPr>
          <w:sz w:val="24"/>
          <w:szCs w:val="24"/>
        </w:rPr>
        <w:t>The Commission expressed general support for all proposed definition changes. Layton indicated that the updated definitions section would be brought back to the Commission as an adoptable action item, likely at the next meeting.</w:t>
      </w:r>
    </w:p>
    <w:p w14:paraId="11DF1FF7" w14:textId="5A13494C" w:rsidR="00894019" w:rsidRPr="00894019" w:rsidRDefault="00894019" w:rsidP="00894019">
      <w:pPr>
        <w:spacing w:after="150"/>
        <w:rPr>
          <w:b/>
          <w:bCs/>
        </w:rPr>
      </w:pPr>
      <w:r w:rsidRPr="00894019">
        <w:rPr>
          <w:b/>
          <w:bCs/>
        </w:rPr>
        <w:t xml:space="preserve">d. Establishment of LDR, MDR, HDR, and CR Zones </w:t>
      </w:r>
    </w:p>
    <w:p w14:paraId="37D9FF4D" w14:textId="4C3F8B2C" w:rsidR="00894019" w:rsidRPr="00106755" w:rsidRDefault="00894019" w:rsidP="00894019">
      <w:pPr>
        <w:spacing w:after="150"/>
        <w:rPr>
          <w:sz w:val="24"/>
          <w:szCs w:val="24"/>
        </w:rPr>
      </w:pPr>
      <w:r w:rsidRPr="00106755">
        <w:rPr>
          <w:sz w:val="24"/>
          <w:szCs w:val="24"/>
        </w:rPr>
        <w:t xml:space="preserve">Layton provided context for this broader discussion, explaining that the proposal to establish new zone designations — Low Density Residential (LDR), Medium Density Residential (MDR), High Density Residential (HDR), and Concentrated/Condensed Residential (CR, with the precise name still being workshopped) — was a direct extension of the priorities identified at the Commission and City Council's joint workshop on the future land use map. He noted that renaming and recategorizing zones was listed as a high-priority item from that workshop, along with addressing the RT, R2, and agricultural zones and exploring multifamily opportunities. He emphasized that no decisions were being made that evening, and that the purpose was to gather feedback and course-correct staff's </w:t>
      </w:r>
      <w:r w:rsidR="00106755" w:rsidRPr="00106755">
        <w:rPr>
          <w:sz w:val="24"/>
          <w:szCs w:val="24"/>
        </w:rPr>
        <w:t>directions</w:t>
      </w:r>
      <w:r w:rsidRPr="00106755">
        <w:rPr>
          <w:sz w:val="24"/>
          <w:szCs w:val="24"/>
        </w:rPr>
        <w:t xml:space="preserve"> </w:t>
      </w:r>
      <w:proofErr w:type="gramStart"/>
      <w:r w:rsidRPr="00106755">
        <w:rPr>
          <w:sz w:val="24"/>
          <w:szCs w:val="24"/>
        </w:rPr>
        <w:t>where</w:t>
      </w:r>
      <w:proofErr w:type="gramEnd"/>
      <w:r w:rsidRPr="00106755">
        <w:rPr>
          <w:sz w:val="24"/>
          <w:szCs w:val="24"/>
        </w:rPr>
        <w:t xml:space="preserve"> needed.</w:t>
      </w:r>
    </w:p>
    <w:p w14:paraId="41240C22" w14:textId="77777777" w:rsidR="00894019" w:rsidRPr="00894019" w:rsidRDefault="00894019" w:rsidP="00894019">
      <w:pPr>
        <w:spacing w:after="150"/>
      </w:pPr>
      <w:r w:rsidRPr="00894019">
        <w:rPr>
          <w:b/>
          <w:bCs/>
        </w:rPr>
        <w:t>Concentrated/Condensed Density Residential (CDR/CR) Zone</w:t>
      </w:r>
    </w:p>
    <w:p w14:paraId="1EF2420E" w14:textId="23A3D4F2" w:rsidR="00894019" w:rsidRPr="00106755" w:rsidRDefault="00894019" w:rsidP="00894019">
      <w:pPr>
        <w:spacing w:after="150"/>
        <w:rPr>
          <w:sz w:val="24"/>
          <w:szCs w:val="24"/>
        </w:rPr>
      </w:pPr>
      <w:r w:rsidRPr="00106755">
        <w:rPr>
          <w:sz w:val="24"/>
          <w:szCs w:val="24"/>
        </w:rPr>
        <w:t xml:space="preserve">Kyle introduced the concept of a new zone intended to accommodate very small homes on very small lots — effectively a "tiny home" zone. Staff had consulted with </w:t>
      </w:r>
      <w:r w:rsidR="00E95524">
        <w:rPr>
          <w:sz w:val="24"/>
          <w:szCs w:val="24"/>
        </w:rPr>
        <w:t xml:space="preserve">an </w:t>
      </w:r>
      <w:r w:rsidR="00B238E3">
        <w:rPr>
          <w:sz w:val="24"/>
          <w:szCs w:val="24"/>
        </w:rPr>
        <w:t>Ephraim</w:t>
      </w:r>
      <w:r w:rsidR="00E95524">
        <w:rPr>
          <w:sz w:val="24"/>
          <w:szCs w:val="24"/>
        </w:rPr>
        <w:t xml:space="preserve"> City </w:t>
      </w:r>
      <w:r w:rsidRPr="00106755">
        <w:rPr>
          <w:sz w:val="24"/>
          <w:szCs w:val="24"/>
        </w:rPr>
        <w:t xml:space="preserve">developer with experience in this </w:t>
      </w:r>
      <w:proofErr w:type="gramStart"/>
      <w:r w:rsidRPr="00106755">
        <w:rPr>
          <w:sz w:val="24"/>
          <w:szCs w:val="24"/>
        </w:rPr>
        <w:t>area, and</w:t>
      </w:r>
      <w:proofErr w:type="gramEnd"/>
      <w:r w:rsidRPr="00106755">
        <w:rPr>
          <w:sz w:val="24"/>
          <w:szCs w:val="24"/>
        </w:rPr>
        <w:t xml:space="preserve"> found the concept promising. The proposed development standards included a maximum of 15 units per acre and a </w:t>
      </w:r>
      <w:r w:rsidRPr="00106755">
        <w:rPr>
          <w:sz w:val="24"/>
          <w:szCs w:val="24"/>
        </w:rPr>
        <w:lastRenderedPageBreak/>
        <w:t>minimum of 10 units per acre, with a minimum lot size of 3,000 square feet, though staff expected most lots in practice to fall closer to 4,000–5,000 square feet given the city's existing parcel configurations.</w:t>
      </w:r>
    </w:p>
    <w:p w14:paraId="4EDCD46C" w14:textId="77777777" w:rsidR="00894019" w:rsidRPr="00106755" w:rsidRDefault="00894019" w:rsidP="00894019">
      <w:pPr>
        <w:spacing w:after="150"/>
        <w:rPr>
          <w:sz w:val="24"/>
          <w:szCs w:val="24"/>
        </w:rPr>
      </w:pPr>
      <w:r w:rsidRPr="00106755">
        <w:rPr>
          <w:sz w:val="24"/>
          <w:szCs w:val="24"/>
        </w:rPr>
        <w:t>Kyle noted that aesthetic diversity requirements — specifically prohibiting two identical home designs from being placed adjacent to one another — had been a component of the existing PUD zone and were being considered for incorporation into all new zone designations. Chair Lee responded that she supported the concept of aesthetic diversity standards but felt that the current PUD provision was not specific enough in practice, noting that homes in some newer subdivisions appeared effectively identical despite technically different designs. She suggested that future standards require more meaningful visual distinction.</w:t>
      </w:r>
    </w:p>
    <w:p w14:paraId="08CE1C10" w14:textId="6584E21A" w:rsidR="00894019" w:rsidRPr="00106755" w:rsidRDefault="00894019" w:rsidP="00894019">
      <w:pPr>
        <w:spacing w:after="150"/>
        <w:rPr>
          <w:sz w:val="24"/>
          <w:szCs w:val="24"/>
        </w:rPr>
      </w:pPr>
      <w:r w:rsidRPr="00106755">
        <w:rPr>
          <w:sz w:val="24"/>
          <w:szCs w:val="24"/>
        </w:rPr>
        <w:t xml:space="preserve">Commissioner </w:t>
      </w:r>
      <w:r w:rsidR="005D2995">
        <w:rPr>
          <w:sz w:val="24"/>
          <w:szCs w:val="24"/>
        </w:rPr>
        <w:t>Mowes</w:t>
      </w:r>
      <w:r w:rsidRPr="00106755">
        <w:rPr>
          <w:sz w:val="24"/>
          <w:szCs w:val="24"/>
        </w:rPr>
        <w:t xml:space="preserve"> asked about density. Kyle confirmed the 15 units per acre maximum and referenced the E</w:t>
      </w:r>
      <w:r w:rsidR="005D2995">
        <w:rPr>
          <w:sz w:val="24"/>
          <w:szCs w:val="24"/>
        </w:rPr>
        <w:t>phraim</w:t>
      </w:r>
      <w:r w:rsidRPr="00106755">
        <w:rPr>
          <w:sz w:val="24"/>
          <w:szCs w:val="24"/>
        </w:rPr>
        <w:t xml:space="preserve"> development standards as the model. </w:t>
      </w:r>
      <w:r w:rsidR="005D2995">
        <w:rPr>
          <w:sz w:val="24"/>
          <w:szCs w:val="24"/>
        </w:rPr>
        <w:t xml:space="preserve">Ephraim </w:t>
      </w:r>
      <w:r w:rsidRPr="00106755">
        <w:rPr>
          <w:sz w:val="24"/>
          <w:szCs w:val="24"/>
        </w:rPr>
        <w:t>representatives had shared that this type of development could serve as an effective affordable starter-home option and could function as a buffer between zones. However, E</w:t>
      </w:r>
      <w:r w:rsidR="005D2995">
        <w:rPr>
          <w:sz w:val="24"/>
          <w:szCs w:val="24"/>
        </w:rPr>
        <w:t>phraim</w:t>
      </w:r>
      <w:r w:rsidRPr="00106755">
        <w:rPr>
          <w:sz w:val="24"/>
          <w:szCs w:val="24"/>
        </w:rPr>
        <w:t xml:space="preserve"> cautioned staff about challenges they had encountered with setbacks, public utility easements, and the lack of specificity in development standards — issues that had led to development agreements becoming necessary. Kyle indicated that a key lesson from those conversations was the importance of being as specific as possible in the CDR zone's development standards to reduce the need for development agreements.</w:t>
      </w:r>
    </w:p>
    <w:p w14:paraId="661749B5" w14:textId="6238030A" w:rsidR="00894019" w:rsidRPr="00106755" w:rsidRDefault="00894019" w:rsidP="00894019">
      <w:pPr>
        <w:spacing w:after="150"/>
        <w:rPr>
          <w:sz w:val="24"/>
          <w:szCs w:val="24"/>
        </w:rPr>
      </w:pPr>
      <w:r w:rsidRPr="00106755">
        <w:rPr>
          <w:sz w:val="24"/>
          <w:szCs w:val="24"/>
        </w:rPr>
        <w:t xml:space="preserve">Chair Lee asked about the setback dimensions. Kyle confirmed the proposed setbacks were 15 feet in the front, 15 feet in the rear, and 6 feet on the sides. Layton elaborated on the concept of concentrating utility easements in the front of the lot so that side setbacks could be more usefully allocated — allowing residents access to their backyards, room for accessory structures, or an ADU, rather than being constrained on all sides. Commissioner </w:t>
      </w:r>
      <w:r w:rsidR="005D2995">
        <w:rPr>
          <w:sz w:val="24"/>
          <w:szCs w:val="24"/>
        </w:rPr>
        <w:t>Williams</w:t>
      </w:r>
      <w:r w:rsidRPr="00106755">
        <w:rPr>
          <w:sz w:val="24"/>
          <w:szCs w:val="24"/>
        </w:rPr>
        <w:t xml:space="preserve"> observed that first-time homebuyers consistently prefer a small home with front and rear yards and no shared walls over attached housing options, and that this zone type would meet that preference while remaining accessible in terms of price.</w:t>
      </w:r>
    </w:p>
    <w:p w14:paraId="267391ED" w14:textId="5B0ED5DF" w:rsidR="00894019" w:rsidRPr="00106755" w:rsidRDefault="00894019" w:rsidP="00894019">
      <w:pPr>
        <w:spacing w:after="150"/>
        <w:rPr>
          <w:sz w:val="24"/>
          <w:szCs w:val="24"/>
        </w:rPr>
      </w:pPr>
      <w:r w:rsidRPr="00106755">
        <w:rPr>
          <w:sz w:val="24"/>
          <w:szCs w:val="24"/>
        </w:rPr>
        <w:t>Layton referenced the E</w:t>
      </w:r>
      <w:r w:rsidR="005D2995">
        <w:rPr>
          <w:sz w:val="24"/>
          <w:szCs w:val="24"/>
        </w:rPr>
        <w:t>phraim</w:t>
      </w:r>
      <w:r w:rsidRPr="00106755">
        <w:rPr>
          <w:sz w:val="24"/>
          <w:szCs w:val="24"/>
        </w:rPr>
        <w:t xml:space="preserve"> development model where the basic building footprint remained consistent but residents could choose how to complete the rear portion of the lot — as a two-car garage, a smaller garage, an ADU above the garage, or an extension of the main house — describing this as a "choose your own adventure" approach to the back of the lot. The Commission found this flexibility appealing.</w:t>
      </w:r>
    </w:p>
    <w:p w14:paraId="3AB1FD86" w14:textId="77777777" w:rsidR="00894019" w:rsidRPr="00894019" w:rsidRDefault="00894019" w:rsidP="00894019">
      <w:pPr>
        <w:spacing w:after="150"/>
      </w:pPr>
      <w:r w:rsidRPr="00894019">
        <w:rPr>
          <w:b/>
          <w:bCs/>
        </w:rPr>
        <w:t>High Density Residential (HDR) Zone</w:t>
      </w:r>
    </w:p>
    <w:p w14:paraId="5957E202" w14:textId="77777777" w:rsidR="00894019" w:rsidRDefault="00894019" w:rsidP="00894019">
      <w:pPr>
        <w:spacing w:after="150"/>
        <w:rPr>
          <w:sz w:val="24"/>
          <w:szCs w:val="24"/>
        </w:rPr>
      </w:pPr>
      <w:r w:rsidRPr="00106755">
        <w:rPr>
          <w:sz w:val="24"/>
          <w:szCs w:val="24"/>
        </w:rPr>
        <w:t>Kyle described the HDR zone as intended to accommodate a mix of townhomes and apartments, drawing on elements of the existing R5 zone. He noted that a key goal was to integrate HDR developments throughout the city rather than concentrating them in a single block-style development, citing the Orem example of an entire zone adjacent to the TRAX station as a cautionary model. Instead, staff envisioned HDR sprinkled more organically into the city fabric, adjacent to other zone types.</w:t>
      </w:r>
    </w:p>
    <w:p w14:paraId="53D2BA4D" w14:textId="77777777" w:rsidR="00106755" w:rsidRPr="00106755" w:rsidRDefault="00106755" w:rsidP="00894019">
      <w:pPr>
        <w:spacing w:after="150"/>
        <w:rPr>
          <w:sz w:val="24"/>
          <w:szCs w:val="24"/>
        </w:rPr>
      </w:pPr>
    </w:p>
    <w:p w14:paraId="1B8648E3" w14:textId="2A27FB5C" w:rsidR="00894019" w:rsidRPr="00106755" w:rsidRDefault="00894019" w:rsidP="00894019">
      <w:pPr>
        <w:spacing w:after="150"/>
        <w:rPr>
          <w:sz w:val="24"/>
          <w:szCs w:val="24"/>
        </w:rPr>
      </w:pPr>
      <w:r w:rsidRPr="00106755">
        <w:rPr>
          <w:sz w:val="24"/>
          <w:szCs w:val="24"/>
        </w:rPr>
        <w:lastRenderedPageBreak/>
        <w:t xml:space="preserve">Commissioner </w:t>
      </w:r>
      <w:r w:rsidR="007F47A2">
        <w:rPr>
          <w:sz w:val="24"/>
          <w:szCs w:val="24"/>
        </w:rPr>
        <w:t>Williams</w:t>
      </w:r>
      <w:r w:rsidRPr="00106755">
        <w:rPr>
          <w:sz w:val="24"/>
          <w:szCs w:val="24"/>
        </w:rPr>
        <w:t xml:space="preserve"> expressed a strong concern about traffic infrastructure. Drawing on h</w:t>
      </w:r>
      <w:r w:rsidR="005D2995">
        <w:rPr>
          <w:sz w:val="24"/>
          <w:szCs w:val="24"/>
        </w:rPr>
        <w:t>er</w:t>
      </w:r>
      <w:r w:rsidRPr="00106755">
        <w:rPr>
          <w:sz w:val="24"/>
          <w:szCs w:val="24"/>
        </w:rPr>
        <w:t xml:space="preserve"> experience watching growth patterns in other areas, he observed that Hyde Park lacks an east-west arterial road and that all internal streets run through residential areas at 25 miles per hour. </w:t>
      </w:r>
      <w:r w:rsidR="005D2995">
        <w:rPr>
          <w:sz w:val="24"/>
          <w:szCs w:val="24"/>
        </w:rPr>
        <w:t>Sh</w:t>
      </w:r>
      <w:r w:rsidRPr="00106755">
        <w:rPr>
          <w:sz w:val="24"/>
          <w:szCs w:val="24"/>
        </w:rPr>
        <w:t xml:space="preserve">e argued that any high-density residential placement must be </w:t>
      </w:r>
      <w:r w:rsidR="00106755" w:rsidRPr="00106755">
        <w:rPr>
          <w:sz w:val="24"/>
          <w:szCs w:val="24"/>
        </w:rPr>
        <w:t>near</w:t>
      </w:r>
      <w:r w:rsidRPr="00106755">
        <w:rPr>
          <w:sz w:val="24"/>
          <w:szCs w:val="24"/>
        </w:rPr>
        <w:t xml:space="preserve"> a road rated at 45 to 50 miles per hour to avoid funneling additional vehicle trips through neighborhood streets. </w:t>
      </w:r>
      <w:r w:rsidR="005D2995">
        <w:rPr>
          <w:sz w:val="24"/>
          <w:szCs w:val="24"/>
        </w:rPr>
        <w:t>Sh</w:t>
      </w:r>
      <w:r w:rsidRPr="00106755">
        <w:rPr>
          <w:sz w:val="24"/>
          <w:szCs w:val="24"/>
        </w:rPr>
        <w:t>e acknowledged that the city's existing development pattern leaves few options in this regard, and Layton confirmed there was no realistic pathway to constructing a new arterial corridor through the already-</w:t>
      </w:r>
      <w:proofErr w:type="gramStart"/>
      <w:r w:rsidRPr="00106755">
        <w:rPr>
          <w:sz w:val="24"/>
          <w:szCs w:val="24"/>
        </w:rPr>
        <w:t>developed city</w:t>
      </w:r>
      <w:proofErr w:type="gramEnd"/>
      <w:r w:rsidRPr="00106755">
        <w:rPr>
          <w:sz w:val="24"/>
          <w:szCs w:val="24"/>
        </w:rPr>
        <w:t xml:space="preserve"> fabric. The discussion acknowledged that placement of HDR would therefore require careful analysis against the existing road network to avoid replicating the traffic congestion problems observed around the Orem Costco-area HDR development.</w:t>
      </w:r>
    </w:p>
    <w:p w14:paraId="09A6DDFF" w14:textId="4ACC94C9" w:rsidR="00894019" w:rsidRPr="00106755" w:rsidRDefault="00894019" w:rsidP="00894019">
      <w:pPr>
        <w:spacing w:after="150"/>
        <w:rPr>
          <w:sz w:val="24"/>
          <w:szCs w:val="24"/>
        </w:rPr>
      </w:pPr>
      <w:r w:rsidRPr="00106755">
        <w:rPr>
          <w:sz w:val="24"/>
          <w:szCs w:val="24"/>
        </w:rPr>
        <w:t xml:space="preserve">Kyle raised the question of whether the city wished to prioritize any </w:t>
      </w:r>
      <w:r w:rsidR="00106755" w:rsidRPr="00106755">
        <w:rPr>
          <w:sz w:val="24"/>
          <w:szCs w:val="24"/>
        </w:rPr>
        <w:t>demographic</w:t>
      </w:r>
      <w:r w:rsidRPr="00106755">
        <w:rPr>
          <w:sz w:val="24"/>
          <w:szCs w:val="24"/>
        </w:rPr>
        <w:t xml:space="preserve"> or housing need through the HDR zone — such as first-time homebuyers, workforce housing, or 55-and-older residents. Commissioner </w:t>
      </w:r>
      <w:r w:rsidR="002D5CF9">
        <w:rPr>
          <w:sz w:val="24"/>
          <w:szCs w:val="24"/>
        </w:rPr>
        <w:t xml:space="preserve">Williams </w:t>
      </w:r>
      <w:r w:rsidRPr="00106755">
        <w:rPr>
          <w:sz w:val="24"/>
          <w:szCs w:val="24"/>
        </w:rPr>
        <w:t xml:space="preserve">expressed a strong preference for owner-occupancy ratio requirements as a condition of any HDR development, arguing that residents with a financial stake in their homes and community are fundamentally better neighbors and more engaged community members. </w:t>
      </w:r>
      <w:r w:rsidR="002D5CF9">
        <w:rPr>
          <w:sz w:val="24"/>
          <w:szCs w:val="24"/>
        </w:rPr>
        <w:t>Sh</w:t>
      </w:r>
      <w:r w:rsidRPr="00106755">
        <w:rPr>
          <w:sz w:val="24"/>
          <w:szCs w:val="24"/>
        </w:rPr>
        <w:t xml:space="preserve">e proposed pairing owner-occupancy requirements with the state's affordable housing attainability criteria to ensure units remain accessible to median-income buyers. Layton confirmed that several developers had already approached the city expressing willingness to work </w:t>
      </w:r>
      <w:proofErr w:type="gramStart"/>
      <w:r w:rsidRPr="00106755">
        <w:rPr>
          <w:sz w:val="24"/>
          <w:szCs w:val="24"/>
        </w:rPr>
        <w:t>within deed</w:t>
      </w:r>
      <w:proofErr w:type="gramEnd"/>
      <w:r w:rsidRPr="00106755">
        <w:rPr>
          <w:sz w:val="24"/>
          <w:szCs w:val="24"/>
        </w:rPr>
        <w:t xml:space="preserve"> restriction frameworks of this kind, and that the primary obstacle was the absence of a zone that formally enables such development.</w:t>
      </w:r>
    </w:p>
    <w:p w14:paraId="619F3595" w14:textId="77777777" w:rsidR="00894019" w:rsidRPr="00106755" w:rsidRDefault="00894019" w:rsidP="00894019">
      <w:pPr>
        <w:spacing w:after="150"/>
        <w:rPr>
          <w:sz w:val="24"/>
          <w:szCs w:val="24"/>
        </w:rPr>
      </w:pPr>
      <w:r w:rsidRPr="00106755">
        <w:rPr>
          <w:sz w:val="24"/>
          <w:szCs w:val="24"/>
        </w:rPr>
        <w:t>Layton also noted that the city's moderate income housing reporting had recently reflected only single-family construction, meaning the state's requirements in this area were not being satisfied at a sufficient pace, and that HDR would be a meaningful tool in addressing that gap.</w:t>
      </w:r>
    </w:p>
    <w:p w14:paraId="33D78CF1" w14:textId="77777777" w:rsidR="00894019" w:rsidRPr="00894019" w:rsidRDefault="00894019" w:rsidP="00894019">
      <w:pPr>
        <w:spacing w:after="150"/>
      </w:pPr>
      <w:r w:rsidRPr="00894019">
        <w:rPr>
          <w:b/>
          <w:bCs/>
        </w:rPr>
        <w:t>Medium Density Residential (MDR) Zone</w:t>
      </w:r>
    </w:p>
    <w:p w14:paraId="6F46BE08" w14:textId="25E929B0" w:rsidR="00894019" w:rsidRPr="00106755" w:rsidRDefault="00894019" w:rsidP="00894019">
      <w:pPr>
        <w:spacing w:after="150"/>
        <w:rPr>
          <w:sz w:val="24"/>
          <w:szCs w:val="24"/>
        </w:rPr>
      </w:pPr>
      <w:r w:rsidRPr="00106755">
        <w:rPr>
          <w:sz w:val="24"/>
          <w:szCs w:val="24"/>
        </w:rPr>
        <w:t xml:space="preserve">Kyle described the MDR zone as intended to accommodate a mix of housing types ranging from single-family homes through fourplexes. He noted that the existing R5 zone already permits mixed housing types, but that a 75% minimum requirement for single-family and two-family homes had significantly limited its attractiveness to developers. Staff </w:t>
      </w:r>
      <w:r w:rsidR="00106755" w:rsidRPr="00106755">
        <w:rPr>
          <w:sz w:val="24"/>
          <w:szCs w:val="24"/>
        </w:rPr>
        <w:t>were</w:t>
      </w:r>
      <w:r w:rsidRPr="00106755">
        <w:rPr>
          <w:sz w:val="24"/>
          <w:szCs w:val="24"/>
        </w:rPr>
        <w:t xml:space="preserve"> considering relaxing that threshold — potentially to </w:t>
      </w:r>
      <w:proofErr w:type="gramStart"/>
      <w:r w:rsidRPr="00106755">
        <w:rPr>
          <w:sz w:val="24"/>
          <w:szCs w:val="24"/>
        </w:rPr>
        <w:t>50% —</w:t>
      </w:r>
      <w:proofErr w:type="gramEnd"/>
      <w:r w:rsidRPr="00106755">
        <w:rPr>
          <w:sz w:val="24"/>
          <w:szCs w:val="24"/>
        </w:rPr>
        <w:t xml:space="preserve"> to allow a broader and more practical mix.</w:t>
      </w:r>
    </w:p>
    <w:p w14:paraId="07F539DD" w14:textId="6D8D89B6" w:rsidR="00894019" w:rsidRDefault="00894019" w:rsidP="00894019">
      <w:pPr>
        <w:spacing w:after="150"/>
        <w:rPr>
          <w:sz w:val="24"/>
          <w:szCs w:val="24"/>
        </w:rPr>
      </w:pPr>
      <w:r w:rsidRPr="00106755">
        <w:rPr>
          <w:sz w:val="24"/>
          <w:szCs w:val="24"/>
        </w:rPr>
        <w:t xml:space="preserve">Commissioner </w:t>
      </w:r>
      <w:r w:rsidR="002D5CF9">
        <w:rPr>
          <w:sz w:val="24"/>
          <w:szCs w:val="24"/>
        </w:rPr>
        <w:t>Mowes</w:t>
      </w:r>
      <w:r w:rsidRPr="00106755">
        <w:rPr>
          <w:sz w:val="24"/>
          <w:szCs w:val="24"/>
        </w:rPr>
        <w:t xml:space="preserve"> expressed concern about vagueness in zone language, noting that </w:t>
      </w:r>
      <w:r w:rsidR="00106755" w:rsidRPr="00106755">
        <w:rPr>
          <w:sz w:val="24"/>
          <w:szCs w:val="24"/>
        </w:rPr>
        <w:t>experience</w:t>
      </w:r>
      <w:r w:rsidRPr="00106755">
        <w:rPr>
          <w:sz w:val="24"/>
          <w:szCs w:val="24"/>
        </w:rPr>
        <w:t xml:space="preserve"> with general or flexible language in development standards had led to outcomes the Commission was not satisfied with, because developers and staff sometimes interpreted the same language differently, and the resulting developments did not match the Commission's original intent. </w:t>
      </w:r>
      <w:r w:rsidR="002D5CF9">
        <w:rPr>
          <w:sz w:val="24"/>
          <w:szCs w:val="24"/>
        </w:rPr>
        <w:t>H</w:t>
      </w:r>
      <w:r w:rsidRPr="00106755">
        <w:rPr>
          <w:sz w:val="24"/>
          <w:szCs w:val="24"/>
        </w:rPr>
        <w:t>e urged greater specificity.</w:t>
      </w:r>
    </w:p>
    <w:p w14:paraId="5740BE4C" w14:textId="77777777" w:rsidR="00106755" w:rsidRDefault="00106755" w:rsidP="00894019">
      <w:pPr>
        <w:spacing w:after="150"/>
        <w:rPr>
          <w:sz w:val="24"/>
          <w:szCs w:val="24"/>
        </w:rPr>
      </w:pPr>
    </w:p>
    <w:p w14:paraId="1C829F8A" w14:textId="77777777" w:rsidR="00106755" w:rsidRPr="00106755" w:rsidRDefault="00106755" w:rsidP="00894019">
      <w:pPr>
        <w:spacing w:after="150"/>
        <w:rPr>
          <w:sz w:val="24"/>
          <w:szCs w:val="24"/>
        </w:rPr>
      </w:pPr>
    </w:p>
    <w:p w14:paraId="65B977A0" w14:textId="77777777" w:rsidR="00894019" w:rsidRPr="00106755" w:rsidRDefault="00894019" w:rsidP="00894019">
      <w:pPr>
        <w:spacing w:after="150"/>
        <w:rPr>
          <w:sz w:val="24"/>
          <w:szCs w:val="24"/>
        </w:rPr>
      </w:pPr>
      <w:r w:rsidRPr="00106755">
        <w:rPr>
          <w:sz w:val="24"/>
          <w:szCs w:val="24"/>
        </w:rPr>
        <w:lastRenderedPageBreak/>
        <w:t>Kyle described the approach of looking to Saratoga Springs as a reference model, where the MDR zone requires only that the mix of housing types be dispersed throughout the development rather than segregated into distinct blocks by unit type — meaning single-family homes, duplexes, and fourplexes would be intermingled rather than isolated. The Commission found the concept of dispersal appealing.</w:t>
      </w:r>
    </w:p>
    <w:p w14:paraId="172F12A3" w14:textId="5C694DF0" w:rsidR="00894019" w:rsidRPr="00106755" w:rsidRDefault="00894019" w:rsidP="00894019">
      <w:pPr>
        <w:spacing w:after="150"/>
        <w:rPr>
          <w:sz w:val="24"/>
          <w:szCs w:val="24"/>
        </w:rPr>
      </w:pPr>
      <w:r w:rsidRPr="00106755">
        <w:rPr>
          <w:sz w:val="24"/>
          <w:szCs w:val="24"/>
        </w:rPr>
        <w:t xml:space="preserve">Commissioner </w:t>
      </w:r>
      <w:r w:rsidR="00C3213D">
        <w:rPr>
          <w:sz w:val="24"/>
          <w:szCs w:val="24"/>
        </w:rPr>
        <w:t>Williams</w:t>
      </w:r>
      <w:r w:rsidRPr="00106755">
        <w:rPr>
          <w:sz w:val="24"/>
          <w:szCs w:val="24"/>
        </w:rPr>
        <w:t xml:space="preserve"> reiterated h</w:t>
      </w:r>
      <w:r w:rsidR="00C3213D">
        <w:rPr>
          <w:sz w:val="24"/>
          <w:szCs w:val="24"/>
        </w:rPr>
        <w:t>e</w:t>
      </w:r>
      <w:r w:rsidR="0004247E">
        <w:rPr>
          <w:sz w:val="24"/>
          <w:szCs w:val="24"/>
        </w:rPr>
        <w:t>r</w:t>
      </w:r>
      <w:r w:rsidRPr="00106755">
        <w:rPr>
          <w:sz w:val="24"/>
          <w:szCs w:val="24"/>
        </w:rPr>
        <w:t xml:space="preserve"> support for using digital and in-person open house presentations to give the public an opportunity to visualize proposed zone types before formal hearings, noting that a prior in-person outreach event had low attendance due to timing constraints, and that a digital component available on the city's website would capture more public feedback.</w:t>
      </w:r>
    </w:p>
    <w:p w14:paraId="03EAC512" w14:textId="77777777" w:rsidR="00894019" w:rsidRPr="00894019" w:rsidRDefault="00894019" w:rsidP="00894019">
      <w:pPr>
        <w:spacing w:after="150"/>
      </w:pPr>
      <w:r w:rsidRPr="00894019">
        <w:rPr>
          <w:b/>
          <w:bCs/>
        </w:rPr>
        <w:t>Low Density Residential (LDR) Zone</w:t>
      </w:r>
    </w:p>
    <w:p w14:paraId="6096EC73" w14:textId="77777777" w:rsidR="00894019" w:rsidRPr="00106755" w:rsidRDefault="00894019" w:rsidP="00894019">
      <w:pPr>
        <w:spacing w:after="150"/>
        <w:rPr>
          <w:sz w:val="24"/>
          <w:szCs w:val="24"/>
        </w:rPr>
      </w:pPr>
      <w:r w:rsidRPr="00106755">
        <w:rPr>
          <w:sz w:val="24"/>
          <w:szCs w:val="24"/>
        </w:rPr>
        <w:t>Kyle explained that the LDR zone was essentially a rebranding and expansion of the R2 zone, as previously discussed under agenda item 7b. The key change was not to the purpose or character of low-density residential development, but to the range of permissible lot sizes, removing the rigid half-acre minimum in favor of a broader range that would also accommodate quarter-acre lots. Kyle noted that this flexibility would allow property owners to develop without needing to pursue a formal rezone, which staff expected would encourage more timely development of currently underutilized R2 parcels.</w:t>
      </w:r>
    </w:p>
    <w:p w14:paraId="18F9D85D" w14:textId="77777777" w:rsidR="00894019" w:rsidRPr="00894019" w:rsidRDefault="00894019" w:rsidP="00894019">
      <w:pPr>
        <w:spacing w:after="150"/>
      </w:pPr>
      <w:r w:rsidRPr="00894019">
        <w:rPr>
          <w:b/>
          <w:bCs/>
        </w:rPr>
        <w:t>General Discussion on Zone Establishment</w:t>
      </w:r>
    </w:p>
    <w:p w14:paraId="43EE206E" w14:textId="77777777" w:rsidR="00894019" w:rsidRPr="00106755" w:rsidRDefault="00894019" w:rsidP="00894019">
      <w:pPr>
        <w:spacing w:after="150"/>
        <w:rPr>
          <w:sz w:val="24"/>
          <w:szCs w:val="24"/>
        </w:rPr>
      </w:pPr>
      <w:r w:rsidRPr="00106755">
        <w:rPr>
          <w:sz w:val="24"/>
          <w:szCs w:val="24"/>
        </w:rPr>
        <w:t>Chair Lee asked whether there remained any reason to preserve the existing Senior PUD zone as a standalone designation. Layton expressed the view that the senior PUD could be dissolved and absorbed into either the HDR or CDR zones, as the lot sizes and setbacks proposed for those new zones were comparable to those in the Senior PUD. He suggested the transition would be seamless.</w:t>
      </w:r>
    </w:p>
    <w:p w14:paraId="215F0217" w14:textId="220F9C9C" w:rsidR="00894019" w:rsidRPr="00106755" w:rsidRDefault="00894019" w:rsidP="00894019">
      <w:pPr>
        <w:spacing w:after="150"/>
        <w:rPr>
          <w:sz w:val="24"/>
          <w:szCs w:val="24"/>
        </w:rPr>
      </w:pPr>
      <w:r w:rsidRPr="00106755">
        <w:rPr>
          <w:sz w:val="24"/>
          <w:szCs w:val="24"/>
        </w:rPr>
        <w:t xml:space="preserve">Chair Lee also asked about the fate of the Core zone. Layton indicated that the Core zone would be left intact, citing its unique lot configurations, varying sidewalk widths, and historic character as reasons to preserve it as a distinct designation rather than fold it into the new framework. </w:t>
      </w:r>
      <w:r w:rsidR="00106755">
        <w:rPr>
          <w:sz w:val="24"/>
          <w:szCs w:val="24"/>
        </w:rPr>
        <w:t>Sh</w:t>
      </w:r>
      <w:r w:rsidRPr="00106755">
        <w:rPr>
          <w:sz w:val="24"/>
          <w:szCs w:val="24"/>
        </w:rPr>
        <w:t>e noted that the city had received visitors from out of town earlier that day who remarked specifically on the charm and historic feel of the Core area, which Layton credited to its preservation as a distinct zone.</w:t>
      </w:r>
    </w:p>
    <w:p w14:paraId="54DFF5EF" w14:textId="495CF6AF" w:rsidR="00894019" w:rsidRPr="00106755" w:rsidRDefault="00894019" w:rsidP="00894019">
      <w:pPr>
        <w:spacing w:after="150"/>
        <w:rPr>
          <w:sz w:val="24"/>
          <w:szCs w:val="24"/>
        </w:rPr>
      </w:pPr>
      <w:r w:rsidRPr="00106755">
        <w:rPr>
          <w:sz w:val="24"/>
          <w:szCs w:val="24"/>
        </w:rPr>
        <w:t xml:space="preserve">Layton closed the discussion by reiterating that </w:t>
      </w:r>
      <w:r w:rsidR="00106755" w:rsidRPr="00106755">
        <w:rPr>
          <w:sz w:val="24"/>
          <w:szCs w:val="24"/>
        </w:rPr>
        <w:t>all</w:t>
      </w:r>
      <w:r w:rsidRPr="00106755">
        <w:rPr>
          <w:sz w:val="24"/>
          <w:szCs w:val="24"/>
        </w:rPr>
        <w:t xml:space="preserve"> the discussion materials — PowerPoint presentations, talking points, and draft standards — were being stored in a shared Box folder for the Commission's ongoing review. </w:t>
      </w:r>
      <w:r w:rsidR="0004247E">
        <w:rPr>
          <w:sz w:val="24"/>
          <w:szCs w:val="24"/>
        </w:rPr>
        <w:t>Sh</w:t>
      </w:r>
      <w:r w:rsidRPr="00106755">
        <w:rPr>
          <w:sz w:val="24"/>
          <w:szCs w:val="24"/>
        </w:rPr>
        <w:t xml:space="preserve">e invited Commissioners to provide feedback by email or through a visit to the planning </w:t>
      </w:r>
      <w:r w:rsidR="00106755" w:rsidRPr="00106755">
        <w:rPr>
          <w:sz w:val="24"/>
          <w:szCs w:val="24"/>
        </w:rPr>
        <w:t>office and</w:t>
      </w:r>
      <w:r w:rsidRPr="00106755">
        <w:rPr>
          <w:sz w:val="24"/>
          <w:szCs w:val="24"/>
        </w:rPr>
        <w:t xml:space="preserve"> confirmed that no formal action was required that evening.</w:t>
      </w:r>
    </w:p>
    <w:p w14:paraId="7D784150" w14:textId="77777777" w:rsidR="00DF14B3" w:rsidRPr="00DF14B3" w:rsidRDefault="00DF14B3" w:rsidP="00DF14B3"/>
    <w:p w14:paraId="448E605D" w14:textId="77777777" w:rsidR="00A51A71" w:rsidRDefault="00C54F42" w:rsidP="00A51A71">
      <w:pPr>
        <w:pStyle w:val="Heading2"/>
        <w:spacing w:before="0" w:after="0"/>
        <w:rPr>
          <w:b/>
          <w:bCs/>
          <w:u w:val="single"/>
        </w:rPr>
      </w:pPr>
      <w:r>
        <w:rPr>
          <w:b/>
          <w:bCs/>
          <w:u w:val="single"/>
        </w:rPr>
        <w:t>Future Items</w:t>
      </w:r>
    </w:p>
    <w:p w14:paraId="5842345E" w14:textId="6694D8D5" w:rsidR="00894019" w:rsidRPr="00894019" w:rsidRDefault="00894019" w:rsidP="00894019">
      <w:pPr>
        <w:rPr>
          <w:b/>
          <w:bCs/>
        </w:rPr>
      </w:pPr>
      <w:r w:rsidRPr="00894019">
        <w:rPr>
          <w:b/>
          <w:bCs/>
        </w:rPr>
        <w:t>a. Visionary DA Work Session June 24, 2026</w:t>
      </w:r>
    </w:p>
    <w:p w14:paraId="7EDFDDF3" w14:textId="0DFA7845" w:rsidR="00894019" w:rsidRPr="00106755" w:rsidRDefault="00894019" w:rsidP="00894019">
      <w:pPr>
        <w:rPr>
          <w:sz w:val="24"/>
          <w:szCs w:val="24"/>
        </w:rPr>
      </w:pPr>
      <w:r w:rsidRPr="00106755">
        <w:rPr>
          <w:sz w:val="24"/>
          <w:szCs w:val="24"/>
        </w:rPr>
        <w:t xml:space="preserve">Layton confirmed that a work session on the Visionary development agreement was scheduled for Wednesday, June 24, </w:t>
      </w:r>
      <w:r w:rsidR="00106755" w:rsidRPr="00106755">
        <w:rPr>
          <w:sz w:val="24"/>
          <w:szCs w:val="24"/>
        </w:rPr>
        <w:t>2026,</w:t>
      </w:r>
      <w:r w:rsidRPr="00106755">
        <w:rPr>
          <w:sz w:val="24"/>
          <w:szCs w:val="24"/>
        </w:rPr>
        <w:t xml:space="preserve"> at 6:00 PM, one week prior to the next regular meeting. </w:t>
      </w:r>
      <w:r w:rsidR="00106755">
        <w:rPr>
          <w:sz w:val="24"/>
          <w:szCs w:val="24"/>
        </w:rPr>
        <w:t>Sh</w:t>
      </w:r>
      <w:r w:rsidRPr="00106755">
        <w:rPr>
          <w:sz w:val="24"/>
          <w:szCs w:val="24"/>
        </w:rPr>
        <w:t xml:space="preserve">e noted that following the Commission's prior vote and the subsequent City Council workshop, Visionary Homes had pulled their application to rework portions of </w:t>
      </w:r>
      <w:r w:rsidRPr="00106755">
        <w:rPr>
          <w:sz w:val="24"/>
          <w:szCs w:val="24"/>
        </w:rPr>
        <w:lastRenderedPageBreak/>
        <w:t xml:space="preserve">the development agreement, and the June 24 session would be a pre-meeting workshop on the revised document. Layton indicated </w:t>
      </w:r>
      <w:r w:rsidR="00106755">
        <w:rPr>
          <w:sz w:val="24"/>
          <w:szCs w:val="24"/>
        </w:rPr>
        <w:t>s</w:t>
      </w:r>
      <w:r w:rsidRPr="00106755">
        <w:rPr>
          <w:sz w:val="24"/>
          <w:szCs w:val="24"/>
        </w:rPr>
        <w:t>he would notify the Commission if the applicant was not ready.</w:t>
      </w:r>
    </w:p>
    <w:p w14:paraId="6D52B161" w14:textId="4C5EA798" w:rsidR="00894019" w:rsidRPr="00106755" w:rsidRDefault="00894019" w:rsidP="00894019">
      <w:pPr>
        <w:rPr>
          <w:sz w:val="24"/>
          <w:szCs w:val="24"/>
        </w:rPr>
      </w:pPr>
      <w:r w:rsidRPr="00106755">
        <w:rPr>
          <w:sz w:val="24"/>
          <w:szCs w:val="24"/>
        </w:rPr>
        <w:t xml:space="preserve">Chair Lee expressed some dissatisfaction with the format of the prior Visionary work session, noting that it had been difficult for the applicant to receive productive, focused feedback when ten or more voices were contributing from the Commission's side. She suggested that the Commission should arrive with a more clearly defined set of sticking points, particularly focused on the last page of the development agreement — the section addressing what the city would receive in exchange for the additional density being granted. Layton </w:t>
      </w:r>
      <w:r w:rsidR="00106755" w:rsidRPr="00106755">
        <w:rPr>
          <w:sz w:val="24"/>
          <w:szCs w:val="24"/>
        </w:rPr>
        <w:t>agreed and</w:t>
      </w:r>
      <w:r w:rsidRPr="00106755">
        <w:rPr>
          <w:sz w:val="24"/>
          <w:szCs w:val="24"/>
        </w:rPr>
        <w:t xml:space="preserve"> added that the responsibility for leading a structured discussion of the development agreement terms should appropriately rest with the applicant, not with the Commission. He also noted that decisions of this nature — whether the city is getting sufficient value from a development agreement — are fundamentally City Council determinations, reinforcing the broader discussion about moving development agreement public hearings to the Council level.</w:t>
      </w:r>
    </w:p>
    <w:p w14:paraId="186BCB0E" w14:textId="06090CA6" w:rsidR="00894019" w:rsidRPr="00894019" w:rsidRDefault="00894019" w:rsidP="00894019">
      <w:pPr>
        <w:rPr>
          <w:b/>
          <w:bCs/>
        </w:rPr>
      </w:pPr>
      <w:r w:rsidRPr="00894019">
        <w:rPr>
          <w:b/>
          <w:bCs/>
        </w:rPr>
        <w:t xml:space="preserve">b. Next Meeting July 1, 2026 </w:t>
      </w:r>
    </w:p>
    <w:p w14:paraId="7A599274" w14:textId="77777777" w:rsidR="00894019" w:rsidRPr="00106755" w:rsidRDefault="00894019" w:rsidP="00894019">
      <w:pPr>
        <w:rPr>
          <w:sz w:val="24"/>
          <w:szCs w:val="24"/>
        </w:rPr>
      </w:pPr>
      <w:r w:rsidRPr="00106755">
        <w:rPr>
          <w:sz w:val="24"/>
          <w:szCs w:val="24"/>
        </w:rPr>
        <w:t>Chair Lee confirmed that the next regular Planning Commission meeting would be held on Wednesday, July 1, 2026. All three Commissioners present confirmed their availability.</w:t>
      </w:r>
    </w:p>
    <w:p w14:paraId="51CD3060" w14:textId="77777777" w:rsidR="00894019" w:rsidRPr="00894019" w:rsidRDefault="00894019" w:rsidP="00894019"/>
    <w:p w14:paraId="71EBBEBC" w14:textId="0E95E98C" w:rsidR="009C613A" w:rsidRPr="00A23B72" w:rsidRDefault="007C6A11" w:rsidP="00B227A6">
      <w:pPr>
        <w:pStyle w:val="Heading2"/>
        <w:spacing w:before="0" w:after="0"/>
        <w:rPr>
          <w:b/>
          <w:bCs/>
          <w:u w:val="single"/>
        </w:rPr>
      </w:pPr>
      <w:r w:rsidRPr="00A23B72">
        <w:rPr>
          <w:b/>
          <w:bCs/>
          <w:u w:val="single"/>
        </w:rPr>
        <w:t>Adjourn</w:t>
      </w:r>
    </w:p>
    <w:p w14:paraId="35AE6837" w14:textId="77777777" w:rsidR="00894019" w:rsidRPr="00106755" w:rsidRDefault="00894019" w:rsidP="00894019">
      <w:pPr>
        <w:rPr>
          <w:sz w:val="24"/>
          <w:szCs w:val="24"/>
        </w:rPr>
      </w:pPr>
      <w:r w:rsidRPr="00106755">
        <w:rPr>
          <w:sz w:val="24"/>
          <w:szCs w:val="24"/>
        </w:rPr>
        <w:t>Chair Lee called for any objections to adjournment. Hearing none, the meeting was adjourned at approximately 8:55 PM.</w:t>
      </w:r>
    </w:p>
    <w:p w14:paraId="07ED8122" w14:textId="77777777" w:rsidR="00A362F7" w:rsidRDefault="00A362F7" w:rsidP="00A362F7"/>
    <w:p w14:paraId="64040FA1" w14:textId="77777777" w:rsidR="00A362F7" w:rsidRPr="00A362F7" w:rsidRDefault="00A362F7" w:rsidP="00A362F7"/>
    <w:p w14:paraId="54A79AC7" w14:textId="77777777" w:rsidR="005D6E75" w:rsidRDefault="005D6E75">
      <w:pPr>
        <w:spacing w:after="150"/>
      </w:pPr>
    </w:p>
    <w:p w14:paraId="68955955" w14:textId="16875D7D" w:rsidR="005D6E75" w:rsidRDefault="005D6E75">
      <w:pPr>
        <w:spacing w:after="150"/>
      </w:pPr>
      <w:r>
        <w:t>______________________________________________________________________</w:t>
      </w:r>
    </w:p>
    <w:p w14:paraId="2700A18C" w14:textId="4D63C6E0" w:rsidR="005D6E75" w:rsidRDefault="005D6E75">
      <w:pPr>
        <w:spacing w:after="150"/>
      </w:pPr>
      <w:r>
        <w:t>Colette Dursteler</w:t>
      </w:r>
    </w:p>
    <w:p w14:paraId="06DF5311" w14:textId="71EC51AB" w:rsidR="005D6E75" w:rsidRDefault="005D6E75">
      <w:pPr>
        <w:spacing w:after="150"/>
      </w:pPr>
      <w:r>
        <w:t>Planning Assistant</w:t>
      </w:r>
    </w:p>
    <w:sectPr w:rsidR="005D6E75" w:rsidSect="009C75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870F" w14:textId="77777777" w:rsidR="002A2F5A" w:rsidRDefault="002A2F5A" w:rsidP="00EA231F">
      <w:r>
        <w:separator/>
      </w:r>
    </w:p>
  </w:endnote>
  <w:endnote w:type="continuationSeparator" w:id="0">
    <w:p w14:paraId="1F3C696B" w14:textId="77777777" w:rsidR="002A2F5A" w:rsidRDefault="002A2F5A" w:rsidP="00EA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B654" w14:textId="77777777" w:rsidR="006E55C1" w:rsidRDefault="006E5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5623"/>
      <w:docPartObj>
        <w:docPartGallery w:val="Page Numbers (Bottom of Page)"/>
        <w:docPartUnique/>
      </w:docPartObj>
    </w:sdtPr>
    <w:sdtEndPr/>
    <w:sdtContent>
      <w:sdt>
        <w:sdtPr>
          <w:id w:val="-1769616900"/>
          <w:docPartObj>
            <w:docPartGallery w:val="Page Numbers (Top of Page)"/>
            <w:docPartUnique/>
          </w:docPartObj>
        </w:sdtPr>
        <w:sdtEndPr/>
        <w:sdtContent>
          <w:p w14:paraId="2F6B6AB4" w14:textId="714874F6" w:rsidR="00EA231F" w:rsidRDefault="00EA23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E41647" w14:textId="1758349C" w:rsidR="00EA231F" w:rsidRDefault="00382343">
    <w:pPr>
      <w:pStyle w:val="Footer"/>
    </w:pPr>
    <w:r>
      <w:t xml:space="preserve">Planning Commission </w:t>
    </w:r>
    <w:r w:rsidR="006D6170">
      <w:t>June 17</w:t>
    </w:r>
    <w: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29F0" w14:textId="77777777" w:rsidR="006E55C1" w:rsidRDefault="006E5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EB5F" w14:textId="77777777" w:rsidR="002A2F5A" w:rsidRDefault="002A2F5A" w:rsidP="00EA231F">
      <w:r>
        <w:separator/>
      </w:r>
    </w:p>
  </w:footnote>
  <w:footnote w:type="continuationSeparator" w:id="0">
    <w:p w14:paraId="6E6D84C3" w14:textId="77777777" w:rsidR="002A2F5A" w:rsidRDefault="002A2F5A" w:rsidP="00EA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A8B2" w14:textId="77777777" w:rsidR="006E55C1" w:rsidRDefault="006E5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06BF" w14:textId="65C3933E" w:rsidR="00EA231F" w:rsidRDefault="002A2F5A">
    <w:pPr>
      <w:pStyle w:val="Header"/>
    </w:pPr>
    <w:r>
      <w:rPr>
        <w:noProof/>
      </w:rPr>
      <w:object w:dxaOrig="7485" w:dyaOrig="4140" w14:anchorId="5E73E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7.75pt;margin-top:-13.85pt;width:108pt;height:60pt;z-index:251658240;mso-wrap-edited:f;mso-position-horizontal-relative:text;mso-position-vertical-relative:text" wrapcoords="-100 0 -100 21420 21600 21420 21600 0 -100 0">
          <v:imagedata r:id="rId1" o:title=""/>
          <w10:wrap type="tight"/>
        </v:shape>
        <o:OLEObject Type="Embed" ProgID="MSPhotoEd.3" ShapeID="_x0000_s1025" DrawAspect="Content" ObjectID="_1846124241" r:id="rId2"/>
      </w:object>
    </w:r>
    <w:r w:rsidR="009C750B">
      <w:tab/>
    </w:r>
    <w:r w:rsidR="009C75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D5DB" w14:textId="77777777" w:rsidR="006E55C1" w:rsidRDefault="006E5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3B1"/>
    <w:multiLevelType w:val="multilevel"/>
    <w:tmpl w:val="5BE26A9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2C79A5"/>
    <w:multiLevelType w:val="hybridMultilevel"/>
    <w:tmpl w:val="3EEA0FA6"/>
    <w:lvl w:ilvl="0" w:tplc="9C1EA542">
      <w:start w:val="1"/>
      <w:numFmt w:val="bullet"/>
      <w:lvlText w:val="●"/>
      <w:lvlJc w:val="left"/>
      <w:pPr>
        <w:ind w:left="720" w:hanging="360"/>
      </w:pPr>
    </w:lvl>
    <w:lvl w:ilvl="1" w:tplc="537642B4">
      <w:start w:val="1"/>
      <w:numFmt w:val="bullet"/>
      <w:lvlText w:val="○"/>
      <w:lvlJc w:val="left"/>
      <w:pPr>
        <w:ind w:left="1440" w:hanging="360"/>
      </w:pPr>
    </w:lvl>
    <w:lvl w:ilvl="2" w:tplc="48F0A850">
      <w:start w:val="1"/>
      <w:numFmt w:val="bullet"/>
      <w:lvlText w:val="■"/>
      <w:lvlJc w:val="left"/>
      <w:pPr>
        <w:ind w:left="2160" w:hanging="360"/>
      </w:pPr>
    </w:lvl>
    <w:lvl w:ilvl="3" w:tplc="73DA166A">
      <w:start w:val="1"/>
      <w:numFmt w:val="bullet"/>
      <w:lvlText w:val="●"/>
      <w:lvlJc w:val="left"/>
      <w:pPr>
        <w:ind w:left="2880" w:hanging="360"/>
      </w:pPr>
    </w:lvl>
    <w:lvl w:ilvl="4" w:tplc="2516107E">
      <w:start w:val="1"/>
      <w:numFmt w:val="bullet"/>
      <w:lvlText w:val="○"/>
      <w:lvlJc w:val="left"/>
      <w:pPr>
        <w:ind w:left="3600" w:hanging="360"/>
      </w:pPr>
    </w:lvl>
    <w:lvl w:ilvl="5" w:tplc="FF6EE7C6">
      <w:start w:val="1"/>
      <w:numFmt w:val="bullet"/>
      <w:lvlText w:val="■"/>
      <w:lvlJc w:val="left"/>
      <w:pPr>
        <w:ind w:left="4320" w:hanging="360"/>
      </w:pPr>
    </w:lvl>
    <w:lvl w:ilvl="6" w:tplc="5802A2C6">
      <w:start w:val="1"/>
      <w:numFmt w:val="bullet"/>
      <w:lvlText w:val="●"/>
      <w:lvlJc w:val="left"/>
      <w:pPr>
        <w:ind w:left="5040" w:hanging="360"/>
      </w:pPr>
    </w:lvl>
    <w:lvl w:ilvl="7" w:tplc="07825B14">
      <w:start w:val="1"/>
      <w:numFmt w:val="bullet"/>
      <w:lvlText w:val="●"/>
      <w:lvlJc w:val="left"/>
      <w:pPr>
        <w:ind w:left="5760" w:hanging="360"/>
      </w:pPr>
    </w:lvl>
    <w:lvl w:ilvl="8" w:tplc="A0D47C2E">
      <w:start w:val="1"/>
      <w:numFmt w:val="bullet"/>
      <w:lvlText w:val="●"/>
      <w:lvlJc w:val="left"/>
      <w:pPr>
        <w:ind w:left="6480" w:hanging="360"/>
      </w:pPr>
    </w:lvl>
  </w:abstractNum>
  <w:abstractNum w:abstractNumId="2" w15:restartNumberingAfterBreak="0">
    <w:nsid w:val="2C962B3F"/>
    <w:multiLevelType w:val="multilevel"/>
    <w:tmpl w:val="B4E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E0AC2"/>
    <w:multiLevelType w:val="multilevel"/>
    <w:tmpl w:val="C9A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B60C8"/>
    <w:multiLevelType w:val="hybridMultilevel"/>
    <w:tmpl w:val="EDA465C8"/>
    <w:lvl w:ilvl="0" w:tplc="1F0A4662">
      <w:start w:val="1"/>
      <w:numFmt w:val="bullet"/>
      <w:lvlText w:val="●"/>
      <w:lvlJc w:val="left"/>
      <w:pPr>
        <w:ind w:left="720" w:hanging="360"/>
      </w:pPr>
    </w:lvl>
    <w:lvl w:ilvl="1" w:tplc="7E34094C">
      <w:start w:val="1"/>
      <w:numFmt w:val="bullet"/>
      <w:lvlText w:val="○"/>
      <w:lvlJc w:val="left"/>
      <w:pPr>
        <w:ind w:left="1440" w:hanging="360"/>
      </w:pPr>
    </w:lvl>
    <w:lvl w:ilvl="2" w:tplc="14EE4A9A">
      <w:start w:val="1"/>
      <w:numFmt w:val="bullet"/>
      <w:lvlText w:val="■"/>
      <w:lvlJc w:val="left"/>
      <w:pPr>
        <w:ind w:left="2160" w:hanging="360"/>
      </w:pPr>
    </w:lvl>
    <w:lvl w:ilvl="3" w:tplc="80665CAE">
      <w:start w:val="1"/>
      <w:numFmt w:val="bullet"/>
      <w:lvlText w:val="●"/>
      <w:lvlJc w:val="left"/>
      <w:pPr>
        <w:ind w:left="2880" w:hanging="360"/>
      </w:pPr>
    </w:lvl>
    <w:lvl w:ilvl="4" w:tplc="D6E0D950">
      <w:start w:val="1"/>
      <w:numFmt w:val="bullet"/>
      <w:lvlText w:val="○"/>
      <w:lvlJc w:val="left"/>
      <w:pPr>
        <w:ind w:left="3600" w:hanging="360"/>
      </w:pPr>
    </w:lvl>
    <w:lvl w:ilvl="5" w:tplc="5CA0E3BA">
      <w:start w:val="1"/>
      <w:numFmt w:val="bullet"/>
      <w:lvlText w:val="■"/>
      <w:lvlJc w:val="left"/>
      <w:pPr>
        <w:ind w:left="4320" w:hanging="360"/>
      </w:pPr>
    </w:lvl>
    <w:lvl w:ilvl="6" w:tplc="EE0AA780">
      <w:start w:val="1"/>
      <w:numFmt w:val="bullet"/>
      <w:lvlText w:val="●"/>
      <w:lvlJc w:val="left"/>
      <w:pPr>
        <w:ind w:left="5040" w:hanging="360"/>
      </w:pPr>
    </w:lvl>
    <w:lvl w:ilvl="7" w:tplc="52B2F0BA">
      <w:start w:val="1"/>
      <w:numFmt w:val="bullet"/>
      <w:lvlText w:val="●"/>
      <w:lvlJc w:val="left"/>
      <w:pPr>
        <w:ind w:left="5760" w:hanging="360"/>
      </w:pPr>
    </w:lvl>
    <w:lvl w:ilvl="8" w:tplc="CADCF464">
      <w:start w:val="1"/>
      <w:numFmt w:val="bullet"/>
      <w:lvlText w:val="●"/>
      <w:lvlJc w:val="left"/>
      <w:pPr>
        <w:ind w:left="6480" w:hanging="360"/>
      </w:pPr>
    </w:lvl>
  </w:abstractNum>
  <w:abstractNum w:abstractNumId="5" w15:restartNumberingAfterBreak="0">
    <w:nsid w:val="54434B6C"/>
    <w:multiLevelType w:val="multilevel"/>
    <w:tmpl w:val="6E8E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10A03"/>
    <w:multiLevelType w:val="hybridMultilevel"/>
    <w:tmpl w:val="C938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E3E5F"/>
    <w:multiLevelType w:val="multilevel"/>
    <w:tmpl w:val="E506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D7A61"/>
    <w:multiLevelType w:val="hybridMultilevel"/>
    <w:tmpl w:val="62F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76862"/>
    <w:multiLevelType w:val="multilevel"/>
    <w:tmpl w:val="979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910564">
    <w:abstractNumId w:val="4"/>
    <w:lvlOverride w:ilvl="0">
      <w:startOverride w:val="1"/>
    </w:lvlOverride>
  </w:num>
  <w:num w:numId="2" w16cid:durableId="685980313">
    <w:abstractNumId w:val="8"/>
  </w:num>
  <w:num w:numId="3" w16cid:durableId="475685476">
    <w:abstractNumId w:val="6"/>
  </w:num>
  <w:num w:numId="4" w16cid:durableId="1094322821">
    <w:abstractNumId w:val="1"/>
    <w:lvlOverride w:ilvl="0">
      <w:startOverride w:val="1"/>
    </w:lvlOverride>
  </w:num>
  <w:num w:numId="5" w16cid:durableId="1606428363">
    <w:abstractNumId w:val="9"/>
  </w:num>
  <w:num w:numId="6" w16cid:durableId="1475835543">
    <w:abstractNumId w:val="7"/>
  </w:num>
  <w:num w:numId="7" w16cid:durableId="36707214">
    <w:abstractNumId w:val="2"/>
  </w:num>
  <w:num w:numId="8" w16cid:durableId="1963807160">
    <w:abstractNumId w:val="5"/>
  </w:num>
  <w:num w:numId="9" w16cid:durableId="175925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3A"/>
    <w:rsid w:val="00025903"/>
    <w:rsid w:val="0003702E"/>
    <w:rsid w:val="0004247E"/>
    <w:rsid w:val="00074FF0"/>
    <w:rsid w:val="0007546A"/>
    <w:rsid w:val="000D5173"/>
    <w:rsid w:val="000D5C6A"/>
    <w:rsid w:val="000F3770"/>
    <w:rsid w:val="000F6874"/>
    <w:rsid w:val="000F7CCA"/>
    <w:rsid w:val="00106755"/>
    <w:rsid w:val="00111672"/>
    <w:rsid w:val="001626B4"/>
    <w:rsid w:val="001856A7"/>
    <w:rsid w:val="001A2C8A"/>
    <w:rsid w:val="001E5507"/>
    <w:rsid w:val="002916DE"/>
    <w:rsid w:val="0029299F"/>
    <w:rsid w:val="002A2F5A"/>
    <w:rsid w:val="002B2966"/>
    <w:rsid w:val="002B2C1D"/>
    <w:rsid w:val="002D5CF9"/>
    <w:rsid w:val="002D7358"/>
    <w:rsid w:val="00354CD9"/>
    <w:rsid w:val="003724E8"/>
    <w:rsid w:val="00382343"/>
    <w:rsid w:val="003A2C8B"/>
    <w:rsid w:val="003A6F23"/>
    <w:rsid w:val="003F6ACA"/>
    <w:rsid w:val="00401588"/>
    <w:rsid w:val="0045688D"/>
    <w:rsid w:val="00542F0D"/>
    <w:rsid w:val="00570F54"/>
    <w:rsid w:val="005A1112"/>
    <w:rsid w:val="005B187E"/>
    <w:rsid w:val="005C13F7"/>
    <w:rsid w:val="005D2995"/>
    <w:rsid w:val="005D6E75"/>
    <w:rsid w:val="00663C27"/>
    <w:rsid w:val="006A2A83"/>
    <w:rsid w:val="006C33C8"/>
    <w:rsid w:val="006C7C13"/>
    <w:rsid w:val="006D6170"/>
    <w:rsid w:val="006D74BC"/>
    <w:rsid w:val="006E55C1"/>
    <w:rsid w:val="006F7572"/>
    <w:rsid w:val="007C6A11"/>
    <w:rsid w:val="007D1DFB"/>
    <w:rsid w:val="007E630D"/>
    <w:rsid w:val="007F47A2"/>
    <w:rsid w:val="00802D96"/>
    <w:rsid w:val="00883CA5"/>
    <w:rsid w:val="00894019"/>
    <w:rsid w:val="008F5663"/>
    <w:rsid w:val="00955E97"/>
    <w:rsid w:val="00976494"/>
    <w:rsid w:val="00994286"/>
    <w:rsid w:val="009C17C4"/>
    <w:rsid w:val="009C5988"/>
    <w:rsid w:val="009C613A"/>
    <w:rsid w:val="009C750B"/>
    <w:rsid w:val="00A2062D"/>
    <w:rsid w:val="00A23B72"/>
    <w:rsid w:val="00A2703D"/>
    <w:rsid w:val="00A362F7"/>
    <w:rsid w:val="00A51A71"/>
    <w:rsid w:val="00A63709"/>
    <w:rsid w:val="00A83CA9"/>
    <w:rsid w:val="00AB70EB"/>
    <w:rsid w:val="00AE4551"/>
    <w:rsid w:val="00AE7F0D"/>
    <w:rsid w:val="00B101EB"/>
    <w:rsid w:val="00B227A6"/>
    <w:rsid w:val="00B238E3"/>
    <w:rsid w:val="00B25059"/>
    <w:rsid w:val="00B41E72"/>
    <w:rsid w:val="00B4743F"/>
    <w:rsid w:val="00BC5814"/>
    <w:rsid w:val="00C16E4C"/>
    <w:rsid w:val="00C27C17"/>
    <w:rsid w:val="00C3213D"/>
    <w:rsid w:val="00C41238"/>
    <w:rsid w:val="00C54F42"/>
    <w:rsid w:val="00C764FB"/>
    <w:rsid w:val="00CB289B"/>
    <w:rsid w:val="00CB3C65"/>
    <w:rsid w:val="00CF02B3"/>
    <w:rsid w:val="00CF0754"/>
    <w:rsid w:val="00CF4729"/>
    <w:rsid w:val="00D34E5D"/>
    <w:rsid w:val="00D51413"/>
    <w:rsid w:val="00D54C94"/>
    <w:rsid w:val="00D758B2"/>
    <w:rsid w:val="00D958A3"/>
    <w:rsid w:val="00DD1CFE"/>
    <w:rsid w:val="00DD2E20"/>
    <w:rsid w:val="00DF14B3"/>
    <w:rsid w:val="00E16946"/>
    <w:rsid w:val="00E538DD"/>
    <w:rsid w:val="00E95524"/>
    <w:rsid w:val="00EA231F"/>
    <w:rsid w:val="00EE0372"/>
    <w:rsid w:val="00F004B8"/>
    <w:rsid w:val="00F27DD7"/>
    <w:rsid w:val="00F50B2B"/>
    <w:rsid w:val="00F63393"/>
    <w:rsid w:val="00FB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D8CB"/>
  <w15:docId w15:val="{9133CCE5-3728-4ADA-B7B4-1C51AFE9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 w:eastAsia="Inter" w:hAnsi="Inter" w:cs="Inter"/>
      <w:sz w:val="23"/>
      <w:szCs w:val="23"/>
    </w:rPr>
  </w:style>
  <w:style w:type="paragraph" w:styleId="Heading1">
    <w:name w:val="heading 1"/>
    <w:basedOn w:val="Normal"/>
    <w:next w:val="Normal"/>
    <w:uiPriority w:val="9"/>
    <w:qFormat/>
    <w:pPr>
      <w:spacing w:after="120"/>
      <w:outlineLvl w:val="0"/>
    </w:pPr>
    <w:rPr>
      <w:sz w:val="35"/>
      <w:szCs w:val="35"/>
    </w:rPr>
  </w:style>
  <w:style w:type="paragraph" w:styleId="Heading2">
    <w:name w:val="heading 2"/>
    <w:basedOn w:val="Normal"/>
    <w:next w:val="Normal"/>
    <w:uiPriority w:val="9"/>
    <w:unhideWhenUsed/>
    <w:qFormat/>
    <w:pPr>
      <w:spacing w:before="500" w:after="120"/>
      <w:outlineLvl w:val="1"/>
    </w:pPr>
    <w:rPr>
      <w:sz w:val="30"/>
      <w:szCs w:val="30"/>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5"/>
      <w:szCs w:val="2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paragraph" w:styleId="Header">
    <w:name w:val="header"/>
    <w:basedOn w:val="Normal"/>
    <w:link w:val="HeaderChar"/>
    <w:uiPriority w:val="99"/>
    <w:unhideWhenUsed/>
    <w:rsid w:val="00EA231F"/>
    <w:pPr>
      <w:tabs>
        <w:tab w:val="center" w:pos="4680"/>
        <w:tab w:val="right" w:pos="9360"/>
      </w:tabs>
    </w:pPr>
  </w:style>
  <w:style w:type="character" w:customStyle="1" w:styleId="HeaderChar">
    <w:name w:val="Header Char"/>
    <w:basedOn w:val="DefaultParagraphFont"/>
    <w:link w:val="Header"/>
    <w:uiPriority w:val="99"/>
    <w:rsid w:val="00EA231F"/>
    <w:rPr>
      <w:rFonts w:ascii="Inter" w:eastAsia="Inter" w:hAnsi="Inter" w:cs="Inter"/>
      <w:sz w:val="23"/>
      <w:szCs w:val="23"/>
    </w:rPr>
  </w:style>
  <w:style w:type="paragraph" w:styleId="Footer">
    <w:name w:val="footer"/>
    <w:basedOn w:val="Normal"/>
    <w:link w:val="FooterChar"/>
    <w:uiPriority w:val="99"/>
    <w:unhideWhenUsed/>
    <w:rsid w:val="00EA231F"/>
    <w:pPr>
      <w:tabs>
        <w:tab w:val="center" w:pos="4680"/>
        <w:tab w:val="right" w:pos="9360"/>
      </w:tabs>
    </w:pPr>
  </w:style>
  <w:style w:type="character" w:customStyle="1" w:styleId="FooterChar">
    <w:name w:val="Footer Char"/>
    <w:basedOn w:val="DefaultParagraphFont"/>
    <w:link w:val="Footer"/>
    <w:uiPriority w:val="99"/>
    <w:rsid w:val="00EA231F"/>
    <w:rPr>
      <w:rFonts w:ascii="Inter" w:eastAsia="Inter" w:hAnsi="Inter" w:cs="Inter"/>
      <w:sz w:val="23"/>
      <w:szCs w:val="23"/>
    </w:rPr>
  </w:style>
  <w:style w:type="paragraph" w:styleId="NormalWeb">
    <w:name w:val="Normal (Web)"/>
    <w:basedOn w:val="Normal"/>
    <w:uiPriority w:val="99"/>
    <w:semiHidden/>
    <w:unhideWhenUsed/>
    <w:rsid w:val="00B41E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12</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Planning Commission - Meeting Minutes</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Meeting Minutes</dc:title>
  <dc:creator>ClerkMinutes</dc:creator>
  <cp:lastModifiedBy>Colette Dursteler</cp:lastModifiedBy>
  <cp:revision>18</cp:revision>
  <cp:lastPrinted>2026-06-18T18:59:00Z</cp:lastPrinted>
  <dcterms:created xsi:type="dcterms:W3CDTF">2026-06-18T20:07:00Z</dcterms:created>
  <dcterms:modified xsi:type="dcterms:W3CDTF">2026-07-21T13:31:00Z</dcterms:modified>
</cp:coreProperties>
</file>