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FC90ADC" w14:textId="77777777" w:rsidR="004A167C" w:rsidRPr="00F257D9" w:rsidRDefault="004A167C">
      <w:pPr>
        <w:pStyle w:val="Heading1"/>
        <w:ind w:right="359"/>
        <w:rPr>
          <w:b/>
          <w:bCs/>
        </w:rPr>
      </w:pPr>
      <w:r w:rsidRPr="00F257D9">
        <w:rPr>
          <w:b/>
          <w:bCs/>
        </w:rPr>
        <w:t>OLYMPIA PUBLIC INFRASTRUCTURE DISTRICT NO. 2</w:t>
      </w:r>
    </w:p>
    <w:p w14:paraId="58AB8008" w14:textId="1A977750" w:rsidR="000B47E6" w:rsidRPr="00F257D9" w:rsidRDefault="00000000">
      <w:pPr>
        <w:pStyle w:val="Heading1"/>
        <w:ind w:right="359"/>
        <w:rPr>
          <w:b/>
          <w:bCs/>
        </w:rPr>
      </w:pPr>
      <w:r w:rsidRPr="00F257D9">
        <w:rPr>
          <w:b/>
          <w:bCs/>
        </w:rPr>
        <w:t>NOTICE</w:t>
      </w:r>
      <w:r w:rsidRPr="00F257D9">
        <w:rPr>
          <w:b/>
          <w:bCs/>
          <w:spacing w:val="-3"/>
        </w:rPr>
        <w:t xml:space="preserve"> </w:t>
      </w:r>
      <w:r w:rsidRPr="00F257D9">
        <w:rPr>
          <w:b/>
          <w:bCs/>
        </w:rPr>
        <w:t>OF</w:t>
      </w:r>
      <w:r w:rsidRPr="00F257D9">
        <w:rPr>
          <w:b/>
          <w:bCs/>
          <w:spacing w:val="-2"/>
        </w:rPr>
        <w:t xml:space="preserve"> </w:t>
      </w:r>
      <w:r w:rsidR="004A167C" w:rsidRPr="00F257D9">
        <w:rPr>
          <w:b/>
          <w:bCs/>
        </w:rPr>
        <w:t>CONTRACT FEE ADOPTION</w:t>
      </w:r>
    </w:p>
    <w:p w14:paraId="465BA206" w14:textId="43EB06E4" w:rsidR="000B47E6" w:rsidRDefault="00000000">
      <w:pPr>
        <w:pStyle w:val="BodyText"/>
        <w:ind w:left="0" w:right="356"/>
        <w:jc w:val="both"/>
      </w:pPr>
      <w:r>
        <w:t xml:space="preserve">NOTICE IS HEREBY GIVEN pursuant to the provisions of the Public Infrastructure District Act, Title 17D, Chapter 4 (the “Act”), that on </w:t>
      </w:r>
      <w:r w:rsidR="004A167C">
        <w:t>July 9</w:t>
      </w:r>
      <w:r>
        <w:t xml:space="preserve">, </w:t>
      </w:r>
      <w:proofErr w:type="gramStart"/>
      <w:r>
        <w:t>2026</w:t>
      </w:r>
      <w:proofErr w:type="gramEnd"/>
      <w:r>
        <w:t xml:space="preserve"> the Board of Trustees (the “Board”) of the </w:t>
      </w:r>
      <w:r w:rsidR="004A167C">
        <w:t>Olympia</w:t>
      </w:r>
      <w:r>
        <w:t xml:space="preserve"> Public Infrastructure District</w:t>
      </w:r>
      <w:r w:rsidR="004A167C">
        <w:t xml:space="preserve"> No. 2</w:t>
      </w:r>
      <w:r>
        <w:t xml:space="preserve"> (the “District”) adopted </w:t>
      </w:r>
      <w:r w:rsidR="00F257D9">
        <w:t>Resolution 2026-04</w:t>
      </w:r>
      <w:r>
        <w:t xml:space="preserve"> (the “Resolution”) in which</w:t>
      </w:r>
      <w:r w:rsidR="00F257D9">
        <w:t>, among other matters,</w:t>
      </w:r>
      <w:r>
        <w:t xml:space="preserve"> it authorized the </w:t>
      </w:r>
      <w:r w:rsidR="004A167C">
        <w:t>collection of Contract Fees as authorized by the District’s Governing Document and applicable law</w:t>
      </w:r>
      <w:r>
        <w:t>.</w:t>
      </w:r>
    </w:p>
    <w:p w14:paraId="4463A854" w14:textId="2BEFC891" w:rsidR="000B47E6" w:rsidRDefault="004A167C">
      <w:pPr>
        <w:pStyle w:val="Heading1"/>
        <w:spacing w:before="240"/>
        <w:ind w:left="3"/>
      </w:pPr>
      <w:r>
        <w:t>SUMMARY OF THE RESOLUTION</w:t>
      </w:r>
      <w:r w:rsidR="00F257D9">
        <w:t xml:space="preserve"> AND ACTION TAKEN BY BOARD</w:t>
      </w:r>
    </w:p>
    <w:p w14:paraId="3E3D8ACA" w14:textId="03B68A57" w:rsidR="000B47E6" w:rsidRDefault="00F257D9">
      <w:pPr>
        <w:pStyle w:val="BodyText"/>
        <w:ind w:right="356"/>
        <w:jc w:val="both"/>
      </w:pPr>
      <w:r>
        <w:t xml:space="preserve">The Resolution was </w:t>
      </w:r>
      <w:r w:rsidR="004A167C">
        <w:t>titled as follows:</w:t>
      </w:r>
    </w:p>
    <w:p w14:paraId="0A221BC9" w14:textId="5990B367" w:rsidR="004A167C" w:rsidRDefault="004A167C" w:rsidP="004A167C">
      <w:pPr>
        <w:pStyle w:val="BodyText"/>
        <w:ind w:right="356" w:firstLine="0"/>
        <w:jc w:val="both"/>
      </w:pPr>
      <w:r w:rsidRPr="004A167C">
        <w:t xml:space="preserve">A JOINT RESOLUTION OF THE BOARDS OF TRUSTEES (THE “BOARDS”) OF OLYMPIA PUBLIC INFRASTRUCTURE DISTRICT NOS. 1, 2, 3, 4, 5, 6 AND 7 (THE “DISTRICTS”), ADOPTING A FIRST AMENDED AND RESTATED INTERLOCAL AGREEMENT WITH THE CITY OF HERRIMAN REGARDING CONTRACT FEES; AND </w:t>
      </w:r>
      <w:proofErr w:type="gramStart"/>
      <w:r w:rsidRPr="004A167C">
        <w:t>ALSO</w:t>
      </w:r>
      <w:proofErr w:type="gramEnd"/>
      <w:r w:rsidRPr="004A167C">
        <w:t xml:space="preserve"> A RESOLUTION OF THE BOARD OF DISTRICT NO. 2 APPROVING, ADOPTING, AND IMPOSING A CONTRACT FEE, AND RELATED MATTERS.</w:t>
      </w:r>
    </w:p>
    <w:p w14:paraId="6CBF7835" w14:textId="1F5BE747" w:rsidR="00F257D9" w:rsidRDefault="004A167C" w:rsidP="004A167C">
      <w:pPr>
        <w:pStyle w:val="Heading1"/>
        <w:spacing w:before="239"/>
        <w:ind w:left="2" w:firstLine="717"/>
        <w:jc w:val="left"/>
      </w:pPr>
      <w:r>
        <w:t xml:space="preserve">Among other matters, the Resolution adopted a Contract Fee of $15,450 per </w:t>
      </w:r>
      <w:r w:rsidR="00F257D9">
        <w:t xml:space="preserve">residential unit permitted within the boundary of the </w:t>
      </w:r>
      <w:proofErr w:type="gramStart"/>
      <w:r w:rsidR="00F257D9">
        <w:t>District</w:t>
      </w:r>
      <w:proofErr w:type="gramEnd"/>
      <w:r w:rsidR="00F257D9">
        <w:t>, due and payable prior to the issuance of a building permit</w:t>
      </w:r>
      <w:r w:rsidR="002D108D">
        <w:t xml:space="preserve"> for such unit</w:t>
      </w:r>
      <w:r w:rsidR="00F257D9">
        <w:t xml:space="preserve">.  The Contract Fees will be collected by Herriman City pursuant to the First Amended and Restated Interlocal Agreement also approved and adopted in the same Resolution.  The Contract Fees shall increase by three percent (3%) each calendar year beginning in 2027.  The anticipated revenue from the Contract Fees so collected is to be pledged to the repayment of bonds to be issued by the </w:t>
      </w:r>
      <w:proofErr w:type="gramStart"/>
      <w:r w:rsidR="00F257D9">
        <w:t>District</w:t>
      </w:r>
      <w:proofErr w:type="gramEnd"/>
      <w:r w:rsidR="00F257D9">
        <w:t>, as authorized by separate action of the Board.</w:t>
      </w:r>
    </w:p>
    <w:p w14:paraId="52E5900B" w14:textId="70C0ECF6" w:rsidR="00F257D9" w:rsidRDefault="00F257D9" w:rsidP="004A167C">
      <w:pPr>
        <w:pStyle w:val="Heading1"/>
        <w:spacing w:before="239"/>
        <w:ind w:left="2" w:firstLine="717"/>
        <w:jc w:val="left"/>
      </w:pPr>
      <w:r>
        <w:t>The quorum of the Board present at the July 9, 2026, meeting voted unanimously to approve the Resolution.</w:t>
      </w:r>
    </w:p>
    <w:p w14:paraId="2366E9FD" w14:textId="05E34DEE" w:rsidR="000B47E6" w:rsidRDefault="00000000">
      <w:pPr>
        <w:pStyle w:val="BodyText"/>
        <w:ind w:left="0" w:right="356"/>
        <w:jc w:val="both"/>
      </w:pPr>
      <w:r>
        <w:t xml:space="preserve">A copy of the Resolution and the Indenture are on file </w:t>
      </w:r>
      <w:r w:rsidR="00F257D9">
        <w:t xml:space="preserve">at </w:t>
      </w:r>
      <w:r>
        <w:t>Snow Jensen &amp; Reece, P.C., 912 West 1600 South, Suite B-200, St. George, Utah 84770, where they may be examined during regular</w:t>
      </w:r>
      <w:r>
        <w:rPr>
          <w:spacing w:val="-7"/>
        </w:rPr>
        <w:t xml:space="preserve"> </w:t>
      </w:r>
      <w:r>
        <w:t>business</w:t>
      </w:r>
      <w:r>
        <w:rPr>
          <w:spacing w:val="-7"/>
        </w:rPr>
        <w:t xml:space="preserve"> </w:t>
      </w:r>
      <w:r>
        <w:t>hours</w:t>
      </w:r>
      <w:r>
        <w:rPr>
          <w:spacing w:val="-7"/>
        </w:rPr>
        <w:t xml:space="preserve"> </w:t>
      </w:r>
      <w:r>
        <w:t>from</w:t>
      </w:r>
      <w:r>
        <w:rPr>
          <w:spacing w:val="-7"/>
        </w:rPr>
        <w:t xml:space="preserve"> </w:t>
      </w:r>
      <w:r>
        <w:t>9:00</w:t>
      </w:r>
      <w:r>
        <w:rPr>
          <w:spacing w:val="-7"/>
        </w:rPr>
        <w:t xml:space="preserve"> </w:t>
      </w:r>
      <w:r>
        <w:t>a.m.</w:t>
      </w:r>
      <w:r>
        <w:rPr>
          <w:spacing w:val="-7"/>
        </w:rPr>
        <w:t xml:space="preserve"> </w:t>
      </w:r>
      <w:r>
        <w:t>to</w:t>
      </w:r>
      <w:r>
        <w:rPr>
          <w:spacing w:val="-7"/>
        </w:rPr>
        <w:t xml:space="preserve"> </w:t>
      </w:r>
      <w:r>
        <w:t>4:00</w:t>
      </w:r>
      <w:r>
        <w:rPr>
          <w:spacing w:val="-7"/>
        </w:rPr>
        <w:t xml:space="preserve"> </w:t>
      </w:r>
      <w:r>
        <w:t>p.m.</w:t>
      </w:r>
      <w:r>
        <w:rPr>
          <w:spacing w:val="-7"/>
        </w:rPr>
        <w:t xml:space="preserve"> </w:t>
      </w:r>
      <w:r>
        <w:t>Monday</w:t>
      </w:r>
      <w:r>
        <w:rPr>
          <w:spacing w:val="-7"/>
        </w:rPr>
        <w:t xml:space="preserve"> </w:t>
      </w:r>
      <w:r>
        <w:t>through</w:t>
      </w:r>
      <w:r>
        <w:rPr>
          <w:spacing w:val="-7"/>
        </w:rPr>
        <w:t xml:space="preserve"> </w:t>
      </w:r>
      <w:r>
        <w:t>Friday,</w:t>
      </w:r>
      <w:r>
        <w:rPr>
          <w:spacing w:val="-7"/>
        </w:rPr>
        <w:t xml:space="preserve"> </w:t>
      </w:r>
      <w:r>
        <w:t>for</w:t>
      </w:r>
      <w:r>
        <w:rPr>
          <w:spacing w:val="-7"/>
        </w:rPr>
        <w:t xml:space="preserve"> </w:t>
      </w:r>
      <w:r>
        <w:t>a</w:t>
      </w:r>
      <w:r>
        <w:rPr>
          <w:spacing w:val="-7"/>
        </w:rPr>
        <w:t xml:space="preserve"> </w:t>
      </w:r>
      <w:r>
        <w:t>period</w:t>
      </w:r>
      <w:r>
        <w:rPr>
          <w:spacing w:val="-7"/>
        </w:rPr>
        <w:t xml:space="preserve"> </w:t>
      </w:r>
      <w:r>
        <w:t>of</w:t>
      </w:r>
      <w:r>
        <w:rPr>
          <w:spacing w:val="-7"/>
        </w:rPr>
        <w:t xml:space="preserve"> </w:t>
      </w:r>
      <w:r>
        <w:t>at</w:t>
      </w:r>
      <w:r>
        <w:rPr>
          <w:spacing w:val="-7"/>
        </w:rPr>
        <w:t xml:space="preserve"> </w:t>
      </w:r>
      <w:r>
        <w:t>least thirty (30) days from and after the date of publication of this notice.</w:t>
      </w:r>
      <w:r>
        <w:rPr>
          <w:spacing w:val="40"/>
        </w:rPr>
        <w:t xml:space="preserve"> </w:t>
      </w:r>
      <w:r>
        <w:t xml:space="preserve">For electronic copies of the Resolution and Indenture, please call (435) 628-3688 or email </w:t>
      </w:r>
      <w:hyperlink r:id="rId6">
        <w:r>
          <w:rPr>
            <w:color w:val="0000FF"/>
            <w:u w:val="single" w:color="0000FF"/>
          </w:rPr>
          <w:t>mence@snowjensen.com</w:t>
        </w:r>
        <w:r>
          <w:t>.</w:t>
        </w:r>
      </w:hyperlink>
    </w:p>
    <w:p w14:paraId="3E2B44EF" w14:textId="2EEF7673" w:rsidR="000B47E6" w:rsidRDefault="00000000">
      <w:pPr>
        <w:pStyle w:val="BodyText"/>
        <w:ind w:right="356"/>
        <w:jc w:val="both"/>
      </w:pPr>
      <w:r>
        <w:t>NOTICE</w:t>
      </w:r>
      <w:r>
        <w:rPr>
          <w:spacing w:val="-5"/>
        </w:rPr>
        <w:t xml:space="preserve"> </w:t>
      </w:r>
      <w:r>
        <w:t>IS</w:t>
      </w:r>
      <w:r>
        <w:rPr>
          <w:spacing w:val="-4"/>
        </w:rPr>
        <w:t xml:space="preserve"> </w:t>
      </w:r>
      <w:r>
        <w:t>FURTHER</w:t>
      </w:r>
      <w:r>
        <w:rPr>
          <w:spacing w:val="-4"/>
        </w:rPr>
        <w:t xml:space="preserve"> </w:t>
      </w:r>
      <w:r>
        <w:t>GIVEN</w:t>
      </w:r>
      <w:r>
        <w:rPr>
          <w:spacing w:val="-5"/>
        </w:rPr>
        <w:t xml:space="preserve"> </w:t>
      </w:r>
      <w:r>
        <w:t>that</w:t>
      </w:r>
      <w:r>
        <w:rPr>
          <w:spacing w:val="-4"/>
        </w:rPr>
        <w:t xml:space="preserve"> </w:t>
      </w:r>
      <w:r w:rsidR="00F257D9">
        <w:rPr>
          <w:spacing w:val="-4"/>
        </w:rPr>
        <w:t xml:space="preserve">pursuant to Utah Code §17B-1-313, </w:t>
      </w:r>
      <w:r>
        <w:t>a</w:t>
      </w:r>
      <w:r>
        <w:rPr>
          <w:spacing w:val="-5"/>
        </w:rPr>
        <w:t xml:space="preserve"> </w:t>
      </w:r>
      <w:r>
        <w:t>period</w:t>
      </w:r>
      <w:r>
        <w:rPr>
          <w:spacing w:val="-5"/>
        </w:rPr>
        <w:t xml:space="preserve"> </w:t>
      </w:r>
      <w:r>
        <w:t>of</w:t>
      </w:r>
      <w:r>
        <w:rPr>
          <w:spacing w:val="-4"/>
        </w:rPr>
        <w:t xml:space="preserve"> </w:t>
      </w:r>
      <w:r>
        <w:t>thirty</w:t>
      </w:r>
      <w:r>
        <w:rPr>
          <w:spacing w:val="-6"/>
        </w:rPr>
        <w:t xml:space="preserve"> </w:t>
      </w:r>
      <w:r>
        <w:t>(30)</w:t>
      </w:r>
      <w:r>
        <w:rPr>
          <w:spacing w:val="-4"/>
        </w:rPr>
        <w:t xml:space="preserve"> </w:t>
      </w:r>
      <w:r>
        <w:t>days</w:t>
      </w:r>
      <w:r>
        <w:rPr>
          <w:spacing w:val="-5"/>
        </w:rPr>
        <w:t xml:space="preserve"> </w:t>
      </w:r>
      <w:r>
        <w:t>from</w:t>
      </w:r>
      <w:r>
        <w:rPr>
          <w:spacing w:val="-6"/>
        </w:rPr>
        <w:t xml:space="preserve"> </w:t>
      </w:r>
      <w:r>
        <w:t>and</w:t>
      </w:r>
      <w:r>
        <w:rPr>
          <w:spacing w:val="-6"/>
        </w:rPr>
        <w:t xml:space="preserve"> </w:t>
      </w:r>
      <w:r>
        <w:t>after</w:t>
      </w:r>
      <w:r>
        <w:rPr>
          <w:spacing w:val="-4"/>
        </w:rPr>
        <w:t xml:space="preserve"> </w:t>
      </w:r>
      <w:r>
        <w:t>the</w:t>
      </w:r>
      <w:r>
        <w:rPr>
          <w:spacing w:val="-5"/>
        </w:rPr>
        <w:t xml:space="preserve"> </w:t>
      </w:r>
      <w:r>
        <w:t>date</w:t>
      </w:r>
      <w:r>
        <w:rPr>
          <w:spacing w:val="-5"/>
        </w:rPr>
        <w:t xml:space="preserve"> </w:t>
      </w:r>
      <w:r>
        <w:t>of the</w:t>
      </w:r>
      <w:r>
        <w:rPr>
          <w:spacing w:val="-6"/>
        </w:rPr>
        <w:t xml:space="preserve"> </w:t>
      </w:r>
      <w:r>
        <w:t>publication</w:t>
      </w:r>
      <w:r>
        <w:rPr>
          <w:spacing w:val="-6"/>
        </w:rPr>
        <w:t xml:space="preserve"> </w:t>
      </w:r>
      <w:r>
        <w:t>of</w:t>
      </w:r>
      <w:r>
        <w:rPr>
          <w:spacing w:val="-6"/>
        </w:rPr>
        <w:t xml:space="preserve"> </w:t>
      </w:r>
      <w:r>
        <w:t>this</w:t>
      </w:r>
      <w:r>
        <w:rPr>
          <w:spacing w:val="-6"/>
        </w:rPr>
        <w:t xml:space="preserve"> </w:t>
      </w:r>
      <w:r>
        <w:t>notice</w:t>
      </w:r>
      <w:r>
        <w:rPr>
          <w:spacing w:val="-7"/>
        </w:rPr>
        <w:t xml:space="preserve"> </w:t>
      </w:r>
      <w:r>
        <w:t>is</w:t>
      </w:r>
      <w:r>
        <w:rPr>
          <w:spacing w:val="-6"/>
        </w:rPr>
        <w:t xml:space="preserve"> </w:t>
      </w:r>
      <w:r>
        <w:t>provided</w:t>
      </w:r>
      <w:r>
        <w:rPr>
          <w:spacing w:val="-6"/>
        </w:rPr>
        <w:t xml:space="preserve"> </w:t>
      </w:r>
      <w:r>
        <w:t>by</w:t>
      </w:r>
      <w:r>
        <w:rPr>
          <w:spacing w:val="-6"/>
        </w:rPr>
        <w:t xml:space="preserve"> </w:t>
      </w:r>
      <w:r>
        <w:t>law</w:t>
      </w:r>
      <w:r>
        <w:rPr>
          <w:spacing w:val="-7"/>
        </w:rPr>
        <w:t xml:space="preserve"> </w:t>
      </w:r>
      <w:r>
        <w:t>during</w:t>
      </w:r>
      <w:r>
        <w:rPr>
          <w:spacing w:val="-6"/>
        </w:rPr>
        <w:t xml:space="preserve"> </w:t>
      </w:r>
      <w:r>
        <w:t>which</w:t>
      </w:r>
      <w:r>
        <w:rPr>
          <w:spacing w:val="-7"/>
        </w:rPr>
        <w:t xml:space="preserve"> </w:t>
      </w:r>
      <w:r>
        <w:t>any</w:t>
      </w:r>
      <w:r>
        <w:rPr>
          <w:spacing w:val="-6"/>
        </w:rPr>
        <w:t xml:space="preserve"> </w:t>
      </w:r>
      <w:r>
        <w:t>person</w:t>
      </w:r>
      <w:r>
        <w:rPr>
          <w:spacing w:val="-6"/>
        </w:rPr>
        <w:t xml:space="preserve"> </w:t>
      </w:r>
      <w:r>
        <w:t>in</w:t>
      </w:r>
      <w:r>
        <w:rPr>
          <w:spacing w:val="-6"/>
        </w:rPr>
        <w:t xml:space="preserve"> </w:t>
      </w:r>
      <w:r>
        <w:t>interest</w:t>
      </w:r>
      <w:r>
        <w:rPr>
          <w:spacing w:val="-6"/>
        </w:rPr>
        <w:t xml:space="preserve"> </w:t>
      </w:r>
      <w:r>
        <w:t>shall</w:t>
      </w:r>
      <w:r>
        <w:rPr>
          <w:spacing w:val="-6"/>
        </w:rPr>
        <w:t xml:space="preserve"> </w:t>
      </w:r>
      <w:r>
        <w:t>have</w:t>
      </w:r>
      <w:r>
        <w:rPr>
          <w:spacing w:val="-7"/>
        </w:rPr>
        <w:t xml:space="preserve"> </w:t>
      </w:r>
      <w:r>
        <w:t xml:space="preserve">the right to contest the </w:t>
      </w:r>
      <w:r w:rsidR="00F257D9">
        <w:t xml:space="preserve">regularity, formality, or </w:t>
      </w:r>
      <w:r>
        <w:t>legality of the Resolution, and that after such time, no one shall have any cause of action to contest the regularity, formality, or legality thereof for any cause whatsoever.</w:t>
      </w:r>
    </w:p>
    <w:p w14:paraId="1D005D3E" w14:textId="08AF44D9" w:rsidR="000B47E6" w:rsidRDefault="00000000">
      <w:pPr>
        <w:pStyle w:val="BodyText"/>
        <w:ind w:left="719" w:firstLine="0"/>
      </w:pPr>
      <w:r>
        <w:t>DATED</w:t>
      </w:r>
      <w:r>
        <w:rPr>
          <w:spacing w:val="-4"/>
        </w:rPr>
        <w:t xml:space="preserve"> </w:t>
      </w:r>
      <w:r>
        <w:t xml:space="preserve">this </w:t>
      </w:r>
      <w:r w:rsidR="00F257D9">
        <w:t>July 9</w:t>
      </w:r>
      <w:r>
        <w:t xml:space="preserve">, </w:t>
      </w:r>
      <w:r>
        <w:rPr>
          <w:spacing w:val="-2"/>
        </w:rPr>
        <w:t>2026.</w:t>
      </w:r>
    </w:p>
    <w:p w14:paraId="3205D3E3" w14:textId="59819B47" w:rsidR="000B47E6" w:rsidRDefault="00000000">
      <w:pPr>
        <w:pStyle w:val="BodyText"/>
        <w:tabs>
          <w:tab w:val="left" w:pos="5710"/>
          <w:tab w:val="left" w:pos="9359"/>
        </w:tabs>
        <w:ind w:left="4680" w:firstLine="0"/>
      </w:pPr>
      <w:r>
        <w:rPr>
          <w:u w:val="single"/>
        </w:rPr>
        <w:tab/>
      </w:r>
      <w:r w:rsidR="00F257D9">
        <w:rPr>
          <w:u w:val="single"/>
        </w:rPr>
        <w:t xml:space="preserve">      </w:t>
      </w:r>
      <w:r>
        <w:rPr>
          <w:u w:val="single"/>
        </w:rPr>
        <w:t>/s/</w:t>
      </w:r>
      <w:r>
        <w:rPr>
          <w:spacing w:val="-2"/>
          <w:u w:val="single"/>
        </w:rPr>
        <w:t xml:space="preserve"> </w:t>
      </w:r>
      <w:r w:rsidR="00F257D9">
        <w:rPr>
          <w:u w:val="single"/>
        </w:rPr>
        <w:t>Kirk Young</w:t>
      </w:r>
      <w:r>
        <w:rPr>
          <w:u w:val="single"/>
        </w:rPr>
        <w:tab/>
      </w:r>
    </w:p>
    <w:p w14:paraId="249E866E" w14:textId="77777777" w:rsidR="000B47E6" w:rsidRDefault="00000000">
      <w:pPr>
        <w:pStyle w:val="BodyText"/>
        <w:spacing w:before="0"/>
        <w:ind w:left="6183" w:firstLine="0"/>
      </w:pPr>
      <w:r>
        <w:t>District</w:t>
      </w:r>
      <w:r>
        <w:rPr>
          <w:spacing w:val="-2"/>
        </w:rPr>
        <w:t xml:space="preserve"> Clerk</w:t>
      </w:r>
    </w:p>
    <w:sectPr w:rsidR="000B47E6">
      <w:pgSz w:w="12240" w:h="15840"/>
      <w:pgMar w:top="1380" w:right="1080" w:bottom="980" w:left="1440"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CD53246" w14:textId="77777777" w:rsidR="00B8013E" w:rsidRDefault="00B8013E">
      <w:r>
        <w:separator/>
      </w:r>
    </w:p>
  </w:endnote>
  <w:endnote w:type="continuationSeparator" w:id="0">
    <w:p w14:paraId="3AE209C4" w14:textId="77777777" w:rsidR="00B8013E" w:rsidRDefault="00B8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F285DBC" w14:textId="77777777" w:rsidR="00B8013E" w:rsidRDefault="00B8013E">
      <w:r>
        <w:separator/>
      </w:r>
    </w:p>
  </w:footnote>
  <w:footnote w:type="continuationSeparator" w:id="0">
    <w:p w14:paraId="65DE32DC" w14:textId="77777777" w:rsidR="00B8013E" w:rsidRDefault="00B8013E">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val="bestFit"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E6"/>
    <w:rsid w:val="000B47E6"/>
    <w:rsid w:val="002D108D"/>
    <w:rsid w:val="004A167C"/>
    <w:rsid w:val="00895DC0"/>
    <w:rsid w:val="00B8013E"/>
    <w:rsid w:val="00E833D3"/>
    <w:rsid w:val="00F25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FF6B00"/>
  <w15:docId w15:val="{4AF61760-0ACB-5641-BB6B-46EB5B57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right="360"/>
      <w:jc w:val="center"/>
      <w:outlineLvl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 w:firstLine="7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57D9"/>
    <w:pPr>
      <w:tabs>
        <w:tab w:val="center" w:pos="4680"/>
        <w:tab w:val="right" w:pos="9360"/>
      </w:tabs>
    </w:pPr>
  </w:style>
  <w:style w:type="character" w:customStyle="1" w:styleId="HeaderChar">
    <w:name w:val="Header Char"/>
    <w:basedOn w:val="DefaultParagraphFont"/>
    <w:link w:val="Header"/>
    <w:uiPriority w:val="99"/>
    <w:rsid w:val="00F257D9"/>
    <w:rPr>
      <w:rFonts w:ascii="Times New Roman" w:eastAsia="Times New Roman" w:hAnsi="Times New Roman" w:cs="Times New Roman"/>
    </w:rPr>
  </w:style>
  <w:style w:type="paragraph" w:styleId="Footer">
    <w:name w:val="footer"/>
    <w:basedOn w:val="Normal"/>
    <w:link w:val="FooterChar"/>
    <w:uiPriority w:val="99"/>
    <w:unhideWhenUsed/>
    <w:rsid w:val="00F257D9"/>
    <w:pPr>
      <w:tabs>
        <w:tab w:val="center" w:pos="4680"/>
        <w:tab w:val="right" w:pos="9360"/>
      </w:tabs>
    </w:pPr>
  </w:style>
  <w:style w:type="character" w:customStyle="1" w:styleId="FooterChar">
    <w:name w:val="Footer Char"/>
    <w:basedOn w:val="DefaultParagraphFont"/>
    <w:link w:val="Footer"/>
    <w:uiPriority w:val="99"/>
    <w:rsid w:val="00F257D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nce@snowjensen.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444</Words>
  <Characters>2327</Characters>
  <Application>Microsoft Office Word</Application>
  <DocSecurity>0</DocSecurity>
  <Lines>49</Lines>
  <Paragraphs>24</Paragraphs>
  <ScaleCrop>false</ScaleCrop>
  <HeadingPairs>
    <vt:vector size="2" baseType="variant">
      <vt:variant>
        <vt:lpstr>Title</vt:lpstr>
      </vt:variant>
      <vt:variant>
        <vt:i4>1</vt:i4>
      </vt:variant>
    </vt:vector>
  </HeadingPairs>
  <TitlesOfParts>
    <vt:vector size="1" baseType="lpstr">
      <vt:lpstr>Coalville, Utah</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Coalville, Utah</dc:title>
  <dc:creator>CarltonB</dc:creator>
  <dc:description/>
  <cp:lastModifiedBy>Matt Ence</cp:lastModifiedBy>
  <cp:revision>3</cp:revision>
  <dcterms:created xsi:type="dcterms:W3CDTF">2026-07-09T15:53:00Z</dcterms:created>
  <dcterms:modified xsi:type="dcterms:W3CDTF">2026-07-09T16:08:00Z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2026-06-22T00:00:00Z</vt:filetime>
  </property>
  <property fmtid="{D5CDD505-2E9C-101B-9397-08002B2CF9AE}" pid="3" name="Creator">
    <vt:lpwstr>Acrobat PDFMaker 25 for Word</vt:lpwstr>
  </property>
  <property fmtid="{D5CDD505-2E9C-101B-9397-08002B2CF9AE}" pid="4" name="DOCID">
    <vt:lpwstr>DMWEST #14717428 v2</vt:lpwstr>
  </property>
  <property fmtid="{D5CDD505-2E9C-101B-9397-08002B2CF9AE}" pid="5" name="LastSaved">
    <vt:filetime>2026-07-09T00:00:00Z</vt:filetime>
  </property>
  <property fmtid="{D5CDD505-2E9C-101B-9397-08002B2CF9AE}" pid="6" name="Producer">
    <vt:lpwstr>Adobe PDF Library 25.1.40</vt:lpwstr>
  </property>
  <property fmtid="{D5CDD505-2E9C-101B-9397-08002B2CF9AE}" pid="7" name="SourceModified">
    <vt:lpwstr>D:20260618223726</vt:lpwstr>
  </property>
  <property fmtid="{D5CDD505-2E9C-101B-9397-08002B2CF9AE}" pid="8" name="ndDocumentId">
    <vt:lpwstr>4938-0601-6949</vt:lpwstr>
  </property>
</Properties>
</file>