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B50D8" w14:textId="77777777" w:rsidR="00C01220" w:rsidRDefault="00442C88">
      <w:pPr>
        <w:pBdr>
          <w:top w:val="nil"/>
          <w:left w:val="nil"/>
          <w:bottom w:val="nil"/>
          <w:right w:val="nil"/>
          <w:between w:val="nil"/>
        </w:pBdr>
        <w:jc w:val="center"/>
        <w:rPr>
          <w:b/>
          <w:bCs/>
          <w:color w:val="FF0000"/>
          <w:sz w:val="18"/>
          <w:szCs w:val="18"/>
        </w:rPr>
      </w:pPr>
      <w:r>
        <w:rPr>
          <w:b/>
          <w:bCs/>
          <w:color w:val="FF0000"/>
          <w:sz w:val="18"/>
          <w:szCs w:val="18"/>
        </w:rPr>
        <w:t>PROTECTED BY 63G-2-305(35)</w:t>
      </w:r>
    </w:p>
    <w:p w14:paraId="60095006" w14:textId="77777777" w:rsidR="00C01220" w:rsidRDefault="00C01220">
      <w:pPr>
        <w:pBdr>
          <w:top w:val="nil"/>
          <w:left w:val="nil"/>
          <w:bottom w:val="nil"/>
          <w:right w:val="nil"/>
          <w:between w:val="nil"/>
        </w:pBdr>
        <w:jc w:val="center"/>
        <w:rPr>
          <w:b/>
          <w:bCs/>
          <w:color w:val="000000"/>
          <w:sz w:val="18"/>
          <w:szCs w:val="18"/>
        </w:rPr>
      </w:pPr>
    </w:p>
    <w:p w14:paraId="604FE333" w14:textId="77777777" w:rsidR="00C01220" w:rsidRDefault="00442C88">
      <w:pPr>
        <w:pBdr>
          <w:top w:val="nil"/>
          <w:left w:val="nil"/>
          <w:bottom w:val="nil"/>
          <w:right w:val="nil"/>
          <w:between w:val="nil"/>
        </w:pBdr>
        <w:jc w:val="center"/>
        <w:rPr>
          <w:b/>
          <w:bCs/>
          <w:color w:val="000000"/>
        </w:rPr>
      </w:pPr>
      <w:r>
        <w:rPr>
          <w:b/>
          <w:bCs/>
        </w:rPr>
        <w:t xml:space="preserve">Board </w:t>
      </w:r>
      <w:r>
        <w:rPr>
          <w:b/>
          <w:bCs/>
          <w:color w:val="000000"/>
        </w:rPr>
        <w:t>Committee Meeting Minutes</w:t>
      </w:r>
    </w:p>
    <w:p w14:paraId="73CC0061" w14:textId="77777777" w:rsidR="00C01220" w:rsidRDefault="00442C88">
      <w:pPr>
        <w:pBdr>
          <w:top w:val="nil"/>
          <w:left w:val="nil"/>
          <w:bottom w:val="nil"/>
          <w:right w:val="nil"/>
          <w:between w:val="nil"/>
        </w:pBdr>
        <w:jc w:val="center"/>
        <w:rPr>
          <w:color w:val="000000"/>
        </w:rPr>
      </w:pPr>
      <w:r>
        <w:t xml:space="preserve">June 11, </w:t>
      </w:r>
      <w:proofErr w:type="gramStart"/>
      <w:r>
        <w:t>2026</w:t>
      </w:r>
      <w:proofErr w:type="gramEnd"/>
      <w:r>
        <w:rPr>
          <w:color w:val="000000"/>
        </w:rPr>
        <w:t xml:space="preserve"> </w:t>
      </w:r>
      <w:r>
        <w:rPr>
          <w:rFonts w:ascii="Noto Sans Symbols" w:eastAsia="Noto Sans Symbols" w:hAnsi="Noto Sans Symbols" w:cs="Noto Sans Symbols"/>
          <w:color w:val="000000"/>
        </w:rPr>
        <w:t>∙</w:t>
      </w:r>
      <w:r>
        <w:rPr>
          <w:color w:val="000000"/>
        </w:rPr>
        <w:t xml:space="preserve"> 10:00 a.m. – 12:00 p.m. MST</w:t>
      </w:r>
    </w:p>
    <w:p w14:paraId="743775CE" w14:textId="77777777" w:rsidR="00C01220" w:rsidRDefault="00442C88">
      <w:pPr>
        <w:pBdr>
          <w:top w:val="nil"/>
          <w:left w:val="nil"/>
          <w:bottom w:val="nil"/>
          <w:right w:val="nil"/>
          <w:between w:val="nil"/>
        </w:pBdr>
        <w:jc w:val="center"/>
        <w:rPr>
          <w:color w:val="000000"/>
        </w:rPr>
      </w:pPr>
      <w:r>
        <w:rPr>
          <w:color w:val="000000"/>
        </w:rPr>
        <w:t>Governor’s Office of Economic Opportunity</w:t>
      </w:r>
    </w:p>
    <w:p w14:paraId="0EAF67AF" w14:textId="77777777" w:rsidR="00C01220" w:rsidRDefault="00442C88">
      <w:pPr>
        <w:pBdr>
          <w:top w:val="nil"/>
          <w:left w:val="nil"/>
          <w:bottom w:val="nil"/>
          <w:right w:val="nil"/>
          <w:between w:val="nil"/>
        </w:pBdr>
        <w:jc w:val="center"/>
        <w:rPr>
          <w:color w:val="000000"/>
        </w:rPr>
      </w:pPr>
      <w:r>
        <w:rPr>
          <w:color w:val="000000"/>
        </w:rPr>
        <w:t>60 E South Temple, Suite 300</w:t>
      </w:r>
    </w:p>
    <w:p w14:paraId="7A29642F" w14:textId="77777777" w:rsidR="00C01220" w:rsidRDefault="00442C88">
      <w:pPr>
        <w:pBdr>
          <w:top w:val="nil"/>
          <w:left w:val="nil"/>
          <w:bottom w:val="nil"/>
          <w:right w:val="nil"/>
          <w:between w:val="nil"/>
        </w:pBdr>
        <w:jc w:val="center"/>
        <w:rPr>
          <w:color w:val="000000"/>
        </w:rPr>
      </w:pPr>
      <w:r>
        <w:rPr>
          <w:color w:val="000000"/>
        </w:rPr>
        <w:t>Salt Lake City, UT 84111</w:t>
      </w:r>
    </w:p>
    <w:p w14:paraId="20F56772" w14:textId="77777777" w:rsidR="00C01220" w:rsidRDefault="00C01220">
      <w:pPr>
        <w:ind w:left="2160" w:right="-312" w:firstLine="720"/>
        <w:rPr>
          <w:sz w:val="18"/>
          <w:szCs w:val="18"/>
        </w:rPr>
      </w:pPr>
    </w:p>
    <w:tbl>
      <w:tblPr>
        <w:tblStyle w:val="a"/>
        <w:tblW w:w="9502" w:type="dxa"/>
        <w:jc w:val="center"/>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781"/>
        <w:gridCol w:w="7721"/>
      </w:tblGrid>
      <w:tr w:rsidR="00C01220" w14:paraId="706AB616" w14:textId="77777777">
        <w:trPr>
          <w:cantSplit/>
          <w:trHeight w:val="450"/>
          <w:jc w:val="center"/>
        </w:trPr>
        <w:tc>
          <w:tcPr>
            <w:tcW w:w="1781" w:type="dxa"/>
            <w:vAlign w:val="center"/>
          </w:tcPr>
          <w:p w14:paraId="018E4A5F" w14:textId="77777777" w:rsidR="00C01220" w:rsidRDefault="00442C88">
            <w:pPr>
              <w:rPr>
                <w:b/>
                <w:bCs/>
                <w:sz w:val="18"/>
                <w:szCs w:val="18"/>
              </w:rPr>
            </w:pPr>
            <w:r>
              <w:rPr>
                <w:b/>
                <w:bCs/>
                <w:sz w:val="18"/>
                <w:szCs w:val="18"/>
              </w:rPr>
              <w:t>Members Present:</w:t>
            </w:r>
          </w:p>
        </w:tc>
        <w:tc>
          <w:tcPr>
            <w:tcW w:w="7721" w:type="dxa"/>
            <w:vAlign w:val="center"/>
          </w:tcPr>
          <w:p w14:paraId="4AC7DCB4" w14:textId="77777777" w:rsidR="00C01220" w:rsidRDefault="00442C88">
            <w:pPr>
              <w:rPr>
                <w:sz w:val="18"/>
                <w:szCs w:val="18"/>
              </w:rPr>
            </w:pPr>
            <w:r>
              <w:rPr>
                <w:sz w:val="18"/>
                <w:szCs w:val="18"/>
              </w:rPr>
              <w:t>Carine Clark, Jesse Turley, Clint Morris. Jeremy Andrus, Geri Gamber</w:t>
            </w:r>
          </w:p>
        </w:tc>
      </w:tr>
      <w:tr w:rsidR="00C01220" w14:paraId="25040029" w14:textId="77777777">
        <w:trPr>
          <w:cantSplit/>
          <w:trHeight w:val="454"/>
          <w:jc w:val="center"/>
        </w:trPr>
        <w:tc>
          <w:tcPr>
            <w:tcW w:w="1781" w:type="dxa"/>
            <w:vAlign w:val="center"/>
          </w:tcPr>
          <w:p w14:paraId="48D86759" w14:textId="77777777" w:rsidR="00C01220" w:rsidRDefault="00442C88">
            <w:pPr>
              <w:rPr>
                <w:b/>
                <w:bCs/>
                <w:sz w:val="18"/>
                <w:szCs w:val="18"/>
              </w:rPr>
            </w:pPr>
            <w:r>
              <w:rPr>
                <w:b/>
                <w:bCs/>
                <w:sz w:val="18"/>
                <w:szCs w:val="18"/>
              </w:rPr>
              <w:t xml:space="preserve">Members Excused:           </w:t>
            </w:r>
          </w:p>
        </w:tc>
        <w:tc>
          <w:tcPr>
            <w:tcW w:w="7721" w:type="dxa"/>
            <w:vAlign w:val="center"/>
          </w:tcPr>
          <w:p w14:paraId="310196D4" w14:textId="77777777" w:rsidR="00C01220" w:rsidRDefault="00442C88">
            <w:pPr>
              <w:ind w:left="720" w:hanging="720"/>
              <w:rPr>
                <w:sz w:val="18"/>
                <w:szCs w:val="18"/>
              </w:rPr>
            </w:pPr>
            <w:r>
              <w:rPr>
                <w:sz w:val="18"/>
                <w:szCs w:val="18"/>
              </w:rPr>
              <w:t>Judd Cook, Vic Hockett, Brigham Tomco</w:t>
            </w:r>
          </w:p>
        </w:tc>
      </w:tr>
      <w:tr w:rsidR="00C01220" w14:paraId="0E376696" w14:textId="77777777">
        <w:trPr>
          <w:cantSplit/>
          <w:trHeight w:val="454"/>
          <w:jc w:val="center"/>
        </w:trPr>
        <w:tc>
          <w:tcPr>
            <w:tcW w:w="1781" w:type="dxa"/>
            <w:vAlign w:val="center"/>
          </w:tcPr>
          <w:p w14:paraId="2586E0C4" w14:textId="77777777" w:rsidR="00C01220" w:rsidRDefault="00442C88">
            <w:pPr>
              <w:rPr>
                <w:b/>
                <w:bCs/>
                <w:sz w:val="18"/>
                <w:szCs w:val="18"/>
              </w:rPr>
            </w:pPr>
            <w:r>
              <w:rPr>
                <w:b/>
                <w:bCs/>
                <w:sz w:val="18"/>
                <w:szCs w:val="18"/>
              </w:rPr>
              <w:t xml:space="preserve"> Staff:  </w:t>
            </w:r>
          </w:p>
        </w:tc>
        <w:tc>
          <w:tcPr>
            <w:tcW w:w="7721" w:type="dxa"/>
            <w:vAlign w:val="center"/>
          </w:tcPr>
          <w:p w14:paraId="426977B3" w14:textId="77777777" w:rsidR="00C01220" w:rsidRDefault="00C01220">
            <w:pPr>
              <w:rPr>
                <w:b/>
                <w:bCs/>
                <w:color w:val="000000"/>
                <w:sz w:val="18"/>
                <w:szCs w:val="18"/>
              </w:rPr>
            </w:pPr>
          </w:p>
          <w:p w14:paraId="6321E637" w14:textId="2F1CA288" w:rsidR="00C01220" w:rsidRDefault="00442C88">
            <w:pPr>
              <w:rPr>
                <w:sz w:val="18"/>
                <w:szCs w:val="18"/>
              </w:rPr>
            </w:pPr>
            <w:r>
              <w:rPr>
                <w:b/>
                <w:bCs/>
                <w:color w:val="000000"/>
                <w:sz w:val="18"/>
                <w:szCs w:val="18"/>
              </w:rPr>
              <w:t>GOE</w:t>
            </w:r>
            <w:r>
              <w:rPr>
                <w:b/>
                <w:bCs/>
                <w:sz w:val="18"/>
                <w:szCs w:val="18"/>
              </w:rPr>
              <w:t>D</w:t>
            </w:r>
            <w:r>
              <w:rPr>
                <w:color w:val="000000"/>
                <w:sz w:val="18"/>
                <w:szCs w:val="18"/>
              </w:rPr>
              <w:t xml:space="preserve">: </w:t>
            </w:r>
            <w:r>
              <w:rPr>
                <w:sz w:val="18"/>
                <w:szCs w:val="18"/>
              </w:rPr>
              <w:t>Jordan Hill, Liesl Limburg, Lance Soffe, Kelly Akins, Olivia Midgely, Todd Jensen, Patrick Fitzgibbon, Bri</w:t>
            </w:r>
            <w:r>
              <w:rPr>
                <w:sz w:val="18"/>
                <w:szCs w:val="18"/>
              </w:rPr>
              <w:t>tany Rich, Camille Densley, Aaron Price, Kamron Dalton, Brice Wallace, Tara Rosander, Jefferson Moss, Bo Wood, Cindy Rokhaneevna, Colette Cox, Debra McKee, Jen Wakeland, Kevin Augustin, Sherry Stevens</w:t>
            </w:r>
          </w:p>
          <w:p w14:paraId="2689C42B" w14:textId="77777777" w:rsidR="00C01220" w:rsidRDefault="00C01220">
            <w:pPr>
              <w:rPr>
                <w:color w:val="000000"/>
                <w:sz w:val="18"/>
                <w:szCs w:val="18"/>
              </w:rPr>
            </w:pPr>
          </w:p>
        </w:tc>
      </w:tr>
      <w:tr w:rsidR="00C01220" w14:paraId="31176966" w14:textId="77777777">
        <w:trPr>
          <w:cantSplit/>
          <w:trHeight w:val="620"/>
          <w:jc w:val="center"/>
        </w:trPr>
        <w:tc>
          <w:tcPr>
            <w:tcW w:w="1781" w:type="dxa"/>
            <w:vAlign w:val="center"/>
          </w:tcPr>
          <w:p w14:paraId="7E674E79" w14:textId="77777777" w:rsidR="00C01220" w:rsidRDefault="00442C88">
            <w:pPr>
              <w:rPr>
                <w:b/>
                <w:bCs/>
                <w:sz w:val="18"/>
                <w:szCs w:val="18"/>
              </w:rPr>
            </w:pPr>
            <w:r>
              <w:rPr>
                <w:b/>
                <w:bCs/>
                <w:sz w:val="18"/>
                <w:szCs w:val="18"/>
              </w:rPr>
              <w:t xml:space="preserve"> Visitors:</w:t>
            </w:r>
          </w:p>
        </w:tc>
        <w:tc>
          <w:tcPr>
            <w:tcW w:w="7721" w:type="dxa"/>
            <w:vAlign w:val="center"/>
          </w:tcPr>
          <w:p w14:paraId="5C3A6AD2" w14:textId="77777777" w:rsidR="00C01220" w:rsidRDefault="00442C88">
            <w:pPr>
              <w:pBdr>
                <w:top w:val="nil"/>
                <w:left w:val="nil"/>
                <w:bottom w:val="nil"/>
                <w:right w:val="nil"/>
                <w:between w:val="nil"/>
              </w:pBdr>
              <w:rPr>
                <w:sz w:val="18"/>
                <w:szCs w:val="18"/>
              </w:rPr>
            </w:pPr>
            <w:r>
              <w:rPr>
                <w:color w:val="000000"/>
                <w:sz w:val="18"/>
                <w:szCs w:val="18"/>
              </w:rPr>
              <w:br/>
            </w:r>
            <w:r>
              <w:rPr>
                <w:b/>
                <w:bCs/>
                <w:sz w:val="18"/>
                <w:szCs w:val="18"/>
              </w:rPr>
              <w:t xml:space="preserve">Lunar Resources: </w:t>
            </w:r>
            <w:r>
              <w:rPr>
                <w:sz w:val="18"/>
                <w:szCs w:val="18"/>
              </w:rPr>
              <w:t>Elliot Carol, Amy Gerber</w:t>
            </w:r>
          </w:p>
          <w:p w14:paraId="4820E5A9" w14:textId="77777777" w:rsidR="00C01220" w:rsidRDefault="00C01220">
            <w:pPr>
              <w:pBdr>
                <w:top w:val="nil"/>
                <w:left w:val="nil"/>
                <w:bottom w:val="nil"/>
                <w:right w:val="nil"/>
                <w:between w:val="nil"/>
              </w:pBdr>
              <w:rPr>
                <w:color w:val="000000"/>
                <w:sz w:val="18"/>
                <w:szCs w:val="18"/>
              </w:rPr>
            </w:pPr>
          </w:p>
        </w:tc>
      </w:tr>
    </w:tbl>
    <w:p w14:paraId="6A334232" w14:textId="77777777" w:rsidR="00C01220" w:rsidRDefault="00C01220">
      <w:pPr>
        <w:rPr>
          <w:sz w:val="18"/>
          <w:szCs w:val="18"/>
        </w:rPr>
      </w:pPr>
    </w:p>
    <w:p w14:paraId="4B7F77B1" w14:textId="77777777" w:rsidR="00C01220" w:rsidRDefault="00442C88">
      <w:pPr>
        <w:pBdr>
          <w:top w:val="nil"/>
          <w:left w:val="nil"/>
          <w:bottom w:val="nil"/>
          <w:right w:val="nil"/>
          <w:between w:val="nil"/>
        </w:pBdr>
        <w:rPr>
          <w:sz w:val="22"/>
          <w:szCs w:val="22"/>
        </w:rPr>
      </w:pPr>
      <w:r>
        <w:rPr>
          <w:b/>
          <w:bCs/>
          <w:color w:val="000000"/>
          <w:sz w:val="22"/>
          <w:szCs w:val="22"/>
          <w:u w:val="single"/>
        </w:rPr>
        <w:t>Welcome:</w:t>
      </w:r>
    </w:p>
    <w:p w14:paraId="741FA0FB" w14:textId="77777777" w:rsidR="00C01220" w:rsidRDefault="00442C88">
      <w:pPr>
        <w:rPr>
          <w:color w:val="000000"/>
          <w:sz w:val="22"/>
          <w:szCs w:val="22"/>
        </w:rPr>
      </w:pPr>
      <w:r>
        <w:rPr>
          <w:sz w:val="22"/>
          <w:szCs w:val="22"/>
        </w:rPr>
        <w:t xml:space="preserve">The meeting began with </w:t>
      </w:r>
      <w:proofErr w:type="gramStart"/>
      <w:r>
        <w:rPr>
          <w:sz w:val="22"/>
          <w:szCs w:val="22"/>
        </w:rPr>
        <w:t>a confirmation</w:t>
      </w:r>
      <w:proofErr w:type="gramEnd"/>
      <w:r>
        <w:rPr>
          <w:sz w:val="22"/>
          <w:szCs w:val="22"/>
        </w:rPr>
        <w:t xml:space="preserve"> that a quorum was present with five members in attendance. Carine Clark welcomed the attendees and expressed excitement to be back after traveling. Without objection, a motion was adopted to approve the minutes from the previous board meeting held on May 14th.  </w:t>
      </w:r>
    </w:p>
    <w:p w14:paraId="7C6FBBA9" w14:textId="77777777" w:rsidR="00C01220" w:rsidRDefault="00C01220">
      <w:pPr>
        <w:rPr>
          <w:b/>
          <w:bCs/>
          <w:sz w:val="22"/>
          <w:szCs w:val="22"/>
          <w:u w:val="single"/>
        </w:rPr>
      </w:pPr>
    </w:p>
    <w:p w14:paraId="657F339C" w14:textId="77777777" w:rsidR="00C01220" w:rsidRDefault="00442C88">
      <w:pPr>
        <w:rPr>
          <w:b/>
          <w:bCs/>
          <w:sz w:val="22"/>
          <w:szCs w:val="22"/>
          <w:u w:val="single"/>
        </w:rPr>
      </w:pPr>
      <w:r>
        <w:rPr>
          <w:b/>
          <w:bCs/>
          <w:sz w:val="22"/>
          <w:szCs w:val="22"/>
          <w:u w:val="single"/>
        </w:rPr>
        <w:t>Lunar Resources, Inc.</w:t>
      </w:r>
    </w:p>
    <w:p w14:paraId="5BEBD331" w14:textId="77777777" w:rsidR="00C01220" w:rsidRDefault="00442C88">
      <w:pPr>
        <w:pBdr>
          <w:top w:val="nil"/>
          <w:left w:val="nil"/>
          <w:bottom w:val="nil"/>
          <w:right w:val="nil"/>
          <w:between w:val="nil"/>
        </w:pBdr>
        <w:rPr>
          <w:sz w:val="22"/>
          <w:szCs w:val="22"/>
        </w:rPr>
      </w:pPr>
      <w:r>
        <w:rPr>
          <w:sz w:val="22"/>
          <w:szCs w:val="22"/>
        </w:rPr>
        <w:t>Jesse Turley, chair of the incentive committee, introduced the primary item for discussion: an incentive for Lunar Resources. Lisel provided an introduction, noting that the company is an aerospace and defense firm specializing in pulse power systems. She detailed that the project in Salt Lake County involves a capital expenditure of approximately $85 million and is expected to create about 450 jobs over its life, with 100 jobs qualifying for the incentive at an average wage of $219,480. She also highlighte</w:t>
      </w:r>
      <w:r>
        <w:rPr>
          <w:sz w:val="22"/>
          <w:szCs w:val="22"/>
        </w:rPr>
        <w:t>d a new training program through MTech in partnership with Talent Ready Utah.</w:t>
      </w:r>
    </w:p>
    <w:p w14:paraId="0111F1BF" w14:textId="77777777" w:rsidR="00C01220" w:rsidRDefault="00C01220">
      <w:pPr>
        <w:pBdr>
          <w:top w:val="nil"/>
          <w:left w:val="nil"/>
          <w:bottom w:val="nil"/>
          <w:right w:val="nil"/>
          <w:between w:val="nil"/>
        </w:pBdr>
        <w:rPr>
          <w:sz w:val="22"/>
          <w:szCs w:val="22"/>
        </w:rPr>
      </w:pPr>
    </w:p>
    <w:p w14:paraId="2873D1ED" w14:textId="60009199" w:rsidR="00C01220" w:rsidRDefault="00442C88">
      <w:pPr>
        <w:pBdr>
          <w:top w:val="nil"/>
          <w:left w:val="nil"/>
          <w:bottom w:val="nil"/>
          <w:right w:val="nil"/>
          <w:between w:val="nil"/>
        </w:pBdr>
        <w:rPr>
          <w:sz w:val="22"/>
          <w:szCs w:val="22"/>
        </w:rPr>
      </w:pPr>
      <w:r>
        <w:rPr>
          <w:sz w:val="22"/>
          <w:szCs w:val="22"/>
        </w:rPr>
        <w:t>Elliot Car</w:t>
      </w:r>
      <w:r>
        <w:rPr>
          <w:sz w:val="22"/>
          <w:szCs w:val="22"/>
        </w:rPr>
        <w:t>o</w:t>
      </w:r>
      <w:r>
        <w:rPr>
          <w:sz w:val="22"/>
          <w:szCs w:val="22"/>
        </w:rPr>
        <w:t>l, CEO of Lunar Resources, presented on the company's background as a NASA spinout and its leadership in pulse-powered systems, such as the helix driver. He explained that their Utah operations would focus on defense technologies, specifically directed energy systems to counter threats like drones and unmanned vehicles. The proposed 100,000-square-foot facility is intended to be the largest directed energy facility in the United States. Following the presentation, Elliot Carroll asked if the board had any q</w:t>
      </w:r>
      <w:r>
        <w:rPr>
          <w:sz w:val="22"/>
          <w:szCs w:val="22"/>
        </w:rPr>
        <w:t xml:space="preserve">uestions. One member asked about the facility's appearance, to which Carroll replied that while the renderings were still being developed, the final building would be very similar to the </w:t>
      </w:r>
      <w:proofErr w:type="gramStart"/>
      <w:r>
        <w:rPr>
          <w:sz w:val="22"/>
          <w:szCs w:val="22"/>
        </w:rPr>
        <w:t>provided images</w:t>
      </w:r>
      <w:proofErr w:type="gramEnd"/>
      <w:r>
        <w:rPr>
          <w:sz w:val="22"/>
          <w:szCs w:val="22"/>
        </w:rPr>
        <w:t>. Jesse Turley then asked if there were any other questions or comments before reading the motion.</w:t>
      </w:r>
    </w:p>
    <w:p w14:paraId="7E494B02" w14:textId="77777777" w:rsidR="00C01220" w:rsidRDefault="00C01220">
      <w:pPr>
        <w:pBdr>
          <w:top w:val="nil"/>
          <w:left w:val="nil"/>
          <w:bottom w:val="nil"/>
          <w:right w:val="nil"/>
          <w:between w:val="nil"/>
        </w:pBdr>
        <w:rPr>
          <w:b/>
          <w:bCs/>
          <w:sz w:val="22"/>
          <w:szCs w:val="22"/>
        </w:rPr>
      </w:pPr>
    </w:p>
    <w:p w14:paraId="5CCF963B" w14:textId="77777777" w:rsidR="00C01220" w:rsidRDefault="00442C88">
      <w:pPr>
        <w:pBdr>
          <w:top w:val="nil"/>
          <w:left w:val="nil"/>
          <w:bottom w:val="nil"/>
          <w:right w:val="nil"/>
          <w:between w:val="nil"/>
        </w:pBdr>
        <w:rPr>
          <w:b/>
          <w:bCs/>
          <w:color w:val="000000"/>
          <w:sz w:val="22"/>
          <w:szCs w:val="22"/>
        </w:rPr>
      </w:pPr>
      <w:r>
        <w:rPr>
          <w:b/>
          <w:bCs/>
          <w:color w:val="000000"/>
          <w:sz w:val="22"/>
          <w:szCs w:val="22"/>
        </w:rPr>
        <w:t>Proposed Motion</w:t>
      </w:r>
    </w:p>
    <w:p w14:paraId="22C33977" w14:textId="77777777" w:rsidR="00C01220" w:rsidRDefault="00C01220">
      <w:pPr>
        <w:pBdr>
          <w:top w:val="nil"/>
          <w:left w:val="nil"/>
          <w:bottom w:val="nil"/>
          <w:right w:val="nil"/>
          <w:between w:val="nil"/>
        </w:pBdr>
        <w:rPr>
          <w:b/>
          <w:bCs/>
          <w:sz w:val="22"/>
          <w:szCs w:val="22"/>
        </w:rPr>
      </w:pPr>
    </w:p>
    <w:p w14:paraId="36805084" w14:textId="77777777" w:rsidR="00C01220" w:rsidRDefault="00442C88">
      <w:pPr>
        <w:pBdr>
          <w:top w:val="nil"/>
          <w:left w:val="nil"/>
          <w:bottom w:val="nil"/>
          <w:right w:val="nil"/>
          <w:between w:val="nil"/>
        </w:pBdr>
        <w:rPr>
          <w:b/>
          <w:bCs/>
          <w:color w:val="000000"/>
          <w:sz w:val="22"/>
          <w:szCs w:val="22"/>
        </w:rPr>
      </w:pPr>
      <w:r>
        <w:rPr>
          <w:b/>
          <w:bCs/>
          <w:color w:val="000000"/>
          <w:sz w:val="22"/>
          <w:szCs w:val="22"/>
        </w:rPr>
        <w:t xml:space="preserve">The Governor's Office of Economic </w:t>
      </w:r>
      <w:r>
        <w:rPr>
          <w:b/>
          <w:bCs/>
          <w:sz w:val="22"/>
          <w:szCs w:val="22"/>
        </w:rPr>
        <w:t xml:space="preserve">Development Board </w:t>
      </w:r>
      <w:r>
        <w:rPr>
          <w:b/>
          <w:bCs/>
          <w:color w:val="000000"/>
          <w:sz w:val="22"/>
          <w:szCs w:val="22"/>
        </w:rPr>
        <w:t xml:space="preserve">recommends </w:t>
      </w:r>
      <w:r>
        <w:rPr>
          <w:b/>
          <w:bCs/>
          <w:sz w:val="22"/>
          <w:szCs w:val="22"/>
        </w:rPr>
        <w:t xml:space="preserve">Lunar Resources, Inc., </w:t>
      </w:r>
      <w:r>
        <w:rPr>
          <w:b/>
          <w:bCs/>
          <w:color w:val="000000"/>
          <w:sz w:val="22"/>
          <w:szCs w:val="22"/>
        </w:rPr>
        <w:t xml:space="preserve">for </w:t>
      </w:r>
      <w:r>
        <w:rPr>
          <w:b/>
          <w:bCs/>
          <w:sz w:val="22"/>
          <w:szCs w:val="22"/>
        </w:rPr>
        <w:t xml:space="preserve">an </w:t>
      </w:r>
      <w:r>
        <w:rPr>
          <w:b/>
          <w:bCs/>
          <w:color w:val="000000"/>
          <w:sz w:val="22"/>
          <w:szCs w:val="22"/>
        </w:rPr>
        <w:t xml:space="preserve">EDTIF post-performance refundable tax incentive. This incentive is not to exceed </w:t>
      </w:r>
      <w:r>
        <w:rPr>
          <w:b/>
          <w:bCs/>
          <w:sz w:val="22"/>
          <w:szCs w:val="22"/>
        </w:rPr>
        <w:t>10</w:t>
      </w:r>
      <w:r>
        <w:rPr>
          <w:b/>
          <w:bCs/>
          <w:color w:val="000000"/>
          <w:sz w:val="22"/>
          <w:szCs w:val="22"/>
        </w:rPr>
        <w:t xml:space="preserve"> years and a </w:t>
      </w:r>
      <w:r>
        <w:rPr>
          <w:b/>
          <w:bCs/>
          <w:sz w:val="22"/>
          <w:szCs w:val="22"/>
        </w:rPr>
        <w:t>3</w:t>
      </w:r>
      <w:r>
        <w:rPr>
          <w:b/>
          <w:bCs/>
          <w:color w:val="000000"/>
          <w:sz w:val="22"/>
          <w:szCs w:val="22"/>
        </w:rPr>
        <w:t xml:space="preserve">0% </w:t>
      </w:r>
      <w:r>
        <w:rPr>
          <w:b/>
          <w:bCs/>
          <w:sz w:val="22"/>
          <w:szCs w:val="22"/>
        </w:rPr>
        <w:t xml:space="preserve">rebate </w:t>
      </w:r>
      <w:r>
        <w:rPr>
          <w:b/>
          <w:bCs/>
          <w:color w:val="000000"/>
          <w:sz w:val="22"/>
          <w:szCs w:val="22"/>
        </w:rPr>
        <w:t xml:space="preserve">in state tax paid on new state tax revenue above the </w:t>
      </w:r>
      <w:r>
        <w:rPr>
          <w:b/>
          <w:bCs/>
          <w:color w:val="000000"/>
          <w:sz w:val="22"/>
          <w:szCs w:val="22"/>
        </w:rPr>
        <w:lastRenderedPageBreak/>
        <w:t>baseline established for the preceding 12 months. New state revenue is projected to be $</w:t>
      </w:r>
      <w:r>
        <w:rPr>
          <w:b/>
          <w:bCs/>
          <w:sz w:val="22"/>
          <w:szCs w:val="22"/>
        </w:rPr>
        <w:t>47,335,857</w:t>
      </w:r>
      <w:r>
        <w:rPr>
          <w:b/>
          <w:bCs/>
          <w:color w:val="000000"/>
          <w:sz w:val="22"/>
          <w:szCs w:val="22"/>
        </w:rPr>
        <w:t xml:space="preserve"> over </w:t>
      </w:r>
      <w:r>
        <w:rPr>
          <w:b/>
          <w:bCs/>
          <w:sz w:val="22"/>
          <w:szCs w:val="22"/>
        </w:rPr>
        <w:t>10</w:t>
      </w:r>
      <w:r>
        <w:rPr>
          <w:b/>
          <w:bCs/>
          <w:color w:val="000000"/>
          <w:sz w:val="22"/>
          <w:szCs w:val="22"/>
        </w:rPr>
        <w:t xml:space="preserve"> years.</w:t>
      </w:r>
    </w:p>
    <w:p w14:paraId="739D99F6" w14:textId="77777777" w:rsidR="00C01220" w:rsidRDefault="00C01220">
      <w:pPr>
        <w:pBdr>
          <w:top w:val="nil"/>
          <w:left w:val="nil"/>
          <w:bottom w:val="nil"/>
          <w:right w:val="nil"/>
          <w:between w:val="nil"/>
        </w:pBdr>
        <w:rPr>
          <w:b/>
          <w:bCs/>
          <w:color w:val="000000"/>
          <w:sz w:val="22"/>
          <w:szCs w:val="22"/>
        </w:rPr>
      </w:pPr>
    </w:p>
    <w:p w14:paraId="0028738C" w14:textId="77777777" w:rsidR="00C01220" w:rsidRDefault="00442C88">
      <w:pPr>
        <w:pBdr>
          <w:top w:val="nil"/>
          <w:left w:val="nil"/>
          <w:bottom w:val="nil"/>
          <w:right w:val="nil"/>
          <w:between w:val="nil"/>
        </w:pBdr>
        <w:rPr>
          <w:color w:val="000000"/>
          <w:sz w:val="22"/>
          <w:szCs w:val="22"/>
        </w:rPr>
      </w:pPr>
      <w:r>
        <w:rPr>
          <w:b/>
          <w:bCs/>
          <w:sz w:val="22"/>
          <w:szCs w:val="22"/>
        </w:rPr>
        <w:t>Jeremy Andrus</w:t>
      </w:r>
      <w:r>
        <w:rPr>
          <w:b/>
          <w:bCs/>
          <w:color w:val="000000"/>
          <w:sz w:val="22"/>
          <w:szCs w:val="22"/>
        </w:rPr>
        <w:t xml:space="preserve"> made the motion, </w:t>
      </w:r>
      <w:r>
        <w:rPr>
          <w:b/>
          <w:bCs/>
          <w:sz w:val="22"/>
          <w:szCs w:val="22"/>
        </w:rPr>
        <w:t>Geri Gamber</w:t>
      </w:r>
      <w:r>
        <w:rPr>
          <w:b/>
          <w:bCs/>
          <w:color w:val="000000"/>
          <w:sz w:val="22"/>
          <w:szCs w:val="22"/>
        </w:rPr>
        <w:t xml:space="preserve"> seconded the motion, and it passed with unanimous consent.</w:t>
      </w:r>
    </w:p>
    <w:p w14:paraId="2AE57B08" w14:textId="77777777" w:rsidR="00C01220" w:rsidRDefault="00C01220">
      <w:pPr>
        <w:pBdr>
          <w:top w:val="nil"/>
          <w:left w:val="nil"/>
          <w:bottom w:val="nil"/>
          <w:right w:val="nil"/>
          <w:between w:val="nil"/>
        </w:pBdr>
        <w:rPr>
          <w:color w:val="000000"/>
          <w:sz w:val="22"/>
          <w:szCs w:val="22"/>
        </w:rPr>
      </w:pPr>
    </w:p>
    <w:p w14:paraId="40ADAC16" w14:textId="77777777" w:rsidR="00C01220" w:rsidRDefault="00442C88">
      <w:pPr>
        <w:pBdr>
          <w:top w:val="nil"/>
          <w:left w:val="nil"/>
          <w:bottom w:val="nil"/>
          <w:right w:val="nil"/>
          <w:between w:val="nil"/>
        </w:pBdr>
        <w:rPr>
          <w:b/>
          <w:bCs/>
          <w:color w:val="000000"/>
          <w:sz w:val="22"/>
          <w:szCs w:val="22"/>
          <w:u w:val="single"/>
        </w:rPr>
      </w:pPr>
      <w:r>
        <w:rPr>
          <w:b/>
          <w:bCs/>
          <w:sz w:val="22"/>
          <w:szCs w:val="22"/>
          <w:u w:val="single"/>
        </w:rPr>
        <w:t>LS ELECTRIC Utah, Inc. (formerly MCM Engineering II)</w:t>
      </w:r>
    </w:p>
    <w:p w14:paraId="61AFA979" w14:textId="77777777" w:rsidR="00C01220" w:rsidRDefault="00442C88">
      <w:pPr>
        <w:pBdr>
          <w:top w:val="nil"/>
          <w:left w:val="nil"/>
          <w:bottom w:val="nil"/>
          <w:right w:val="nil"/>
          <w:between w:val="nil"/>
        </w:pBdr>
        <w:rPr>
          <w:sz w:val="22"/>
          <w:szCs w:val="22"/>
        </w:rPr>
      </w:pPr>
      <w:r>
        <w:rPr>
          <w:sz w:val="22"/>
          <w:szCs w:val="22"/>
        </w:rPr>
        <w:t>The board addressed a name change for a previously approved incentive. Kelly explained that MCM Engineering 2, approved in January, is now LS Electric Utah Incorporated. Carine asked if there were any questions about this simple change. Kelly then read the updated motion.</w:t>
      </w:r>
    </w:p>
    <w:p w14:paraId="2B056CDC" w14:textId="77777777" w:rsidR="00C01220" w:rsidRDefault="00C01220">
      <w:pPr>
        <w:pBdr>
          <w:top w:val="nil"/>
          <w:left w:val="nil"/>
          <w:bottom w:val="nil"/>
          <w:right w:val="nil"/>
          <w:between w:val="nil"/>
        </w:pBdr>
        <w:rPr>
          <w:sz w:val="22"/>
          <w:szCs w:val="22"/>
        </w:rPr>
      </w:pPr>
    </w:p>
    <w:p w14:paraId="0A2E0EF7" w14:textId="77777777" w:rsidR="00C01220" w:rsidRDefault="00442C88">
      <w:pPr>
        <w:rPr>
          <w:b/>
          <w:bCs/>
          <w:sz w:val="22"/>
          <w:szCs w:val="22"/>
        </w:rPr>
      </w:pPr>
      <w:r>
        <w:rPr>
          <w:b/>
          <w:bCs/>
          <w:sz w:val="22"/>
          <w:szCs w:val="22"/>
        </w:rPr>
        <w:t>The Governor's Office of Economic Development Board recommends LS ELECTRIC Utah, Inc. (formerly MCM Engineering II) for a REDTIF post-performance refundable tax incentive. This incentive is not to exceed 10 years and a 30% rebate in state tax paid on new state tax revenue above the baseline established for the preceding 12 months. New state revenue is projected to be $12,002,785 over 10 years.</w:t>
      </w:r>
    </w:p>
    <w:p w14:paraId="2400C172" w14:textId="77777777" w:rsidR="00C01220" w:rsidRDefault="00C01220">
      <w:pPr>
        <w:rPr>
          <w:b/>
          <w:bCs/>
          <w:sz w:val="22"/>
          <w:szCs w:val="22"/>
        </w:rPr>
      </w:pPr>
    </w:p>
    <w:p w14:paraId="4C09F03B" w14:textId="77777777" w:rsidR="00C01220" w:rsidRDefault="00442C88">
      <w:pPr>
        <w:rPr>
          <w:b/>
          <w:bCs/>
          <w:sz w:val="22"/>
          <w:szCs w:val="22"/>
        </w:rPr>
      </w:pPr>
      <w:r>
        <w:rPr>
          <w:b/>
          <w:bCs/>
          <w:sz w:val="22"/>
          <w:szCs w:val="22"/>
        </w:rPr>
        <w:t>Clint Morris made the motion, Geri Gamber seconded the motion, and it passed with unanimous consent.</w:t>
      </w:r>
    </w:p>
    <w:p w14:paraId="3451DBA7" w14:textId="77777777" w:rsidR="00C01220" w:rsidRDefault="00C01220">
      <w:pPr>
        <w:pBdr>
          <w:top w:val="nil"/>
          <w:left w:val="nil"/>
          <w:bottom w:val="nil"/>
          <w:right w:val="nil"/>
          <w:between w:val="nil"/>
        </w:pBdr>
        <w:rPr>
          <w:sz w:val="22"/>
          <w:szCs w:val="22"/>
        </w:rPr>
      </w:pPr>
    </w:p>
    <w:p w14:paraId="436475CD" w14:textId="77777777" w:rsidR="00C01220" w:rsidRDefault="00442C88">
      <w:pPr>
        <w:pBdr>
          <w:top w:val="nil"/>
          <w:left w:val="nil"/>
          <w:bottom w:val="nil"/>
          <w:right w:val="nil"/>
          <w:between w:val="nil"/>
        </w:pBdr>
        <w:rPr>
          <w:b/>
          <w:bCs/>
          <w:sz w:val="22"/>
          <w:szCs w:val="22"/>
          <w:u w:val="single"/>
        </w:rPr>
      </w:pPr>
      <w:r>
        <w:rPr>
          <w:b/>
          <w:bCs/>
          <w:sz w:val="22"/>
          <w:szCs w:val="22"/>
          <w:u w:val="single"/>
        </w:rPr>
        <w:t>Economic Development Zones</w:t>
      </w:r>
    </w:p>
    <w:p w14:paraId="0008150A" w14:textId="77777777" w:rsidR="00C01220" w:rsidRDefault="00442C88">
      <w:pPr>
        <w:pBdr>
          <w:top w:val="nil"/>
          <w:left w:val="nil"/>
          <w:bottom w:val="nil"/>
          <w:right w:val="nil"/>
          <w:between w:val="nil"/>
        </w:pBdr>
        <w:rPr>
          <w:sz w:val="22"/>
          <w:szCs w:val="22"/>
        </w:rPr>
      </w:pPr>
      <w:r>
        <w:rPr>
          <w:sz w:val="22"/>
          <w:szCs w:val="22"/>
        </w:rPr>
        <w:t>Kelly presented a list of 11 economic development (ED) zones ready for approval. These zones were previously approved but required physical addresses to be established. Kelly read through the motions for zones supporting expansions for Northrop Grumman at Hill Air Force Base and in Ogden, Breeze Aviation Group in Provo, JB Hunt Transport in Tooele, and KBR Wyle Services in Clearfield. Jesse Turley asked if they had looked at making the entire state an ED zone to avoid repetitive procedures. Todd explained t</w:t>
      </w:r>
      <w:r>
        <w:rPr>
          <w:sz w:val="22"/>
          <w:szCs w:val="22"/>
        </w:rPr>
        <w:t xml:space="preserve">hat the current code requires requests to come from local municipalities or </w:t>
      </w:r>
      <w:proofErr w:type="gramStart"/>
      <w:r>
        <w:rPr>
          <w:sz w:val="22"/>
          <w:szCs w:val="22"/>
        </w:rPr>
        <w:t>counties, but</w:t>
      </w:r>
      <w:proofErr w:type="gramEnd"/>
      <w:r>
        <w:rPr>
          <w:sz w:val="22"/>
          <w:szCs w:val="22"/>
        </w:rPr>
        <w:t xml:space="preserve"> agreed to </w:t>
      </w:r>
      <w:proofErr w:type="gramStart"/>
      <w:r>
        <w:rPr>
          <w:sz w:val="22"/>
          <w:szCs w:val="22"/>
        </w:rPr>
        <w:t>look into</w:t>
      </w:r>
      <w:proofErr w:type="gramEnd"/>
      <w:r>
        <w:rPr>
          <w:sz w:val="22"/>
          <w:szCs w:val="22"/>
        </w:rPr>
        <w:t xml:space="preserve"> potential code amendments. Carine asked if anyone had objections before taking </w:t>
      </w:r>
      <w:proofErr w:type="gramStart"/>
      <w:r>
        <w:rPr>
          <w:sz w:val="22"/>
          <w:szCs w:val="22"/>
        </w:rPr>
        <w:t>the roll</w:t>
      </w:r>
      <w:proofErr w:type="gramEnd"/>
      <w:r>
        <w:rPr>
          <w:sz w:val="22"/>
          <w:szCs w:val="22"/>
        </w:rPr>
        <w:t xml:space="preserve"> call.</w:t>
      </w:r>
    </w:p>
    <w:p w14:paraId="511BD2C2" w14:textId="77777777" w:rsidR="00C01220" w:rsidRDefault="00C01220">
      <w:pPr>
        <w:pBdr>
          <w:top w:val="nil"/>
          <w:left w:val="nil"/>
          <w:bottom w:val="nil"/>
          <w:right w:val="nil"/>
          <w:between w:val="nil"/>
        </w:pBdr>
        <w:rPr>
          <w:sz w:val="22"/>
          <w:szCs w:val="22"/>
        </w:rPr>
      </w:pPr>
    </w:p>
    <w:p w14:paraId="33714A2D" w14:textId="77777777" w:rsidR="00C01220" w:rsidRDefault="00442C88">
      <w:pPr>
        <w:pBdr>
          <w:top w:val="nil"/>
          <w:left w:val="nil"/>
          <w:bottom w:val="nil"/>
          <w:right w:val="nil"/>
          <w:between w:val="nil"/>
        </w:pBdr>
        <w:rPr>
          <w:b/>
          <w:bCs/>
          <w:sz w:val="22"/>
          <w:szCs w:val="22"/>
        </w:rPr>
      </w:pPr>
      <w:r>
        <w:rPr>
          <w:b/>
          <w:bCs/>
          <w:sz w:val="22"/>
          <w:szCs w:val="22"/>
        </w:rPr>
        <w:t>Jeremy Andrus made the motion, Geri Gamber seconded the motion, and it passed with unanimous consent.</w:t>
      </w:r>
    </w:p>
    <w:p w14:paraId="1C375E77" w14:textId="77777777" w:rsidR="00C01220" w:rsidRDefault="00C01220">
      <w:pPr>
        <w:pBdr>
          <w:top w:val="nil"/>
          <w:left w:val="nil"/>
          <w:bottom w:val="nil"/>
          <w:right w:val="nil"/>
          <w:between w:val="nil"/>
        </w:pBdr>
        <w:rPr>
          <w:sz w:val="22"/>
          <w:szCs w:val="22"/>
        </w:rPr>
      </w:pPr>
    </w:p>
    <w:p w14:paraId="132FC4F7" w14:textId="77777777" w:rsidR="00C01220" w:rsidRDefault="00442C88">
      <w:pPr>
        <w:pBdr>
          <w:top w:val="nil"/>
          <w:left w:val="nil"/>
          <w:bottom w:val="nil"/>
          <w:right w:val="nil"/>
          <w:between w:val="nil"/>
        </w:pBdr>
        <w:rPr>
          <w:b/>
          <w:bCs/>
          <w:sz w:val="22"/>
          <w:szCs w:val="22"/>
          <w:u w:val="single"/>
        </w:rPr>
      </w:pPr>
      <w:r>
        <w:rPr>
          <w:b/>
          <w:bCs/>
          <w:sz w:val="22"/>
          <w:szCs w:val="22"/>
          <w:u w:val="single"/>
        </w:rPr>
        <w:t>GOED Updates</w:t>
      </w:r>
    </w:p>
    <w:p w14:paraId="2AA3E105" w14:textId="77777777" w:rsidR="00C01220" w:rsidRDefault="00442C88">
      <w:pPr>
        <w:pBdr>
          <w:top w:val="nil"/>
          <w:left w:val="nil"/>
          <w:bottom w:val="nil"/>
          <w:right w:val="nil"/>
          <w:between w:val="nil"/>
        </w:pBdr>
        <w:rPr>
          <w:sz w:val="22"/>
          <w:szCs w:val="22"/>
        </w:rPr>
      </w:pPr>
      <w:r>
        <w:rPr>
          <w:sz w:val="22"/>
          <w:szCs w:val="22"/>
        </w:rPr>
        <w:t>Jefferson provided an update on the strategic plan, noting that it now incorporates feedback regarding outbound efforts, quality of life metrics (such as housing and air quality), and stress testing. Carine asked if there were any questions for Jeff and the team. Jesse Turley commented that he loved the new direction of the plan.</w:t>
      </w:r>
    </w:p>
    <w:p w14:paraId="6BFC3383" w14:textId="77777777" w:rsidR="00C01220" w:rsidRDefault="00C01220">
      <w:pPr>
        <w:pBdr>
          <w:top w:val="nil"/>
          <w:left w:val="nil"/>
          <w:bottom w:val="nil"/>
          <w:right w:val="nil"/>
          <w:between w:val="nil"/>
        </w:pBdr>
        <w:rPr>
          <w:sz w:val="22"/>
          <w:szCs w:val="22"/>
        </w:rPr>
      </w:pPr>
    </w:p>
    <w:p w14:paraId="4551195B" w14:textId="77777777" w:rsidR="00C01220" w:rsidRDefault="00442C88">
      <w:pPr>
        <w:pBdr>
          <w:top w:val="nil"/>
          <w:left w:val="nil"/>
          <w:bottom w:val="nil"/>
          <w:right w:val="nil"/>
          <w:between w:val="nil"/>
        </w:pBdr>
        <w:rPr>
          <w:sz w:val="22"/>
          <w:szCs w:val="22"/>
        </w:rPr>
      </w:pPr>
      <w:r>
        <w:rPr>
          <w:sz w:val="22"/>
          <w:szCs w:val="22"/>
        </w:rPr>
        <w:t>The board briefly discussed the upcoming July 9th meeting and the status of invitations for the "One Utah Summit". Finally, Jesse Turley asked when the new board member would be sworn in. It was noted that the Senate confirmation for Nate Walkinshaw was scheduled for June 17th. Carine praised Walkinshaw’s background in technology and patents before adjourning the meeting.</w:t>
      </w:r>
    </w:p>
    <w:p w14:paraId="5346A022" w14:textId="77777777" w:rsidR="00C01220" w:rsidRDefault="00C01220">
      <w:pPr>
        <w:pBdr>
          <w:top w:val="nil"/>
          <w:left w:val="nil"/>
          <w:bottom w:val="nil"/>
          <w:right w:val="nil"/>
          <w:between w:val="nil"/>
        </w:pBdr>
        <w:rPr>
          <w:b/>
          <w:bCs/>
          <w:sz w:val="22"/>
          <w:szCs w:val="22"/>
          <w:u w:val="single"/>
        </w:rPr>
      </w:pPr>
    </w:p>
    <w:p w14:paraId="577A1DA7" w14:textId="77777777" w:rsidR="00C01220" w:rsidRDefault="00C01220">
      <w:pPr>
        <w:pBdr>
          <w:top w:val="nil"/>
          <w:left w:val="nil"/>
          <w:bottom w:val="nil"/>
          <w:right w:val="nil"/>
          <w:between w:val="nil"/>
        </w:pBdr>
        <w:rPr>
          <w:b/>
          <w:bCs/>
          <w:sz w:val="22"/>
          <w:szCs w:val="22"/>
          <w:u w:val="single"/>
        </w:rPr>
      </w:pPr>
    </w:p>
    <w:p w14:paraId="02D07FB1" w14:textId="77777777" w:rsidR="00C01220" w:rsidRDefault="00442C88">
      <w:pPr>
        <w:pBdr>
          <w:top w:val="nil"/>
          <w:left w:val="nil"/>
          <w:bottom w:val="nil"/>
          <w:right w:val="nil"/>
          <w:between w:val="nil"/>
        </w:pBdr>
        <w:rPr>
          <w:b/>
          <w:bCs/>
          <w:sz w:val="18"/>
          <w:szCs w:val="18"/>
        </w:rPr>
      </w:pPr>
      <w:r>
        <w:rPr>
          <w:b/>
          <w:bCs/>
          <w:color w:val="000000"/>
          <w:sz w:val="22"/>
          <w:szCs w:val="22"/>
        </w:rPr>
        <w:t>Meeting Adjourned</w:t>
      </w:r>
    </w:p>
    <w:sectPr w:rsidR="00C01220">
      <w:headerReference w:type="default" r:id="rId7"/>
      <w:pgSz w:w="12240" w:h="15840"/>
      <w:pgMar w:top="1440" w:right="1800" w:bottom="117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C5869" w14:textId="77777777" w:rsidR="00442C88" w:rsidRDefault="00442C88">
      <w:r>
        <w:separator/>
      </w:r>
    </w:p>
  </w:endnote>
  <w:endnote w:type="continuationSeparator" w:id="0">
    <w:p w14:paraId="2AD7F157" w14:textId="77777777" w:rsidR="00442C88" w:rsidRDefault="00442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166E51A-7D97-4D55-9AC4-E6E3D0D81F6A}"/>
    <w:embedBold r:id="rId2" w:fontKey="{C3D83260-6F9E-47D5-9757-814084C163C2}"/>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3" w:fontKey="{CBF6B603-F89B-4E4E-BC18-AE68DB4C14B7}"/>
  </w:font>
  <w:font w:name="Calibri">
    <w:panose1 w:val="020F0502020204030204"/>
    <w:charset w:val="00"/>
    <w:family w:val="swiss"/>
    <w:pitch w:val="variable"/>
    <w:sig w:usb0="E4002EFF" w:usb1="C200247B" w:usb2="00000009" w:usb3="00000000" w:csb0="000001FF" w:csb1="00000000"/>
    <w:embedRegular r:id="rId4" w:fontKey="{DA6EFEB6-59C0-4DF7-B0AC-4461E02146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547DF" w14:textId="77777777" w:rsidR="00442C88" w:rsidRDefault="00442C88">
      <w:r>
        <w:separator/>
      </w:r>
    </w:p>
  </w:footnote>
  <w:footnote w:type="continuationSeparator" w:id="0">
    <w:p w14:paraId="3FAE5BA3" w14:textId="77777777" w:rsidR="00442C88" w:rsidRDefault="00442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6AA69" w14:textId="77777777" w:rsidR="00C01220" w:rsidRDefault="00C01220">
    <w:pPr>
      <w:widowControl w:val="0"/>
      <w:pBdr>
        <w:top w:val="nil"/>
        <w:left w:val="nil"/>
        <w:bottom w:val="nil"/>
        <w:right w:val="nil"/>
        <w:between w:val="nil"/>
      </w:pBdr>
      <w:spacing w:line="276" w:lineRule="auto"/>
      <w:rPr>
        <w:b/>
        <w:bCs/>
        <w:sz w:val="18"/>
        <w:szCs w:val="18"/>
      </w:rPr>
    </w:pPr>
  </w:p>
  <w:tbl>
    <w:tblPr>
      <w:tblStyle w:val="a0"/>
      <w:tblW w:w="8640" w:type="dxa"/>
      <w:tblInd w:w="0" w:type="dxa"/>
      <w:tblBorders>
        <w:bottom w:val="single" w:sz="18" w:space="0" w:color="808080"/>
        <w:insideV w:val="single" w:sz="18" w:space="0" w:color="808080"/>
      </w:tblBorders>
      <w:tblLayout w:type="fixed"/>
      <w:tblLook w:val="0400" w:firstRow="0" w:lastRow="0" w:firstColumn="0" w:lastColumn="0" w:noHBand="0" w:noVBand="1"/>
    </w:tblPr>
    <w:tblGrid>
      <w:gridCol w:w="7536"/>
      <w:gridCol w:w="1104"/>
    </w:tblGrid>
    <w:tr w:rsidR="00C01220" w14:paraId="3752DC59" w14:textId="77777777">
      <w:trPr>
        <w:trHeight w:val="288"/>
      </w:trPr>
      <w:tc>
        <w:tcPr>
          <w:tcW w:w="7536" w:type="dxa"/>
        </w:tcPr>
        <w:p w14:paraId="1C244302" w14:textId="77777777" w:rsidR="00C01220" w:rsidRDefault="00442C88">
          <w:pPr>
            <w:pBdr>
              <w:top w:val="nil"/>
              <w:left w:val="nil"/>
              <w:bottom w:val="nil"/>
              <w:right w:val="nil"/>
              <w:between w:val="nil"/>
            </w:pBdr>
            <w:tabs>
              <w:tab w:val="center" w:pos="4680"/>
              <w:tab w:val="right" w:pos="9360"/>
            </w:tabs>
            <w:jc w:val="right"/>
            <w:rPr>
              <w:rFonts w:ascii="Cambria" w:eastAsia="Cambria" w:hAnsi="Cambria" w:cs="Cambria"/>
              <w:color w:val="000000"/>
              <w:sz w:val="36"/>
              <w:szCs w:val="36"/>
            </w:rPr>
          </w:pPr>
          <w:r>
            <w:rPr>
              <w:rFonts w:ascii="Cambria" w:eastAsia="Cambria" w:hAnsi="Cambria" w:cs="Cambria"/>
              <w:color w:val="000000"/>
              <w:sz w:val="36"/>
              <w:szCs w:val="36"/>
            </w:rPr>
            <w:t>GOE</w:t>
          </w:r>
          <w:r>
            <w:rPr>
              <w:rFonts w:ascii="Cambria" w:eastAsia="Cambria" w:hAnsi="Cambria" w:cs="Cambria"/>
              <w:sz w:val="36"/>
              <w:szCs w:val="36"/>
            </w:rPr>
            <w:t xml:space="preserve">D Board </w:t>
          </w:r>
          <w:r>
            <w:rPr>
              <w:rFonts w:ascii="Cambria" w:eastAsia="Cambria" w:hAnsi="Cambria" w:cs="Cambria"/>
              <w:color w:val="000000"/>
              <w:sz w:val="36"/>
              <w:szCs w:val="36"/>
            </w:rPr>
            <w:t xml:space="preserve">Committee                        </w:t>
          </w:r>
        </w:p>
      </w:tc>
      <w:tc>
        <w:tcPr>
          <w:tcW w:w="1104" w:type="dxa"/>
        </w:tcPr>
        <w:p w14:paraId="362B546E" w14:textId="77777777" w:rsidR="00C01220" w:rsidRDefault="00442C88">
          <w:pPr>
            <w:pBdr>
              <w:top w:val="nil"/>
              <w:left w:val="nil"/>
              <w:bottom w:val="nil"/>
              <w:right w:val="nil"/>
              <w:between w:val="nil"/>
            </w:pBdr>
            <w:tabs>
              <w:tab w:val="center" w:pos="4680"/>
              <w:tab w:val="right" w:pos="9360"/>
            </w:tabs>
            <w:rPr>
              <w:rFonts w:ascii="Cambria" w:eastAsia="Cambria" w:hAnsi="Cambria" w:cs="Cambria"/>
              <w:b/>
              <w:bCs/>
              <w:color w:val="4F81BD"/>
              <w:sz w:val="36"/>
              <w:szCs w:val="36"/>
            </w:rPr>
          </w:pPr>
          <w:r>
            <w:rPr>
              <w:rFonts w:ascii="Cambria" w:eastAsia="Cambria" w:hAnsi="Cambria" w:cs="Cambria"/>
              <w:b/>
              <w:bCs/>
              <w:color w:val="000000"/>
              <w:sz w:val="36"/>
              <w:szCs w:val="36"/>
            </w:rPr>
            <w:t>202</w:t>
          </w:r>
          <w:r>
            <w:rPr>
              <w:rFonts w:ascii="Cambria" w:eastAsia="Cambria" w:hAnsi="Cambria" w:cs="Cambria"/>
              <w:b/>
              <w:bCs/>
              <w:sz w:val="36"/>
              <w:szCs w:val="36"/>
            </w:rPr>
            <w:t>6</w:t>
          </w:r>
        </w:p>
      </w:tc>
    </w:tr>
  </w:tbl>
  <w:p w14:paraId="00DC1AC0" w14:textId="77777777" w:rsidR="00C01220" w:rsidRDefault="00C01220">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220"/>
    <w:rsid w:val="00442C88"/>
    <w:rsid w:val="00C01220"/>
    <w:rsid w:val="00C31C22"/>
    <w:rsid w:val="00FD0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642C2"/>
  <w15:docId w15:val="{C5668958-6FE3-4E54-9529-4CE437975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widowControl w:val="0"/>
      <w:tabs>
        <w:tab w:val="left" w:pos="-1120"/>
        <w:tab w:val="left" w:pos="-720"/>
        <w:tab w:val="left" w:pos="0"/>
        <w:tab w:val="left" w:pos="474"/>
        <w:tab w:val="left" w:pos="720"/>
        <w:tab w:val="left" w:pos="1081"/>
      </w:tabs>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spacing w:before="64"/>
      <w:ind w:left="2330" w:right="2224"/>
      <w:jc w:val="center"/>
    </w:pPr>
    <w:rPr>
      <w:b/>
      <w:bCs/>
      <w:sz w:val="22"/>
      <w:szCs w:val="22"/>
    </w:rPr>
  </w:style>
  <w:style w:type="paragraph" w:styleId="Subtitle">
    <w:name w:val="Subtitle"/>
    <w:basedOn w:val="Normal"/>
    <w:next w:val="Normal"/>
    <w:uiPriority w:val="11"/>
    <w:qFormat/>
    <w:pPr>
      <w:spacing w:after="60"/>
      <w:jc w:val="center"/>
    </w:pPr>
    <w:rPr>
      <w:rFonts w:ascii="Arial" w:eastAsia="Arial" w:hAnsi="Arial" w:cs="Arial"/>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u9VJCorjHWN8j6Qjvsq+sIZyjA==">CgMxLjA4AHIhMWtVdXE0V3cySWJUQ2xDcUdnc0xsODYtbFJNVUpaRE1V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804</Words>
  <Characters>4586</Characters>
  <Application>Microsoft Office Word</Application>
  <DocSecurity>0</DocSecurity>
  <Lines>38</Lines>
  <Paragraphs>10</Paragraphs>
  <ScaleCrop>false</ScaleCrop>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Akins</cp:lastModifiedBy>
  <cp:revision>2</cp:revision>
  <dcterms:created xsi:type="dcterms:W3CDTF">2026-07-02T19:33:00Z</dcterms:created>
  <dcterms:modified xsi:type="dcterms:W3CDTF">2026-07-02T19:38:00Z</dcterms:modified>
</cp:coreProperties>
</file>