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22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19054</wp:posOffset>
            </wp:positionH>
            <wp:positionV relativeFrom="paragraph">
              <wp:posOffset>0</wp:posOffset>
            </wp:positionV>
            <wp:extent cx="659817" cy="838518"/>
            <wp:effectExtent b="0" l="0" r="0" t="0"/>
            <wp:wrapSquare wrapText="bothSides" distB="0" distT="0" distL="114300" distR="114300"/>
            <wp:docPr descr="A blue and black 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blue and black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46" l="0" r="0" t="46"/>
                    <a:stretch>
                      <a:fillRect/>
                    </a:stretch>
                  </pic:blipFill>
                  <pic:spPr>
                    <a:xfrm>
                      <a:off x="0" y="0"/>
                      <a:ext cx="659817" cy="8385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  The Northern Utah Academy for Math, Engineering &amp; Science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0" w:firstLine="720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right="301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June 24, 2026 via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80" w:right="3128" w:firstLine="720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Sue Johnson, Kelli Booth, Dawn Winter, Nate Taggart, Lynnette Gilbert, David Richards, Lauri Larsen, Brenda Casper, Connie Perry, Jamie Froerer, Jeff Biesinger, Sherene Keith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Welcome: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President,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Susan Johnson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Approve Meeting Minutes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 Sue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Motion to approve Minutes from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May 12,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Lauri Larsen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Second: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Lynnette Gilbert.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All in favor.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Approve the FY26 Forecasted budget: Nate Taggart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Although revenue is projected to be lower this year due to reduced grant funding and decreased enrollment, current projections indicate that we should still achieve at least a break-even financial position.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Forecasted FY26 Budget: Lynnette Gilbert.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Sue Johnson.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 favor.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Approve the FY27 Forecasted budget: Nate Taggart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submitted for a $14 million grant for the Catalyst Center. Other start-up funds will come from Davis Tech and Career Path.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Motion to approve the Forecasted FY27 Budget: Lynnette Gilbert. Second: David Richards. All in favor.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Faculty for SY27: Michelle Cox (Social Worker, ND), Brighton Fox (Computer Science at both campuses)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Approve the Language Access Policy/Plan: Kelli Booth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NUAMES will provide timely, meaningful communication and interpretation services as needed to ensure parents can actively participate in their student's education.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Motion to approve the Language Access Policy/Plan:  Sue Johnson. Second: Lynnette Gilbert. All in favor.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Approve the Updated Policy for Financial Management of Federal Awards: Kelli Booth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policy shall be updated to include requirements regarding Conflicts of Interest.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Motion to approve the Updated Policy for Financial Management of Federal Awards:  Lynnette Gilbert. Second: David Richards.  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INFORMATION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ACT Assessment Updated Data; Kelli Booth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National test scores were recalculated by ACT. NUAMES scores went up from the initial spring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Summer School Enrollment: Brenda Casper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have enrolled in 374 courses for the summer. Potential of 187 credits earned.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Upcoming Board Meeting Dates: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September 9, 2026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November 11, 2026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13, 2027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 17, 2027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12, 2027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23, 2027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547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pict>
        <v:shape id="PowerPlusWaterMarkObject1" style="position:absolute;width:498.92405218583394pt;height:264.751271495637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