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261" w:rsidR="004379FC" w:rsidP="684B66A4" w:rsidRDefault="004379FC" w14:paraId="5E403877" w14:textId="4E7EADD5">
      <w:pPr>
        <w:spacing w:after="0" w:line="240" w:lineRule="auto"/>
        <w:ind w:left="960" w:hanging="960"/>
        <w:jc w:val="center"/>
        <w:rPr>
          <w:rFonts w:ascii="Calibri" w:hAnsi="Calibri" w:eastAsia="Calibri" w:cs="Calibri" w:asciiTheme="minorAscii" w:hAnsiTheme="minorAscii" w:eastAsiaTheme="minorAscii" w:cstheme="minorAscii"/>
          <w:b w:val="1"/>
          <w:bCs w:val="1"/>
          <w:sz w:val="28"/>
          <w:szCs w:val="28"/>
        </w:rPr>
      </w:pPr>
      <w:r w:rsidRPr="6F0C929D" w:rsidR="6F0C929D">
        <w:rPr>
          <w:rFonts w:ascii="Calibri" w:hAnsi="Calibri" w:eastAsia="Calibri" w:cs="Calibri" w:asciiTheme="minorAscii" w:hAnsiTheme="minorAscii" w:eastAsiaTheme="minorAscii" w:cstheme="minorAscii"/>
          <w:b w:val="1"/>
          <w:bCs w:val="1"/>
          <w:sz w:val="28"/>
          <w:szCs w:val="28"/>
        </w:rPr>
        <w:t>Hyde Park City Ordinance 2026-11</w:t>
      </w:r>
    </w:p>
    <w:p w:rsidRPr="00EA7261" w:rsidR="00EA7261" w:rsidP="684B66A4" w:rsidRDefault="00EA7261" w14:paraId="64A54EDA" w14:textId="77777777">
      <w:pPr>
        <w:spacing w:after="0" w:line="240" w:lineRule="auto"/>
        <w:ind w:left="960" w:hanging="960"/>
        <w:jc w:val="center"/>
        <w:rPr>
          <w:rFonts w:ascii="Calibri" w:hAnsi="Calibri" w:eastAsia="Calibri" w:cs="Calibri" w:asciiTheme="minorAscii" w:hAnsiTheme="minorAscii" w:eastAsiaTheme="minorAscii" w:cstheme="minorAscii"/>
          <w:b w:val="1"/>
          <w:bCs w:val="1"/>
          <w:sz w:val="28"/>
          <w:szCs w:val="28"/>
        </w:rPr>
      </w:pPr>
    </w:p>
    <w:p w:rsidRPr="00CC2DBF" w:rsidR="00EA7261" w:rsidP="684B66A4" w:rsidRDefault="004379FC" w14:paraId="7BD12493" w14:textId="78848113">
      <w:pPr>
        <w:spacing w:after="0" w:line="240" w:lineRule="auto"/>
        <w:ind w:left="960" w:hanging="960"/>
        <w:jc w:val="center"/>
        <w:rPr>
          <w:rFonts w:ascii="Calibri" w:hAnsi="Calibri" w:eastAsia="Calibri" w:cs="Calibri" w:asciiTheme="minorAscii" w:hAnsiTheme="minorAscii" w:eastAsiaTheme="minorAscii" w:cstheme="minorAscii"/>
          <w:noProof w:val="0"/>
          <w:sz w:val="28"/>
          <w:szCs w:val="28"/>
          <w:lang w:val="en-US"/>
        </w:rPr>
      </w:pPr>
      <w:r w:rsidRPr="684B66A4" w:rsidR="2A885816">
        <w:rPr>
          <w:rFonts w:ascii="Calibri" w:hAnsi="Calibri" w:eastAsia="Calibri" w:cs="Calibri" w:asciiTheme="minorAscii" w:hAnsiTheme="minorAscii" w:eastAsiaTheme="minorAscii" w:cstheme="minorAscii"/>
          <w:b w:val="1"/>
          <w:bCs w:val="1"/>
          <w:sz w:val="28"/>
          <w:szCs w:val="28"/>
        </w:rPr>
        <w:t xml:space="preserve">An Ordinance </w:t>
      </w:r>
      <w:r w:rsidRPr="684B66A4" w:rsidR="5FF468DC">
        <w:rPr>
          <w:rFonts w:ascii="Calibri" w:hAnsi="Calibri" w:eastAsia="Calibri" w:cs="Calibri" w:asciiTheme="minorAscii" w:hAnsiTheme="minorAscii" w:eastAsiaTheme="minorAscii" w:cstheme="minorAscii"/>
          <w:b w:val="1"/>
          <w:bCs w:val="1"/>
          <w:sz w:val="28"/>
          <w:szCs w:val="28"/>
        </w:rPr>
        <w:t>amending</w:t>
      </w:r>
      <w:r w:rsidRPr="684B66A4" w:rsidR="7EB9E130">
        <w:rPr>
          <w:rFonts w:ascii="Calibri" w:hAnsi="Calibri" w:eastAsia="Calibri" w:cs="Calibri" w:asciiTheme="minorAscii" w:hAnsiTheme="minorAscii" w:eastAsiaTheme="minorAscii" w:cstheme="minorAscii"/>
          <w:b w:val="1"/>
          <w:bCs w:val="1"/>
          <w:sz w:val="28"/>
          <w:szCs w:val="28"/>
        </w:rPr>
        <w:t xml:space="preserve"> Title 12 </w:t>
      </w:r>
      <w:r w:rsidRPr="684B66A4" w:rsidR="481B9E3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to close zoning applications and amendments for R2, RT, and MXD zones.</w:t>
      </w:r>
    </w:p>
    <w:p w:rsidRPr="00CC2DBF" w:rsidR="00EA7261" w:rsidP="684B66A4" w:rsidRDefault="004379FC" w14:paraId="193EE458" w14:textId="64AD40CC">
      <w:pPr>
        <w:spacing w:after="0" w:line="240" w:lineRule="auto"/>
        <w:ind w:left="960" w:hanging="960"/>
        <w:jc w:val="center"/>
        <w:rPr>
          <w:rFonts w:ascii="Calibri" w:hAnsi="Calibri" w:eastAsia="Calibri" w:cs="Calibri" w:asciiTheme="minorAscii" w:hAnsiTheme="minorAscii" w:eastAsiaTheme="minorAscii" w:cstheme="minorAscii"/>
          <w:b w:val="1"/>
          <w:bCs w:val="1"/>
          <w:sz w:val="28"/>
          <w:szCs w:val="28"/>
        </w:rPr>
      </w:pPr>
    </w:p>
    <w:p w:rsidR="00EA7261" w:rsidP="684B66A4" w:rsidRDefault="00EA7261" w14:paraId="2D50BF77" w14:textId="77777777">
      <w:pPr>
        <w:spacing w:after="0" w:line="240" w:lineRule="auto"/>
        <w:ind w:left="960" w:hanging="960"/>
        <w:jc w:val="center"/>
        <w:rPr>
          <w:rFonts w:ascii="Calibri" w:hAnsi="Calibri" w:eastAsia="Calibri" w:cs="Calibri" w:asciiTheme="minorAscii" w:hAnsiTheme="minorAscii" w:eastAsiaTheme="minorAscii" w:cstheme="minorAscii"/>
        </w:rPr>
      </w:pPr>
    </w:p>
    <w:p w:rsidR="00EA7261" w:rsidP="684B66A4" w:rsidRDefault="00EA7261" w14:paraId="2DC47E91" w14:textId="52D4A054">
      <w:pPr>
        <w:spacing w:after="0" w:line="240" w:lineRule="auto"/>
        <w:ind w:left="240" w:hanging="240"/>
        <w:rPr>
          <w:rFonts w:ascii="Calibri" w:hAnsi="Calibri" w:eastAsia="Calibri" w:cs="Calibri" w:asciiTheme="minorAscii" w:hAnsiTheme="minorAscii" w:eastAsiaTheme="minorAscii" w:cstheme="minorAscii"/>
        </w:rPr>
      </w:pPr>
      <w:r w:rsidRPr="684B66A4" w:rsidR="1E34F7BE">
        <w:rPr>
          <w:rFonts w:ascii="Calibri" w:hAnsi="Calibri" w:eastAsia="Calibri" w:cs="Calibri" w:asciiTheme="minorAscii" w:hAnsiTheme="minorAscii" w:eastAsiaTheme="minorAscii" w:cstheme="minorAscii"/>
          <w:b w:val="1"/>
          <w:bCs w:val="1"/>
        </w:rPr>
        <w:t>WHEREAS</w:t>
      </w:r>
      <w:r w:rsidRPr="684B66A4" w:rsidR="1E34F7BE">
        <w:rPr>
          <w:rFonts w:ascii="Calibri" w:hAnsi="Calibri" w:eastAsia="Calibri" w:cs="Calibri" w:asciiTheme="minorAscii" w:hAnsiTheme="minorAscii" w:eastAsiaTheme="minorAscii" w:cstheme="minorAscii"/>
        </w:rPr>
        <w:t xml:space="preserve">; the City Council of Hyde Park City, Utah desires to </w:t>
      </w:r>
      <w:r w:rsidRPr="684B66A4" w:rsidR="4B92046A">
        <w:rPr>
          <w:rFonts w:ascii="Calibri" w:hAnsi="Calibri" w:eastAsia="Calibri" w:cs="Calibri" w:asciiTheme="minorAscii" w:hAnsiTheme="minorAscii" w:eastAsiaTheme="minorAscii" w:cstheme="minorAscii"/>
        </w:rPr>
        <w:t xml:space="preserve">end </w:t>
      </w:r>
      <w:r w:rsidRPr="684B66A4" w:rsidR="6F74922A">
        <w:rPr>
          <w:rFonts w:ascii="Calibri" w:hAnsi="Calibri" w:eastAsia="Calibri" w:cs="Calibri" w:asciiTheme="minorAscii" w:hAnsiTheme="minorAscii" w:eastAsiaTheme="minorAscii" w:cstheme="minorAscii"/>
        </w:rPr>
        <w:t>Residential-2</w:t>
      </w:r>
      <w:r w:rsidRPr="684B66A4" w:rsidR="4B92046A">
        <w:rPr>
          <w:rFonts w:ascii="Calibri" w:hAnsi="Calibri" w:eastAsia="Calibri" w:cs="Calibri" w:asciiTheme="minorAscii" w:hAnsiTheme="minorAscii" w:eastAsiaTheme="minorAscii" w:cstheme="minorAscii"/>
        </w:rPr>
        <w:t xml:space="preserve"> </w:t>
      </w:r>
      <w:r w:rsidRPr="684B66A4" w:rsidR="32C6461F">
        <w:rPr>
          <w:rFonts w:ascii="Calibri" w:hAnsi="Calibri" w:eastAsia="Calibri" w:cs="Calibri" w:asciiTheme="minorAscii" w:hAnsiTheme="minorAscii" w:eastAsiaTheme="minorAscii" w:cstheme="minorAscii"/>
        </w:rPr>
        <w:t>d</w:t>
      </w:r>
      <w:r w:rsidRPr="684B66A4" w:rsidR="4B92046A">
        <w:rPr>
          <w:rFonts w:ascii="Calibri" w:hAnsi="Calibri" w:eastAsia="Calibri" w:cs="Calibri" w:asciiTheme="minorAscii" w:hAnsiTheme="minorAscii" w:eastAsiaTheme="minorAscii" w:cstheme="minorAscii"/>
        </w:rPr>
        <w:t>evelopment</w:t>
      </w:r>
      <w:r w:rsidRPr="684B66A4" w:rsidR="4D7DB76E">
        <w:rPr>
          <w:rFonts w:ascii="Calibri" w:hAnsi="Calibri" w:eastAsia="Calibri" w:cs="Calibri" w:asciiTheme="minorAscii" w:hAnsiTheme="minorAscii" w:eastAsiaTheme="minorAscii" w:cstheme="minorAscii"/>
        </w:rPr>
        <w:t xml:space="preserve"> applications and zoning map amendments; and</w:t>
      </w:r>
      <w:r w:rsidRPr="684B66A4" w:rsidR="06619E64">
        <w:rPr>
          <w:rFonts w:ascii="Calibri" w:hAnsi="Calibri" w:eastAsia="Calibri" w:cs="Calibri" w:asciiTheme="minorAscii" w:hAnsiTheme="minorAscii" w:eastAsiaTheme="minorAscii" w:cstheme="minorAscii"/>
        </w:rPr>
        <w:t>,</w:t>
      </w:r>
      <w:r w:rsidRPr="684B66A4" w:rsidR="4B92046A">
        <w:rPr>
          <w:rFonts w:ascii="Calibri" w:hAnsi="Calibri" w:eastAsia="Calibri" w:cs="Calibri" w:asciiTheme="minorAscii" w:hAnsiTheme="minorAscii" w:eastAsiaTheme="minorAscii" w:cstheme="minorAscii"/>
        </w:rPr>
        <w:t xml:space="preserve"> </w:t>
      </w:r>
    </w:p>
    <w:p w:rsidR="00EA7261" w:rsidP="684B66A4" w:rsidRDefault="00EA7261" w14:paraId="0B41DB6A" w14:textId="77777777">
      <w:pPr>
        <w:spacing w:after="0" w:line="240" w:lineRule="auto"/>
        <w:ind w:left="960" w:hanging="960"/>
        <w:rPr>
          <w:rFonts w:ascii="Calibri" w:hAnsi="Calibri" w:eastAsia="Calibri" w:cs="Calibri" w:asciiTheme="minorAscii" w:hAnsiTheme="minorAscii" w:eastAsiaTheme="minorAscii" w:cstheme="minorAscii"/>
        </w:rPr>
      </w:pPr>
    </w:p>
    <w:p w:rsidR="1E34F7BE" w:rsidP="684B66A4" w:rsidRDefault="1E34F7BE" w14:paraId="71B9186E" w14:textId="5093E90C">
      <w:pPr>
        <w:spacing w:after="0" w:line="240" w:lineRule="auto"/>
        <w:ind w:left="240" w:hanging="240"/>
        <w:rPr>
          <w:rFonts w:ascii="Calibri" w:hAnsi="Calibri" w:eastAsia="Calibri" w:cs="Calibri" w:asciiTheme="minorAscii" w:hAnsiTheme="minorAscii" w:eastAsiaTheme="minorAscii" w:cstheme="minorAscii"/>
        </w:rPr>
      </w:pPr>
      <w:r w:rsidRPr="684B66A4" w:rsidR="1E34F7BE">
        <w:rPr>
          <w:rFonts w:ascii="Calibri" w:hAnsi="Calibri" w:eastAsia="Calibri" w:cs="Calibri" w:asciiTheme="minorAscii" w:hAnsiTheme="minorAscii" w:eastAsiaTheme="minorAscii" w:cstheme="minorAscii"/>
          <w:b w:val="1"/>
          <w:bCs w:val="1"/>
        </w:rPr>
        <w:t>WHEREAS</w:t>
      </w:r>
      <w:r w:rsidRPr="684B66A4" w:rsidR="5FF468DC">
        <w:rPr>
          <w:rFonts w:ascii="Calibri" w:hAnsi="Calibri" w:eastAsia="Calibri" w:cs="Calibri" w:asciiTheme="minorAscii" w:hAnsiTheme="minorAscii" w:eastAsiaTheme="minorAscii" w:cstheme="minorAscii"/>
          <w:b w:val="1"/>
          <w:bCs w:val="1"/>
        </w:rPr>
        <w:t xml:space="preserve">, </w:t>
      </w:r>
      <w:r w:rsidRPr="684B66A4" w:rsidR="3BE15BD8">
        <w:rPr>
          <w:rFonts w:ascii="Calibri" w:hAnsi="Calibri" w:eastAsia="Calibri" w:cs="Calibri" w:asciiTheme="minorAscii" w:hAnsiTheme="minorAscii" w:eastAsiaTheme="minorAscii" w:cstheme="minorAscii"/>
        </w:rPr>
        <w:t xml:space="preserve">the City Council of Hyde Park City, Utah desires to end </w:t>
      </w:r>
      <w:r w:rsidRPr="684B66A4" w:rsidR="39DA692B">
        <w:rPr>
          <w:rFonts w:ascii="Calibri" w:hAnsi="Calibri" w:eastAsia="Calibri" w:cs="Calibri" w:asciiTheme="minorAscii" w:hAnsiTheme="minorAscii" w:eastAsiaTheme="minorAscii" w:cstheme="minorAscii"/>
        </w:rPr>
        <w:t>Residential Transition</w:t>
      </w:r>
      <w:r w:rsidRPr="684B66A4" w:rsidR="3BE15BD8">
        <w:rPr>
          <w:rFonts w:ascii="Calibri" w:hAnsi="Calibri" w:eastAsia="Calibri" w:cs="Calibri" w:asciiTheme="minorAscii" w:hAnsiTheme="minorAscii" w:eastAsiaTheme="minorAscii" w:cstheme="minorAscii"/>
        </w:rPr>
        <w:t xml:space="preserve"> development applications and zoning map amendments; and  </w:t>
      </w:r>
    </w:p>
    <w:p w:rsidR="684B66A4" w:rsidP="684B66A4" w:rsidRDefault="684B66A4" w14:paraId="04749A8B" w14:textId="51D6F0B6">
      <w:pPr>
        <w:spacing w:after="0" w:line="240" w:lineRule="auto"/>
        <w:ind w:left="240" w:hanging="240"/>
        <w:rPr>
          <w:rFonts w:ascii="Calibri" w:hAnsi="Calibri" w:eastAsia="Calibri" w:cs="Calibri" w:asciiTheme="minorAscii" w:hAnsiTheme="minorAscii" w:eastAsiaTheme="minorAscii" w:cstheme="minorAscii"/>
        </w:rPr>
      </w:pPr>
    </w:p>
    <w:p w:rsidR="00EA7261" w:rsidP="684B66A4" w:rsidRDefault="00EA7261" w14:paraId="6C0A6873" w14:textId="00A9C819">
      <w:pPr>
        <w:pStyle w:val="Normal"/>
        <w:spacing w:after="0" w:line="240" w:lineRule="auto"/>
        <w:ind w:left="240" w:hanging="240"/>
        <w:rPr>
          <w:rFonts w:ascii="Calibri" w:hAnsi="Calibri" w:eastAsia="Calibri" w:cs="Calibri" w:asciiTheme="minorAscii" w:hAnsiTheme="minorAscii" w:eastAsiaTheme="minorAscii" w:cstheme="minorAscii"/>
        </w:rPr>
      </w:pPr>
      <w:r w:rsidRPr="684B66A4" w:rsidR="1E34F7BE">
        <w:rPr>
          <w:rFonts w:ascii="Calibri" w:hAnsi="Calibri" w:eastAsia="Calibri" w:cs="Calibri" w:asciiTheme="minorAscii" w:hAnsiTheme="minorAscii" w:eastAsiaTheme="minorAscii" w:cstheme="minorAscii"/>
          <w:b w:val="1"/>
          <w:bCs w:val="1"/>
        </w:rPr>
        <w:t>WHEREAS</w:t>
      </w:r>
      <w:r w:rsidRPr="684B66A4" w:rsidR="5FF468DC">
        <w:rPr>
          <w:rFonts w:ascii="Calibri" w:hAnsi="Calibri" w:eastAsia="Calibri" w:cs="Calibri" w:asciiTheme="minorAscii" w:hAnsiTheme="minorAscii" w:eastAsiaTheme="minorAscii" w:cstheme="minorAscii"/>
          <w:b w:val="1"/>
          <w:bCs w:val="1"/>
        </w:rPr>
        <w:t xml:space="preserve">, </w:t>
      </w:r>
      <w:r w:rsidRPr="684B66A4" w:rsidR="4D4C4A53">
        <w:rPr>
          <w:rFonts w:ascii="Calibri" w:hAnsi="Calibri" w:eastAsia="Calibri" w:cs="Calibri" w:asciiTheme="minorAscii" w:hAnsiTheme="minorAscii" w:eastAsiaTheme="minorAscii" w:cstheme="minorAscii"/>
        </w:rPr>
        <w:t>the City Council of Hyde Park City, Utah desires to end Mixed-Use development applications and zoning map amendments</w:t>
      </w:r>
      <w:r w:rsidRPr="684B66A4" w:rsidR="674F54D1">
        <w:rPr>
          <w:rFonts w:ascii="Calibri" w:hAnsi="Calibri" w:eastAsia="Calibri" w:cs="Calibri" w:asciiTheme="minorAscii" w:hAnsiTheme="minorAscii" w:eastAsiaTheme="minorAscii" w:cstheme="minorAscii"/>
        </w:rPr>
        <w:t>.</w:t>
      </w:r>
    </w:p>
    <w:p w:rsidR="00CC2DBF" w:rsidP="684B66A4" w:rsidRDefault="00CC2DBF" w14:paraId="2DA59410" w14:textId="62FD0905">
      <w:pPr>
        <w:pStyle w:val="Normal"/>
        <w:spacing w:after="0" w:line="240" w:lineRule="auto"/>
        <w:ind w:left="960" w:hanging="240"/>
        <w:rPr>
          <w:rFonts w:ascii="Calibri" w:hAnsi="Calibri" w:eastAsia="Calibri" w:cs="Calibri" w:asciiTheme="minorAscii" w:hAnsiTheme="minorAscii" w:eastAsiaTheme="minorAscii" w:cstheme="minorAscii"/>
        </w:rPr>
      </w:pPr>
      <w:r w:rsidRPr="684B66A4" w:rsidR="5FF468DC">
        <w:rPr>
          <w:rFonts w:ascii="Calibri" w:hAnsi="Calibri" w:eastAsia="Calibri" w:cs="Calibri" w:asciiTheme="minorAscii" w:hAnsiTheme="minorAscii" w:eastAsiaTheme="minorAscii" w:cstheme="minorAscii"/>
        </w:rPr>
        <w:t xml:space="preserve"> </w:t>
      </w:r>
    </w:p>
    <w:p w:rsidRPr="00CC2DBF" w:rsidR="00CC2DBF" w:rsidP="684B66A4" w:rsidRDefault="00CC2DBF" w14:paraId="2FBD03FA" w14:textId="1C683D19">
      <w:pPr>
        <w:spacing w:after="0" w:line="240" w:lineRule="auto"/>
        <w:ind w:left="240" w:hanging="240"/>
        <w:rPr>
          <w:rFonts w:ascii="Calibri" w:hAnsi="Calibri" w:eastAsia="Calibri" w:cs="Calibri" w:asciiTheme="minorAscii" w:hAnsiTheme="minorAscii" w:eastAsiaTheme="minorAscii" w:cstheme="minorAscii"/>
        </w:rPr>
      </w:pPr>
      <w:r w:rsidRPr="684B66A4" w:rsidR="5FF468DC">
        <w:rPr>
          <w:rFonts w:ascii="Calibri" w:hAnsi="Calibri" w:eastAsia="Calibri" w:cs="Calibri" w:asciiTheme="minorAscii" w:hAnsiTheme="minorAscii" w:eastAsiaTheme="minorAscii" w:cstheme="minorAscii"/>
          <w:b w:val="1"/>
          <w:bCs w:val="1"/>
        </w:rPr>
        <w:t xml:space="preserve">NOW, THEREFORE, </w:t>
      </w:r>
      <w:r w:rsidRPr="684B66A4" w:rsidR="5FF468DC">
        <w:rPr>
          <w:rFonts w:ascii="Calibri" w:hAnsi="Calibri" w:eastAsia="Calibri" w:cs="Calibri" w:asciiTheme="minorAscii" w:hAnsiTheme="minorAscii" w:eastAsiaTheme="minorAscii" w:cstheme="minorAscii"/>
        </w:rPr>
        <w:t xml:space="preserve">be it ordained by the city council of Hyde Park City, Utah, as follows: </w:t>
      </w:r>
    </w:p>
    <w:p w:rsidR="00CC2DBF" w:rsidP="684B66A4" w:rsidRDefault="00CC2DBF" w14:paraId="70997CD5" w14:textId="77777777">
      <w:pPr>
        <w:spacing w:after="0" w:line="240" w:lineRule="auto"/>
        <w:ind w:left="960" w:hanging="240"/>
        <w:rPr>
          <w:rFonts w:ascii="Calibri" w:hAnsi="Calibri" w:eastAsia="Calibri" w:cs="Calibri" w:asciiTheme="minorAscii" w:hAnsiTheme="minorAscii" w:eastAsiaTheme="minorAscii" w:cstheme="minorAscii"/>
        </w:rPr>
      </w:pPr>
    </w:p>
    <w:p w:rsidR="00CC2DBF" w:rsidP="684B66A4" w:rsidRDefault="00CC2DBF" w14:paraId="619E89DF" w14:textId="77777777">
      <w:pPr>
        <w:spacing w:after="0" w:line="240" w:lineRule="auto"/>
        <w:ind w:left="960" w:hanging="240"/>
        <w:rPr>
          <w:rFonts w:ascii="Calibri" w:hAnsi="Calibri" w:eastAsia="Calibri" w:cs="Calibri" w:asciiTheme="minorAscii" w:hAnsiTheme="minorAscii" w:eastAsiaTheme="minorAscii" w:cstheme="minorAscii"/>
        </w:rPr>
      </w:pPr>
    </w:p>
    <w:p w:rsidR="1A57F7C7" w:rsidP="684B66A4" w:rsidRDefault="1A57F7C7" w14:paraId="68C463D1" w14:textId="63FE7E1C">
      <w:pPr>
        <w:pStyle w:val="ListParagraph"/>
        <w:numPr>
          <w:ilvl w:val="0"/>
          <w:numId w:val="10"/>
        </w:numPr>
        <w:suppressLineNumbers w:val="0"/>
        <w:bidi w:val="0"/>
        <w:spacing w:before="0" w:beforeAutospacing="off" w:after="0" w:afterAutospacing="off" w:line="240" w:lineRule="auto"/>
        <w:ind w:left="360" w:right="0" w:hanging="360"/>
        <w:jc w:val="left"/>
        <w:rPr>
          <w:rFonts w:ascii="Calibri" w:hAnsi="Calibri" w:eastAsia="Calibri" w:cs="Calibri" w:asciiTheme="minorAscii" w:hAnsiTheme="minorAscii" w:eastAsiaTheme="minorAscii" w:cstheme="minorAscii"/>
          <w:noProof w:val="0"/>
          <w:color w:val="auto"/>
          <w:sz w:val="22"/>
          <w:szCs w:val="22"/>
          <w:lang w:val="en-US"/>
        </w:rPr>
      </w:pPr>
      <w:r w:rsidRPr="6F0C929D" w:rsidR="6F0C929D">
        <w:rPr>
          <w:rFonts w:ascii="Calibri" w:hAnsi="Calibri" w:eastAsia="Calibri" w:cs="Calibri" w:asciiTheme="minorAscii" w:hAnsiTheme="minorAscii" w:eastAsiaTheme="minorAscii" w:cstheme="minorAscii"/>
        </w:rPr>
        <w:t>12.120.010: Addition of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No new R2 development applications or zoning amendments shall be accepted as of July 15, 2026, unless reauthorized by the City Council.”  </w:t>
      </w:r>
    </w:p>
    <w:p w:rsidRPr="00C300BA" w:rsidR="00EA7261" w:rsidP="684B66A4" w:rsidRDefault="00EA7261" w14:paraId="24323420" w14:textId="77777777">
      <w:pPr>
        <w:pStyle w:val="ListParagraph"/>
        <w:spacing w:after="0" w:line="240" w:lineRule="auto"/>
        <w:rPr>
          <w:rFonts w:ascii="Calibri" w:hAnsi="Calibri" w:eastAsia="Calibri" w:cs="Calibri" w:asciiTheme="minorAscii" w:hAnsiTheme="minorAscii" w:eastAsiaTheme="minorAscii" w:cstheme="minorAscii"/>
        </w:rPr>
      </w:pPr>
    </w:p>
    <w:p w:rsidR="00C300BA" w:rsidP="684B66A4" w:rsidRDefault="00C300BA" w14:paraId="39C1EEA7" w14:textId="5B12EB67">
      <w:pPr>
        <w:pStyle w:val="ListParagraph"/>
        <w:numPr>
          <w:ilvl w:val="0"/>
          <w:numId w:val="10"/>
        </w:numPr>
        <w:rPr>
          <w:rFonts w:ascii="Calibri" w:hAnsi="Calibri" w:eastAsia="Calibri" w:cs="Calibri" w:asciiTheme="minorAscii" w:hAnsiTheme="minorAscii" w:eastAsiaTheme="minorAscii" w:cstheme="minorAscii"/>
          <w:noProof w:val="0"/>
          <w:color w:val="auto"/>
          <w:sz w:val="22"/>
          <w:szCs w:val="22"/>
          <w:lang w:val="en-US"/>
        </w:rPr>
      </w:pPr>
      <w:r w:rsidRPr="6F0C929D" w:rsidR="6F0C929D">
        <w:rPr>
          <w:rFonts w:ascii="Calibri" w:hAnsi="Calibri" w:eastAsia="Calibri" w:cs="Calibri" w:asciiTheme="minorAscii" w:hAnsiTheme="minorAscii" w:eastAsiaTheme="minorAscii" w:cstheme="minorAscii"/>
        </w:rPr>
        <w:t>12.145.010: Addition of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No new RT development applications or zoning amendments shall be accepted as of July 15, 2026, unless reauthorized by the City Council.”</w:t>
      </w:r>
    </w:p>
    <w:p w:rsidR="00EA7261" w:rsidP="684B66A4" w:rsidRDefault="00EA7261" w14:paraId="682BD5EB" w14:textId="77777777">
      <w:pPr>
        <w:pStyle w:val="ListParagraph"/>
        <w:rPr>
          <w:rFonts w:ascii="Calibri" w:hAnsi="Calibri" w:eastAsia="Calibri" w:cs="Calibri" w:asciiTheme="minorAscii" w:hAnsiTheme="minorAscii" w:eastAsiaTheme="minorAscii" w:cstheme="minorAscii"/>
        </w:rPr>
      </w:pPr>
    </w:p>
    <w:p w:rsidR="6609C8AF" w:rsidP="684B66A4" w:rsidRDefault="6609C8AF" w14:paraId="7CF69167" w14:textId="5CD8764B">
      <w:pPr>
        <w:pStyle w:val="ListParagraph"/>
        <w:numPr>
          <w:ilvl w:val="0"/>
          <w:numId w:val="10"/>
        </w:numPr>
        <w:suppressLineNumbers w:val="0"/>
        <w:bidi w:val="0"/>
        <w:spacing w:before="0" w:beforeAutospacing="off" w:after="200" w:afterAutospacing="off" w:line="276" w:lineRule="auto"/>
        <w:ind w:left="360" w:right="0" w:hanging="360"/>
        <w:jc w:val="left"/>
        <w:rPr>
          <w:rFonts w:ascii="Calibri" w:hAnsi="Calibri" w:eastAsia="Calibri" w:cs="Calibri" w:asciiTheme="minorAscii" w:hAnsiTheme="minorAscii" w:eastAsiaTheme="minorAscii" w:cstheme="minorAscii"/>
          <w:noProof w:val="0"/>
          <w:color w:val="auto"/>
          <w:sz w:val="22"/>
          <w:szCs w:val="22"/>
          <w:lang w:val="en-US"/>
        </w:rPr>
      </w:pPr>
      <w:r w:rsidRPr="6F0C929D" w:rsidR="6F0C929D">
        <w:rPr>
          <w:rFonts w:ascii="Calibri" w:hAnsi="Calibri" w:eastAsia="Calibri" w:cs="Calibri" w:asciiTheme="minorAscii" w:hAnsiTheme="minorAscii" w:eastAsiaTheme="minorAscii" w:cstheme="minorAscii"/>
        </w:rPr>
        <w:t>12.270.020: Addition of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No new MXD development applications or zoning amendments shall be accepted as of July 15, 2026, unless reauthorized by the City Council.”</w:t>
      </w:r>
    </w:p>
    <w:p w:rsidR="00EA7261" w:rsidP="684B66A4" w:rsidRDefault="00EA7261" w14:paraId="6D086936" w14:textId="77777777">
      <w:pPr>
        <w:pStyle w:val="ListParagraph"/>
        <w:rPr>
          <w:rFonts w:ascii="Calibri" w:hAnsi="Calibri" w:eastAsia="Calibri" w:cs="Calibri" w:asciiTheme="minorAscii" w:hAnsiTheme="minorAscii" w:eastAsiaTheme="minorAscii" w:cstheme="minorAscii"/>
        </w:rPr>
      </w:pPr>
    </w:p>
    <w:bookmarkStart w:name="_Hlk198805789" w:id="0"/>
    <w:p w:rsidR="00CC2DBF" w:rsidP="684B66A4" w:rsidRDefault="00CC2DBF" w14:paraId="794FEA83" w14:textId="2BCF931C">
      <w:pPr>
        <w:pStyle w:val="ListParagraph"/>
        <w:tabs>
          <w:tab w:val="left" w:pos="720"/>
        </w:tabs>
        <w:ind w:left="360"/>
        <w:rPr>
          <w:rFonts w:ascii="Calibri" w:hAnsi="Calibri" w:eastAsia="Calibri" w:cs="Calibri" w:asciiTheme="minorAscii" w:hAnsiTheme="minorAscii" w:eastAsiaTheme="minorAscii" w:cstheme="minorAscii"/>
          <w:b w:val="1"/>
          <w:bCs w:val="1"/>
        </w:rPr>
      </w:pPr>
      <w:r w:rsidRPr="684B66A4" w:rsidR="5FF468DC">
        <w:rPr>
          <w:rFonts w:ascii="Calibri" w:hAnsi="Calibri" w:eastAsia="Calibri" w:cs="Calibri" w:asciiTheme="minorAscii" w:hAnsiTheme="minorAscii" w:eastAsiaTheme="minorAscii" w:cstheme="minorAscii"/>
        </w:rPr>
        <w:t xml:space="preserve">This ordinance shall take effect </w:t>
      </w:r>
      <w:r w:rsidRPr="684B66A4" w:rsidR="5FF468DC">
        <w:rPr>
          <w:rFonts w:ascii="Calibri" w:hAnsi="Calibri" w:eastAsia="Calibri" w:cs="Calibri" w:asciiTheme="minorAscii" w:hAnsiTheme="minorAscii" w:eastAsiaTheme="minorAscii" w:cstheme="minorAscii"/>
        </w:rPr>
        <w:t>immediately</w:t>
      </w:r>
      <w:r w:rsidRPr="684B66A4" w:rsidR="5FF468DC">
        <w:rPr>
          <w:rFonts w:ascii="Calibri" w:hAnsi="Calibri" w:eastAsia="Calibri" w:cs="Calibri" w:asciiTheme="minorAscii" w:hAnsiTheme="minorAscii" w:eastAsiaTheme="minorAscii" w:cstheme="minorAscii"/>
        </w:rPr>
        <w:t xml:space="preserve"> upon publication or posting as required by law.</w:t>
      </w:r>
    </w:p>
    <w:p w:rsidRPr="008B0716" w:rsidR="00FE4F51" w:rsidP="684B66A4" w:rsidRDefault="00FE4F51" w14:paraId="5DA50264" w14:textId="69CAB560">
      <w:pPr>
        <w:pStyle w:val="ListParagraph"/>
        <w:tabs>
          <w:tab w:val="left" w:pos="720"/>
        </w:tabs>
        <w:ind w:left="360"/>
        <w:rPr>
          <w:rFonts w:ascii="Calibri" w:hAnsi="Calibri" w:eastAsia="Calibri" w:cs="Calibri" w:asciiTheme="minorAscii" w:hAnsiTheme="minorAscii" w:eastAsiaTheme="minorAscii" w:cstheme="minorAscii"/>
        </w:rPr>
      </w:pPr>
      <w:r w:rsidRPr="6F0C929D" w:rsidR="6F0C929D">
        <w:rPr>
          <w:rFonts w:ascii="Calibri" w:hAnsi="Calibri" w:eastAsia="Calibri" w:cs="Calibri" w:asciiTheme="minorAscii" w:hAnsiTheme="minorAscii" w:eastAsiaTheme="minorAscii" w:cstheme="minorAscii"/>
        </w:rPr>
        <w:t xml:space="preserve">ADOPTED AND PASSED, by the HYDE PARK CITY COUNCIL this </w:t>
      </w:r>
      <w:r w:rsidRPr="6F0C929D" w:rsidR="6F0C929D">
        <w:rPr>
          <w:rFonts w:ascii="Calibri" w:hAnsi="Calibri" w:eastAsia="Calibri" w:cs="Calibri" w:asciiTheme="minorAscii" w:hAnsiTheme="minorAscii" w:eastAsiaTheme="minorAscii" w:cstheme="minorAscii"/>
          <w:u w:val="single"/>
        </w:rPr>
        <w:t xml:space="preserve">     </w:t>
      </w:r>
      <w:r w:rsidRPr="6F0C929D" w:rsidR="6F0C929D">
        <w:rPr>
          <w:rFonts w:ascii="Calibri" w:hAnsi="Calibri" w:eastAsia="Calibri" w:cs="Calibri" w:asciiTheme="minorAscii" w:hAnsiTheme="minorAscii" w:eastAsiaTheme="minorAscii" w:cstheme="minorAscii"/>
        </w:rPr>
        <w:t xml:space="preserve"> day of July 2026</w:t>
      </w:r>
      <w:r w:rsidRPr="6F0C929D" w:rsidR="6F0C929D">
        <w:rPr>
          <w:rFonts w:ascii="Calibri" w:hAnsi="Calibri" w:eastAsia="Calibri" w:cs="Calibri" w:asciiTheme="minorAscii" w:hAnsiTheme="minorAscii" w:eastAsiaTheme="minorAscii" w:cstheme="minorAscii"/>
        </w:rPr>
        <w:t xml:space="preserve">.  </w:t>
      </w:r>
    </w:p>
    <w:p w:rsidRPr="008B0716" w:rsidR="00FE4F51" w:rsidP="684B66A4" w:rsidRDefault="00FE4F51" w14:paraId="1E59ACF1" w14:textId="77777777">
      <w:pPr>
        <w:pStyle w:val="ListParagraph"/>
        <w:tabs>
          <w:tab w:val="left" w:pos="720"/>
        </w:tabs>
        <w:rPr>
          <w:rFonts w:ascii="Calibri" w:hAnsi="Calibri" w:eastAsia="Calibri" w:cs="Calibri" w:asciiTheme="minorAscii" w:hAnsiTheme="minorAscii" w:eastAsiaTheme="minorAscii" w:cstheme="minorAscii"/>
        </w:rPr>
      </w:pPr>
    </w:p>
    <w:tbl>
      <w:tblPr>
        <w:tblW w:w="9180" w:type="dxa"/>
        <w:tblInd w:w="108" w:type="dxa"/>
        <w:tblLook w:val="04A0" w:firstRow="1" w:lastRow="0" w:firstColumn="1" w:lastColumn="0" w:noHBand="0" w:noVBand="1"/>
      </w:tblPr>
      <w:tblGrid>
        <w:gridCol w:w="3888"/>
        <w:gridCol w:w="1260"/>
        <w:gridCol w:w="4032"/>
      </w:tblGrid>
      <w:tr w:rsidRPr="008B0716" w:rsidR="00FE4F51" w:rsidTr="684B66A4" w14:paraId="049A3C5F" w14:textId="77777777">
        <w:tc>
          <w:tcPr>
            <w:tcW w:w="3888" w:type="dxa"/>
            <w:tcMar/>
          </w:tcPr>
          <w:p w:rsidRPr="008B0716" w:rsidR="00FE4F51" w:rsidP="684B66A4" w:rsidRDefault="00FE4F51" w14:paraId="714C61A1" w14:textId="77777777">
            <w:pPr>
              <w:rPr>
                <w:rFonts w:ascii="Calibri" w:hAnsi="Calibri" w:eastAsia="Calibri" w:cs="Calibri" w:asciiTheme="minorAscii" w:hAnsiTheme="minorAscii" w:eastAsiaTheme="minorAscii" w:cstheme="minorAscii"/>
              </w:rPr>
            </w:pPr>
          </w:p>
        </w:tc>
        <w:tc>
          <w:tcPr>
            <w:tcW w:w="1260" w:type="dxa"/>
            <w:tcMar/>
          </w:tcPr>
          <w:p w:rsidRPr="008B0716" w:rsidR="00FE4F51" w:rsidP="684B66A4" w:rsidRDefault="00FE4F51" w14:paraId="1A4A53A7" w14:textId="77777777">
            <w:pPr>
              <w:rPr>
                <w:rFonts w:ascii="Calibri" w:hAnsi="Calibri" w:eastAsia="Calibri" w:cs="Calibri" w:asciiTheme="minorAscii" w:hAnsiTheme="minorAscii" w:eastAsiaTheme="minorAscii" w:cstheme="minorAscii"/>
              </w:rPr>
            </w:pPr>
          </w:p>
        </w:tc>
        <w:tc>
          <w:tcPr>
            <w:tcW w:w="4032" w:type="dxa"/>
            <w:tcMar/>
          </w:tcPr>
          <w:p w:rsidRPr="008B0716" w:rsidR="00FE4F51" w:rsidP="684B66A4" w:rsidRDefault="00FE4F51" w14:paraId="3077F261" w14:textId="77777777">
            <w:pPr>
              <w:ind w:left="-36"/>
              <w:rPr>
                <w:rFonts w:ascii="Calibri" w:hAnsi="Calibri" w:eastAsia="Calibri" w:cs="Calibri" w:asciiTheme="minorAscii" w:hAnsiTheme="minorAscii" w:eastAsiaTheme="minorAscii" w:cstheme="minorAscii"/>
              </w:rPr>
            </w:pPr>
            <w:r w:rsidRPr="684B66A4" w:rsidR="42A46715">
              <w:rPr>
                <w:rFonts w:ascii="Calibri" w:hAnsi="Calibri" w:eastAsia="Calibri" w:cs="Calibri" w:asciiTheme="minorAscii" w:hAnsiTheme="minorAscii" w:eastAsiaTheme="minorAscii" w:cstheme="minorAscii"/>
              </w:rPr>
              <w:t>HYDE PARK CITY</w:t>
            </w:r>
          </w:p>
        </w:tc>
      </w:tr>
      <w:tr w:rsidRPr="008B0716" w:rsidR="00FE4F51" w:rsidTr="684B66A4" w14:paraId="41D56CC1" w14:textId="77777777">
        <w:tc>
          <w:tcPr>
            <w:tcW w:w="3888" w:type="dxa"/>
            <w:tcMar/>
          </w:tcPr>
          <w:p w:rsidRPr="008B0716" w:rsidR="00FE4F51" w:rsidP="684B66A4" w:rsidRDefault="00FE4F51" w14:paraId="2C0AC6C7" w14:textId="77777777">
            <w:pPr>
              <w:ind w:left="-108"/>
              <w:rPr>
                <w:rFonts w:ascii="Calibri" w:hAnsi="Calibri" w:eastAsia="Calibri" w:cs="Calibri" w:asciiTheme="minorAscii" w:hAnsiTheme="minorAscii" w:eastAsiaTheme="minorAscii" w:cstheme="minorAscii"/>
              </w:rPr>
            </w:pPr>
            <w:r w:rsidRPr="684B66A4" w:rsidR="42A46715">
              <w:rPr>
                <w:rFonts w:ascii="Calibri" w:hAnsi="Calibri" w:eastAsia="Calibri" w:cs="Calibri" w:asciiTheme="minorAscii" w:hAnsiTheme="minorAscii" w:eastAsiaTheme="minorAscii" w:cstheme="minorAscii"/>
              </w:rPr>
              <w:t>ATTEST:</w:t>
            </w:r>
          </w:p>
          <w:p w:rsidRPr="008B0716" w:rsidR="00FE4F51" w:rsidP="684B66A4" w:rsidRDefault="00FE4F51" w14:paraId="347897F6" w14:textId="77777777">
            <w:pPr>
              <w:ind w:left="-108"/>
              <w:rPr>
                <w:rFonts w:ascii="Calibri" w:hAnsi="Calibri" w:eastAsia="Calibri" w:cs="Calibri" w:asciiTheme="minorAscii" w:hAnsiTheme="minorAscii" w:eastAsiaTheme="minorAscii" w:cstheme="minorAscii"/>
              </w:rPr>
            </w:pPr>
          </w:p>
        </w:tc>
        <w:tc>
          <w:tcPr>
            <w:tcW w:w="1260" w:type="dxa"/>
            <w:tcMar/>
            <w:vAlign w:val="bottom"/>
          </w:tcPr>
          <w:p w:rsidRPr="008B0716" w:rsidR="00FE4F51" w:rsidP="684B66A4" w:rsidRDefault="00FE4F51" w14:paraId="116A7FC7" w14:textId="77777777">
            <w:pPr>
              <w:rPr>
                <w:rFonts w:ascii="Calibri" w:hAnsi="Calibri" w:eastAsia="Calibri" w:cs="Calibri" w:asciiTheme="minorAscii" w:hAnsiTheme="minorAscii" w:eastAsiaTheme="minorAscii" w:cstheme="minorAscii"/>
              </w:rPr>
            </w:pPr>
            <w:r w:rsidRPr="684B66A4" w:rsidR="42A46715">
              <w:rPr>
                <w:rFonts w:ascii="Calibri" w:hAnsi="Calibri" w:eastAsia="Calibri" w:cs="Calibri" w:asciiTheme="minorAscii" w:hAnsiTheme="minorAscii" w:eastAsiaTheme="minorAscii" w:cstheme="minorAscii"/>
              </w:rPr>
              <w:t>By:</w:t>
            </w:r>
          </w:p>
        </w:tc>
        <w:tc>
          <w:tcPr>
            <w:tcW w:w="4032" w:type="dxa"/>
            <w:tcBorders>
              <w:bottom w:val="single" w:color="auto" w:sz="4" w:space="0"/>
            </w:tcBorders>
            <w:tcMar/>
          </w:tcPr>
          <w:p w:rsidRPr="008B0716" w:rsidR="00FE4F51" w:rsidP="684B66A4" w:rsidRDefault="00FE4F51" w14:paraId="3DB4ACBE" w14:textId="77777777">
            <w:pPr>
              <w:ind w:left="-36"/>
              <w:rPr>
                <w:rFonts w:ascii="Calibri" w:hAnsi="Calibri" w:eastAsia="Calibri" w:cs="Calibri" w:asciiTheme="minorAscii" w:hAnsiTheme="minorAscii" w:eastAsiaTheme="minorAscii" w:cstheme="minorAscii"/>
              </w:rPr>
            </w:pPr>
          </w:p>
          <w:p w:rsidRPr="008B0716" w:rsidR="00FE4F51" w:rsidP="684B66A4" w:rsidRDefault="00FE4F51" w14:paraId="5753B862" w14:textId="77777777">
            <w:pPr>
              <w:ind w:left="-36"/>
              <w:rPr>
                <w:rFonts w:ascii="Calibri" w:hAnsi="Calibri" w:eastAsia="Calibri" w:cs="Calibri" w:asciiTheme="minorAscii" w:hAnsiTheme="minorAscii" w:eastAsiaTheme="minorAscii" w:cstheme="minorAscii"/>
              </w:rPr>
            </w:pPr>
          </w:p>
        </w:tc>
      </w:tr>
      <w:tr w:rsidRPr="008B0716" w:rsidR="00FE4F51" w:rsidTr="684B66A4" w14:paraId="213C5BAD" w14:textId="77777777">
        <w:tc>
          <w:tcPr>
            <w:tcW w:w="3888" w:type="dxa"/>
            <w:tcBorders>
              <w:bottom w:val="single" w:color="auto" w:sz="4" w:space="0"/>
            </w:tcBorders>
            <w:tcMar/>
          </w:tcPr>
          <w:p w:rsidRPr="008B0716" w:rsidR="00FE4F51" w:rsidP="684B66A4" w:rsidRDefault="00FE4F51" w14:paraId="33BA0A32" w14:textId="77777777">
            <w:pPr>
              <w:ind w:left="-108"/>
              <w:rPr>
                <w:rFonts w:ascii="Calibri" w:hAnsi="Calibri" w:eastAsia="Calibri" w:cs="Calibri" w:asciiTheme="minorAscii" w:hAnsiTheme="minorAscii" w:eastAsiaTheme="minorAscii" w:cstheme="minorAscii"/>
              </w:rPr>
            </w:pPr>
          </w:p>
        </w:tc>
        <w:tc>
          <w:tcPr>
            <w:tcW w:w="1260" w:type="dxa"/>
            <w:tcMar/>
          </w:tcPr>
          <w:p w:rsidRPr="008B0716" w:rsidR="00FE4F51" w:rsidP="684B66A4" w:rsidRDefault="00FE4F51" w14:paraId="0325F117" w14:textId="77777777">
            <w:pPr>
              <w:rPr>
                <w:rFonts w:ascii="Calibri" w:hAnsi="Calibri" w:eastAsia="Calibri" w:cs="Calibri" w:asciiTheme="minorAscii" w:hAnsiTheme="minorAscii" w:eastAsiaTheme="minorAscii" w:cstheme="minorAscii"/>
              </w:rPr>
            </w:pPr>
          </w:p>
        </w:tc>
        <w:tc>
          <w:tcPr>
            <w:tcW w:w="4032" w:type="dxa"/>
            <w:tcBorders>
              <w:top w:val="single" w:color="auto" w:sz="4" w:space="0"/>
            </w:tcBorders>
            <w:tcMar/>
          </w:tcPr>
          <w:p w:rsidRPr="008B0716" w:rsidR="00FE4F51" w:rsidP="684B66A4" w:rsidRDefault="00FE4F51" w14:paraId="619EB96C" w14:textId="77777777">
            <w:pPr>
              <w:ind w:left="-36"/>
              <w:rPr>
                <w:rFonts w:ascii="Calibri" w:hAnsi="Calibri" w:eastAsia="Calibri" w:cs="Calibri" w:asciiTheme="minorAscii" w:hAnsiTheme="minorAscii" w:eastAsiaTheme="minorAscii" w:cstheme="minorAscii"/>
              </w:rPr>
            </w:pPr>
            <w:r w:rsidRPr="684B66A4" w:rsidR="42A46715">
              <w:rPr>
                <w:rFonts w:ascii="Calibri" w:hAnsi="Calibri" w:eastAsia="Calibri" w:cs="Calibri" w:asciiTheme="minorAscii" w:hAnsiTheme="minorAscii" w:eastAsiaTheme="minorAscii" w:cstheme="minorAscii"/>
              </w:rPr>
              <w:t>Mayor</w:t>
            </w:r>
          </w:p>
        </w:tc>
      </w:tr>
    </w:tbl>
    <w:p w:rsidRPr="008B0716" w:rsidR="00FE4F51" w:rsidP="684B66A4" w:rsidRDefault="00FE4F51" w14:paraId="2395B47F" w14:textId="77777777">
      <w:pPr>
        <w:pStyle w:val="ListParagraph"/>
        <w:rPr>
          <w:rFonts w:ascii="Calibri" w:hAnsi="Calibri" w:eastAsia="Calibri" w:cs="Calibri" w:asciiTheme="minorAscii" w:hAnsiTheme="minorAscii" w:eastAsiaTheme="minorAscii" w:cstheme="minorAscii"/>
        </w:rPr>
      </w:pPr>
      <w:r w:rsidRPr="684B66A4" w:rsidR="42A46715">
        <w:rPr>
          <w:rFonts w:ascii="Calibri" w:hAnsi="Calibri" w:eastAsia="Calibri" w:cs="Calibri" w:asciiTheme="minorAscii" w:hAnsiTheme="minorAscii" w:eastAsiaTheme="minorAscii" w:cstheme="minorAscii"/>
        </w:rPr>
        <w:t>Recorder</w:t>
      </w:r>
    </w:p>
    <w:bookmarkEnd w:id="0"/>
    <w:p w:rsidR="00C300BA" w:rsidP="684B66A4" w:rsidRDefault="00C300BA" w14:paraId="079D1A36" w14:textId="1908E0F5">
      <w:pPr>
        <w:pStyle w:val="Normal"/>
        <w:spacing w:after="0" w:line="240" w:lineRule="auto"/>
        <w:ind/>
        <w:rPr>
          <w:rFonts w:ascii="Calibri" w:hAnsi="Calibri" w:eastAsia="Calibri" w:cs="Calibri" w:asciiTheme="minorAscii" w:hAnsiTheme="minorAscii" w:eastAsiaTheme="minorAscii" w:cstheme="minorAscii"/>
          <w:b w:val="1"/>
          <w:bCs w:val="1"/>
          <w:color w:val="auto"/>
        </w:rPr>
      </w:pPr>
      <w:r w:rsidRPr="684B66A4" w:rsidR="02616A54">
        <w:rPr>
          <w:rFonts w:ascii="Calibri" w:hAnsi="Calibri" w:eastAsia="Calibri" w:cs="Calibri" w:asciiTheme="minorAscii" w:hAnsiTheme="minorAscii" w:eastAsiaTheme="minorAscii" w:cstheme="minorAscii"/>
          <w:b w:val="1"/>
          <w:bCs w:val="1"/>
          <w:color w:val="auto"/>
        </w:rPr>
        <w:t xml:space="preserve">Exhibit A </w:t>
      </w:r>
    </w:p>
    <w:p w:rsidR="70213626" w:rsidP="684B66A4" w:rsidRDefault="70213626" w14:paraId="274C4977" w14:textId="5858602A">
      <w:pPr>
        <w:pStyle w:val="Heading4"/>
        <w:keepNext w:val="1"/>
        <w:keepLines w:val="1"/>
        <w:spacing w:before="319" w:beforeAutospacing="off" w:after="319"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12.120.010 Purpose And Intent</w:t>
      </w:r>
    </w:p>
    <w:p w:rsidR="70213626" w:rsidP="684B66A4" w:rsidRDefault="70213626" w14:paraId="66E4CEAC" w14:textId="079D0E49">
      <w:pPr>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major purpose of the R2 zone is to provide and protect residential development at a low density in a semi-agricultural or rural environment. It is also to provide for certain rural amenities, on larger minimum lots, in conjunction with the primary residential nature of the zone. </w:t>
      </w:r>
    </w:p>
    <w:p w:rsidR="70213626" w:rsidP="684B66A4" w:rsidRDefault="70213626" w14:paraId="18D30491" w14:textId="41989C8E">
      <w:pPr>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70213626" w:rsidP="684B66A4" w:rsidRDefault="70213626" w14:paraId="471D5D69" w14:textId="1177AB9F">
      <w:pPr>
        <w:spacing w:before="240" w:beforeAutospacing="off" w:after="240"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t>Adopted by Ord. 2015-03 on 5/13/2015</w:t>
      </w:r>
    </w:p>
    <w:p w:rsidR="684B66A4" w:rsidP="684B66A4" w:rsidRDefault="684B66A4" w14:paraId="61237031" w14:textId="633B29E1">
      <w:pPr>
        <w:spacing w:before="240" w:beforeAutospacing="off" w:after="240"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p>
    <w:p w:rsidR="70213626" w:rsidP="684B66A4" w:rsidRDefault="70213626" w14:paraId="28B93E88" w14:textId="5F921E51">
      <w:pPr>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Exhibit B </w:t>
      </w:r>
    </w:p>
    <w:p w:rsidR="70213626" w:rsidP="684B66A4" w:rsidRDefault="70213626" w14:paraId="1D4ADC83" w14:textId="5858602A">
      <w:pPr>
        <w:pStyle w:val="Heading4"/>
        <w:keepNext w:val="1"/>
        <w:keepLines w:val="1"/>
        <w:spacing w:before="319" w:beforeAutospacing="off" w:after="319"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12.120.010 Purpose And Intent</w:t>
      </w:r>
    </w:p>
    <w:p w:rsidR="70213626" w:rsidP="684B66A4" w:rsidRDefault="70213626" w14:paraId="1E816EF7" w14:textId="7EBAFCE2">
      <w:pPr>
        <w:pStyle w:val="Normal"/>
        <w:spacing w:before="240" w:beforeAutospacing="off" w:after="240" w:afterAutospacing="off"/>
        <w:jc w:val="left"/>
        <w:rPr>
          <w:rFonts w:ascii="Calibri" w:hAnsi="Calibri" w:eastAsia="Calibri" w:cs="Calibri" w:asciiTheme="minorAscii" w:hAnsiTheme="minorAscii" w:eastAsiaTheme="minorAscii" w:cstheme="minorAscii"/>
          <w:noProof w:val="0"/>
          <w:sz w:val="22"/>
          <w:szCs w:val="22"/>
          <w:u w:val="single"/>
          <w:lang w:val="en-US"/>
        </w:rPr>
      </w:pP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major purpose of the R2 zone is to provide and protect residential development at a low density in a semi-agricultural or rural environment. It is also to provide for certain rural amenities, on larger minimum lots, in conjunction with the primary residential nature of the zone.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3A7C22"/>
          <w:sz w:val="22"/>
          <w:szCs w:val="22"/>
          <w:u w:val="single"/>
          <w:lang w:val="en-US"/>
        </w:rPr>
        <w:t xml:space="preserve">No new R2 development applications or zoning amendments shall be accepted as of July 15, 2026, unless reauthorized by the City Council. </w:t>
      </w:r>
      <w:r w:rsidRPr="6F0C929D" w:rsidR="6F0C929D">
        <w:rPr>
          <w:rFonts w:ascii="Calibri" w:hAnsi="Calibri" w:eastAsia="Calibri" w:cs="Calibri" w:asciiTheme="minorAscii" w:hAnsiTheme="minorAscii" w:eastAsiaTheme="minorAscii" w:cstheme="minorAscii"/>
          <w:noProof w:val="0"/>
          <w:sz w:val="22"/>
          <w:szCs w:val="22"/>
          <w:u w:val="single"/>
          <w:lang w:val="en-US"/>
        </w:rPr>
        <w:t xml:space="preserve"> </w:t>
      </w:r>
    </w:p>
    <w:p w:rsidR="70213626" w:rsidP="684B66A4" w:rsidRDefault="70213626" w14:paraId="583978F1" w14:textId="41989C8E">
      <w:pPr>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70213626" w:rsidP="684B66A4" w:rsidRDefault="70213626" w14:paraId="23AAF1FD" w14:textId="1177AB9F">
      <w:pPr>
        <w:spacing w:before="240" w:beforeAutospacing="off" w:after="240"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70213626">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t>Adopted by Ord. 2015-03 on 5/13/2015</w:t>
      </w:r>
    </w:p>
    <w:p w:rsidR="684B66A4" w:rsidP="684B66A4" w:rsidRDefault="684B66A4" w14:paraId="197FABE4" w14:textId="3C7F62AB">
      <w:pPr>
        <w:spacing w:before="240" w:beforeAutospacing="off" w:after="240"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p>
    <w:p w:rsidR="157BAA99" w:rsidP="684B66A4" w:rsidRDefault="157BAA99" w14:paraId="1B54FB35" w14:textId="2FE0C3B3">
      <w:pPr>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Exhibit C </w:t>
      </w:r>
    </w:p>
    <w:p w:rsidR="157BAA99" w:rsidP="684B66A4" w:rsidRDefault="157BAA99" w14:paraId="0FA866D9" w14:textId="5858602A">
      <w:pPr>
        <w:pStyle w:val="Heading4"/>
        <w:keepNext w:val="1"/>
        <w:keepLines w:val="1"/>
        <w:spacing w:before="319" w:beforeAutospacing="off" w:after="319"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12.120.010 Purpose And Intent</w:t>
      </w:r>
    </w:p>
    <w:p w:rsidR="157BAA99" w:rsidP="684B66A4" w:rsidRDefault="157BAA99" w14:paraId="42A4D464" w14:textId="25C44EAD">
      <w:pPr>
        <w:pStyle w:val="Normal"/>
        <w:spacing w:before="240" w:beforeAutospacing="off" w:after="240" w:afterAutospacing="off"/>
        <w:jc w:val="left"/>
        <w:rPr>
          <w:rFonts w:ascii="Calibri" w:hAnsi="Calibri" w:eastAsia="Calibri" w:cs="Calibri" w:asciiTheme="minorAscii" w:hAnsiTheme="minorAscii" w:eastAsiaTheme="minorAscii" w:cstheme="minorAscii"/>
          <w:noProof w:val="0"/>
          <w:color w:val="auto"/>
          <w:sz w:val="22"/>
          <w:szCs w:val="22"/>
          <w:u w:val="none"/>
          <w:lang w:val="en-US"/>
        </w:rPr>
      </w:pP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none"/>
          <w:lang w:val="en-US"/>
        </w:rPr>
        <w:t xml:space="preserve">The major purpose of the R2 zone is to provide and protect residential development at a low density in a semi-agricultural or rural environment. It is also to provide for certain rural amenities, on larger minimum lots, in conjunction with the primary residential nature of the zone. No new R2 development applications or zoning amendments shall be accepted as of July 15, 2026, unless reauthorized by the City Council.  </w:t>
      </w:r>
    </w:p>
    <w:p w:rsidR="157BAA99" w:rsidP="684B66A4" w:rsidRDefault="157BAA99" w14:paraId="574FF2BB" w14:textId="41989C8E">
      <w:pPr>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none"/>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none"/>
          <w:lang w:val="en-US"/>
        </w:rPr>
        <w:t>HISTORY</w:t>
      </w:r>
    </w:p>
    <w:p w:rsidR="157BAA99" w:rsidP="684B66A4" w:rsidRDefault="157BAA99" w14:paraId="15021A2A" w14:textId="1177AB9F">
      <w:pPr>
        <w:spacing w:before="240" w:beforeAutospacing="off" w:after="240"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u w:val="none"/>
          <w:lang w:val="en-US"/>
        </w:rPr>
      </w:pPr>
      <w:r w:rsidRPr="684B66A4" w:rsidR="157BAA99">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u w:val="none"/>
          <w:lang w:val="en-US"/>
        </w:rPr>
        <w:t>Adopted by Ord. 2015-03 on 5/13/2015</w:t>
      </w:r>
    </w:p>
    <w:p w:rsidR="684B66A4" w:rsidP="684B66A4" w:rsidRDefault="684B66A4" w14:paraId="3E4D38C1" w14:textId="70413614">
      <w:pPr>
        <w:pStyle w:val="Normal"/>
        <w:spacing w:before="240" w:beforeAutospacing="off" w:after="240" w:afterAutospacing="off"/>
        <w:jc w:val="left"/>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u w:val="none"/>
          <w:lang w:val="en-US"/>
        </w:rPr>
      </w:pPr>
    </w:p>
    <w:p w:rsidR="157BAA99" w:rsidP="684B66A4" w:rsidRDefault="157BAA99" w14:paraId="42ABF774" w14:textId="6BC7C071">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none"/>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none"/>
          <w:lang w:val="en-US"/>
        </w:rPr>
        <w:t xml:space="preserve">Exhibit D </w:t>
      </w:r>
    </w:p>
    <w:p w:rsidR="157BAA99" w:rsidP="684B66A4" w:rsidRDefault="157BAA99" w14:paraId="00225310" w14:textId="70EB96BA">
      <w:pPr>
        <w:pStyle w:val="Heading4"/>
        <w:keepNext w:val="1"/>
        <w:keepLines w:val="1"/>
        <w:spacing w:before="319" w:beforeAutospacing="off" w:after="319" w:afterAutospacing="off"/>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12.145.010 Purpose And Objectives</w:t>
      </w:r>
    </w:p>
    <w:p w:rsidR="157BAA99" w:rsidP="684B66A4" w:rsidRDefault="157BAA99" w14:paraId="0BA91421" w14:textId="2D5DC94B">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Residential Transition (RT) zone is established to provide an attractive setting for medium density development, presenting the opportunity within the community for varying housing styles, lot sizes and character.  </w:t>
      </w:r>
    </w:p>
    <w:p w:rsidR="157BAA99" w:rsidP="684B66A4" w:rsidRDefault="157BAA99" w14:paraId="58543FC7" w14:textId="6EBC158E">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Development within the RT zone shall be characterized by attractively landscaped single-family, two- family, and multiple-family developments, with twin homes, townhomes, condominiums, apartments, and institutional uses which may be harmoniously blended into each neighborhood allowing for inclusionary growth. </w:t>
      </w:r>
    </w:p>
    <w:p w:rsidR="157BAA99" w:rsidP="684B66A4" w:rsidRDefault="157BAA99" w14:paraId="6C4DF901" w14:textId="7257D3B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Properties should be located on arterial or collector streets with good access or within a reasonable proximity to accesses which will permit traffic to use the arterial or collector streets subject to the City Engineer’s recommendation and Land Use Authority approval.</w:t>
      </w:r>
    </w:p>
    <w:p w:rsidR="157BAA99" w:rsidP="684B66A4" w:rsidRDefault="157BAA99" w14:paraId="56575DBF" w14:textId="4BB5282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Multi-family apartment developments should be of sufficient size and number of units in order to allow for on-site management. Condominium developments should also be of a sufficient size and number of units so as to create a permanent, stable, homeowner’s association (HOA). </w:t>
      </w:r>
    </w:p>
    <w:p w:rsidR="157BAA99" w:rsidP="684B66A4" w:rsidRDefault="157BAA99" w14:paraId="2CFC7F81" w14:textId="5ECE3295">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157BAA99" w:rsidP="684B66A4" w:rsidRDefault="157BAA99" w14:paraId="717E13BE" w14:textId="49425701">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2023-09; Enacted 04/26/2023</w:t>
      </w:r>
    </w:p>
    <w:p w:rsidR="684B66A4" w:rsidP="684B66A4" w:rsidRDefault="684B66A4" w14:paraId="4022E677" w14:textId="17BF9D42">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none"/>
          <w:lang w:val="en-US"/>
        </w:rPr>
      </w:pPr>
    </w:p>
    <w:p w:rsidR="157BAA99" w:rsidP="684B66A4" w:rsidRDefault="157BAA99" w14:paraId="575E0AA6" w14:textId="2EBFDA07">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none"/>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u w:val="none"/>
          <w:lang w:val="en-US"/>
        </w:rPr>
        <w:t xml:space="preserve">Exhibit E </w:t>
      </w:r>
    </w:p>
    <w:p w:rsidR="157BAA99" w:rsidP="684B66A4" w:rsidRDefault="157BAA99" w14:paraId="4C8326AA" w14:textId="70EB96BA">
      <w:pPr>
        <w:pStyle w:val="Heading4"/>
        <w:keepNext w:val="1"/>
        <w:keepLines w:val="1"/>
        <w:spacing w:before="319" w:beforeAutospacing="off" w:after="319" w:afterAutospacing="off"/>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12.145.010 Purpose And Objectives</w:t>
      </w:r>
    </w:p>
    <w:p w:rsidR="157BAA99" w:rsidP="684B66A4" w:rsidRDefault="157BAA99" w14:paraId="72544BA0" w14:textId="2D5DC94B">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Residential Transition (RT) zone is established to provide an attractive setting for medium density development, presenting the opportunity within the community for varying housing styles, lot sizes and character.  </w:t>
      </w:r>
    </w:p>
    <w:p w:rsidR="157BAA99" w:rsidP="684B66A4" w:rsidRDefault="157BAA99" w14:paraId="53B8D8B4" w14:textId="6EBC158E">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Development within the RT zone shall be characterized by attractively landscaped single-family, two- family, and multiple-family developments, with twin homes, townhomes, condominiums, apartments, and institutional uses which may be harmoniously blended into each neighborhood allowing for inclusionary growth. </w:t>
      </w:r>
    </w:p>
    <w:p w:rsidR="157BAA99" w:rsidP="684B66A4" w:rsidRDefault="157BAA99" w14:paraId="7ECC097C" w14:textId="7257D3B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Properties should be located on arterial or collector streets with good access or within a reasonable proximity to accesses which will permit traffic to use the arterial or collector streets subject to the City Engineer’s recommendation and Land Use Authority approval.</w:t>
      </w:r>
    </w:p>
    <w:p w:rsidR="157BAA99" w:rsidP="684B66A4" w:rsidRDefault="157BAA99" w14:paraId="07A359DC" w14:textId="4BB5282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Multi-family apartment developments should be of sufficient size and number of units in order to allow for on-site management. Condominium developments should also be of a sufficient size and number of units so as to create a permanent, stable, homeowner’s association (HOA). </w:t>
      </w:r>
    </w:p>
    <w:p w:rsidR="157BAA99" w:rsidP="684B66A4" w:rsidRDefault="157BAA99" w14:paraId="4C713102" w14:textId="4308DD6E">
      <w:pPr>
        <w:spacing w:before="240" w:beforeAutospacing="off" w:after="240" w:afterAutospacing="off"/>
        <w:rPr>
          <w:rFonts w:ascii="Calibri" w:hAnsi="Calibri" w:eastAsia="Calibri" w:cs="Calibri" w:asciiTheme="minorAscii" w:hAnsiTheme="minorAscii" w:eastAsiaTheme="minorAscii" w:cstheme="minorAscii"/>
          <w:noProof w:val="0"/>
          <w:color w:val="00B050"/>
          <w:sz w:val="22"/>
          <w:szCs w:val="22"/>
          <w:u w:val="single"/>
          <w:lang w:val="en-US"/>
        </w:rPr>
      </w:pP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B050"/>
          <w:sz w:val="22"/>
          <w:szCs w:val="22"/>
          <w:u w:val="single"/>
          <w:lang w:val="en-US"/>
        </w:rPr>
        <w:t>No new RT development applications or zoning amendments shall be accepted as of July 15, 2026, unless reauthorized by the City Council.</w:t>
      </w:r>
    </w:p>
    <w:p w:rsidR="157BAA99" w:rsidP="684B66A4" w:rsidRDefault="157BAA99" w14:paraId="26472B9B" w14:textId="5ECE3295">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157BAA99" w:rsidP="684B66A4" w:rsidRDefault="157BAA99" w14:paraId="1C8192D6" w14:textId="7DB5ECEB">
      <w:pPr>
        <w:pStyle w:val="Normal"/>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2023-09; Enacted 04/26/2023</w:t>
      </w:r>
    </w:p>
    <w:p w:rsidR="684B66A4" w:rsidP="684B66A4" w:rsidRDefault="684B66A4" w14:paraId="7C9B6304" w14:textId="2AEFB374">
      <w:pPr>
        <w:pStyle w:val="Normal"/>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157BAA99" w:rsidP="684B66A4" w:rsidRDefault="157BAA99" w14:paraId="230460E2" w14:textId="47F534B9">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Exhibit F</w:t>
      </w:r>
    </w:p>
    <w:p w:rsidR="157BAA99" w:rsidP="684B66A4" w:rsidRDefault="157BAA99" w14:paraId="1A808938" w14:textId="70EB96BA">
      <w:pPr>
        <w:pStyle w:val="Heading4"/>
        <w:keepNext w:val="1"/>
        <w:keepLines w:val="1"/>
        <w:spacing w:before="319" w:beforeAutospacing="off" w:after="319" w:afterAutospacing="off"/>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12.145.010 Purpose And Objectives</w:t>
      </w:r>
    </w:p>
    <w:p w:rsidR="157BAA99" w:rsidP="684B66A4" w:rsidRDefault="157BAA99" w14:paraId="79789AEF" w14:textId="2D5DC94B">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The Residential Transition (RT) zone is established to provide an attractive setting for medium density development, presenting the opportunity within the community for varying housing styles, lot sizes and character.  </w:t>
      </w:r>
    </w:p>
    <w:p w:rsidR="157BAA99" w:rsidP="684B66A4" w:rsidRDefault="157BAA99" w14:paraId="2FB055F0" w14:textId="6EBC158E">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Development within the RT zone shall be characterized by attractively landscaped single-family, two- family, and multiple-family developments, with twin homes, townhomes, condominiums, apartments, and institutional uses which may be harmoniously blended into each neighborhood allowing for inclusionary growth. </w:t>
      </w:r>
    </w:p>
    <w:p w:rsidR="157BAA99" w:rsidP="684B66A4" w:rsidRDefault="157BAA99" w14:paraId="3F7A66DB" w14:textId="7257D3B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Properties should be located on arterial or collector streets with good access or within a reasonable proximity to accesses which will permit traffic to use the arterial or collector streets subject to the City Engineer’s recommendation and Land Use Authority approval.</w:t>
      </w:r>
    </w:p>
    <w:p w:rsidR="157BAA99" w:rsidP="684B66A4" w:rsidRDefault="157BAA99" w14:paraId="23D8FDBF" w14:textId="4BB5282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Multi-family apartment developments should be of sufficient size and number of units in order to allow for on-site management. Condominium developments should also be of a sufficient size and number of units so as to create a permanent, stable, homeowner’s association (HOA). </w:t>
      </w:r>
    </w:p>
    <w:p w:rsidR="157BAA99" w:rsidP="684B66A4" w:rsidRDefault="157BAA99" w14:paraId="54D197E9" w14:textId="05B24B40">
      <w:pPr>
        <w:spacing w:before="240" w:beforeAutospacing="off" w:after="240" w:afterAutospacing="off"/>
        <w:rPr>
          <w:rFonts w:ascii="Calibri" w:hAnsi="Calibri" w:eastAsia="Calibri" w:cs="Calibri" w:asciiTheme="minorAscii" w:hAnsiTheme="minorAscii" w:eastAsiaTheme="minorAscii" w:cstheme="minorAscii"/>
          <w:noProof w:val="0"/>
          <w:color w:val="auto"/>
          <w:sz w:val="22"/>
          <w:szCs w:val="22"/>
          <w:u w:val="none"/>
          <w:lang w:val="en-US"/>
        </w:rPr>
      </w:pP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No new RT development applications or zoning amendments shall be accepted as of </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July 15</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2026, unless reauthorized by the City Council</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6F0C929D" w:rsidR="6F0C929D">
        <w:rPr>
          <w:rFonts w:ascii="Calibri" w:hAnsi="Calibri" w:eastAsia="Calibri" w:cs="Calibri" w:asciiTheme="minorAscii" w:hAnsiTheme="minorAscii" w:eastAsiaTheme="minorAscii" w:cstheme="minorAscii"/>
          <w:noProof w:val="0"/>
          <w:color w:val="auto"/>
          <w:sz w:val="22"/>
          <w:szCs w:val="22"/>
          <w:u w:val="none"/>
          <w:lang w:val="en-US"/>
        </w:rPr>
        <w:t xml:space="preserve"> </w:t>
      </w:r>
    </w:p>
    <w:p w:rsidR="157BAA99" w:rsidP="684B66A4" w:rsidRDefault="157BAA99" w14:paraId="3ACB95B1" w14:textId="5ECE3295">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157BAA99" w:rsidP="684B66A4" w:rsidRDefault="157BAA99" w14:paraId="6D32A1DF" w14:textId="7DB5ECEB">
      <w:pPr>
        <w:pStyle w:val="Normal"/>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2023-09; Enacted 04/26/2023</w:t>
      </w:r>
    </w:p>
    <w:p w:rsidR="684B66A4" w:rsidP="684B66A4" w:rsidRDefault="684B66A4" w14:paraId="4B0FB4BE" w14:textId="1E071576">
      <w:pPr>
        <w:pStyle w:val="Normal"/>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157BAA99" w:rsidP="684B66A4" w:rsidRDefault="157BAA99" w14:paraId="1E0122AD" w14:textId="4C90AD49">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Exhibit G </w:t>
      </w:r>
    </w:p>
    <w:p w:rsidR="157BAA99" w:rsidP="684B66A4" w:rsidRDefault="157BAA99" w14:paraId="23DD3FF6" w14:textId="17F0D265">
      <w:pPr>
        <w:pStyle w:val="Heading4"/>
        <w:keepNext w:val="1"/>
        <w:keepLines w:val="1"/>
        <w:spacing w:before="319" w:beforeAutospacing="off" w:after="319" w:afterAutospacing="off"/>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12.270.020 Approval Process Generally</w:t>
      </w:r>
    </w:p>
    <w:p w:rsidR="157BAA99" w:rsidP="684B66A4" w:rsidRDefault="157BAA99" w14:paraId="6AA6ABE6" w14:textId="0832CE65">
      <w:pPr>
        <w:pStyle w:val="ListParagraph"/>
        <w:numPr>
          <w:ilvl w:val="0"/>
          <w:numId w:val="1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Application for zone change. </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Any person desiring to develop property within the MXD zone shall first file an application for zone change pursuant to Chapter 12.10 of HPMC along with the applicable fees as outlined in the City’s consolidated fee schedule. The City shall not zone any areas within its boundaries as an MXD zone without an application from all the landowners in the area proposed as an MXD zone.</w:t>
      </w:r>
    </w:p>
    <w:p w:rsidR="157BAA99" w:rsidP="684B66A4" w:rsidRDefault="157BAA99" w14:paraId="2C1F630F" w14:textId="3502244E">
      <w:pPr>
        <w:pStyle w:val="ListParagraph"/>
        <w:numPr>
          <w:ilvl w:val="0"/>
          <w:numId w:val="1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Public hearing by Planning Commission.</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Upon determination of a complete application, the Zoning Administrator or designee shall schedule a public hearing for the Planning Commission to consider the application for the proposed zone change. The Planning Commission shall make a recommendation to the Land Use Authority to either approve, approve with modifications, or deny the application for zone change request.</w:t>
      </w:r>
    </w:p>
    <w:p w:rsidR="157BAA99" w:rsidP="684B66A4" w:rsidRDefault="157BAA99" w14:paraId="4A9271D5" w14:textId="0A3A2A83">
      <w:pPr>
        <w:pStyle w:val="ListParagraph"/>
        <w:numPr>
          <w:ilvl w:val="0"/>
          <w:numId w:val="1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Review and decision by the Land Use Authority in a public meeting</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After the Planning Commission has made its recommendation on the proposed application for zone change request, the Zoning Administrator or designee shall schedule a public meeting for the Land Use Authority to consider the application for proposed zone change. The City Council [U1] shall receive and review the recommendation of the Planning Commission and shall either approve, approve with modifications, or deny the requested application for zone change.</w:t>
      </w:r>
    </w:p>
    <w:p w:rsidR="157BAA99" w:rsidP="684B66A4" w:rsidRDefault="157BAA99" w14:paraId="630D1B4F" w14:textId="2931A92F">
      <w:pPr>
        <w:pStyle w:val="ListParagraph"/>
        <w:numPr>
          <w:ilvl w:val="0"/>
          <w:numId w:val="1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Application for development plan review. </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Upon successful approval of the zone change request the applicant may then move forward with the submission of an application for development plan review. The development plan application shall address the requirements outlined in 12.270.025 of HPMC and shall be submitted to the Zoning Administrator along with the applicable fees as outlined in the City’s consolidated fee schedule for review and approval by the Land Use Authority. The development plan shall be recorded against the property as a development agreement.</w:t>
      </w:r>
    </w:p>
    <w:p w:rsidR="157BAA99" w:rsidP="684B66A4" w:rsidRDefault="157BAA99" w14:paraId="22A7CA20" w14:textId="451FB51C">
      <w:pPr>
        <w:pStyle w:val="ListParagraph"/>
        <w:numPr>
          <w:ilvl w:val="0"/>
          <w:numId w:val="1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Changes to approved development plan.</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Minor changes in the location, siting or character of structures may be authorized by the Zoning Administrator if required by engineering or other circumstances not foreseen at the time of initial development plan approval. All other substantive changes, defined as an increase in the number of lots or units, changes which are not consistent with previous approvals, or which have the effect of amending or modifying previously approved development agreements, shall be reviewed and approved by the Land Use Authority. The Zoning Administrator shall determine whether a change requires approval by the Land Use Authority. Deviations from approved plans, or the failure to comply with any requirements imposed during approval of the project shall constitute a violation of this ordinance.</w:t>
      </w:r>
    </w:p>
    <w:p w:rsidR="157BAA99" w:rsidP="684B66A4" w:rsidRDefault="157BAA99" w14:paraId="63273A3B" w14:textId="15EAD4DF">
      <w:pPr>
        <w:pStyle w:val="ListParagraph"/>
        <w:numPr>
          <w:ilvl w:val="0"/>
          <w:numId w:val="1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Subdivision application. </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When applicable in the MXD zone, a subdivision application may be submitted either after approval of a development plan or concurrently with the application for development plan. The final subdivision processes outlined in Title 13 of HMPC shall be followed.</w:t>
      </w:r>
    </w:p>
    <w:p w:rsidR="684B66A4" w:rsidP="684B66A4" w:rsidRDefault="684B66A4" w14:paraId="72014679" w14:textId="05958048">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157BAA99" w:rsidP="684B66A4" w:rsidRDefault="157BAA99" w14:paraId="4C888B86" w14:textId="03189DD0">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HISTORY:</w:t>
      </w:r>
    </w:p>
    <w:p w:rsidR="157BAA99" w:rsidP="684B66A4" w:rsidRDefault="157BAA99" w14:paraId="25CEF0D0" w14:textId="423B5007">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Ord. No. 2023-08; Enacted 05/10/2023</w:t>
      </w:r>
    </w:p>
    <w:p w:rsidR="157BAA99" w:rsidP="684B66A4" w:rsidRDefault="157BAA99" w14:paraId="11EDF28C" w14:textId="71864C3C">
      <w:pPr>
        <w:spacing w:before="240" w:beforeAutospacing="off" w:after="240" w:afterAutospacing="off"/>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Ord. No 2025-02; Amended 02/12/2025</w:t>
      </w:r>
    </w:p>
    <w:p w:rsidR="684B66A4" w:rsidP="684B66A4" w:rsidRDefault="684B66A4" w14:paraId="08AE287D" w14:textId="5D17A07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157BAA99" w:rsidP="684B66A4" w:rsidRDefault="157BAA99" w14:paraId="681DD2B6" w14:textId="29836007">
      <w:pPr>
        <w:spacing w:before="240" w:beforeAutospacing="off" w:after="240" w:afterAutospacing="off"/>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Exhibit H</w:t>
      </w:r>
    </w:p>
    <w:p w:rsidR="157BAA99" w:rsidP="684B66A4" w:rsidRDefault="157BAA99" w14:paraId="4AC87089" w14:textId="0B8058F8">
      <w:pPr>
        <w:pStyle w:val="Heading4"/>
        <w:keepNext w:val="1"/>
        <w:keepLines w:val="1"/>
        <w:spacing w:before="319" w:beforeAutospacing="off" w:after="319" w:afterAutospacing="off"/>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12.270.020 Approval Process Generally</w:t>
      </w:r>
    </w:p>
    <w:p w:rsidR="157BAA99" w:rsidP="684B66A4" w:rsidRDefault="157BAA99" w14:paraId="622B2A79" w14:textId="3D59AA97">
      <w:pPr>
        <w:pStyle w:val="ListParagraph"/>
        <w:numPr>
          <w:ilvl w:val="0"/>
          <w:numId w:val="12"/>
        </w:numPr>
        <w:spacing w:before="0" w:beforeAutospacing="off" w:after="0" w:afterAutospacing="off"/>
        <w:rPr/>
      </w:pPr>
      <w:r w:rsidRPr="6F0C929D" w:rsidR="6F0C929D">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Application for zone change</w:t>
      </w:r>
      <w:r w:rsidRPr="6F0C929D" w:rsidR="6F0C929D">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Any person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desiring</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develop property within the MXD zone shall first file an application for zone change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pursuant to</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Chapter 12.10 of HPMC along with the applicable fees as outlined in the City’s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consolidated</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fee schedule. The City shall not zone any areas within its boundaries as an MXD zone without an application from all the landowners in the area proposed as an MXD zone. </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B050"/>
          <w:sz w:val="22"/>
          <w:szCs w:val="22"/>
          <w:u w:val="single"/>
          <w:lang w:val="en-US"/>
        </w:rPr>
        <w:t xml:space="preserve">No new MXD development applications or zoning map amendments shall be accepted as of </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B050"/>
          <w:sz w:val="22"/>
          <w:szCs w:val="22"/>
          <w:u w:val="single"/>
          <w:lang w:val="en-US"/>
        </w:rPr>
        <w:t>July 15</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B050"/>
          <w:sz w:val="22"/>
          <w:szCs w:val="22"/>
          <w:u w:val="single"/>
          <w:lang w:val="en-US"/>
        </w:rPr>
        <w:t>, 2026, unless reauthorized by the City Council</w:t>
      </w:r>
      <w:r w:rsidRPr="6F0C929D" w:rsidR="6F0C929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B050"/>
          <w:sz w:val="22"/>
          <w:szCs w:val="22"/>
          <w:u w:val="single"/>
          <w:lang w:val="en-US"/>
        </w:rPr>
        <w:t xml:space="preserve">.  </w:t>
      </w:r>
    </w:p>
    <w:p w:rsidR="157BAA99" w:rsidP="684B66A4" w:rsidRDefault="157BAA99" w14:paraId="46858D03" w14:textId="4FE1713B">
      <w:pPr>
        <w:pStyle w:val="ListParagraph"/>
        <w:numPr>
          <w:ilvl w:val="0"/>
          <w:numId w:val="12"/>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Public hearing by Planning Commission.</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Upon determination of a complete application, the Zoning Administrator or designee shall schedule a public hearing for the Planning Commission to consider the application for the proposed zone change. The Planning Commission shall make a recommendation to the Land Use Authority to either approve, approve with modifications, or deny the application for zone change request.</w:t>
      </w:r>
    </w:p>
    <w:p w:rsidR="157BAA99" w:rsidP="684B66A4" w:rsidRDefault="157BAA99" w14:paraId="110EE6EB" w14:textId="2B149E0C">
      <w:pPr>
        <w:pStyle w:val="ListParagraph"/>
        <w:numPr>
          <w:ilvl w:val="0"/>
          <w:numId w:val="12"/>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Review and decision by the Land Use Authority in a public meeting</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After the Planning Commission has made its recommendation on the proposed application for zone change request, the Zoning Administrator or designee shall schedule a public meeting for the Land Use Authority to consider the application for proposed zone change. The City Council [U1] shall receive and review the recommendation of the Planning Commission and shall either approve, approve with modifications, or deny the requested application for zone change.</w:t>
      </w:r>
    </w:p>
    <w:p w:rsidR="157BAA99" w:rsidP="684B66A4" w:rsidRDefault="157BAA99" w14:paraId="3B9E4E59" w14:textId="313FA5A4">
      <w:pPr>
        <w:pStyle w:val="ListParagraph"/>
        <w:numPr>
          <w:ilvl w:val="0"/>
          <w:numId w:val="12"/>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Application for development plan review. </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Upon successful approval of the zone change request the applicant may then move forward with the submission of an application for development plan review. The development plan application shall address the requirements outlined in 12.270.025 of HPMC and shall be submitted to the Zoning Administrator along with the applicable fees as outlined in the City’s consolidated fee schedule for review and approval by the Land Use Authority. The development plan shall be recorded against the property as a development agreement.</w:t>
      </w:r>
    </w:p>
    <w:p w:rsidR="157BAA99" w:rsidP="684B66A4" w:rsidRDefault="157BAA99" w14:paraId="66402761" w14:textId="0D52762F">
      <w:pPr>
        <w:pStyle w:val="ListParagraph"/>
        <w:numPr>
          <w:ilvl w:val="0"/>
          <w:numId w:val="12"/>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Changes to approved development plan.</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Minor changes in the location, siting or character of structures may be authorized by the Zoning Administrator if required by engineering or other circumstances not foreseen at the time of initial development plan approval. All other substantive changes, defined as an increase in the number of lots or units, changes which are not consistent with previous approvals, or which have the effect of amending or modifying previously approved development agreements, shall be reviewed and approved by the Land Use Authority. The Zoning Administrator shall determine whether a change requires approval by the Land Use Authority. Deviations from approved plans, or the failure to comply with any requirements imposed during approval of the project shall constitute a violation of this ordinance.</w:t>
      </w:r>
    </w:p>
    <w:p w:rsidR="157BAA99" w:rsidP="684B66A4" w:rsidRDefault="157BAA99" w14:paraId="1596A6A2" w14:textId="45D6BD54">
      <w:pPr>
        <w:pStyle w:val="ListParagraph"/>
        <w:numPr>
          <w:ilvl w:val="0"/>
          <w:numId w:val="12"/>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Subdivision application. </w:t>
      </w: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When applicable in the MXD zone, a subdivision application may be submitted either after approval of a development plan or concurrently with the application for development plan. The final subdivision processes outlined in Title 13 of HMPC shall be followed.</w:t>
      </w:r>
    </w:p>
    <w:p w:rsidR="684B66A4" w:rsidP="684B66A4" w:rsidRDefault="684B66A4" w14:paraId="1F02ECB5" w14:textId="133EC15B">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157BAA99" w:rsidP="684B66A4" w:rsidRDefault="157BAA99" w14:paraId="37A151EB" w14:textId="1495D8B3">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157BAA99" w:rsidP="684B66A4" w:rsidRDefault="157BAA99" w14:paraId="0BEAC7FE" w14:textId="4FB50C8D">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2023-08; Enacted 05/10/2023</w:t>
      </w:r>
    </w:p>
    <w:p w:rsidR="157BAA99" w:rsidP="684B66A4" w:rsidRDefault="157BAA99" w14:paraId="38235E75" w14:textId="7AE53760">
      <w:pPr>
        <w:spacing w:before="240" w:beforeAutospacing="off" w:after="240" w:afterAutospacing="off"/>
      </w:pPr>
      <w:r w:rsidRPr="684B66A4" w:rsidR="157BAA9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2025-02; Amended 02/12/2025</w:t>
      </w:r>
    </w:p>
    <w:p w:rsidR="12BE02F4" w:rsidP="684B66A4" w:rsidRDefault="12BE02F4" w14:paraId="75F8147F" w14:textId="34E0828D">
      <w:pPr>
        <w:spacing w:before="240" w:beforeAutospacing="off" w:after="240" w:afterAutospacing="off"/>
      </w:pPr>
      <w:r w:rsidRPr="684B66A4" w:rsidR="12BE02F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Exhibit I </w:t>
      </w:r>
    </w:p>
    <w:p w:rsidR="12BE02F4" w:rsidP="684B66A4" w:rsidRDefault="12BE02F4" w14:paraId="0DD10A73" w14:textId="40BCC81C">
      <w:pPr>
        <w:pStyle w:val="Heading4"/>
        <w:keepNext w:val="1"/>
        <w:keepLines w:val="1"/>
        <w:spacing w:before="319" w:beforeAutospacing="off" w:after="319" w:afterAutospacing="off"/>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1"/>
          <w:bCs w:val="1"/>
          <w:i w:val="1"/>
          <w:iCs w:val="1"/>
          <w:caps w:val="0"/>
          <w:smallCaps w:val="0"/>
          <w:noProof w:val="0"/>
          <w:color w:val="auto"/>
          <w:sz w:val="22"/>
          <w:szCs w:val="22"/>
          <w:lang w:val="en-US"/>
        </w:rPr>
        <w:t>12.270.020 Approval Process Generally</w:t>
      </w:r>
    </w:p>
    <w:p w:rsidR="12BE02F4" w:rsidP="684B66A4" w:rsidRDefault="12BE02F4" w14:paraId="47B57745" w14:textId="5FA9820D">
      <w:pPr>
        <w:pStyle w:val="ListParagraph"/>
        <w:numPr>
          <w:ilvl w:val="0"/>
          <w:numId w:val="13"/>
        </w:numPr>
        <w:spacing w:before="0" w:beforeAutospacing="off" w:after="0" w:afterAutospacing="off"/>
        <w:rPr>
          <w:rFonts w:ascii="Calibri" w:hAnsi="Calibri" w:eastAsia="Calibri" w:cs="Calibri" w:asciiTheme="minorAscii" w:hAnsiTheme="minorAscii" w:eastAsiaTheme="minorAscii" w:cstheme="minorAscii"/>
          <w:noProof w:val="0"/>
          <w:color w:val="auto"/>
          <w:sz w:val="22"/>
          <w:szCs w:val="22"/>
          <w:u w:val="single"/>
          <w:lang w:val="en-US"/>
        </w:rPr>
      </w:pPr>
      <w:r w:rsidRPr="6F0C929D" w:rsidR="6F0C929D">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Application for zone change</w:t>
      </w:r>
      <w:r w:rsidRPr="6F0C929D" w:rsidR="6F0C929D">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Any person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desiring</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to develop property within the MXD zone shall first file an application for zone change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pursuant to</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Chapter 12.10 of HPMC along with the applicable fees as outlined in the City’s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consolidated</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fee schedule. The City shall not zone any areas within its boundaries as an MXD zone without an application from all the landowners in the area proposed as an MXD zone. No new MXD development applications or zoning map amendments shall be accepted as of </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July 15</w:t>
      </w:r>
      <w:r w:rsidRPr="6F0C929D" w:rsidR="6F0C929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2026, unless reauthorized by the City Council. </w:t>
      </w:r>
    </w:p>
    <w:p w:rsidR="12BE02F4" w:rsidP="684B66A4" w:rsidRDefault="12BE02F4" w14:paraId="7A9AA9B2" w14:textId="0047D92E">
      <w:pPr>
        <w:pStyle w:val="ListParagraph"/>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Public hearing by Planning Commission.</w:t>
      </w: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Upon determination of a complete application, the Zoning Administrator or designee shall schedule a public hearing for the Planning Commission to consider the application for the proposed zone change. The Planning Commission shall make a recommendation to the Land Use Authority to either approve, approve with modifications, or deny the application for zone change request.</w:t>
      </w:r>
    </w:p>
    <w:p w:rsidR="12BE02F4" w:rsidP="684B66A4" w:rsidRDefault="12BE02F4" w14:paraId="07AEADE0" w14:textId="069504FA">
      <w:pPr>
        <w:pStyle w:val="ListParagraph"/>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Review and decision by the Land Use Authority in a public meeting</w:t>
      </w: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After the Planning Commission has made its recommendation on the proposed application for zone change request, the Zoning Administrator or designee shall schedule a public meeting for the Land Use Authority to consider the application for proposed zone change. The City Council [U1] shall receive and review the recommendation of the Planning Commission and shall either approve, approve with modifications, or deny the requested application for zone change.</w:t>
      </w:r>
    </w:p>
    <w:p w:rsidR="12BE02F4" w:rsidP="684B66A4" w:rsidRDefault="12BE02F4" w14:paraId="7B637D93" w14:textId="02BDAAD4">
      <w:pPr>
        <w:pStyle w:val="ListParagraph"/>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Application for development plan review. </w:t>
      </w: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Upon successful approval of the zone change request the applicant may then move forward with the submission of an application for development plan review. The development plan application shall address the requirements outlined in 12.270.025 of HPMC and shall be submitted to the Zoning Administrator along with the applicable fees as outlined in the City’s consolidated fee schedule for review and approval by the Land Use Authority. The development plan shall be recorded against the property as a development agreement.</w:t>
      </w:r>
    </w:p>
    <w:p w:rsidR="12BE02F4" w:rsidP="684B66A4" w:rsidRDefault="12BE02F4" w14:paraId="1D0718F8" w14:textId="68DFCABC">
      <w:pPr>
        <w:pStyle w:val="ListParagraph"/>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Changes to approved development plan.</w:t>
      </w: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Minor changes in the location, siting or character of structures may be authorized by the Zoning Administrator if required by engineering or other circumstances not foreseen at the time of initial development plan approval. All other substantive changes, defined as an increase in the number of lots or units, changes which are not consistent with previous approvals, or which have the effect of amending or modifying previously approved development agreements, shall be reviewed and approved by the Land Use Authority. The Zoning Administrator shall determine whether a change requires approval by the Land Use Authority. Deviations from approved plans, or the failure to comply with any requirements imposed during approval of the project shall constitute a violation of this ordinance.</w:t>
      </w:r>
    </w:p>
    <w:p w:rsidR="12BE02F4" w:rsidP="684B66A4" w:rsidRDefault="12BE02F4" w14:paraId="09735732" w14:textId="4769051F">
      <w:pPr>
        <w:pStyle w:val="ListParagraph"/>
        <w:numPr>
          <w:ilvl w:val="0"/>
          <w:numId w:val="13"/>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t xml:space="preserve">Subdivision application. </w:t>
      </w: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When applicable in the MXD zone, a subdivision application may be submitted either after approval of a development plan or concurrently with the application for development plan. The final subdivision processes outlined in Title 13 of HMPC shall be followed.</w:t>
      </w:r>
    </w:p>
    <w:p w:rsidR="684B66A4" w:rsidP="684B66A4" w:rsidRDefault="684B66A4" w14:paraId="10AF6219" w14:textId="467916C8">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12BE02F4" w:rsidP="684B66A4" w:rsidRDefault="12BE02F4" w14:paraId="52DC86B4" w14:textId="0FD08077">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HISTORY:</w:t>
      </w:r>
    </w:p>
    <w:p w:rsidR="12BE02F4" w:rsidP="684B66A4" w:rsidRDefault="12BE02F4" w14:paraId="7C10DF81" w14:textId="2B82BEA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2023-08; Enacted 05/10/2023</w:t>
      </w:r>
    </w:p>
    <w:p w:rsidR="12BE02F4" w:rsidP="684B66A4" w:rsidRDefault="12BE02F4" w14:paraId="4E289E4E" w14:textId="1691263B">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684B66A4" w:rsidR="12BE02F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Ord. No 2025-02; Amended 02/12/2025</w:t>
      </w:r>
    </w:p>
    <w:p w:rsidR="684B66A4" w:rsidP="684B66A4" w:rsidRDefault="684B66A4" w14:paraId="71C67385" w14:textId="6D6D4801">
      <w:pPr>
        <w:spacing w:before="240" w:beforeAutospacing="off" w:after="240" w:afterAutospacing="off"/>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p>
    <w:p w:rsidR="684B66A4" w:rsidP="684B66A4" w:rsidRDefault="684B66A4" w14:paraId="20717FC7" w14:textId="3D2AB296">
      <w:pPr>
        <w:spacing w:before="240" w:beforeAutospacing="off" w:after="240" w:afterAutospacing="of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p>
    <w:p w:rsidR="684B66A4" w:rsidP="684B66A4" w:rsidRDefault="684B66A4" w14:paraId="3D3247AD" w14:textId="020EE52B">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p>
    <w:p w:rsidR="684B66A4" w:rsidP="684B66A4" w:rsidRDefault="684B66A4" w14:paraId="65384B7D" w14:textId="41202DF8">
      <w:pPr>
        <w:pStyle w:val="Normal"/>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p>
    <w:p w:rsidR="684B66A4" w:rsidP="684B66A4" w:rsidRDefault="684B66A4" w14:paraId="5A151AF6" w14:textId="054544A8">
      <w:pPr>
        <w:pStyle w:val="Normal"/>
        <w:spacing w:before="240" w:beforeAutospacing="off" w:after="24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684B66A4" w:rsidP="684B66A4" w:rsidRDefault="684B66A4" w14:paraId="7913E0A6" w14:textId="03A13682">
      <w:pPr>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p>
    <w:p w:rsidR="684B66A4" w:rsidP="684B66A4" w:rsidRDefault="684B66A4" w14:paraId="04BC095C" w14:textId="6609289E">
      <w:pPr>
        <w:spacing w:before="240" w:beforeAutospacing="off" w:after="24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US"/>
        </w:rPr>
      </w:pPr>
    </w:p>
    <w:p w:rsidR="684B66A4" w:rsidP="684B66A4" w:rsidRDefault="684B66A4" w14:paraId="7DAD4C73" w14:textId="16728868">
      <w:pPr>
        <w:pStyle w:val="Normal"/>
        <w:rPr>
          <w:rFonts w:ascii="Calibri" w:hAnsi="Calibri" w:eastAsia="Calibri" w:cs="Calibri" w:asciiTheme="minorAscii" w:hAnsiTheme="minorAscii" w:eastAsiaTheme="minorAscii" w:cstheme="minorAscii"/>
          <w:b w:val="1"/>
          <w:bCs w:val="1"/>
          <w:color w:val="auto"/>
        </w:rPr>
      </w:pPr>
    </w:p>
    <w:sectPr w:rsidR="00C300BA">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85B" w:rsidP="004379FC" w:rsidRDefault="0017385B" w14:paraId="4AE9A4E3" w14:textId="77777777">
      <w:pPr>
        <w:spacing w:after="0" w:line="240" w:lineRule="auto"/>
      </w:pPr>
      <w:r>
        <w:separator/>
      </w:r>
    </w:p>
  </w:endnote>
  <w:endnote w:type="continuationSeparator" w:id="0">
    <w:p w:rsidR="0017385B" w:rsidP="004379FC" w:rsidRDefault="0017385B" w14:paraId="1E5EEC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rsidR="004379FC" w:rsidRDefault="004379FC" w14:paraId="7AE8A15A" w14:textId="24FD05BE">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379FC" w:rsidRDefault="004379FC" w14:paraId="49184C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85B" w:rsidP="004379FC" w:rsidRDefault="0017385B" w14:paraId="32457BB1" w14:textId="77777777">
      <w:pPr>
        <w:spacing w:after="0" w:line="240" w:lineRule="auto"/>
      </w:pPr>
      <w:r>
        <w:separator/>
      </w:r>
    </w:p>
  </w:footnote>
  <w:footnote w:type="continuationSeparator" w:id="0">
    <w:p w:rsidR="0017385B" w:rsidP="004379FC" w:rsidRDefault="0017385B" w14:paraId="5ABD41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0BA" w:rsidP="00C300BA" w:rsidRDefault="004379FC" w14:paraId="7025ED53" w14:textId="7BC4B8B2">
    <w:pPr>
      <w:pStyle w:val="HeaderCenter"/>
    </w:pPr>
    <w:r w:rsidR="5F8AC06E">
      <w:rPr/>
      <w:t>Hyde Park, Utah, Municipal Code</w:t>
    </w:r>
    <w:r>
      <w:br/>
    </w:r>
    <w:r w:rsidR="5F8AC06E">
      <w:rPr/>
      <w:t>TITLE 12 LAND USE &amp; DEVELOPMENT</w:t>
    </w:r>
  </w:p>
  <w:p w:rsidR="004379FC" w:rsidP="004379FC" w:rsidRDefault="004379FC" w14:paraId="3E6D4A43" w14:textId="77777777">
    <w:pPr>
      <w:pStyle w:val="HeaderCenter"/>
    </w:pPr>
  </w:p>
  <w:p w:rsidR="004379FC" w:rsidP="004379FC" w:rsidRDefault="004379FC" w14:paraId="01C6CCC7" w14:textId="77777777">
    <w:pPr>
      <w:pStyle w:val="HeaderCenter"/>
      <w:pBdr>
        <w:top w:val="single" w:color="auto" w:sz="4" w:space="0"/>
      </w:pBdr>
    </w:pPr>
  </w:p>
  <w:p w:rsidR="004379FC" w:rsidP="004379FC" w:rsidRDefault="004379FC" w14:paraId="42AA9901" w14:textId="77777777">
    <w:pPr>
      <w:pStyle w:val="Header"/>
    </w:pPr>
  </w:p>
  <w:p w:rsidR="004379FC" w:rsidP="004379FC" w:rsidRDefault="004379FC" w14:paraId="25BC8360" w14:textId="77777777">
    <w:pPr>
      <w:pStyle w:val="Header"/>
    </w:pPr>
  </w:p>
  <w:p w:rsidR="004379FC" w:rsidRDefault="004379FC" w14:paraId="7B4757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92c5a3e"/>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e623fde"/>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494e274"/>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6985E36"/>
    <w:multiLevelType w:val="hybridMultilevel"/>
    <w:tmpl w:val="B1A6A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D6F62A8"/>
    <w:multiLevelType w:val="hybridMultilevel"/>
    <w:tmpl w:val="B17A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3">
    <w:abstractNumId w:val="12"/>
  </w:num>
  <w:num w:numId="12">
    <w:abstractNumId w:val="11"/>
  </w:num>
  <w:num w:numId="11">
    <w:abstractNumId w:val="10"/>
  </w:num>
  <w:num w:numId="1" w16cid:durableId="1709377557">
    <w:abstractNumId w:val="8"/>
  </w:num>
  <w:num w:numId="2" w16cid:durableId="743257235">
    <w:abstractNumId w:val="5"/>
  </w:num>
  <w:num w:numId="3" w16cid:durableId="1612544460">
    <w:abstractNumId w:val="2"/>
  </w:num>
  <w:num w:numId="4" w16cid:durableId="1291206396">
    <w:abstractNumId w:val="7"/>
  </w:num>
  <w:num w:numId="5" w16cid:durableId="274796642">
    <w:abstractNumId w:val="9"/>
  </w:num>
  <w:num w:numId="6" w16cid:durableId="1755317368">
    <w:abstractNumId w:val="3"/>
  </w:num>
  <w:num w:numId="7" w16cid:durableId="327485970">
    <w:abstractNumId w:val="1"/>
  </w:num>
  <w:num w:numId="8" w16cid:durableId="1924409614">
    <w:abstractNumId w:val="4"/>
  </w:num>
  <w:num w:numId="9" w16cid:durableId="2033528973">
    <w:abstractNumId w:val="6"/>
  </w:num>
  <w:num w:numId="10" w16cid:durableId="157072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17385B"/>
    <w:rsid w:val="00353756"/>
    <w:rsid w:val="00383D79"/>
    <w:rsid w:val="00435239"/>
    <w:rsid w:val="004379FC"/>
    <w:rsid w:val="00472AA9"/>
    <w:rsid w:val="004A023D"/>
    <w:rsid w:val="00501D15"/>
    <w:rsid w:val="00536709"/>
    <w:rsid w:val="005A11EC"/>
    <w:rsid w:val="005C0FC4"/>
    <w:rsid w:val="00666823"/>
    <w:rsid w:val="008148D4"/>
    <w:rsid w:val="008409FF"/>
    <w:rsid w:val="00935292"/>
    <w:rsid w:val="009A02BB"/>
    <w:rsid w:val="009A2111"/>
    <w:rsid w:val="009B2FC8"/>
    <w:rsid w:val="009D0BA8"/>
    <w:rsid w:val="009E319D"/>
    <w:rsid w:val="00A510E2"/>
    <w:rsid w:val="00B11705"/>
    <w:rsid w:val="00B92C54"/>
    <w:rsid w:val="00C300BA"/>
    <w:rsid w:val="00CB5D8A"/>
    <w:rsid w:val="00CC2DBF"/>
    <w:rsid w:val="00CE0788"/>
    <w:rsid w:val="00D16FB8"/>
    <w:rsid w:val="00E46733"/>
    <w:rsid w:val="00EA7261"/>
    <w:rsid w:val="00F13A0B"/>
    <w:rsid w:val="00F33FE6"/>
    <w:rsid w:val="00F64BD7"/>
    <w:rsid w:val="00FE4F51"/>
    <w:rsid w:val="02616A54"/>
    <w:rsid w:val="02643CDA"/>
    <w:rsid w:val="03521C9F"/>
    <w:rsid w:val="03F8F1D0"/>
    <w:rsid w:val="04C9B64C"/>
    <w:rsid w:val="04DD0D92"/>
    <w:rsid w:val="06619E64"/>
    <w:rsid w:val="076E358C"/>
    <w:rsid w:val="0A54EB94"/>
    <w:rsid w:val="0B390018"/>
    <w:rsid w:val="0C307A20"/>
    <w:rsid w:val="0C815368"/>
    <w:rsid w:val="0CAE2EBC"/>
    <w:rsid w:val="0D6C344D"/>
    <w:rsid w:val="0F85A323"/>
    <w:rsid w:val="0F928073"/>
    <w:rsid w:val="112E6F0E"/>
    <w:rsid w:val="12BE02F4"/>
    <w:rsid w:val="145E4E9C"/>
    <w:rsid w:val="157BAA99"/>
    <w:rsid w:val="1618B554"/>
    <w:rsid w:val="168FC352"/>
    <w:rsid w:val="18C07DC2"/>
    <w:rsid w:val="1A57F7C7"/>
    <w:rsid w:val="1AF5E5E7"/>
    <w:rsid w:val="1BA171E3"/>
    <w:rsid w:val="1C38BF2A"/>
    <w:rsid w:val="1CFE4916"/>
    <w:rsid w:val="1E061AE7"/>
    <w:rsid w:val="1E34F7BE"/>
    <w:rsid w:val="1EA73D32"/>
    <w:rsid w:val="213C892D"/>
    <w:rsid w:val="22337E3A"/>
    <w:rsid w:val="2339B438"/>
    <w:rsid w:val="23C45E15"/>
    <w:rsid w:val="2527CEEC"/>
    <w:rsid w:val="2749000A"/>
    <w:rsid w:val="27D2E7EC"/>
    <w:rsid w:val="2A7C25FA"/>
    <w:rsid w:val="2A885816"/>
    <w:rsid w:val="2AB85903"/>
    <w:rsid w:val="2B637875"/>
    <w:rsid w:val="2D25D049"/>
    <w:rsid w:val="30F2026A"/>
    <w:rsid w:val="32C6461F"/>
    <w:rsid w:val="337E9C6B"/>
    <w:rsid w:val="346B985D"/>
    <w:rsid w:val="36E49787"/>
    <w:rsid w:val="39DA692B"/>
    <w:rsid w:val="3A955B39"/>
    <w:rsid w:val="3BE15BD8"/>
    <w:rsid w:val="3C1B7F31"/>
    <w:rsid w:val="3C4FEE3C"/>
    <w:rsid w:val="3D276FF4"/>
    <w:rsid w:val="3F03F269"/>
    <w:rsid w:val="3F5C5329"/>
    <w:rsid w:val="3F8FEE8B"/>
    <w:rsid w:val="4124B688"/>
    <w:rsid w:val="4236AC3F"/>
    <w:rsid w:val="42A46715"/>
    <w:rsid w:val="456C540E"/>
    <w:rsid w:val="46F9472A"/>
    <w:rsid w:val="473D80A4"/>
    <w:rsid w:val="481B9E3B"/>
    <w:rsid w:val="48ABB8CF"/>
    <w:rsid w:val="4A7BECB0"/>
    <w:rsid w:val="4AA60481"/>
    <w:rsid w:val="4B92046A"/>
    <w:rsid w:val="4D4C4A53"/>
    <w:rsid w:val="4D7DB76E"/>
    <w:rsid w:val="503CE2FF"/>
    <w:rsid w:val="540E06EA"/>
    <w:rsid w:val="5424080E"/>
    <w:rsid w:val="542FC5E0"/>
    <w:rsid w:val="5553F202"/>
    <w:rsid w:val="55807675"/>
    <w:rsid w:val="58294771"/>
    <w:rsid w:val="5AEABE4B"/>
    <w:rsid w:val="5B198FB0"/>
    <w:rsid w:val="5B3D9E1A"/>
    <w:rsid w:val="5D19F854"/>
    <w:rsid w:val="5D5C2DF9"/>
    <w:rsid w:val="5DA5FA9F"/>
    <w:rsid w:val="5E1FC449"/>
    <w:rsid w:val="5E933F2A"/>
    <w:rsid w:val="5F8AC06E"/>
    <w:rsid w:val="5FF468DC"/>
    <w:rsid w:val="6227C97D"/>
    <w:rsid w:val="64CEA7B6"/>
    <w:rsid w:val="654FE5E3"/>
    <w:rsid w:val="6609C8AF"/>
    <w:rsid w:val="66A825A6"/>
    <w:rsid w:val="6728DF28"/>
    <w:rsid w:val="674F54D1"/>
    <w:rsid w:val="684B3833"/>
    <w:rsid w:val="684B66A4"/>
    <w:rsid w:val="6890B982"/>
    <w:rsid w:val="69AF2434"/>
    <w:rsid w:val="6A5A99EE"/>
    <w:rsid w:val="6AA2B535"/>
    <w:rsid w:val="6BC52732"/>
    <w:rsid w:val="6CF0A987"/>
    <w:rsid w:val="6D528DBC"/>
    <w:rsid w:val="6E072EFE"/>
    <w:rsid w:val="6E9902E1"/>
    <w:rsid w:val="6F0C929D"/>
    <w:rsid w:val="6F357DE6"/>
    <w:rsid w:val="6F74922A"/>
    <w:rsid w:val="70213626"/>
    <w:rsid w:val="72193AB6"/>
    <w:rsid w:val="738D3EF5"/>
    <w:rsid w:val="76376011"/>
    <w:rsid w:val="789613FC"/>
    <w:rsid w:val="7A06A44D"/>
    <w:rsid w:val="7B95D672"/>
    <w:rsid w:val="7C0D531C"/>
    <w:rsid w:val="7D4F7184"/>
    <w:rsid w:val="7EB9E130"/>
    <w:rsid w:val="7F24A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1EC"/>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5A11E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5A11EC"/>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5A11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11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11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11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79FC"/>
  </w:style>
  <w:style w:type="paragraph" w:styleId="HeaderCenter" w:customStyle="1">
    <w:name w:val="Header Center"/>
    <w:basedOn w:val="Normal"/>
    <w:qFormat/>
    <w:rsid w:val="004379FC"/>
    <w:pPr>
      <w:spacing w:before="40" w:after="40" w:line="240" w:lineRule="auto"/>
      <w:jc w:val="center"/>
    </w:pPr>
    <w:rPr>
      <w:rFonts w:ascii="Calibri" w:hAnsi="Calibri"/>
      <w:kern w:val="0"/>
      <w:sz w:val="2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D13AE-B204-49F5-A562-42F438163546}">
  <ds:schemaRefs>
    <ds:schemaRef ds:uri="http://schemas.microsoft.com/office/2006/metadata/properties"/>
    <ds:schemaRef ds:uri="http://schemas.microsoft.com/office/infopath/2007/PartnerControls"/>
    <ds:schemaRef ds:uri="f26afe99-06ab-47f4-b986-a579f9840c3f"/>
  </ds:schemaRefs>
</ds:datastoreItem>
</file>

<file path=customXml/itemProps2.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3.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Donja Wright</dc:creator>
  <keywords/>
  <dc:description/>
  <lastModifiedBy>kylestutz5@gmail.com</lastModifiedBy>
  <revision>5</revision>
  <lastPrinted>2026-02-26T18:52:00.0000000Z</lastPrinted>
  <dcterms:created xsi:type="dcterms:W3CDTF">2026-06-04T17:15:00.0000000Z</dcterms:created>
  <dcterms:modified xsi:type="dcterms:W3CDTF">2026-06-30T21:30:47.2335272Z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