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98805789" w:id="0"/>
    <w:bookmarkEnd w:id="0"/>
    <w:p w:rsidR="684B66A4" w:rsidP="14CC94E0" w:rsidRDefault="684B66A4" w14:paraId="7EFF58FE" w14:textId="407C8DE8">
      <w:pPr>
        <w:spacing w:after="0" w:line="240" w:lineRule="auto"/>
        <w:ind w:left="960" w:hanging="96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4CC94E0" w:rsidR="14CC94E0">
        <w:rPr>
          <w:rFonts w:ascii="Calibri" w:hAnsi="Calibri" w:eastAsia="Calibri" w:cs="Calibri"/>
          <w:b w:val="1"/>
          <w:bCs w:val="1"/>
          <w:i w:val="0"/>
          <w:iCs w:val="0"/>
          <w:caps w:val="0"/>
          <w:smallCaps w:val="0"/>
          <w:noProof w:val="0"/>
          <w:color w:val="000000" w:themeColor="text1" w:themeTint="FF" w:themeShade="FF"/>
          <w:sz w:val="28"/>
          <w:szCs w:val="28"/>
          <w:lang w:val="en-US"/>
        </w:rPr>
        <w:t>Hyde Park City Ordinance 2026-10</w:t>
      </w:r>
    </w:p>
    <w:p w:rsidR="684B66A4" w:rsidP="795BEEAA" w:rsidRDefault="684B66A4" w14:paraId="63C0AAC8" w14:textId="65321EA6">
      <w:pPr>
        <w:spacing w:after="0" w:line="240" w:lineRule="auto"/>
        <w:ind w:left="960" w:hanging="96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684B66A4" w:rsidP="795BEEAA" w:rsidRDefault="684B66A4" w14:paraId="0954566C" w14:textId="7B6D7097">
      <w:pPr>
        <w:spacing w:after="0" w:line="240" w:lineRule="auto"/>
        <w:ind w:left="960" w:hanging="96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8"/>
          <w:szCs w:val="28"/>
          <w:lang w:val="en-US"/>
        </w:rPr>
        <w:t xml:space="preserve">An Ordinance amending Title 12 to revise and standardize Land Use and Development definitions. </w:t>
      </w:r>
    </w:p>
    <w:p w:rsidR="684B66A4" w:rsidP="795BEEAA" w:rsidRDefault="684B66A4" w14:paraId="41AB4281" w14:textId="5EAC42C4">
      <w:pPr>
        <w:spacing w:after="0" w:line="240" w:lineRule="auto"/>
        <w:ind w:left="960" w:hanging="96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p>
    <w:p w:rsidR="684B66A4" w:rsidP="795BEEAA" w:rsidRDefault="684B66A4" w14:paraId="4BB0854C" w14:textId="77F7AF26">
      <w:pPr>
        <w:spacing w:after="0" w:line="240" w:lineRule="auto"/>
        <w:ind w:left="960" w:hanging="96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79E0F611" w14:textId="5DE70451">
      <w:pPr>
        <w:spacing w:after="0" w:line="240" w:lineRule="auto"/>
        <w:ind w:left="240" w:hanging="240"/>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2"/>
          <w:szCs w:val="22"/>
          <w:lang w:val="en-US"/>
        </w:rPr>
        <w:t>WHEREAS</w:t>
      </w: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City Council of Hyde Park City, Utah desires to include parcels in the definition for Accessory Dwelling Unit; and </w:t>
      </w:r>
    </w:p>
    <w:p w:rsidR="684B66A4" w:rsidP="795BEEAA" w:rsidRDefault="684B66A4" w14:paraId="5D0DA5BC" w14:textId="44995092">
      <w:pPr>
        <w:spacing w:after="0" w:line="240" w:lineRule="auto"/>
        <w:ind w:left="960" w:hanging="960"/>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2D87E7D4" w14:textId="76A67349">
      <w:pPr>
        <w:spacing w:after="0" w:line="240" w:lineRule="auto"/>
        <w:ind w:left="240" w:hanging="240"/>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WHEREAS, </w:t>
      </w: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the City Council of Hyde Park City, Utah desires to define Internal Accessory Dwelling Unit to be consistent with Utah State Code; and</w:t>
      </w:r>
    </w:p>
    <w:p w:rsidR="684B66A4" w:rsidP="795BEEAA" w:rsidRDefault="684B66A4" w14:paraId="04A30A20" w14:textId="1E5DC48B">
      <w:pPr>
        <w:spacing w:after="0" w:line="240" w:lineRule="auto"/>
        <w:ind w:left="240" w:hanging="240"/>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65D98249" w14:textId="08AF98CA">
      <w:pPr>
        <w:spacing w:after="0" w:line="240" w:lineRule="auto"/>
        <w:ind w:left="240" w:hanging="240"/>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WHEREAS, </w:t>
      </w: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City Council of Hyde Park City, Utah desires to define Detached Accessory Dwelling Unit to be consistent with Utah State Code; and </w:t>
      </w:r>
    </w:p>
    <w:p w:rsidR="684B66A4" w:rsidP="795BEEAA" w:rsidRDefault="684B66A4" w14:paraId="3547F356" w14:textId="1498D6F7">
      <w:pPr>
        <w:spacing w:after="0" w:line="240" w:lineRule="auto"/>
        <w:ind w:left="240" w:hanging="240"/>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1A4F25A8" w14:textId="14998B08">
      <w:pPr>
        <w:spacing w:before="0" w:beforeAutospacing="off" w:after="0" w:afterAutospacing="off" w:line="240" w:lineRule="auto"/>
        <w:ind w:left="240" w:right="0" w:hanging="24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WHEREAS, </w:t>
      </w: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the City Council of Hyde Park City, Utah desires to amend section 12 to define “Retail Sales Establishment.”</w:t>
      </w:r>
    </w:p>
    <w:p w:rsidR="684B66A4" w:rsidP="795BEEAA" w:rsidRDefault="684B66A4" w14:paraId="369BCB25" w14:textId="4545D4FA">
      <w:pPr>
        <w:spacing w:after="0" w:line="240" w:lineRule="auto"/>
        <w:ind w:left="240" w:hanging="240"/>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21CF7509" w14:textId="02D6D176">
      <w:pPr>
        <w:spacing w:after="0" w:line="240" w:lineRule="auto"/>
        <w:ind w:left="960" w:hanging="240"/>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84B66A4" w:rsidP="795BEEAA" w:rsidRDefault="684B66A4" w14:paraId="025E90F0" w14:textId="3057049E">
      <w:pPr>
        <w:spacing w:after="0" w:line="240" w:lineRule="auto"/>
        <w:ind w:left="240" w:hanging="240"/>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NOW, THEREFORE, </w:t>
      </w: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 it ordained by the city council of Hyde Park City, Utah, as follows: </w:t>
      </w:r>
    </w:p>
    <w:p w:rsidR="684B66A4" w:rsidP="795BEEAA" w:rsidRDefault="684B66A4" w14:paraId="34DF1870" w14:textId="61201B3B">
      <w:pPr>
        <w:spacing w:after="0" w:line="240" w:lineRule="auto"/>
        <w:ind w:left="960" w:hanging="240"/>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769D7FE5" w14:textId="26840125">
      <w:pPr>
        <w:spacing w:after="0" w:line="240" w:lineRule="auto"/>
        <w:ind w:left="960" w:hanging="240"/>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3A4258CA" w14:textId="59630FB9">
      <w:pPr>
        <w:pStyle w:val="ListParagraph"/>
        <w:numPr>
          <w:ilvl w:val="0"/>
          <w:numId w:val="14"/>
        </w:numPr>
        <w:spacing w:before="0" w:beforeAutospacing="off" w:after="0" w:afterAutospacing="off" w:line="240"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12.020.010: Addition of “or parcel” to the definition of Accessory Dwelling Unit.</w:t>
      </w:r>
    </w:p>
    <w:p w:rsidR="684B66A4" w:rsidP="795BEEAA" w:rsidRDefault="684B66A4" w14:paraId="7386FD89" w14:textId="436AFE76">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14CC94E0" w:rsidRDefault="684B66A4" w14:paraId="0243339A" w14:textId="3AFA9106">
      <w:pPr>
        <w:pStyle w:val="ListParagraph"/>
        <w:numPr>
          <w:ilvl w:val="0"/>
          <w:numId w:val="14"/>
        </w:numPr>
        <w:spacing w:before="0" w:beforeAutospacing="off" w:after="200" w:afterAutospacing="off" w:line="276"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4CC94E0" w:rsidR="14CC94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Replacement of the Internal Accessory Dwelling Unit definition with “An accessory dwelling unit created within a primary dwelling, within the footprint of the primary dwelling at the time the internal accessory dwelling unit is created, and for the purpose of offering long-term rental of 30 consecutive days or longer. (Utah Code Ann. § 10-21-101(16)).” </w:t>
      </w:r>
    </w:p>
    <w:p w:rsidR="684B66A4" w:rsidP="795BEEAA" w:rsidRDefault="684B66A4" w14:paraId="64854DE7" w14:textId="61CCCA44">
      <w:pPr>
        <w:pStyle w:val="ListParagraph"/>
        <w:spacing w:before="0" w:beforeAutospacing="off" w:after="200" w:afterAutospacing="off" w:line="276"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38EBADF0" w14:textId="4931BB40">
      <w:pPr>
        <w:pStyle w:val="ListParagraph"/>
        <w:numPr>
          <w:ilvl w:val="0"/>
          <w:numId w:val="14"/>
        </w:numPr>
        <w:spacing w:before="0" w:beforeAutospacing="off" w:after="200" w:afterAutospacing="off" w:line="276"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Replacement of the Detached Accessory Dwelling Unit definition with “An accessory dwelling unit that is not attached to or within a primary detached single-family dwelling and </w:t>
      </w: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located</w:t>
      </w: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same lot or parcel as the primary detached single-family dwelling. (Utah Code Ann. § 10-21-101(9)). A detached accessory dwelling unit is created for the purpose of offering long-term rental of 30 consecutive days or longer.”</w:t>
      </w:r>
    </w:p>
    <w:p w:rsidR="684B66A4" w:rsidP="795BEEAA" w:rsidRDefault="684B66A4" w14:paraId="3B8AA080" w14:textId="504ACF76">
      <w:pPr>
        <w:pStyle w:val="ListParagraph"/>
        <w:spacing w:before="0" w:beforeAutospacing="off" w:after="200" w:afterAutospacing="off" w:line="276"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42F3F43F" w14:textId="476FD823">
      <w:pPr>
        <w:pStyle w:val="ListParagraph"/>
        <w:numPr>
          <w:ilvl w:val="0"/>
          <w:numId w:val="14"/>
        </w:numPr>
        <w:spacing w:before="0" w:beforeAutospacing="off" w:after="200" w:afterAutospacing="off" w:line="276" w:lineRule="auto"/>
        <w:ind w:left="36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Addition of “</w:t>
      </w:r>
      <w:r w:rsidRPr="795BEEAA" w:rsidR="795BEEA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Retail Sales Establishment.</w:t>
      </w:r>
      <w:r w:rsidRPr="795BEEAA" w:rsidR="795BEEA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commercial establishment engaged in the sale of goods or merchandise to the general public for personal or household consumption, including, but not limited to, grocery, apparel, department, restaurant, electronic, office, appliance, sporting goods, building supplies, auto parts, and industrial equipment stores.”</w:t>
      </w:r>
    </w:p>
    <w:p w:rsidR="684B66A4" w:rsidP="795BEEAA" w:rsidRDefault="684B66A4" w14:paraId="339DAD72" w14:textId="0BAF4029">
      <w:pPr>
        <w:tabs>
          <w:tab w:val="left" w:leader="none" w:pos="720"/>
        </w:tabs>
        <w:ind w:left="360"/>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This ordinance shall take effect immediately upon publication or posting as required by law.</w:t>
      </w:r>
    </w:p>
    <w:p w:rsidR="684B66A4" w:rsidP="795BEEAA" w:rsidRDefault="684B66A4" w14:paraId="7FF65738" w14:textId="59E88E97">
      <w:pPr>
        <w:tabs>
          <w:tab w:val="left" w:leader="none" w:pos="720"/>
        </w:tabs>
        <w:ind w:left="360"/>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ADOPTED AND PASSED, by the HYDE PARK CITY COUNCIL this </w:t>
      </w:r>
      <w:r w:rsidRPr="795BEEAA" w:rsidR="795BEEAA">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US"/>
        </w:rPr>
        <w:t xml:space="preserve">     </w:t>
      </w: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 of June 2026.  </w:t>
      </w:r>
    </w:p>
    <w:p w:rsidR="684B66A4" w:rsidP="795BEEAA" w:rsidRDefault="684B66A4" w14:paraId="52B68060" w14:textId="14DC905A">
      <w:pPr>
        <w:tabs>
          <w:tab w:val="left" w:leader="none" w:pos="720"/>
        </w:tabs>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Ind w:w="105" w:type="dxa"/>
        <w:tblBorders>
          <w:top w:val="single" w:sz="6"/>
          <w:left w:val="single" w:sz="6"/>
          <w:bottom w:val="single" w:sz="6"/>
          <w:right w:val="single" w:sz="6"/>
        </w:tblBorders>
        <w:tblLook w:val="04A0" w:firstRow="1" w:lastRow="0" w:firstColumn="1" w:lastColumn="0" w:noHBand="0" w:noVBand="1"/>
      </w:tblPr>
      <w:tblGrid>
        <w:gridCol w:w="3885"/>
        <w:gridCol w:w="1260"/>
        <w:gridCol w:w="4020"/>
      </w:tblGrid>
      <w:tr w:rsidR="795BEEAA" w:rsidTr="795BEEAA" w14:paraId="06CC7C19">
        <w:trPr>
          <w:trHeight w:val="300"/>
        </w:trPr>
        <w:tc>
          <w:tcPr>
            <w:tcW w:w="3885" w:type="dxa"/>
            <w:tcBorders>
              <w:top w:val="single" w:sz="6"/>
              <w:left w:val="single" w:sz="6"/>
            </w:tcBorders>
            <w:tcMar>
              <w:left w:w="105" w:type="dxa"/>
              <w:right w:w="105" w:type="dxa"/>
            </w:tcMar>
            <w:vAlign w:val="top"/>
          </w:tcPr>
          <w:p w:rsidR="795BEEAA" w:rsidP="795BEEAA" w:rsidRDefault="795BEEAA" w14:paraId="2EFCEA71" w14:textId="6EC59725">
            <w:pPr>
              <w:rPr>
                <w:rFonts w:ascii="Calibri" w:hAnsi="Calibri" w:eastAsia="Calibri" w:cs="Calibri"/>
                <w:b w:val="0"/>
                <w:bCs w:val="0"/>
                <w:i w:val="0"/>
                <w:iCs w:val="0"/>
                <w:sz w:val="22"/>
                <w:szCs w:val="22"/>
                <w:lang w:val="en-US"/>
              </w:rPr>
            </w:pPr>
          </w:p>
        </w:tc>
        <w:tc>
          <w:tcPr>
            <w:tcW w:w="1260" w:type="dxa"/>
            <w:tcBorders>
              <w:top w:val="single" w:sz="6"/>
            </w:tcBorders>
            <w:tcMar>
              <w:left w:w="105" w:type="dxa"/>
              <w:right w:w="105" w:type="dxa"/>
            </w:tcMar>
            <w:vAlign w:val="top"/>
          </w:tcPr>
          <w:p w:rsidR="795BEEAA" w:rsidP="795BEEAA" w:rsidRDefault="795BEEAA" w14:paraId="6595580A" w14:textId="112FE16E">
            <w:pPr>
              <w:rPr>
                <w:rFonts w:ascii="Calibri" w:hAnsi="Calibri" w:eastAsia="Calibri" w:cs="Calibri"/>
                <w:b w:val="0"/>
                <w:bCs w:val="0"/>
                <w:i w:val="0"/>
                <w:iCs w:val="0"/>
                <w:sz w:val="22"/>
                <w:szCs w:val="22"/>
                <w:lang w:val="en-US"/>
              </w:rPr>
            </w:pPr>
          </w:p>
        </w:tc>
        <w:tc>
          <w:tcPr>
            <w:tcW w:w="4020" w:type="dxa"/>
            <w:tcBorders>
              <w:top w:val="single" w:sz="6"/>
              <w:right w:val="single" w:sz="6"/>
            </w:tcBorders>
            <w:tcMar>
              <w:left w:w="105" w:type="dxa"/>
              <w:right w:w="105" w:type="dxa"/>
            </w:tcMar>
            <w:vAlign w:val="top"/>
          </w:tcPr>
          <w:p w:rsidR="795BEEAA" w:rsidP="795BEEAA" w:rsidRDefault="795BEEAA" w14:paraId="0E457225" w14:textId="78952A26">
            <w:pPr>
              <w:ind w:left="-36"/>
              <w:rPr>
                <w:rFonts w:ascii="Calibri" w:hAnsi="Calibri" w:eastAsia="Calibri" w:cs="Calibri"/>
                <w:b w:val="0"/>
                <w:bCs w:val="0"/>
                <w:i w:val="0"/>
                <w:iCs w:val="0"/>
                <w:sz w:val="22"/>
                <w:szCs w:val="22"/>
                <w:lang w:val="en-US"/>
              </w:rPr>
            </w:pPr>
            <w:r w:rsidRPr="795BEEAA" w:rsidR="795BEEAA">
              <w:rPr>
                <w:rFonts w:ascii="Calibri" w:hAnsi="Calibri" w:eastAsia="Calibri" w:cs="Calibri"/>
                <w:b w:val="0"/>
                <w:bCs w:val="0"/>
                <w:i w:val="0"/>
                <w:iCs w:val="0"/>
                <w:sz w:val="22"/>
                <w:szCs w:val="22"/>
                <w:lang w:val="en-US"/>
              </w:rPr>
              <w:t>HYDE PARK CITY</w:t>
            </w:r>
          </w:p>
        </w:tc>
      </w:tr>
      <w:tr w:rsidR="795BEEAA" w:rsidTr="795BEEAA" w14:paraId="0C7059B1">
        <w:trPr>
          <w:trHeight w:val="300"/>
        </w:trPr>
        <w:tc>
          <w:tcPr>
            <w:tcW w:w="3885" w:type="dxa"/>
            <w:tcBorders>
              <w:left w:val="single" w:sz="6"/>
            </w:tcBorders>
            <w:tcMar>
              <w:left w:w="105" w:type="dxa"/>
              <w:right w:w="105" w:type="dxa"/>
            </w:tcMar>
            <w:vAlign w:val="top"/>
          </w:tcPr>
          <w:p w:rsidR="795BEEAA" w:rsidP="795BEEAA" w:rsidRDefault="795BEEAA" w14:paraId="15213011" w14:textId="3943874A">
            <w:pPr>
              <w:ind w:left="-108"/>
              <w:rPr>
                <w:rFonts w:ascii="Calibri" w:hAnsi="Calibri" w:eastAsia="Calibri" w:cs="Calibri"/>
                <w:b w:val="0"/>
                <w:bCs w:val="0"/>
                <w:i w:val="0"/>
                <w:iCs w:val="0"/>
                <w:sz w:val="22"/>
                <w:szCs w:val="22"/>
                <w:lang w:val="en-US"/>
              </w:rPr>
            </w:pPr>
            <w:r w:rsidRPr="795BEEAA" w:rsidR="795BEEAA">
              <w:rPr>
                <w:rFonts w:ascii="Calibri" w:hAnsi="Calibri" w:eastAsia="Calibri" w:cs="Calibri"/>
                <w:b w:val="0"/>
                <w:bCs w:val="0"/>
                <w:i w:val="0"/>
                <w:iCs w:val="0"/>
                <w:sz w:val="22"/>
                <w:szCs w:val="22"/>
                <w:lang w:val="en-US"/>
              </w:rPr>
              <w:t>ATTEST:</w:t>
            </w:r>
          </w:p>
          <w:p w:rsidR="795BEEAA" w:rsidP="795BEEAA" w:rsidRDefault="795BEEAA" w14:paraId="6BAFBC0F" w14:textId="1B3C96C4">
            <w:pPr>
              <w:ind w:left="-108"/>
              <w:rPr>
                <w:rFonts w:ascii="Calibri" w:hAnsi="Calibri" w:eastAsia="Calibri" w:cs="Calibri"/>
                <w:b w:val="0"/>
                <w:bCs w:val="0"/>
                <w:i w:val="0"/>
                <w:iCs w:val="0"/>
                <w:sz w:val="22"/>
                <w:szCs w:val="22"/>
                <w:lang w:val="en-US"/>
              </w:rPr>
            </w:pPr>
          </w:p>
        </w:tc>
        <w:tc>
          <w:tcPr>
            <w:tcW w:w="1260" w:type="dxa"/>
            <w:tcMar>
              <w:left w:w="105" w:type="dxa"/>
              <w:right w:w="105" w:type="dxa"/>
            </w:tcMar>
            <w:vAlign w:val="bottom"/>
          </w:tcPr>
          <w:p w:rsidR="795BEEAA" w:rsidP="795BEEAA" w:rsidRDefault="795BEEAA" w14:paraId="1C0DE3D7" w14:textId="2ACC7341">
            <w:pPr>
              <w:rPr>
                <w:rFonts w:ascii="Calibri" w:hAnsi="Calibri" w:eastAsia="Calibri" w:cs="Calibri"/>
                <w:b w:val="0"/>
                <w:bCs w:val="0"/>
                <w:i w:val="0"/>
                <w:iCs w:val="0"/>
                <w:sz w:val="22"/>
                <w:szCs w:val="22"/>
                <w:lang w:val="en-US"/>
              </w:rPr>
            </w:pPr>
            <w:r w:rsidRPr="795BEEAA" w:rsidR="795BEEAA">
              <w:rPr>
                <w:rFonts w:ascii="Calibri" w:hAnsi="Calibri" w:eastAsia="Calibri" w:cs="Calibri"/>
                <w:b w:val="0"/>
                <w:bCs w:val="0"/>
                <w:i w:val="0"/>
                <w:iCs w:val="0"/>
                <w:sz w:val="22"/>
                <w:szCs w:val="22"/>
                <w:lang w:val="en-US"/>
              </w:rPr>
              <w:t>By:</w:t>
            </w:r>
          </w:p>
        </w:tc>
        <w:tc>
          <w:tcPr>
            <w:tcW w:w="4020" w:type="dxa"/>
            <w:tcBorders>
              <w:bottom w:val="single" w:sz="6"/>
              <w:right w:val="single" w:sz="6"/>
            </w:tcBorders>
            <w:tcMar>
              <w:left w:w="105" w:type="dxa"/>
              <w:right w:w="105" w:type="dxa"/>
            </w:tcMar>
            <w:vAlign w:val="top"/>
          </w:tcPr>
          <w:p w:rsidR="795BEEAA" w:rsidP="795BEEAA" w:rsidRDefault="795BEEAA" w14:paraId="56D6925E" w14:textId="4FCC994A">
            <w:pPr>
              <w:ind w:left="-36"/>
              <w:rPr>
                <w:rFonts w:ascii="Calibri" w:hAnsi="Calibri" w:eastAsia="Calibri" w:cs="Calibri"/>
                <w:b w:val="0"/>
                <w:bCs w:val="0"/>
                <w:i w:val="0"/>
                <w:iCs w:val="0"/>
                <w:sz w:val="22"/>
                <w:szCs w:val="22"/>
                <w:lang w:val="en-US"/>
              </w:rPr>
            </w:pPr>
          </w:p>
          <w:p w:rsidR="795BEEAA" w:rsidP="795BEEAA" w:rsidRDefault="795BEEAA" w14:paraId="5789A1DE" w14:textId="15E7C4EE">
            <w:pPr>
              <w:ind w:left="-36"/>
              <w:rPr>
                <w:rFonts w:ascii="Calibri" w:hAnsi="Calibri" w:eastAsia="Calibri" w:cs="Calibri"/>
                <w:b w:val="0"/>
                <w:bCs w:val="0"/>
                <w:i w:val="0"/>
                <w:iCs w:val="0"/>
                <w:sz w:val="22"/>
                <w:szCs w:val="22"/>
                <w:lang w:val="en-US"/>
              </w:rPr>
            </w:pPr>
          </w:p>
        </w:tc>
      </w:tr>
      <w:tr w:rsidR="795BEEAA" w:rsidTr="795BEEAA" w14:paraId="1C0EB683">
        <w:trPr>
          <w:trHeight w:val="300"/>
        </w:trPr>
        <w:tc>
          <w:tcPr>
            <w:tcW w:w="3885" w:type="dxa"/>
            <w:tcBorders>
              <w:left w:val="single" w:sz="6"/>
              <w:bottom w:val="single" w:sz="6"/>
            </w:tcBorders>
            <w:tcMar>
              <w:left w:w="105" w:type="dxa"/>
              <w:right w:w="105" w:type="dxa"/>
            </w:tcMar>
            <w:vAlign w:val="top"/>
          </w:tcPr>
          <w:p w:rsidR="795BEEAA" w:rsidP="795BEEAA" w:rsidRDefault="795BEEAA" w14:paraId="654C5B24" w14:textId="4B49C61B">
            <w:pPr>
              <w:ind w:left="-108"/>
              <w:rPr>
                <w:rFonts w:ascii="Calibri" w:hAnsi="Calibri" w:eastAsia="Calibri" w:cs="Calibri"/>
                <w:b w:val="0"/>
                <w:bCs w:val="0"/>
                <w:i w:val="0"/>
                <w:iCs w:val="0"/>
                <w:sz w:val="22"/>
                <w:szCs w:val="22"/>
                <w:lang w:val="en-US"/>
              </w:rPr>
            </w:pPr>
          </w:p>
        </w:tc>
        <w:tc>
          <w:tcPr>
            <w:tcW w:w="1260" w:type="dxa"/>
            <w:tcBorders>
              <w:bottom w:val="single" w:sz="6"/>
            </w:tcBorders>
            <w:tcMar>
              <w:left w:w="105" w:type="dxa"/>
              <w:right w:w="105" w:type="dxa"/>
            </w:tcMar>
            <w:vAlign w:val="top"/>
          </w:tcPr>
          <w:p w:rsidR="795BEEAA" w:rsidP="795BEEAA" w:rsidRDefault="795BEEAA" w14:paraId="42A7B864" w14:textId="51145BEA">
            <w:pPr>
              <w:rPr>
                <w:rFonts w:ascii="Calibri" w:hAnsi="Calibri" w:eastAsia="Calibri" w:cs="Calibri"/>
                <w:b w:val="0"/>
                <w:bCs w:val="0"/>
                <w:i w:val="0"/>
                <w:iCs w:val="0"/>
                <w:sz w:val="22"/>
                <w:szCs w:val="22"/>
                <w:lang w:val="en-US"/>
              </w:rPr>
            </w:pPr>
          </w:p>
        </w:tc>
        <w:tc>
          <w:tcPr>
            <w:tcW w:w="4020" w:type="dxa"/>
            <w:tcBorders>
              <w:top w:val="single" w:sz="6"/>
              <w:bottom w:val="single" w:sz="6"/>
              <w:right w:val="single" w:sz="6"/>
            </w:tcBorders>
            <w:tcMar>
              <w:left w:w="105" w:type="dxa"/>
              <w:right w:w="105" w:type="dxa"/>
            </w:tcMar>
            <w:vAlign w:val="top"/>
          </w:tcPr>
          <w:p w:rsidR="795BEEAA" w:rsidP="795BEEAA" w:rsidRDefault="795BEEAA" w14:paraId="7E50061B" w14:textId="42A8A93F">
            <w:pPr>
              <w:ind w:left="-36"/>
              <w:rPr>
                <w:rFonts w:ascii="Calibri" w:hAnsi="Calibri" w:eastAsia="Calibri" w:cs="Calibri"/>
                <w:b w:val="0"/>
                <w:bCs w:val="0"/>
                <w:i w:val="0"/>
                <w:iCs w:val="0"/>
                <w:sz w:val="22"/>
                <w:szCs w:val="22"/>
                <w:lang w:val="en-US"/>
              </w:rPr>
            </w:pPr>
            <w:r w:rsidRPr="795BEEAA" w:rsidR="795BEEAA">
              <w:rPr>
                <w:rFonts w:ascii="Calibri" w:hAnsi="Calibri" w:eastAsia="Calibri" w:cs="Calibri"/>
                <w:b w:val="0"/>
                <w:bCs w:val="0"/>
                <w:i w:val="0"/>
                <w:iCs w:val="0"/>
                <w:sz w:val="22"/>
                <w:szCs w:val="22"/>
                <w:lang w:val="en-US"/>
              </w:rPr>
              <w:t>Mayor</w:t>
            </w:r>
          </w:p>
        </w:tc>
      </w:tr>
    </w:tbl>
    <w:p w:rsidR="684B66A4" w:rsidP="795BEEAA" w:rsidRDefault="684B66A4" w14:paraId="4BDF9F1B" w14:textId="7019D411">
      <w:pPr>
        <w:bidi w:val="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2"/>
          <w:szCs w:val="22"/>
          <w:lang w:val="en-US"/>
        </w:rPr>
        <w:t>Recorder</w:t>
      </w:r>
    </w:p>
    <w:p w:rsidR="684B66A4" w:rsidP="795BEEAA" w:rsidRDefault="684B66A4" w14:paraId="0F4796F2" w14:textId="08EE54C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684B66A4" w:rsidP="795BEEAA" w:rsidRDefault="684B66A4" w14:paraId="1419F793" w14:textId="2F6A01B3">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65D47F76" w14:textId="539F6BA8">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6829DAC2" w14:textId="6E235CAF">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7CFCF5C8" w14:textId="402F67F5">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1A354B66" w14:textId="4BA1708B">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6E55B694" w14:textId="2CC29C5A">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12376227" w14:textId="283259C9">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0E21729D" w14:textId="3B3450DA">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7482D01D" w14:textId="0D2EBC7C">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727A151B" w14:textId="63C61996">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4A9A6F49" w14:textId="5B88B60A">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75F99185" w14:textId="19A9DE7B">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3EE14324" w14:textId="7F6740CB">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604CA6AA" w14:textId="23B61EB0">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38AAB2D8" w14:textId="0FA02819">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54A4A48F" w14:textId="49F3135C">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3AE5AFC7" w14:textId="3E9E13E9">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04522ED1" w14:textId="1041A4F1">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16162A67" w14:textId="7C71ECA5">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791A8A03" w14:textId="5BA08ECE">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76F3F3E9" w14:textId="52045FD3">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57A24C0A" w14:textId="032140B2">
      <w:pPr>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Exhibit A</w:t>
      </w:r>
    </w:p>
    <w:p w:rsidR="684B66A4" w:rsidP="795BEEAA" w:rsidRDefault="684B66A4" w14:paraId="231E27BF" w14:textId="0D995554">
      <w:pPr>
        <w:pStyle w:val="Heading4"/>
        <w:keepNext w:val="1"/>
        <w:keepLines w:val="1"/>
        <w:bidi w:val="0"/>
        <w:spacing w:before="80" w:after="40"/>
        <w:rPr>
          <w:rFonts w:ascii="Calibri" w:hAnsi="Calibri" w:eastAsia="Calibri" w:cs="Calibri"/>
          <w:b w:val="0"/>
          <w:bCs w:val="0"/>
          <w:i w:val="1"/>
          <w:iCs w:val="1"/>
          <w:caps w:val="0"/>
          <w:smallCaps w:val="0"/>
          <w:noProof w:val="0"/>
          <w:color w:val="365F91" w:themeColor="accent1" w:themeTint="FF" w:themeShade="BF"/>
          <w:sz w:val="24"/>
          <w:szCs w:val="24"/>
          <w:lang w:val="en-US"/>
        </w:rPr>
      </w:pPr>
      <w:r w:rsidRPr="795BEEAA" w:rsidR="795BEEAA">
        <w:rPr>
          <w:rFonts w:ascii="Calibri" w:hAnsi="Calibri" w:eastAsia="Calibri" w:cs="Calibri"/>
          <w:b w:val="0"/>
          <w:bCs w:val="0"/>
          <w:i w:val="1"/>
          <w:iCs w:val="1"/>
          <w:caps w:val="0"/>
          <w:smallCaps w:val="0"/>
          <w:noProof w:val="0"/>
          <w:color w:val="365F91" w:themeColor="accent1" w:themeTint="FF" w:themeShade="BF"/>
          <w:sz w:val="24"/>
          <w:szCs w:val="24"/>
          <w:lang w:val="en-US"/>
        </w:rPr>
        <w:t>12.20.010 Definitions</w:t>
      </w:r>
    </w:p>
    <w:p w:rsidR="684B66A4" w:rsidP="795BEEAA" w:rsidRDefault="684B66A4" w14:paraId="37687B2A" w14:textId="0638C2F4">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The words and terms defined in this Chapter shall have the meanings indicated. Words used in the present tense include the future and words in the singular number include the plural and words in the plural include the singular. Words not included herein but defined elsewhere in the City ordinances shall be construed as termed therein. The word “shall” is mandatory.</w:t>
      </w:r>
    </w:p>
    <w:p w:rsidR="684B66A4" w:rsidP="795BEEAA" w:rsidRDefault="684B66A4" w14:paraId="04CBF462" w14:textId="13FCAF1D">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Access Strip.</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strip of land which is part of a lot and provides access to the part thereof used or to be used for buildings or structures.</w:t>
      </w:r>
    </w:p>
    <w:p w:rsidR="684B66A4" w:rsidP="795BEEAA" w:rsidRDefault="684B66A4" w14:paraId="07F32225" w14:textId="68C8C7DB">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Accessory Dwelling Unit. </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A habitable living unit added to, created within or detached from a primary single-family dwelling and contained on one (1) lot.</w:t>
      </w:r>
    </w:p>
    <w:p w:rsidR="684B66A4" w:rsidP="795BEEAA" w:rsidRDefault="684B66A4" w14:paraId="4D8350AE" w14:textId="5718541A">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684B66A4" w:rsidP="795BEEAA" w:rsidRDefault="684B66A4" w14:paraId="7A38FB4D" w14:textId="69A11F01">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Dwelling Unit (IADU), Internal Accessory. </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A second dwelling unit that is part of the primary dwelling on a parcel (i.e., “mother-in-law” apartment).</w:t>
      </w:r>
    </w:p>
    <w:p w:rsidR="684B66A4" w:rsidP="795BEEAA" w:rsidRDefault="684B66A4" w14:paraId="37381507" w14:textId="47B80C64">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Dwelling Unit (DADU), Detached Accessory. </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A second dwelling unit that is a self-contained dwelling unit located on an owner-occupied lot or parcel. It is in a detached building that maintains complete and independent living facilities for one or more persons, including permanent provisions for living, sleeping, eating, cooking, and sanitation, including a separate kitchen on a year-round basis. DADUs may be part of an accessory building.</w:t>
      </w:r>
    </w:p>
    <w:p w:rsidR="684B66A4" w:rsidP="795BEEAA" w:rsidRDefault="684B66A4" w14:paraId="6BB8D177" w14:textId="3F355E0F">
      <w:pPr>
        <w:bidi w:val="0"/>
        <w:rPr>
          <w:rFonts w:ascii="Calibri" w:hAnsi="Calibri" w:eastAsia="Calibri" w:cs="Calibri"/>
          <w:b w:val="0"/>
          <w:bCs w:val="0"/>
          <w:i w:val="0"/>
          <w:iCs w:val="0"/>
          <w:caps w:val="0"/>
          <w:smallCaps w:val="0"/>
          <w:noProof w:val="0"/>
          <w:color w:val="515967"/>
          <w:sz w:val="24"/>
          <w:szCs w:val="24"/>
          <w:lang w:val="en-US"/>
        </w:rPr>
      </w:pPr>
    </w:p>
    <w:p w:rsidR="684B66A4" w:rsidP="795BEEAA" w:rsidRDefault="684B66A4" w14:paraId="5936F752" w14:textId="6BCFB113">
      <w:p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5028A864" w14:textId="38F2FF4E">
      <w:p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30B5A88B" w14:textId="6C77BB1D">
      <w:p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04433E75" w14:textId="6192F2D8">
      <w:pPr>
        <w:bidi w:val="0"/>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5DF44093" w14:textId="20B5A5BA">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61913D35" w14:textId="1F0CE342">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7048DA20" w14:textId="32898557">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2EDDC640" w14:textId="0DDFB0C1">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795BEEAA" w:rsidRDefault="684B66A4" w14:paraId="2E4D4DCE" w14:textId="54F556F6">
      <w:pPr>
        <w:pStyle w:val="Heading4"/>
        <w:keepNext w:val="1"/>
        <w:keepLines w:val="1"/>
        <w:bidi w:val="0"/>
        <w:spacing w:before="80" w:beforeAutospacing="off" w:after="40" w:afterAutospacing="off" w:line="279" w:lineRule="auto"/>
        <w:ind w:left="0" w:right="0"/>
        <w:jc w:val="left"/>
        <w:rPr>
          <w:rFonts w:ascii="Calibri" w:hAnsi="Calibri" w:eastAsia="Calibri" w:cs="Calibri"/>
          <w:b w:val="0"/>
          <w:bCs w:val="0"/>
          <w:i w:val="1"/>
          <w:iCs w:val="1"/>
          <w:caps w:val="0"/>
          <w:smallCaps w:val="0"/>
          <w:noProof w:val="0"/>
          <w:color w:val="auto"/>
          <w:sz w:val="24"/>
          <w:szCs w:val="24"/>
          <w:lang w:val="en-US"/>
        </w:rPr>
      </w:pPr>
      <w:r w:rsidRPr="795BEEAA" w:rsidR="795BEEAA">
        <w:rPr>
          <w:rFonts w:ascii="Calibri" w:hAnsi="Calibri" w:eastAsia="Calibri" w:cs="Calibri"/>
          <w:b w:val="1"/>
          <w:bCs w:val="1"/>
          <w:i w:val="0"/>
          <w:iCs w:val="0"/>
          <w:caps w:val="0"/>
          <w:smallCaps w:val="0"/>
          <w:noProof w:val="0"/>
          <w:color w:val="auto"/>
          <w:sz w:val="24"/>
          <w:szCs w:val="24"/>
          <w:lang w:val="en-US"/>
        </w:rPr>
        <w:t>Exhibit B</w:t>
      </w:r>
    </w:p>
    <w:p w:rsidR="684B66A4" w:rsidP="795BEEAA" w:rsidRDefault="684B66A4" w14:paraId="2C8FFE2E" w14:textId="79C1FC44">
      <w:pPr>
        <w:pStyle w:val="Heading4"/>
        <w:keepNext w:val="1"/>
        <w:keepLines w:val="1"/>
        <w:bidi w:val="0"/>
        <w:spacing w:before="80" w:after="40"/>
        <w:rPr>
          <w:rFonts w:ascii="Calibri" w:hAnsi="Calibri" w:eastAsia="Calibri" w:cs="Calibri"/>
          <w:b w:val="0"/>
          <w:bCs w:val="0"/>
          <w:i w:val="1"/>
          <w:iCs w:val="1"/>
          <w:caps w:val="0"/>
          <w:smallCaps w:val="0"/>
          <w:noProof w:val="0"/>
          <w:color w:val="365F91" w:themeColor="accent1" w:themeTint="FF" w:themeShade="BF"/>
          <w:sz w:val="24"/>
          <w:szCs w:val="24"/>
          <w:lang w:val="en-US"/>
        </w:rPr>
      </w:pPr>
      <w:r w:rsidRPr="795BEEAA" w:rsidR="795BEEAA">
        <w:rPr>
          <w:rFonts w:ascii="Calibri" w:hAnsi="Calibri" w:eastAsia="Calibri" w:cs="Calibri"/>
          <w:b w:val="0"/>
          <w:bCs w:val="0"/>
          <w:i w:val="1"/>
          <w:iCs w:val="1"/>
          <w:caps w:val="0"/>
          <w:smallCaps w:val="0"/>
          <w:noProof w:val="0"/>
          <w:color w:val="365F91" w:themeColor="accent1" w:themeTint="FF" w:themeShade="BF"/>
          <w:sz w:val="24"/>
          <w:szCs w:val="24"/>
          <w:lang w:val="en-US"/>
        </w:rPr>
        <w:t>12.20.010 Definitions</w:t>
      </w:r>
    </w:p>
    <w:p w:rsidR="684B66A4" w:rsidP="795BEEAA" w:rsidRDefault="684B66A4" w14:paraId="28677BEC" w14:textId="65BA065F">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The words and terms defined in this Chapter shall have the meanings indicated. Words used in the present tense include the future and words in the singular number include the plural and words in the plural include the singular. Words not included herein but defined elsewhere in the City ordinances shall be construed as termed therein. The word “shall” is mandatory.</w:t>
      </w:r>
    </w:p>
    <w:p w:rsidR="684B66A4" w:rsidP="795BEEAA" w:rsidRDefault="684B66A4" w14:paraId="0F2D8075" w14:textId="0CEA4A4C">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Access Strip.</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strip of land which is part of a lot and provides access to the part thereof used or to be used for buildings or structures.</w:t>
      </w:r>
    </w:p>
    <w:p w:rsidR="684B66A4" w:rsidP="795BEEAA" w:rsidRDefault="684B66A4" w14:paraId="4AF76488" w14:textId="2D596975">
      <w:pPr>
        <w:bidi w:val="0"/>
        <w:rPr>
          <w:rFonts w:ascii="Calibri" w:hAnsi="Calibri" w:eastAsia="Calibri" w:cs="Calibri"/>
          <w:b w:val="0"/>
          <w:bCs w:val="0"/>
          <w:i w:val="0"/>
          <w:iCs w:val="0"/>
          <w:caps w:val="0"/>
          <w:smallCaps w:val="0"/>
          <w:noProof w:val="0"/>
          <w:color w:val="00B050"/>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Accessory Dwelling Unit. </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habitable living unit added to, created within or detached from a primary single-family dwelling and contained on one (1) lot </w:t>
      </w:r>
      <w:r w:rsidRPr="795BEEAA" w:rsidR="795BEEAA">
        <w:rPr>
          <w:rFonts w:ascii="Calibri" w:hAnsi="Calibri" w:eastAsia="Calibri" w:cs="Calibri"/>
          <w:b w:val="0"/>
          <w:bCs w:val="0"/>
          <w:i w:val="0"/>
          <w:iCs w:val="0"/>
          <w:caps w:val="0"/>
          <w:smallCaps w:val="0"/>
          <w:strike w:val="0"/>
          <w:dstrike w:val="0"/>
          <w:noProof w:val="0"/>
          <w:color w:val="00B050"/>
          <w:sz w:val="24"/>
          <w:szCs w:val="24"/>
          <w:u w:val="single"/>
          <w:lang w:val="en-US"/>
        </w:rPr>
        <w:t xml:space="preserve">or parcel. </w:t>
      </w:r>
    </w:p>
    <w:p w:rsidR="684B66A4" w:rsidP="795BEEAA" w:rsidRDefault="684B66A4" w14:paraId="6C095FA5" w14:textId="09379D6E">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684B66A4" w:rsidP="14CC94E0" w:rsidRDefault="684B66A4" w14:paraId="23EAC924" w14:textId="6F833BF2">
      <w:pPr>
        <w:bidi w:val="0"/>
        <w:rPr>
          <w:rFonts w:ascii="Calibri" w:hAnsi="Calibri" w:eastAsia="Calibri" w:cs="Calibri"/>
          <w:b w:val="0"/>
          <w:bCs w:val="0"/>
          <w:i w:val="0"/>
          <w:iCs w:val="0"/>
          <w:caps w:val="0"/>
          <w:smallCaps w:val="0"/>
          <w:noProof w:val="0"/>
          <w:color w:val="00B050"/>
          <w:sz w:val="24"/>
          <w:szCs w:val="24"/>
          <w:lang w:val="en-US"/>
        </w:rPr>
      </w:pPr>
      <w:r w:rsidRPr="14CC94E0" w:rsidR="14CC94E0">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Dwelling Unit (IADU), Internal Accessory. </w:t>
      </w:r>
      <w:r w:rsidRPr="14CC94E0" w:rsidR="14CC94E0">
        <w:rPr>
          <w:rStyle w:val="RedStrikethroughChar"/>
          <w:rFonts w:ascii="Calibri" w:hAnsi="Calibri" w:eastAsia="Calibri" w:cs="Calibri"/>
          <w:b w:val="0"/>
          <w:bCs w:val="0"/>
          <w:i w:val="0"/>
          <w:iCs w:val="0"/>
          <w:caps w:val="0"/>
          <w:smallCaps w:val="0"/>
          <w:strike w:val="1"/>
          <w:noProof w:val="0"/>
          <w:color w:val="FF0000"/>
          <w:sz w:val="24"/>
          <w:szCs w:val="24"/>
          <w:u w:val="none"/>
          <w:lang w:val="en-US"/>
        </w:rPr>
        <w:t>A second dwelling unit that is part of the primary dwelling on a parcel (i.e., “mother-in-law” apartment).</w:t>
      </w:r>
      <w:r w:rsidRPr="14CC94E0" w:rsidR="14CC94E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4CC94E0" w:rsidR="14CC94E0">
        <w:rPr>
          <w:rStyle w:val="RedStrikethroughChar"/>
          <w:rFonts w:ascii="Calibri" w:hAnsi="Calibri" w:eastAsia="Calibri" w:cs="Calibri"/>
          <w:b w:val="0"/>
          <w:bCs w:val="0"/>
          <w:i w:val="0"/>
          <w:iCs w:val="0"/>
          <w:caps w:val="0"/>
          <w:smallCaps w:val="0"/>
          <w:strike w:val="0"/>
          <w:dstrike w:val="0"/>
          <w:noProof w:val="0"/>
          <w:color w:val="00B050"/>
          <w:sz w:val="24"/>
          <w:szCs w:val="24"/>
          <w:u w:val="single"/>
          <w:lang w:val="en-US"/>
        </w:rPr>
        <w:t xml:space="preserve">An accessory dwelling unit created within a primary dwelling, </w:t>
      </w:r>
      <w:r w:rsidRPr="14CC94E0" w:rsidR="14CC94E0">
        <w:rPr>
          <w:rFonts w:ascii="Calibri" w:hAnsi="Calibri" w:eastAsia="Calibri" w:cs="Calibri"/>
          <w:b w:val="0"/>
          <w:bCs w:val="0"/>
          <w:i w:val="0"/>
          <w:iCs w:val="0"/>
          <w:caps w:val="0"/>
          <w:smallCaps w:val="0"/>
          <w:strike w:val="0"/>
          <w:dstrike w:val="0"/>
          <w:noProof w:val="0"/>
          <w:color w:val="00B050"/>
          <w:sz w:val="24"/>
          <w:szCs w:val="24"/>
          <w:u w:val="single"/>
          <w:lang w:val="en-US"/>
        </w:rPr>
        <w:t xml:space="preserve">within the footprint of the primary dwelling at the time the internal accessory dwelling unit is created, </w:t>
      </w:r>
      <w:r w:rsidRPr="14CC94E0" w:rsidR="14CC94E0">
        <w:rPr>
          <w:rStyle w:val="RedStrikethroughChar"/>
          <w:rFonts w:ascii="Calibri" w:hAnsi="Calibri" w:eastAsia="Calibri" w:cs="Calibri"/>
          <w:b w:val="0"/>
          <w:bCs w:val="0"/>
          <w:i w:val="0"/>
          <w:iCs w:val="0"/>
          <w:caps w:val="0"/>
          <w:smallCaps w:val="0"/>
          <w:strike w:val="0"/>
          <w:dstrike w:val="0"/>
          <w:noProof w:val="0"/>
          <w:color w:val="00B050"/>
          <w:sz w:val="24"/>
          <w:szCs w:val="24"/>
          <w:u w:val="single"/>
          <w:lang w:val="en-US"/>
        </w:rPr>
        <w:t xml:space="preserve">and for the purpose of offering long-term rental of 30 consecutive days or longer. (Utah Code Ann. </w:t>
      </w:r>
      <w:r w:rsidRPr="14CC94E0" w:rsidR="14CC94E0">
        <w:rPr>
          <w:rFonts w:ascii="Calibri" w:hAnsi="Calibri" w:eastAsia="Calibri" w:cs="Calibri"/>
          <w:b w:val="0"/>
          <w:bCs w:val="0"/>
          <w:i w:val="0"/>
          <w:iCs w:val="0"/>
          <w:caps w:val="0"/>
          <w:smallCaps w:val="0"/>
          <w:strike w:val="0"/>
          <w:dstrike w:val="0"/>
          <w:noProof w:val="0"/>
          <w:color w:val="00B050"/>
          <w:sz w:val="24"/>
          <w:szCs w:val="24"/>
          <w:u w:val="single"/>
          <w:lang w:val="en-US"/>
        </w:rPr>
        <w:t>§ 10-21-101(16)).</w:t>
      </w:r>
    </w:p>
    <w:p w:rsidR="684B66A4" w:rsidP="795BEEAA" w:rsidRDefault="684B66A4" w14:paraId="22992930" w14:textId="6B66C708">
      <w:pPr>
        <w:bidi w:val="0"/>
        <w:rPr>
          <w:rFonts w:ascii="Calibri" w:hAnsi="Calibri" w:eastAsia="Calibri" w:cs="Calibri"/>
          <w:b w:val="0"/>
          <w:bCs w:val="0"/>
          <w:i w:val="0"/>
          <w:iCs w:val="0"/>
          <w:caps w:val="0"/>
          <w:smallCaps w:val="0"/>
          <w:noProof w:val="0"/>
          <w:color w:val="00B050"/>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Dwelling Unit (DADU), Detached Accessory. </w:t>
      </w:r>
      <w:r w:rsidRPr="795BEEAA" w:rsidR="795BEEAA">
        <w:rPr>
          <w:rStyle w:val="RedStrikethroughChar"/>
          <w:rFonts w:ascii="Calibri" w:hAnsi="Calibri" w:eastAsia="Calibri" w:cs="Calibri"/>
          <w:b w:val="0"/>
          <w:bCs w:val="0"/>
          <w:i w:val="0"/>
          <w:iCs w:val="0"/>
          <w:caps w:val="0"/>
          <w:smallCaps w:val="0"/>
          <w:strike w:val="1"/>
          <w:noProof w:val="0"/>
          <w:color w:val="FF0000"/>
          <w:sz w:val="24"/>
          <w:szCs w:val="24"/>
          <w:u w:val="none"/>
          <w:lang w:val="en-US"/>
        </w:rPr>
        <w:t>A second dwelling unit that is a self-contained dwelling unit located</w:t>
      </w:r>
      <w:r w:rsidRPr="795BEEAA" w:rsidR="795BEEAA">
        <w:rPr>
          <w:rFonts w:ascii="Calibri" w:hAnsi="Calibri" w:eastAsia="Calibri" w:cs="Calibri"/>
          <w:b w:val="0"/>
          <w:bCs w:val="0"/>
          <w:i w:val="0"/>
          <w:iCs w:val="0"/>
          <w:caps w:val="0"/>
          <w:smallCaps w:val="0"/>
          <w:strike w:val="1"/>
          <w:noProof w:val="0"/>
          <w:color w:val="FF0000"/>
          <w:sz w:val="24"/>
          <w:szCs w:val="24"/>
          <w:u w:val="none"/>
          <w:lang w:val="en-US"/>
        </w:rPr>
        <w:t xml:space="preserve"> </w:t>
      </w:r>
      <w:r w:rsidRPr="795BEEAA" w:rsidR="795BEEAA">
        <w:rPr>
          <w:rStyle w:val="RedStrikethroughChar"/>
          <w:rFonts w:ascii="Calibri" w:hAnsi="Calibri" w:eastAsia="Calibri" w:cs="Calibri"/>
          <w:b w:val="0"/>
          <w:bCs w:val="0"/>
          <w:i w:val="0"/>
          <w:iCs w:val="0"/>
          <w:caps w:val="0"/>
          <w:smallCaps w:val="0"/>
          <w:strike w:val="1"/>
          <w:noProof w:val="0"/>
          <w:color w:val="FF0000"/>
          <w:sz w:val="24"/>
          <w:szCs w:val="24"/>
          <w:u w:val="none"/>
          <w:lang w:val="en-US"/>
        </w:rPr>
        <w:t>on an owner-occupied lot or parcel. It is in a detached building that maintains</w:t>
      </w:r>
      <w:r w:rsidRPr="795BEEAA" w:rsidR="795BEEAA">
        <w:rPr>
          <w:rFonts w:ascii="Calibri" w:hAnsi="Calibri" w:eastAsia="Calibri" w:cs="Calibri"/>
          <w:b w:val="0"/>
          <w:bCs w:val="0"/>
          <w:i w:val="0"/>
          <w:iCs w:val="0"/>
          <w:caps w:val="0"/>
          <w:smallCaps w:val="0"/>
          <w:strike w:val="1"/>
          <w:noProof w:val="0"/>
          <w:color w:val="FF0000"/>
          <w:sz w:val="24"/>
          <w:szCs w:val="24"/>
          <w:u w:val="none"/>
          <w:lang w:val="en-US"/>
        </w:rPr>
        <w:t xml:space="preserve"> </w:t>
      </w:r>
      <w:r w:rsidRPr="795BEEAA" w:rsidR="795BEEAA">
        <w:rPr>
          <w:rStyle w:val="RedStrikethroughChar"/>
          <w:rFonts w:ascii="Calibri" w:hAnsi="Calibri" w:eastAsia="Calibri" w:cs="Calibri"/>
          <w:b w:val="0"/>
          <w:bCs w:val="0"/>
          <w:i w:val="0"/>
          <w:iCs w:val="0"/>
          <w:caps w:val="0"/>
          <w:smallCaps w:val="0"/>
          <w:strike w:val="1"/>
          <w:noProof w:val="0"/>
          <w:color w:val="FF0000"/>
          <w:sz w:val="24"/>
          <w:szCs w:val="24"/>
          <w:u w:val="none"/>
          <w:lang w:val="en-US"/>
        </w:rPr>
        <w:t>complete and independent living facilities for one or more persons, including permanent provisions for living, sleeping, eating, cooking, and sanitation, including a separate kitchen on a year-round basis. DADUs may be part of an accessory building.</w:t>
      </w:r>
      <w:r w:rsidRPr="795BEEAA" w:rsidR="795BEEAA">
        <w:rPr>
          <w:rFonts w:ascii="Calibri" w:hAnsi="Calibri" w:eastAsia="Calibri" w:cs="Calibri"/>
          <w:b w:val="0"/>
          <w:bCs w:val="0"/>
          <w:i w:val="0"/>
          <w:iCs w:val="0"/>
          <w:caps w:val="0"/>
          <w:smallCaps w:val="0"/>
          <w:strike w:val="0"/>
          <w:dstrike w:val="0"/>
          <w:noProof w:val="0"/>
          <w:color w:val="FF0000"/>
          <w:sz w:val="24"/>
          <w:szCs w:val="24"/>
          <w:u w:val="none"/>
          <w:lang w:val="en-US"/>
        </w:rPr>
        <w:t xml:space="preserve"> </w:t>
      </w:r>
      <w:r w:rsidRPr="795BEEAA" w:rsidR="795BEEAA">
        <w:rPr>
          <w:rStyle w:val="RedStrikethroughChar"/>
          <w:rFonts w:ascii="Calibri" w:hAnsi="Calibri" w:eastAsia="Calibri" w:cs="Calibri"/>
          <w:b w:val="0"/>
          <w:bCs w:val="0"/>
          <w:i w:val="0"/>
          <w:iCs w:val="0"/>
          <w:caps w:val="0"/>
          <w:smallCaps w:val="0"/>
          <w:strike w:val="0"/>
          <w:dstrike w:val="0"/>
          <w:noProof w:val="0"/>
          <w:color w:val="00B050"/>
          <w:sz w:val="24"/>
          <w:szCs w:val="24"/>
          <w:u w:val="single"/>
          <w:lang w:val="en-US"/>
        </w:rPr>
        <w:t>An accessory dwelling unit that is not attached to or within a primary detached single-family dwelling and located</w:t>
      </w:r>
      <w:r w:rsidRPr="795BEEAA" w:rsidR="795BEEAA">
        <w:rPr>
          <w:rFonts w:ascii="Calibri" w:hAnsi="Calibri" w:eastAsia="Calibri" w:cs="Calibri"/>
          <w:b w:val="0"/>
          <w:bCs w:val="0"/>
          <w:i w:val="0"/>
          <w:iCs w:val="0"/>
          <w:caps w:val="0"/>
          <w:smallCaps w:val="0"/>
          <w:strike w:val="0"/>
          <w:dstrike w:val="0"/>
          <w:noProof w:val="0"/>
          <w:color w:val="00B050"/>
          <w:sz w:val="24"/>
          <w:szCs w:val="24"/>
          <w:u w:val="single"/>
          <w:lang w:val="en-US"/>
        </w:rPr>
        <w:t xml:space="preserve"> </w:t>
      </w:r>
      <w:r w:rsidRPr="795BEEAA" w:rsidR="795BEEAA">
        <w:rPr>
          <w:rStyle w:val="RedStrikethroughChar"/>
          <w:rFonts w:ascii="Calibri" w:hAnsi="Calibri" w:eastAsia="Calibri" w:cs="Calibri"/>
          <w:b w:val="0"/>
          <w:bCs w:val="0"/>
          <w:i w:val="0"/>
          <w:iCs w:val="0"/>
          <w:caps w:val="0"/>
          <w:smallCaps w:val="0"/>
          <w:strike w:val="0"/>
          <w:dstrike w:val="0"/>
          <w:noProof w:val="0"/>
          <w:color w:val="00B050"/>
          <w:sz w:val="24"/>
          <w:szCs w:val="24"/>
          <w:u w:val="single"/>
          <w:lang w:val="en-US"/>
        </w:rPr>
        <w:t>on the same lot or parcel as the primary detached single-family dwelling. (Utah Code Ann. § 10-21-101(9)). A detached accessory dwelling unit is created for the purpose of offering long-term rental of 30 consecutive days or longer.</w:t>
      </w:r>
    </w:p>
    <w:p w:rsidR="684B66A4" w:rsidP="795BEEAA" w:rsidRDefault="684B66A4" w14:paraId="40B811C7" w14:textId="09F97041">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684B66A4" w:rsidP="795BEEAA" w:rsidRDefault="684B66A4" w14:paraId="1A5EF69F" w14:textId="33ACF1CF">
      <w:pPr>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B050"/>
          <w:sz w:val="24"/>
          <w:szCs w:val="24"/>
          <w:lang w:val="en-US"/>
        </w:rPr>
      </w:pPr>
      <w:r w:rsidRPr="795BEEAA" w:rsidR="795BEEAA">
        <w:rPr>
          <w:rFonts w:ascii="Calibri" w:hAnsi="Calibri" w:eastAsia="Calibri" w:cs="Calibri"/>
          <w:b w:val="1"/>
          <w:bCs w:val="1"/>
          <w:i w:val="0"/>
          <w:iCs w:val="0"/>
          <w:caps w:val="0"/>
          <w:smallCaps w:val="0"/>
          <w:strike w:val="0"/>
          <w:dstrike w:val="0"/>
          <w:noProof w:val="0"/>
          <w:color w:val="00B050"/>
          <w:sz w:val="24"/>
          <w:szCs w:val="24"/>
          <w:u w:val="single"/>
          <w:lang w:val="en-US"/>
        </w:rPr>
        <w:t>Retail Sales Establishment.</w:t>
      </w:r>
      <w:r w:rsidRPr="795BEEAA" w:rsidR="795BEEAA">
        <w:rPr>
          <w:rFonts w:ascii="Calibri" w:hAnsi="Calibri" w:eastAsia="Calibri" w:cs="Calibri"/>
          <w:b w:val="0"/>
          <w:bCs w:val="0"/>
          <w:i w:val="0"/>
          <w:iCs w:val="0"/>
          <w:caps w:val="0"/>
          <w:smallCaps w:val="0"/>
          <w:strike w:val="0"/>
          <w:dstrike w:val="0"/>
          <w:noProof w:val="0"/>
          <w:color w:val="00B050"/>
          <w:sz w:val="24"/>
          <w:szCs w:val="24"/>
          <w:u w:val="single"/>
          <w:lang w:val="en-US"/>
        </w:rPr>
        <w:t xml:space="preserve"> A commercial establishment engaged in the sale of goods or merchandise to the general public for personal or household consumption, including, but not limited to, grocery, apparel, department, restaurant, electronic, office, appliance, sporting goods, building supplies, auto parts, and industrial equipment stores.</w:t>
      </w:r>
    </w:p>
    <w:p w:rsidR="684B66A4" w:rsidP="795BEEAA" w:rsidRDefault="684B66A4" w14:paraId="0AC4DEEF" w14:textId="4A287795">
      <w:pPr>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Exhibit C </w:t>
      </w:r>
    </w:p>
    <w:p w:rsidR="684B66A4" w:rsidP="795BEEAA" w:rsidRDefault="684B66A4" w14:paraId="741F5E62" w14:textId="7985BE8A">
      <w:pPr>
        <w:pStyle w:val="Heading4"/>
        <w:keepNext w:val="1"/>
        <w:keepLines w:val="1"/>
        <w:bidi w:val="0"/>
        <w:spacing w:before="80" w:after="40"/>
        <w:rPr>
          <w:rFonts w:ascii="Calibri" w:hAnsi="Calibri" w:eastAsia="Calibri" w:cs="Calibri"/>
          <w:b w:val="0"/>
          <w:bCs w:val="0"/>
          <w:i w:val="1"/>
          <w:iCs w:val="1"/>
          <w:caps w:val="0"/>
          <w:smallCaps w:val="0"/>
          <w:noProof w:val="0"/>
          <w:color w:val="365F91" w:themeColor="accent1" w:themeTint="FF" w:themeShade="BF"/>
          <w:sz w:val="24"/>
          <w:szCs w:val="24"/>
          <w:lang w:val="en-US"/>
        </w:rPr>
      </w:pPr>
      <w:r w:rsidRPr="795BEEAA" w:rsidR="795BEEAA">
        <w:rPr>
          <w:rFonts w:ascii="Calibri" w:hAnsi="Calibri" w:eastAsia="Calibri" w:cs="Calibri"/>
          <w:b w:val="0"/>
          <w:bCs w:val="0"/>
          <w:i w:val="1"/>
          <w:iCs w:val="1"/>
          <w:caps w:val="0"/>
          <w:smallCaps w:val="0"/>
          <w:noProof w:val="0"/>
          <w:color w:val="365F91" w:themeColor="accent1" w:themeTint="FF" w:themeShade="BF"/>
          <w:sz w:val="24"/>
          <w:szCs w:val="24"/>
          <w:lang w:val="en-US"/>
        </w:rPr>
        <w:t>12.20.010 Definitions</w:t>
      </w:r>
    </w:p>
    <w:p w:rsidR="684B66A4" w:rsidP="795BEEAA" w:rsidRDefault="684B66A4" w14:paraId="6A0ED749" w14:textId="4CB7A056">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The words and terms defined in this Chapter shall have the meanings indicated. Words used in the present tense include the future and words in the singular number include the plural and words in the plural include the singular. Words not included herein but defined elsewhere in the City ordinances shall be construed as termed therein. The word “shall” is mandatory.</w:t>
      </w:r>
    </w:p>
    <w:p w:rsidR="684B66A4" w:rsidP="795BEEAA" w:rsidRDefault="684B66A4" w14:paraId="79E35D46" w14:textId="7A25BA02">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Access Strip.</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strip of land which is part of a lot and provides access to the part thereof used or to be used for buildings or structures.</w:t>
      </w:r>
    </w:p>
    <w:p w:rsidR="684B66A4" w:rsidP="795BEEAA" w:rsidRDefault="684B66A4" w14:paraId="6ED0B452" w14:textId="17D71A53">
      <w:pPr>
        <w:bidi w:val="0"/>
        <w:rPr>
          <w:rFonts w:ascii="Calibri" w:hAnsi="Calibri" w:eastAsia="Calibri" w:cs="Calibri"/>
          <w:b w:val="0"/>
          <w:bCs w:val="0"/>
          <w:i w:val="0"/>
          <w:iCs w:val="0"/>
          <w:caps w:val="0"/>
          <w:smallCaps w:val="0"/>
          <w:noProof w:val="0"/>
          <w:color w:val="00B050"/>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Accessory Dwelling Unit. </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A habitable living unit added to, created within or detached from a primary single-family dwelling and contained on one (1) lot or parcel</w:t>
      </w:r>
      <w:r w:rsidRPr="795BEEAA" w:rsidR="795BEEAA">
        <w:rPr>
          <w:rFonts w:ascii="Calibri" w:hAnsi="Calibri" w:eastAsia="Calibri" w:cs="Calibri"/>
          <w:b w:val="0"/>
          <w:bCs w:val="0"/>
          <w:i w:val="0"/>
          <w:iCs w:val="0"/>
          <w:caps w:val="0"/>
          <w:smallCaps w:val="0"/>
          <w:noProof w:val="0"/>
          <w:color w:val="00B050"/>
          <w:sz w:val="24"/>
          <w:szCs w:val="24"/>
          <w:lang w:val="en-US"/>
        </w:rPr>
        <w:t xml:space="preserve">. </w:t>
      </w:r>
    </w:p>
    <w:p w:rsidR="684B66A4" w:rsidP="795BEEAA" w:rsidRDefault="684B66A4" w14:paraId="5A821206" w14:textId="15B81C6B">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684B66A4" w:rsidP="795BEEAA" w:rsidRDefault="684B66A4" w14:paraId="22D63654" w14:textId="2FFB4F65">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Dwelling Unit (IADU), Internal Accessory. </w:t>
      </w:r>
      <w:r w:rsidRPr="795BEEAA" w:rsidR="795BEEAA">
        <w:rPr>
          <w:rStyle w:val="RedStrikethroughCha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An Accessory Dwelling Unit created within a primary dwelling, </w:t>
      </w:r>
      <w:r w:rsidRPr="795BEEAA" w:rsidR="795BEEA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within the footprint of the primary dwelling at the time the internal accessory dwelling unit is created, </w:t>
      </w:r>
      <w:r w:rsidRPr="795BEEAA" w:rsidR="795BEEAA">
        <w:rPr>
          <w:rStyle w:val="RedStrikethroughCha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and for the purpose of offering long-term rental of 30 consecutive days or longer. (Utah Code Ann. </w:t>
      </w:r>
      <w:r w:rsidRPr="795BEEAA" w:rsidR="795BEEA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10-21-101(16)).</w:t>
      </w:r>
    </w:p>
    <w:p w:rsidR="684B66A4" w:rsidP="795BEEAA" w:rsidRDefault="684B66A4" w14:paraId="37E8823D" w14:textId="311990AA">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Dwelling Unit (DADU), Detached Accessory. </w:t>
      </w:r>
      <w:r w:rsidRPr="795BEEAA" w:rsidR="795BEEAA">
        <w:rPr>
          <w:rStyle w:val="RedStrikethroughCha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An accessory dwelling unit that is not attached to or within a primary detached single-family dwelling and located</w:t>
      </w:r>
      <w:r w:rsidRPr="795BEEAA" w:rsidR="795BEEA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795BEEAA" w:rsidR="795BEEAA">
        <w:rPr>
          <w:rStyle w:val="RedStrikethroughCha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on the same lot or parcel as the primary detached single-family dwelling. (Utah Code Ann. § 10-21-101(9)). A detached accessory dwelling unit is created for the purpose of offering long-term rental of 30 consecutive days or longer.</w:t>
      </w:r>
    </w:p>
    <w:p w:rsidR="684B66A4" w:rsidP="795BEEAA" w:rsidRDefault="684B66A4" w14:paraId="2A942546" w14:textId="36BFFE0E">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p>
    <w:p w:rsidR="684B66A4" w:rsidP="795BEEAA" w:rsidRDefault="684B66A4" w14:paraId="03A67FC8" w14:textId="6E40F8F0">
      <w:pPr>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95BEEAA" w:rsidR="795BEEA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Retail Sales Establishment.</w:t>
      </w:r>
      <w:r w:rsidRPr="795BEEAA" w:rsidR="795BEEA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 commercial establishment engaged in the sale of goods or merchandise to the general public for personal or household consumption, including, but not limited to, grocery, apparel, department, restaurant, electronic, office, appliance, sporting goods, building supplies, auto parts, and industrial equipment stores. </w:t>
      </w:r>
    </w:p>
    <w:p w:rsidR="684B66A4" w:rsidP="795BEEAA" w:rsidRDefault="684B66A4" w14:paraId="2E2F274C" w14:textId="70BC385E">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w:rsidR="684B66A4" w:rsidP="684B66A4" w:rsidRDefault="684B66A4" w14:paraId="7DAD4C73" w14:textId="2148B70E">
      <w:pPr>
        <w:pStyle w:val="Normal"/>
        <w:rPr>
          <w:rFonts w:ascii="Calibri" w:hAnsi="Calibri" w:eastAsia="Calibri" w:cs="Calibri" w:asciiTheme="minorAscii" w:hAnsiTheme="minorAscii" w:eastAsiaTheme="minorAscii" w:cstheme="minorAscii"/>
          <w:b w:val="1"/>
          <w:bCs w:val="1"/>
          <w:color w:val="auto"/>
        </w:rPr>
      </w:pPr>
    </w:p>
    <w:sectPr w:rsidR="00C300BA">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85B" w:rsidP="004379FC" w:rsidRDefault="0017385B" w14:paraId="4AE9A4E3" w14:textId="77777777">
      <w:pPr>
        <w:spacing w:after="0" w:line="240" w:lineRule="auto"/>
      </w:pPr>
      <w:r>
        <w:separator/>
      </w:r>
    </w:p>
  </w:endnote>
  <w:endnote w:type="continuationSeparator" w:id="0">
    <w:p w:rsidR="0017385B" w:rsidP="004379FC" w:rsidRDefault="0017385B" w14:paraId="1E5EEC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4488"/>
      <w:docPartObj>
        <w:docPartGallery w:val="Page Numbers (Bottom of Page)"/>
        <w:docPartUnique/>
      </w:docPartObj>
    </w:sdtPr>
    <w:sdtEndPr>
      <w:rPr>
        <w:color w:val="7F7F7F" w:themeColor="background1" w:themeShade="7F"/>
        <w:spacing w:val="60"/>
      </w:rPr>
    </w:sdtEndPr>
    <w:sdtContent>
      <w:p w:rsidR="004379FC" w:rsidRDefault="004379FC" w14:paraId="7AE8A15A" w14:textId="24FD05BE">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4379FC" w:rsidRDefault="004379FC" w14:paraId="49184C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85B" w:rsidP="004379FC" w:rsidRDefault="0017385B" w14:paraId="32457BB1" w14:textId="77777777">
      <w:pPr>
        <w:spacing w:after="0" w:line="240" w:lineRule="auto"/>
      </w:pPr>
      <w:r>
        <w:separator/>
      </w:r>
    </w:p>
  </w:footnote>
  <w:footnote w:type="continuationSeparator" w:id="0">
    <w:p w:rsidR="0017385B" w:rsidP="004379FC" w:rsidRDefault="0017385B" w14:paraId="5ABD41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0BA" w:rsidP="00C300BA" w:rsidRDefault="004379FC" w14:paraId="7025ED53" w14:textId="7D7639D4">
    <w:pPr>
      <w:pStyle w:val="HeaderCenter"/>
    </w:pPr>
    <w:r w:rsidR="795BEEAA">
      <w:rPr/>
      <w:t>Hyde Park, Utah, Municipal Code</w:t>
    </w:r>
    <w:r>
      <w:br/>
    </w:r>
    <w:r w:rsidR="795BEEAA">
      <w:rPr/>
      <w:t>TITLE 12 LAND USE &amp; DEVELOPMENT</w:t>
    </w:r>
  </w:p>
  <w:p w:rsidR="004379FC" w:rsidP="004379FC" w:rsidRDefault="004379FC" w14:paraId="3E6D4A43" w14:textId="77777777">
    <w:pPr>
      <w:pStyle w:val="HeaderCenter"/>
    </w:pPr>
  </w:p>
  <w:p w:rsidR="004379FC" w:rsidP="004379FC" w:rsidRDefault="004379FC" w14:paraId="01C6CCC7" w14:textId="77777777">
    <w:pPr>
      <w:pStyle w:val="HeaderCenter"/>
      <w:pBdr>
        <w:top w:val="single" w:color="auto" w:sz="4" w:space="0"/>
      </w:pBdr>
    </w:pPr>
  </w:p>
  <w:p w:rsidR="004379FC" w:rsidP="004379FC" w:rsidRDefault="004379FC" w14:paraId="42AA9901" w14:textId="77777777">
    <w:pPr>
      <w:pStyle w:val="Header"/>
    </w:pPr>
  </w:p>
  <w:p w:rsidR="004379FC" w:rsidP="004379FC" w:rsidRDefault="004379FC" w14:paraId="25BC8360" w14:textId="77777777">
    <w:pPr>
      <w:pStyle w:val="Header"/>
    </w:pPr>
  </w:p>
  <w:p w:rsidR="004379FC" w:rsidRDefault="004379FC" w14:paraId="7B4757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5cd29a27"/>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92c5a3e"/>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e623fde"/>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494e274"/>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6985E36"/>
    <w:multiLevelType w:val="hybridMultilevel"/>
    <w:tmpl w:val="B1A6A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D95931"/>
    <w:multiLevelType w:val="multilevel"/>
    <w:tmpl w:val="DC6A8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B657F"/>
    <w:multiLevelType w:val="multilevel"/>
    <w:tmpl w:val="F0929D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1F0758E"/>
    <w:multiLevelType w:val="multilevel"/>
    <w:tmpl w:val="369098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0F41E13"/>
    <w:multiLevelType w:val="hybridMultilevel"/>
    <w:tmpl w:val="EF6A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F11CB"/>
    <w:multiLevelType w:val="multilevel"/>
    <w:tmpl w:val="876231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4D6F62A8"/>
    <w:multiLevelType w:val="hybridMultilevel"/>
    <w:tmpl w:val="B17A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B6C"/>
    <w:multiLevelType w:val="multilevel"/>
    <w:tmpl w:val="C846CD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AE90B1A"/>
    <w:multiLevelType w:val="multilevel"/>
    <w:tmpl w:val="3420FE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F2B55E4"/>
    <w:multiLevelType w:val="multilevel"/>
    <w:tmpl w:val="9E2A40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4">
    <w:abstractNumId w:val="13"/>
  </w:num>
  <w:num w:numId="13">
    <w:abstractNumId w:val="12"/>
  </w:num>
  <w:num w:numId="12">
    <w:abstractNumId w:val="11"/>
  </w:num>
  <w:num w:numId="11">
    <w:abstractNumId w:val="10"/>
  </w:num>
  <w:num w:numId="1" w16cid:durableId="1709377557">
    <w:abstractNumId w:val="8"/>
  </w:num>
  <w:num w:numId="2" w16cid:durableId="743257235">
    <w:abstractNumId w:val="5"/>
  </w:num>
  <w:num w:numId="3" w16cid:durableId="1612544460">
    <w:abstractNumId w:val="2"/>
  </w:num>
  <w:num w:numId="4" w16cid:durableId="1291206396">
    <w:abstractNumId w:val="7"/>
  </w:num>
  <w:num w:numId="5" w16cid:durableId="274796642">
    <w:abstractNumId w:val="9"/>
  </w:num>
  <w:num w:numId="6" w16cid:durableId="1755317368">
    <w:abstractNumId w:val="3"/>
  </w:num>
  <w:num w:numId="7" w16cid:durableId="327485970">
    <w:abstractNumId w:val="1"/>
  </w:num>
  <w:num w:numId="8" w16cid:durableId="1924409614">
    <w:abstractNumId w:val="4"/>
  </w:num>
  <w:num w:numId="9" w16cid:durableId="2033528973">
    <w:abstractNumId w:val="6"/>
  </w:num>
  <w:num w:numId="10" w16cid:durableId="157072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EC"/>
    <w:rsid w:val="0017385B"/>
    <w:rsid w:val="00353756"/>
    <w:rsid w:val="00383D79"/>
    <w:rsid w:val="00435239"/>
    <w:rsid w:val="004379FC"/>
    <w:rsid w:val="00472AA9"/>
    <w:rsid w:val="004A023D"/>
    <w:rsid w:val="00501D15"/>
    <w:rsid w:val="00536709"/>
    <w:rsid w:val="005A11EC"/>
    <w:rsid w:val="005C0FC4"/>
    <w:rsid w:val="00666823"/>
    <w:rsid w:val="008148D4"/>
    <w:rsid w:val="008409FF"/>
    <w:rsid w:val="00935292"/>
    <w:rsid w:val="009A02BB"/>
    <w:rsid w:val="009A2111"/>
    <w:rsid w:val="009B2FC8"/>
    <w:rsid w:val="009D0BA8"/>
    <w:rsid w:val="009E319D"/>
    <w:rsid w:val="00A510E2"/>
    <w:rsid w:val="00B11705"/>
    <w:rsid w:val="00B92C54"/>
    <w:rsid w:val="00C300BA"/>
    <w:rsid w:val="00CB5D8A"/>
    <w:rsid w:val="00CC2DBF"/>
    <w:rsid w:val="00CE0788"/>
    <w:rsid w:val="00D16FB8"/>
    <w:rsid w:val="00E46733"/>
    <w:rsid w:val="00EA7261"/>
    <w:rsid w:val="00F13A0B"/>
    <w:rsid w:val="00F33FE6"/>
    <w:rsid w:val="00F64BD7"/>
    <w:rsid w:val="00FE4F51"/>
    <w:rsid w:val="02616A54"/>
    <w:rsid w:val="02643CDA"/>
    <w:rsid w:val="03521C9F"/>
    <w:rsid w:val="03F8F1D0"/>
    <w:rsid w:val="04C9B64C"/>
    <w:rsid w:val="04DD0D92"/>
    <w:rsid w:val="06619E64"/>
    <w:rsid w:val="076E358C"/>
    <w:rsid w:val="0A54EB94"/>
    <w:rsid w:val="0B390018"/>
    <w:rsid w:val="0C307A20"/>
    <w:rsid w:val="0C815368"/>
    <w:rsid w:val="0CAE2EBC"/>
    <w:rsid w:val="0D6C344D"/>
    <w:rsid w:val="0F85A323"/>
    <w:rsid w:val="0F928073"/>
    <w:rsid w:val="112E6F0E"/>
    <w:rsid w:val="12BE02F4"/>
    <w:rsid w:val="145E4E9C"/>
    <w:rsid w:val="14CC94E0"/>
    <w:rsid w:val="157BAA99"/>
    <w:rsid w:val="1618B554"/>
    <w:rsid w:val="168FC352"/>
    <w:rsid w:val="18C07DC2"/>
    <w:rsid w:val="1A57F7C7"/>
    <w:rsid w:val="1AF5E5E7"/>
    <w:rsid w:val="1BA171E3"/>
    <w:rsid w:val="1C38BF2A"/>
    <w:rsid w:val="1CFE4916"/>
    <w:rsid w:val="1E061AE7"/>
    <w:rsid w:val="1E34F7BE"/>
    <w:rsid w:val="1EA73D32"/>
    <w:rsid w:val="213C892D"/>
    <w:rsid w:val="22337E3A"/>
    <w:rsid w:val="2339B438"/>
    <w:rsid w:val="23C45E15"/>
    <w:rsid w:val="2527CEEC"/>
    <w:rsid w:val="2749000A"/>
    <w:rsid w:val="27D2E7EC"/>
    <w:rsid w:val="2A7C25FA"/>
    <w:rsid w:val="2A885816"/>
    <w:rsid w:val="2AB85903"/>
    <w:rsid w:val="2B637875"/>
    <w:rsid w:val="2D25D049"/>
    <w:rsid w:val="30F2026A"/>
    <w:rsid w:val="32C6461F"/>
    <w:rsid w:val="337E9C6B"/>
    <w:rsid w:val="346B985D"/>
    <w:rsid w:val="36E49787"/>
    <w:rsid w:val="39DA692B"/>
    <w:rsid w:val="3A955B39"/>
    <w:rsid w:val="3BE15BD8"/>
    <w:rsid w:val="3C1B7F31"/>
    <w:rsid w:val="3C4FEE3C"/>
    <w:rsid w:val="3D276FF4"/>
    <w:rsid w:val="3F03F269"/>
    <w:rsid w:val="3F5C5329"/>
    <w:rsid w:val="3F8FEE8B"/>
    <w:rsid w:val="4124B688"/>
    <w:rsid w:val="4236AC3F"/>
    <w:rsid w:val="42A46715"/>
    <w:rsid w:val="456C540E"/>
    <w:rsid w:val="46F9472A"/>
    <w:rsid w:val="473D80A4"/>
    <w:rsid w:val="481B9E3B"/>
    <w:rsid w:val="48ABB8CF"/>
    <w:rsid w:val="4A7BECB0"/>
    <w:rsid w:val="4AA60481"/>
    <w:rsid w:val="4B92046A"/>
    <w:rsid w:val="4D4C4A53"/>
    <w:rsid w:val="4D7DB76E"/>
    <w:rsid w:val="503CE2FF"/>
    <w:rsid w:val="540E06EA"/>
    <w:rsid w:val="5424080E"/>
    <w:rsid w:val="542FC5E0"/>
    <w:rsid w:val="5494F121"/>
    <w:rsid w:val="5553F202"/>
    <w:rsid w:val="55807675"/>
    <w:rsid w:val="58294771"/>
    <w:rsid w:val="5AEABE4B"/>
    <w:rsid w:val="5B198FB0"/>
    <w:rsid w:val="5B3D9E1A"/>
    <w:rsid w:val="5D19F854"/>
    <w:rsid w:val="5D5C2DF9"/>
    <w:rsid w:val="5DA5FA9F"/>
    <w:rsid w:val="5E1FC449"/>
    <w:rsid w:val="5E933F2A"/>
    <w:rsid w:val="5FF468DC"/>
    <w:rsid w:val="6227C97D"/>
    <w:rsid w:val="64CEA7B6"/>
    <w:rsid w:val="654FE5E3"/>
    <w:rsid w:val="6609C8AF"/>
    <w:rsid w:val="66A825A6"/>
    <w:rsid w:val="6728DF28"/>
    <w:rsid w:val="674F54D1"/>
    <w:rsid w:val="684B3833"/>
    <w:rsid w:val="684B66A4"/>
    <w:rsid w:val="6890B982"/>
    <w:rsid w:val="69AF2434"/>
    <w:rsid w:val="6A5A99EE"/>
    <w:rsid w:val="6AA2B535"/>
    <w:rsid w:val="6BC52732"/>
    <w:rsid w:val="6CF0A987"/>
    <w:rsid w:val="6D528DBC"/>
    <w:rsid w:val="6E072EFE"/>
    <w:rsid w:val="6E9902E1"/>
    <w:rsid w:val="6F357DE6"/>
    <w:rsid w:val="6F74922A"/>
    <w:rsid w:val="70213626"/>
    <w:rsid w:val="72193AB6"/>
    <w:rsid w:val="738D3EF5"/>
    <w:rsid w:val="76376011"/>
    <w:rsid w:val="789613FC"/>
    <w:rsid w:val="795BEEAA"/>
    <w:rsid w:val="7A06A44D"/>
    <w:rsid w:val="7B95D672"/>
    <w:rsid w:val="7C0D531C"/>
    <w:rsid w:val="7D4F7184"/>
    <w:rsid w:val="7EB9E130"/>
    <w:rsid w:val="7F24A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946F"/>
  <w15:chartTrackingRefBased/>
  <w15:docId w15:val="{EE8184F2-9C35-45A7-95CA-BDA9A4AE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11EC"/>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11EC"/>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11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11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11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1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11EC"/>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5A11EC"/>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5A11EC"/>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5A11EC"/>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5A11EC"/>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5A11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11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11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11EC"/>
    <w:rPr>
      <w:rFonts w:eastAsiaTheme="majorEastAsia" w:cstheme="majorBidi"/>
      <w:color w:val="272727" w:themeColor="text1" w:themeTint="D8"/>
    </w:rPr>
  </w:style>
  <w:style w:type="paragraph" w:styleId="Title">
    <w:name w:val="Title"/>
    <w:basedOn w:val="Normal"/>
    <w:next w:val="Normal"/>
    <w:link w:val="TitleChar"/>
    <w:uiPriority w:val="10"/>
    <w:qFormat/>
    <w:rsid w:val="005A11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11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11E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1E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A11EC"/>
    <w:rPr>
      <w:i/>
      <w:iCs/>
      <w:color w:val="404040" w:themeColor="text1" w:themeTint="BF"/>
    </w:rPr>
  </w:style>
  <w:style w:type="paragraph" w:styleId="ListParagraph">
    <w:name w:val="List Paragraph"/>
    <w:basedOn w:val="Normal"/>
    <w:uiPriority w:val="34"/>
    <w:qFormat/>
    <w:rsid w:val="005A11EC"/>
    <w:pPr>
      <w:ind w:left="720"/>
      <w:contextualSpacing/>
    </w:pPr>
  </w:style>
  <w:style w:type="character" w:styleId="IntenseEmphasis">
    <w:name w:val="Intense Emphasis"/>
    <w:basedOn w:val="DefaultParagraphFont"/>
    <w:uiPriority w:val="21"/>
    <w:qFormat/>
    <w:rsid w:val="005A11EC"/>
    <w:rPr>
      <w:i/>
      <w:iCs/>
      <w:color w:val="365F91" w:themeColor="accent1" w:themeShade="BF"/>
    </w:rPr>
  </w:style>
  <w:style w:type="paragraph" w:styleId="IntenseQuote">
    <w:name w:val="Intense Quote"/>
    <w:basedOn w:val="Normal"/>
    <w:next w:val="Normal"/>
    <w:link w:val="IntenseQuoteChar"/>
    <w:uiPriority w:val="30"/>
    <w:qFormat/>
    <w:rsid w:val="005A11EC"/>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5A11EC"/>
    <w:rPr>
      <w:i/>
      <w:iCs/>
      <w:color w:val="365F91" w:themeColor="accent1" w:themeShade="BF"/>
    </w:rPr>
  </w:style>
  <w:style w:type="character" w:styleId="IntenseReference">
    <w:name w:val="Intense Reference"/>
    <w:basedOn w:val="DefaultParagraphFont"/>
    <w:uiPriority w:val="32"/>
    <w:qFormat/>
    <w:rsid w:val="005A11EC"/>
    <w:rPr>
      <w:b/>
      <w:bCs/>
      <w:smallCaps/>
      <w:color w:val="365F91" w:themeColor="accent1" w:themeShade="BF"/>
      <w:spacing w:val="5"/>
    </w:rPr>
  </w:style>
  <w:style w:type="paragraph" w:styleId="Header">
    <w:name w:val="header"/>
    <w:basedOn w:val="Normal"/>
    <w:link w:val="HeaderChar"/>
    <w:uiPriority w:val="99"/>
    <w:unhideWhenUsed/>
    <w:rsid w:val="004379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79FC"/>
  </w:style>
  <w:style w:type="paragraph" w:styleId="Footer">
    <w:name w:val="footer"/>
    <w:basedOn w:val="Normal"/>
    <w:link w:val="FooterChar"/>
    <w:uiPriority w:val="99"/>
    <w:unhideWhenUsed/>
    <w:rsid w:val="004379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79FC"/>
  </w:style>
  <w:style w:type="paragraph" w:styleId="HeaderCenter" w:customStyle="1">
    <w:name w:val="Header Center"/>
    <w:basedOn w:val="Normal"/>
    <w:qFormat/>
    <w:rsid w:val="004379FC"/>
    <w:pPr>
      <w:spacing w:before="40" w:after="40" w:line="240" w:lineRule="auto"/>
      <w:jc w:val="center"/>
    </w:pPr>
    <w:rPr>
      <w:rFonts w:ascii="Calibri" w:hAnsi="Calibri"/>
      <w:kern w:val="0"/>
      <w:sz w:val="20"/>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RedStrikethroughChar" w:customStyle="true">
    <w:uiPriority w:val="1"/>
    <w:name w:val="Red Strikethrough Char"/>
    <w:basedOn w:val="DefaultParagraphFont"/>
    <w:link w:val="RedStrikethrough"/>
    <w:rsid w:val="5494F121"/>
    <w:rPr>
      <w:rFonts w:ascii="Arial" w:hAnsi="Arial" w:eastAsia="" w:cs="" w:asciiTheme="minorAscii" w:hAnsiTheme="minorAscii" w:eastAsiaTheme="minorEastAsia" w:cstheme="minorBidi"/>
      <w:strike w:val="1"/>
      <w:noProof w:val="0"/>
      <w:color w:val="FF0000"/>
      <w:sz w:val="24"/>
      <w:szCs w:val="24"/>
      <w:lang w:val="en-US"/>
    </w:rPr>
  </w:style>
  <w:style w:type="paragraph" w:styleId="RedStrikethrough" w:customStyle="true">
    <w:uiPriority w:val="1"/>
    <w:name w:val="Red Strikethrough"/>
    <w:basedOn w:val="Normal"/>
    <w:link w:val="RedStrikethroughChar"/>
    <w:qFormat/>
    <w:rsid w:val="5494F121"/>
    <w:rPr>
      <w:rFonts w:ascii="Arial" w:hAnsi="Arial" w:eastAsia="" w:cs="" w:asciiTheme="minorAscii" w:hAnsiTheme="minorAscii" w:eastAsiaTheme="minorEastAsia" w:cstheme="minorBidi"/>
      <w:strike w:val="1"/>
      <w:noProof w:val="0"/>
      <w:color w:val="FF0000"/>
      <w:sz w:val="24"/>
      <w:szCs w:val="24"/>
      <w:lang w:val="en-US"/>
    </w:rPr>
    <w:pPr>
      <w:spacing w:beforeAutospacing="off" w:afterAutospacing="off"/>
      <w:ind w:left="720" w:hanging="36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6afe99-06ab-47f4-b986-a579f9840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9ED2F3472DA429BE7678E1D183E3E" ma:contentTypeVersion="10" ma:contentTypeDescription="Create a new document." ma:contentTypeScope="" ma:versionID="1a590116109984959d2fdd8a258ff523">
  <xsd:schema xmlns:xsd="http://www.w3.org/2001/XMLSchema" xmlns:xs="http://www.w3.org/2001/XMLSchema" xmlns:p="http://schemas.microsoft.com/office/2006/metadata/properties" xmlns:ns3="f26afe99-06ab-47f4-b986-a579f9840c3f" targetNamespace="http://schemas.microsoft.com/office/2006/metadata/properties" ma:root="true" ma:fieldsID="0c9e58c9230829248be81ad778261586" ns3:_="">
    <xsd:import namespace="f26afe99-06ab-47f4-b986-a579f9840c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afe99-06ab-47f4-b986-a579f9840c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D13AE-B204-49F5-A562-42F438163546}">
  <ds:schemaRefs>
    <ds:schemaRef ds:uri="http://schemas.microsoft.com/office/2006/metadata/properties"/>
    <ds:schemaRef ds:uri="http://schemas.microsoft.com/office/infopath/2007/PartnerControls"/>
    <ds:schemaRef ds:uri="f26afe99-06ab-47f4-b986-a579f9840c3f"/>
  </ds:schemaRefs>
</ds:datastoreItem>
</file>

<file path=customXml/itemProps2.xml><?xml version="1.0" encoding="utf-8"?>
<ds:datastoreItem xmlns:ds="http://schemas.openxmlformats.org/officeDocument/2006/customXml" ds:itemID="{12CB7DA1-D651-4366-878B-EE2344752B15}">
  <ds:schemaRefs>
    <ds:schemaRef ds:uri="http://schemas.microsoft.com/sharepoint/v3/contenttype/forms"/>
  </ds:schemaRefs>
</ds:datastoreItem>
</file>

<file path=customXml/itemProps3.xml><?xml version="1.0" encoding="utf-8"?>
<ds:datastoreItem xmlns:ds="http://schemas.openxmlformats.org/officeDocument/2006/customXml" ds:itemID="{4D0A278B-1387-48DA-B04A-35942148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Donja Wright</dc:creator>
  <keywords/>
  <dc:description/>
  <lastModifiedBy>kylestutz5@gmail.com</lastModifiedBy>
  <revision>6</revision>
  <lastPrinted>2026-02-26T18:52:00.0000000Z</lastPrinted>
  <dcterms:created xsi:type="dcterms:W3CDTF">2026-06-04T17:15:00.0000000Z</dcterms:created>
  <dcterms:modified xsi:type="dcterms:W3CDTF">2026-06-30T21:26:20.4811359Z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0x01010028B9ED2F3472DA429BE7678E1D183E3E</vt:lpwstr>
  </property>
</Properties>
</file>