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C6E8C" w14:textId="363991BA" w:rsidR="006A2A83" w:rsidRDefault="00A51A71">
      <w:pPr>
        <w:pStyle w:val="Heading1"/>
        <w:spacing w:after="50"/>
        <w:jc w:val="center"/>
      </w:pPr>
      <w:r>
        <w:rPr>
          <w:noProof/>
        </w:rPr>
        <mc:AlternateContent>
          <mc:Choice Requires="wps">
            <w:drawing>
              <wp:anchor distT="45720" distB="45720" distL="114300" distR="114300" simplePos="0" relativeHeight="251659264" behindDoc="0" locked="0" layoutInCell="1" allowOverlap="1" wp14:anchorId="59986DFA" wp14:editId="47F3C9AC">
                <wp:simplePos x="0" y="0"/>
                <wp:positionH relativeFrom="column">
                  <wp:posOffset>4245610</wp:posOffset>
                </wp:positionH>
                <wp:positionV relativeFrom="paragraph">
                  <wp:posOffset>0</wp:posOffset>
                </wp:positionV>
                <wp:extent cx="2345055" cy="969645"/>
                <wp:effectExtent l="0" t="0" r="17145"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5055" cy="969645"/>
                        </a:xfrm>
                        <a:prstGeom prst="rect">
                          <a:avLst/>
                        </a:prstGeom>
                        <a:solidFill>
                          <a:srgbClr val="FFFFFF"/>
                        </a:solidFill>
                        <a:ln w="9525">
                          <a:solidFill>
                            <a:srgbClr val="000000"/>
                          </a:solidFill>
                          <a:miter lim="800000"/>
                          <a:headEnd/>
                          <a:tailEnd/>
                        </a:ln>
                      </wps:spPr>
                      <wps:txbx>
                        <w:txbxContent>
                          <w:p w14:paraId="4B7A50DF" w14:textId="77777777" w:rsidR="00A51A71" w:rsidRPr="00FB1BA6" w:rsidRDefault="00A51A71" w:rsidP="00A51A71">
                            <w:pPr>
                              <w:spacing w:line="257" w:lineRule="auto"/>
                              <w:ind w:right="666"/>
                              <w:rPr>
                                <w:sz w:val="18"/>
                                <w:szCs w:val="18"/>
                              </w:rPr>
                            </w:pPr>
                            <w:r w:rsidRPr="00FB1BA6">
                              <w:rPr>
                                <w:rFonts w:ascii="Cambria" w:eastAsia="Cambria" w:hAnsi="Cambria" w:cs="Cambria"/>
                                <w:b/>
                                <w:bCs/>
                                <w:color w:val="000000" w:themeColor="text1"/>
                                <w:sz w:val="18"/>
                                <w:szCs w:val="18"/>
                              </w:rPr>
                              <w:t xml:space="preserve">Mayor Bryan Cox </w:t>
                            </w:r>
                          </w:p>
                          <w:p w14:paraId="2E7D53A7" w14:textId="77777777" w:rsidR="00A51A71" w:rsidRPr="00FB1BA6" w:rsidRDefault="00A51A71" w:rsidP="00A51A71">
                            <w:pPr>
                              <w:spacing w:line="257" w:lineRule="auto"/>
                              <w:ind w:right="710"/>
                              <w:rPr>
                                <w:sz w:val="18"/>
                                <w:szCs w:val="18"/>
                              </w:rPr>
                            </w:pPr>
                            <w:r w:rsidRPr="00FB1BA6">
                              <w:rPr>
                                <w:rFonts w:ascii="Cambria" w:eastAsia="Cambria" w:hAnsi="Cambria" w:cs="Cambria"/>
                                <w:b/>
                                <w:bCs/>
                                <w:color w:val="000000" w:themeColor="text1"/>
                                <w:sz w:val="18"/>
                                <w:szCs w:val="18"/>
                              </w:rPr>
                              <w:t>PC Chair Melinda Lee</w:t>
                            </w:r>
                            <w:r w:rsidRPr="00FB1BA6">
                              <w:rPr>
                                <w:rFonts w:ascii="Cambria" w:eastAsia="Cambria" w:hAnsi="Cambria" w:cs="Cambria"/>
                                <w:color w:val="000000" w:themeColor="text1"/>
                                <w:sz w:val="18"/>
                                <w:szCs w:val="18"/>
                              </w:rPr>
                              <w:t xml:space="preserve"> </w:t>
                            </w:r>
                          </w:p>
                          <w:p w14:paraId="18FF02F0" w14:textId="77777777" w:rsidR="00A51A71" w:rsidRPr="00FB1BA6" w:rsidRDefault="00A51A71" w:rsidP="00A51A71">
                            <w:pPr>
                              <w:spacing w:line="257" w:lineRule="auto"/>
                              <w:ind w:right="700"/>
                              <w:rPr>
                                <w:sz w:val="18"/>
                                <w:szCs w:val="18"/>
                              </w:rPr>
                            </w:pPr>
                            <w:r w:rsidRPr="00FB1BA6">
                              <w:rPr>
                                <w:rFonts w:ascii="Cambria" w:eastAsia="Cambria" w:hAnsi="Cambria" w:cs="Cambria"/>
                                <w:color w:val="000000" w:themeColor="text1"/>
                                <w:sz w:val="18"/>
                                <w:szCs w:val="18"/>
                              </w:rPr>
                              <w:t xml:space="preserve">Commissioner Michael Mowes </w:t>
                            </w:r>
                          </w:p>
                          <w:p w14:paraId="0A207FCA" w14:textId="77777777" w:rsidR="00A51A71" w:rsidRPr="00FB1BA6" w:rsidRDefault="00A51A71" w:rsidP="00A51A71">
                            <w:pPr>
                              <w:spacing w:line="257" w:lineRule="auto"/>
                              <w:ind w:right="700"/>
                              <w:rPr>
                                <w:sz w:val="18"/>
                                <w:szCs w:val="18"/>
                              </w:rPr>
                            </w:pPr>
                            <w:r w:rsidRPr="00FB1BA6">
                              <w:rPr>
                                <w:rFonts w:ascii="Cambria" w:eastAsia="Cambria" w:hAnsi="Cambria" w:cs="Cambria"/>
                                <w:color w:val="000000" w:themeColor="text1"/>
                                <w:sz w:val="18"/>
                                <w:szCs w:val="18"/>
                              </w:rPr>
                              <w:t xml:space="preserve">Commissioner Heather Taylor </w:t>
                            </w:r>
                          </w:p>
                          <w:p w14:paraId="1BD3309E" w14:textId="77777777" w:rsidR="00A51A71" w:rsidRPr="00FB1BA6" w:rsidRDefault="00A51A71" w:rsidP="00A51A71">
                            <w:pPr>
                              <w:tabs>
                                <w:tab w:val="center" w:pos="3321"/>
                                <w:tab w:val="left" w:pos="8911"/>
                              </w:tabs>
                              <w:spacing w:line="257" w:lineRule="auto"/>
                              <w:ind w:right="720"/>
                              <w:rPr>
                                <w:sz w:val="18"/>
                                <w:szCs w:val="18"/>
                              </w:rPr>
                            </w:pPr>
                            <w:r w:rsidRPr="00FB1BA6">
                              <w:rPr>
                                <w:rFonts w:ascii="Calibri" w:eastAsia="Calibri" w:hAnsi="Calibri" w:cs="Calibri"/>
                                <w:color w:val="000000" w:themeColor="text1"/>
                                <w:sz w:val="18"/>
                                <w:szCs w:val="18"/>
                              </w:rPr>
                              <w:t>C</w:t>
                            </w:r>
                            <w:r w:rsidRPr="00FB1BA6">
                              <w:rPr>
                                <w:rFonts w:ascii="Cambria" w:eastAsia="Cambria" w:hAnsi="Cambria" w:cs="Cambria"/>
                                <w:color w:val="000000" w:themeColor="text1"/>
                                <w:sz w:val="18"/>
                                <w:szCs w:val="18"/>
                              </w:rPr>
                              <w:t xml:space="preserve">ommissioner Charlene Williams  </w:t>
                            </w:r>
                          </w:p>
                          <w:p w14:paraId="0FFCD4C6" w14:textId="77777777" w:rsidR="00A51A71" w:rsidRPr="00FB1BA6" w:rsidRDefault="00A51A71" w:rsidP="00A51A71">
                            <w:pPr>
                              <w:spacing w:line="257" w:lineRule="auto"/>
                              <w:ind w:right="700"/>
                              <w:rPr>
                                <w:sz w:val="18"/>
                                <w:szCs w:val="18"/>
                              </w:rPr>
                            </w:pPr>
                            <w:r w:rsidRPr="00FB1BA6">
                              <w:rPr>
                                <w:rFonts w:ascii="Cambria" w:eastAsia="Cambria" w:hAnsi="Cambria" w:cs="Cambria"/>
                                <w:color w:val="000000" w:themeColor="text1"/>
                                <w:sz w:val="18"/>
                                <w:szCs w:val="18"/>
                              </w:rPr>
                              <w:t xml:space="preserve">Commissioner Ned Hansen </w:t>
                            </w:r>
                          </w:p>
                          <w:p w14:paraId="07E9B947" w14:textId="54C95979" w:rsidR="00A51A71" w:rsidRDefault="00A51A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986DFA" id="_x0000_t202" coordsize="21600,21600" o:spt="202" path="m,l,21600r21600,l21600,xe">
                <v:stroke joinstyle="miter"/>
                <v:path gradientshapeok="t" o:connecttype="rect"/>
              </v:shapetype>
              <v:shape id="Text Box 2" o:spid="_x0000_s1026" type="#_x0000_t202" style="position:absolute;left:0;text-align:left;margin-left:334.3pt;margin-top:0;width:184.65pt;height:76.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">
                <v:textbox>
                  <w:txbxContent>
                    <w:p w14:paraId="4B7A50DF" w14:textId="77777777" w:rsidR="00A51A71" w:rsidRPr="00FB1BA6" w:rsidRDefault="00A51A71" w:rsidP="00A51A71">
                      <w:pPr>
                        <w:spacing w:line="257" w:lineRule="auto"/>
                        <w:ind w:right="666"/>
                        <w:rPr>
                          <w:sz w:val="18"/>
                          <w:szCs w:val="18"/>
                        </w:rPr>
                      </w:pPr>
                      <w:r w:rsidRPr="00FB1BA6">
                        <w:rPr>
                          <w:rFonts w:ascii="Cambria" w:eastAsia="Cambria" w:hAnsi="Cambria" w:cs="Cambria"/>
                          <w:b/>
                          <w:bCs/>
                          <w:color w:val="000000" w:themeColor="text1"/>
                          <w:sz w:val="18"/>
                          <w:szCs w:val="18"/>
                        </w:rPr>
                        <w:t xml:space="preserve">Mayor Bryan Cox </w:t>
                      </w:r>
                    </w:p>
                    <w:p w14:paraId="2E7D53A7" w14:textId="77777777" w:rsidR="00A51A71" w:rsidRPr="00FB1BA6" w:rsidRDefault="00A51A71" w:rsidP="00A51A71">
                      <w:pPr>
                        <w:spacing w:line="257" w:lineRule="auto"/>
                        <w:ind w:right="710"/>
                        <w:rPr>
                          <w:sz w:val="18"/>
                          <w:szCs w:val="18"/>
                        </w:rPr>
                      </w:pPr>
                      <w:r w:rsidRPr="00FB1BA6">
                        <w:rPr>
                          <w:rFonts w:ascii="Cambria" w:eastAsia="Cambria" w:hAnsi="Cambria" w:cs="Cambria"/>
                          <w:b/>
                          <w:bCs/>
                          <w:color w:val="000000" w:themeColor="text1"/>
                          <w:sz w:val="18"/>
                          <w:szCs w:val="18"/>
                        </w:rPr>
                        <w:t>PC Chair Melinda Lee</w:t>
                      </w:r>
                      <w:r w:rsidRPr="00FB1BA6">
                        <w:rPr>
                          <w:rFonts w:ascii="Cambria" w:eastAsia="Cambria" w:hAnsi="Cambria" w:cs="Cambria"/>
                          <w:color w:val="000000" w:themeColor="text1"/>
                          <w:sz w:val="18"/>
                          <w:szCs w:val="18"/>
                        </w:rPr>
                        <w:t xml:space="preserve"> </w:t>
                      </w:r>
                    </w:p>
                    <w:p w14:paraId="18FF02F0" w14:textId="77777777" w:rsidR="00A51A71" w:rsidRPr="00FB1BA6" w:rsidRDefault="00A51A71" w:rsidP="00A51A71">
                      <w:pPr>
                        <w:spacing w:line="257" w:lineRule="auto"/>
                        <w:ind w:right="700"/>
                        <w:rPr>
                          <w:sz w:val="18"/>
                          <w:szCs w:val="18"/>
                        </w:rPr>
                      </w:pPr>
                      <w:r w:rsidRPr="00FB1BA6">
                        <w:rPr>
                          <w:rFonts w:ascii="Cambria" w:eastAsia="Cambria" w:hAnsi="Cambria" w:cs="Cambria"/>
                          <w:color w:val="000000" w:themeColor="text1"/>
                          <w:sz w:val="18"/>
                          <w:szCs w:val="18"/>
                        </w:rPr>
                        <w:t xml:space="preserve">Commissioner Michael Mowes </w:t>
                      </w:r>
                    </w:p>
                    <w:p w14:paraId="0A207FCA" w14:textId="77777777" w:rsidR="00A51A71" w:rsidRPr="00FB1BA6" w:rsidRDefault="00A51A71" w:rsidP="00A51A71">
                      <w:pPr>
                        <w:spacing w:line="257" w:lineRule="auto"/>
                        <w:ind w:right="700"/>
                        <w:rPr>
                          <w:sz w:val="18"/>
                          <w:szCs w:val="18"/>
                        </w:rPr>
                      </w:pPr>
                      <w:r w:rsidRPr="00FB1BA6">
                        <w:rPr>
                          <w:rFonts w:ascii="Cambria" w:eastAsia="Cambria" w:hAnsi="Cambria" w:cs="Cambria"/>
                          <w:color w:val="000000" w:themeColor="text1"/>
                          <w:sz w:val="18"/>
                          <w:szCs w:val="18"/>
                        </w:rPr>
                        <w:t xml:space="preserve">Commissioner Heather Taylor </w:t>
                      </w:r>
                    </w:p>
                    <w:p w14:paraId="1BD3309E" w14:textId="77777777" w:rsidR="00A51A71" w:rsidRPr="00FB1BA6" w:rsidRDefault="00A51A71" w:rsidP="00A51A71">
                      <w:pPr>
                        <w:tabs>
                          <w:tab w:val="center" w:pos="3321"/>
                          <w:tab w:val="left" w:pos="8911"/>
                        </w:tabs>
                        <w:spacing w:line="257" w:lineRule="auto"/>
                        <w:ind w:right="720"/>
                        <w:rPr>
                          <w:sz w:val="18"/>
                          <w:szCs w:val="18"/>
                        </w:rPr>
                      </w:pPr>
                      <w:r w:rsidRPr="00FB1BA6">
                        <w:rPr>
                          <w:rFonts w:ascii="Calibri" w:eastAsia="Calibri" w:hAnsi="Calibri" w:cs="Calibri"/>
                          <w:color w:val="000000" w:themeColor="text1"/>
                          <w:sz w:val="18"/>
                          <w:szCs w:val="18"/>
                        </w:rPr>
                        <w:t>C</w:t>
                      </w:r>
                      <w:r w:rsidRPr="00FB1BA6">
                        <w:rPr>
                          <w:rFonts w:ascii="Cambria" w:eastAsia="Cambria" w:hAnsi="Cambria" w:cs="Cambria"/>
                          <w:color w:val="000000" w:themeColor="text1"/>
                          <w:sz w:val="18"/>
                          <w:szCs w:val="18"/>
                        </w:rPr>
                        <w:t xml:space="preserve">ommissioner Charlene Williams  </w:t>
                      </w:r>
                    </w:p>
                    <w:p w14:paraId="0FFCD4C6" w14:textId="77777777" w:rsidR="00A51A71" w:rsidRPr="00FB1BA6" w:rsidRDefault="00A51A71" w:rsidP="00A51A71">
                      <w:pPr>
                        <w:spacing w:line="257" w:lineRule="auto"/>
                        <w:ind w:right="700"/>
                        <w:rPr>
                          <w:sz w:val="18"/>
                          <w:szCs w:val="18"/>
                        </w:rPr>
                      </w:pPr>
                      <w:r w:rsidRPr="00FB1BA6">
                        <w:rPr>
                          <w:rFonts w:ascii="Cambria" w:eastAsia="Cambria" w:hAnsi="Cambria" w:cs="Cambria"/>
                          <w:color w:val="000000" w:themeColor="text1"/>
                          <w:sz w:val="18"/>
                          <w:szCs w:val="18"/>
                        </w:rPr>
                        <w:t xml:space="preserve">Commissioner Ned Hansen </w:t>
                      </w:r>
                    </w:p>
                    <w:p w14:paraId="07E9B947" w14:textId="54C95979" w:rsidR="00A51A71" w:rsidRDefault="00A51A71"/>
                  </w:txbxContent>
                </v:textbox>
                <w10:wrap type="square"/>
              </v:shape>
            </w:pict>
          </mc:Fallback>
        </mc:AlternateContent>
      </w:r>
    </w:p>
    <w:p w14:paraId="639613C8" w14:textId="77777777" w:rsidR="00FB1BA6" w:rsidRDefault="00FB1BA6" w:rsidP="00FB1BA6">
      <w:pPr>
        <w:pStyle w:val="Heading1"/>
        <w:spacing w:after="0"/>
        <w:jc w:val="center"/>
        <w:rPr>
          <w:sz w:val="30"/>
          <w:szCs w:val="30"/>
        </w:rPr>
      </w:pPr>
      <w:r>
        <w:rPr>
          <w:sz w:val="30"/>
          <w:szCs w:val="30"/>
        </w:rPr>
        <w:t xml:space="preserve">                                       </w:t>
      </w:r>
    </w:p>
    <w:p w14:paraId="02F49DED" w14:textId="77777777" w:rsidR="00FB1BA6" w:rsidRDefault="00FB1BA6" w:rsidP="00FB1BA6">
      <w:pPr>
        <w:pStyle w:val="Heading1"/>
        <w:spacing w:after="0"/>
        <w:jc w:val="center"/>
        <w:rPr>
          <w:sz w:val="30"/>
          <w:szCs w:val="30"/>
        </w:rPr>
      </w:pPr>
    </w:p>
    <w:p w14:paraId="32FC7FBB" w14:textId="77777777" w:rsidR="00FB1BA6" w:rsidRDefault="00FB1BA6" w:rsidP="00FB1BA6">
      <w:pPr>
        <w:pStyle w:val="Heading1"/>
        <w:spacing w:after="0"/>
        <w:jc w:val="center"/>
        <w:rPr>
          <w:sz w:val="30"/>
          <w:szCs w:val="30"/>
        </w:rPr>
      </w:pPr>
    </w:p>
    <w:p w14:paraId="5327BF56" w14:textId="73F90286" w:rsidR="009C613A" w:rsidRPr="00A51A71" w:rsidRDefault="007C6A11" w:rsidP="00FB1BA6">
      <w:pPr>
        <w:pStyle w:val="Heading1"/>
        <w:spacing w:after="0"/>
        <w:ind w:left="2160" w:firstLine="720"/>
        <w:jc w:val="center"/>
        <w:rPr>
          <w:sz w:val="30"/>
          <w:szCs w:val="30"/>
        </w:rPr>
      </w:pPr>
      <w:r w:rsidRPr="00A51A71">
        <w:rPr>
          <w:sz w:val="30"/>
          <w:szCs w:val="30"/>
        </w:rPr>
        <w:t>City of Hyde Park</w:t>
      </w:r>
    </w:p>
    <w:p w14:paraId="62C70838" w14:textId="32E2BA94" w:rsidR="007D1DFB" w:rsidRPr="007D1DFB" w:rsidRDefault="007D1DFB" w:rsidP="00FB1BA6">
      <w:pPr>
        <w:jc w:val="center"/>
        <w:rPr>
          <w:sz w:val="28"/>
          <w:szCs w:val="28"/>
        </w:rPr>
      </w:pPr>
      <w:r w:rsidRPr="007D1DFB">
        <w:rPr>
          <w:sz w:val="28"/>
          <w:szCs w:val="28"/>
        </w:rPr>
        <w:t>113 East Center</w:t>
      </w:r>
    </w:p>
    <w:p w14:paraId="36E41990" w14:textId="3F1C88D2" w:rsidR="009C613A" w:rsidRPr="00A51A71" w:rsidRDefault="007C6A11" w:rsidP="00FB1BA6">
      <w:pPr>
        <w:pStyle w:val="Title"/>
        <w:jc w:val="center"/>
        <w:rPr>
          <w:sz w:val="30"/>
          <w:szCs w:val="30"/>
        </w:rPr>
      </w:pPr>
      <w:r w:rsidRPr="00A51A71">
        <w:rPr>
          <w:sz w:val="30"/>
          <w:szCs w:val="30"/>
        </w:rPr>
        <w:t>Planning Commission</w:t>
      </w:r>
    </w:p>
    <w:p w14:paraId="67B5828D" w14:textId="44B9BDF3" w:rsidR="009C613A" w:rsidRPr="007D1DFB" w:rsidRDefault="007C6A11" w:rsidP="00FB1BA6">
      <w:pPr>
        <w:pStyle w:val="Heading1"/>
        <w:spacing w:after="0"/>
        <w:jc w:val="center"/>
        <w:rPr>
          <w:sz w:val="28"/>
          <w:szCs w:val="28"/>
        </w:rPr>
      </w:pPr>
      <w:r w:rsidRPr="007D1DFB">
        <w:rPr>
          <w:sz w:val="28"/>
          <w:szCs w:val="28"/>
        </w:rPr>
        <w:t>Meeting minutes</w:t>
      </w:r>
    </w:p>
    <w:p w14:paraId="77D9F7D4" w14:textId="24B8EF11" w:rsidR="00F63393" w:rsidRDefault="00663C27" w:rsidP="00FB1BA6">
      <w:pPr>
        <w:jc w:val="center"/>
        <w:rPr>
          <w:sz w:val="28"/>
          <w:szCs w:val="28"/>
        </w:rPr>
      </w:pPr>
      <w:r>
        <w:rPr>
          <w:sz w:val="28"/>
          <w:szCs w:val="28"/>
        </w:rPr>
        <w:t>May 20</w:t>
      </w:r>
      <w:r w:rsidR="00F63393">
        <w:rPr>
          <w:sz w:val="28"/>
          <w:szCs w:val="28"/>
        </w:rPr>
        <w:t>, 2026</w:t>
      </w:r>
    </w:p>
    <w:p w14:paraId="17697504" w14:textId="5F77CB6C" w:rsidR="00A2703D" w:rsidRDefault="00A2703D" w:rsidP="00FB1BA6">
      <w:pPr>
        <w:jc w:val="center"/>
        <w:rPr>
          <w:sz w:val="28"/>
          <w:szCs w:val="28"/>
        </w:rPr>
      </w:pPr>
      <w:r>
        <w:rPr>
          <w:sz w:val="28"/>
          <w:szCs w:val="28"/>
        </w:rPr>
        <w:t>7:00 pm</w:t>
      </w:r>
    </w:p>
    <w:p w14:paraId="74FC9455" w14:textId="77777777" w:rsidR="00B227A6" w:rsidRPr="00F63393" w:rsidRDefault="00B227A6" w:rsidP="00B227A6">
      <w:pPr>
        <w:jc w:val="center"/>
        <w:rPr>
          <w:sz w:val="28"/>
          <w:szCs w:val="28"/>
        </w:rPr>
      </w:pPr>
    </w:p>
    <w:p w14:paraId="395E41E0" w14:textId="5C2DA843" w:rsidR="009C613A" w:rsidRPr="007D1DFB" w:rsidRDefault="007C6A11" w:rsidP="00A23B72">
      <w:pPr>
        <w:pStyle w:val="Heading2"/>
        <w:spacing w:before="0" w:after="0"/>
        <w:rPr>
          <w:b/>
          <w:bCs/>
          <w:sz w:val="28"/>
          <w:szCs w:val="28"/>
          <w:u w:val="single"/>
        </w:rPr>
      </w:pPr>
      <w:r w:rsidRPr="007D1DFB">
        <w:rPr>
          <w:b/>
          <w:bCs/>
          <w:sz w:val="28"/>
          <w:szCs w:val="28"/>
          <w:u w:val="single"/>
        </w:rPr>
        <w:t xml:space="preserve">Call </w:t>
      </w:r>
      <w:r w:rsidR="007E630D" w:rsidRPr="007D1DFB">
        <w:rPr>
          <w:b/>
          <w:bCs/>
          <w:sz w:val="28"/>
          <w:szCs w:val="28"/>
          <w:u w:val="single"/>
        </w:rPr>
        <w:t>t</w:t>
      </w:r>
      <w:r w:rsidRPr="007D1DFB">
        <w:rPr>
          <w:b/>
          <w:bCs/>
          <w:sz w:val="28"/>
          <w:szCs w:val="28"/>
          <w:u w:val="single"/>
        </w:rPr>
        <w:t>o Order &amp; Take Roll</w:t>
      </w:r>
    </w:p>
    <w:p w14:paraId="18D1706D" w14:textId="18B02E4D" w:rsidR="00663C27" w:rsidRDefault="00663C27" w:rsidP="00663C27">
      <w:pPr>
        <w:spacing w:after="150"/>
      </w:pPr>
      <w:r>
        <w:t>Commission Chair Melinda Lee called the meeting to order at approximately 7:05 PM</w:t>
      </w:r>
      <w:r w:rsidR="00CF0754">
        <w:t xml:space="preserve">. </w:t>
      </w:r>
      <w:r>
        <w:t>Chair Lee conducted roll call and identified those present.</w:t>
      </w:r>
    </w:p>
    <w:p w14:paraId="35D2C0B8" w14:textId="77777777" w:rsidR="00663C27" w:rsidRDefault="00663C27" w:rsidP="00663C27">
      <w:pPr>
        <w:spacing w:after="150"/>
      </w:pPr>
      <w:r>
        <w:t>Present: Commission Chair Melinda Lee, Commissioner Michael Mowes, Commissioner Charlene Williams, Commissioner Ned Hansen</w:t>
      </w:r>
    </w:p>
    <w:p w14:paraId="71381261" w14:textId="77777777" w:rsidR="00663C27" w:rsidRDefault="00663C27" w:rsidP="00663C27">
      <w:pPr>
        <w:spacing w:after="150"/>
      </w:pPr>
      <w:r>
        <w:t>Absent: Commissioner Heather Taylor</w:t>
      </w:r>
    </w:p>
    <w:p w14:paraId="0A27E2F0" w14:textId="0B68235F" w:rsidR="00570F54" w:rsidRPr="00C27C17" w:rsidRDefault="001A2C8A" w:rsidP="00A23B72">
      <w:pPr>
        <w:rPr>
          <w:b/>
          <w:bCs/>
          <w:sz w:val="24"/>
          <w:szCs w:val="24"/>
        </w:rPr>
      </w:pPr>
      <w:r w:rsidRPr="00C27C17">
        <w:rPr>
          <w:b/>
          <w:bCs/>
          <w:sz w:val="24"/>
          <w:szCs w:val="24"/>
        </w:rPr>
        <w:t>C</w:t>
      </w:r>
      <w:r w:rsidR="00570F54" w:rsidRPr="00C27C17">
        <w:rPr>
          <w:b/>
          <w:bCs/>
          <w:sz w:val="24"/>
          <w:szCs w:val="24"/>
        </w:rPr>
        <w:t>ity staff present</w:t>
      </w:r>
    </w:p>
    <w:p w14:paraId="733D4032" w14:textId="469BF9D3" w:rsidR="00570F54" w:rsidRPr="00C27C17" w:rsidRDefault="00570F54" w:rsidP="00A23B72">
      <w:pPr>
        <w:rPr>
          <w:sz w:val="24"/>
          <w:szCs w:val="24"/>
        </w:rPr>
      </w:pPr>
      <w:r w:rsidRPr="00C27C17">
        <w:rPr>
          <w:sz w:val="24"/>
          <w:szCs w:val="24"/>
        </w:rPr>
        <w:t xml:space="preserve">City Planner Machael Layton, </w:t>
      </w:r>
      <w:r w:rsidR="00C27C17" w:rsidRPr="00C27C17">
        <w:rPr>
          <w:sz w:val="24"/>
          <w:szCs w:val="24"/>
        </w:rPr>
        <w:t>City Administrator Marcus Allton</w:t>
      </w:r>
    </w:p>
    <w:p w14:paraId="3C4666A3" w14:textId="02088EB3" w:rsidR="00570F54" w:rsidRPr="00C27C17" w:rsidRDefault="00570F54" w:rsidP="00A23B72">
      <w:pPr>
        <w:rPr>
          <w:b/>
          <w:bCs/>
          <w:sz w:val="24"/>
          <w:szCs w:val="24"/>
        </w:rPr>
      </w:pPr>
      <w:r w:rsidRPr="00C27C17">
        <w:rPr>
          <w:b/>
          <w:bCs/>
          <w:sz w:val="24"/>
          <w:szCs w:val="24"/>
        </w:rPr>
        <w:t>Others present</w:t>
      </w:r>
    </w:p>
    <w:p w14:paraId="302726F9" w14:textId="3785A661" w:rsidR="00570F54" w:rsidRPr="00C27C17" w:rsidRDefault="00C27C17" w:rsidP="00A23B72">
      <w:pPr>
        <w:rPr>
          <w:sz w:val="24"/>
          <w:szCs w:val="24"/>
        </w:rPr>
      </w:pPr>
      <w:r w:rsidRPr="00C27C17">
        <w:rPr>
          <w:sz w:val="24"/>
          <w:szCs w:val="24"/>
        </w:rPr>
        <w:t>Bryan Cox</w:t>
      </w:r>
      <w:r w:rsidR="0045688D">
        <w:rPr>
          <w:sz w:val="24"/>
          <w:szCs w:val="24"/>
        </w:rPr>
        <w:t xml:space="preserve">, </w:t>
      </w:r>
      <w:r w:rsidR="00663C27">
        <w:rPr>
          <w:sz w:val="24"/>
          <w:szCs w:val="24"/>
        </w:rPr>
        <w:t>Dave Fowles, Thayne Braegger, Bryce Goodin</w:t>
      </w:r>
    </w:p>
    <w:p w14:paraId="567BF20D" w14:textId="77777777" w:rsidR="00A23B72" w:rsidRDefault="00A23B72" w:rsidP="00A23B72"/>
    <w:p w14:paraId="7DF1C1BC" w14:textId="77777777" w:rsidR="009C613A" w:rsidRPr="00CF0754" w:rsidRDefault="007C6A11" w:rsidP="00A23B72">
      <w:pPr>
        <w:pStyle w:val="Heading2"/>
        <w:spacing w:before="0" w:after="0"/>
        <w:rPr>
          <w:b/>
          <w:bCs/>
          <w:sz w:val="28"/>
          <w:szCs w:val="28"/>
          <w:u w:val="single"/>
        </w:rPr>
      </w:pPr>
      <w:r w:rsidRPr="00CF0754">
        <w:rPr>
          <w:b/>
          <w:bCs/>
          <w:sz w:val="28"/>
          <w:szCs w:val="28"/>
          <w:u w:val="single"/>
        </w:rPr>
        <w:t>Opening Remarks</w:t>
      </w:r>
    </w:p>
    <w:p w14:paraId="21FB8066" w14:textId="77777777" w:rsidR="00663C27" w:rsidRDefault="00663C27" w:rsidP="00663C27">
      <w:pPr>
        <w:spacing w:after="150"/>
      </w:pPr>
      <w:r>
        <w:t>Commission Chair Lee led the Commission in an invocation and the Pledge of Allegiance.</w:t>
      </w:r>
    </w:p>
    <w:p w14:paraId="7506ECEE" w14:textId="1ABFFDB3" w:rsidR="009C613A" w:rsidRPr="00CF0754" w:rsidRDefault="007C6A11" w:rsidP="00A23B72">
      <w:pPr>
        <w:pStyle w:val="Heading2"/>
        <w:spacing w:before="0" w:after="0"/>
        <w:rPr>
          <w:b/>
          <w:bCs/>
          <w:sz w:val="28"/>
          <w:szCs w:val="28"/>
          <w:u w:val="single"/>
        </w:rPr>
      </w:pPr>
      <w:r w:rsidRPr="00CF0754">
        <w:rPr>
          <w:b/>
          <w:bCs/>
          <w:sz w:val="28"/>
          <w:szCs w:val="28"/>
          <w:u w:val="single"/>
        </w:rPr>
        <w:t xml:space="preserve">Approval </w:t>
      </w:r>
      <w:r w:rsidR="007E630D" w:rsidRPr="00CF0754">
        <w:rPr>
          <w:b/>
          <w:bCs/>
          <w:sz w:val="28"/>
          <w:szCs w:val="28"/>
          <w:u w:val="single"/>
        </w:rPr>
        <w:t>o</w:t>
      </w:r>
      <w:r w:rsidRPr="00CF0754">
        <w:rPr>
          <w:b/>
          <w:bCs/>
          <w:sz w:val="28"/>
          <w:szCs w:val="28"/>
          <w:u w:val="single"/>
        </w:rPr>
        <w:t>f Minutes</w:t>
      </w:r>
    </w:p>
    <w:p w14:paraId="3EBCC913" w14:textId="77777777" w:rsidR="00663C27" w:rsidRDefault="00663C27" w:rsidP="00663C27">
      <w:pPr>
        <w:spacing w:after="150"/>
      </w:pPr>
      <w:r>
        <w:t>Chair Lee asked if any commissioners had comments or corrections to the minutes from the April 15, 2026, meeting. Commissioners Mowes, Hansen, and Williams indicated they had no issues with the minutes as presented.</w:t>
      </w:r>
    </w:p>
    <w:p w14:paraId="6B7ABFAE" w14:textId="77777777" w:rsidR="00663C27" w:rsidRDefault="00663C27" w:rsidP="00663C27">
      <w:pPr>
        <w:pStyle w:val="Aside"/>
        <w:spacing w:before="120" w:after="120"/>
      </w:pPr>
      <w:r>
        <w:t>Motion to approve the minutes from April 15, 2026, meeting as written was made by Commissioner Mowes and seconded by Commissioner Hansen. The motion carried unanimously.</w:t>
      </w:r>
    </w:p>
    <w:p w14:paraId="5FD50983" w14:textId="77777777" w:rsidR="009C613A" w:rsidRPr="00CF0754" w:rsidRDefault="007C6A11" w:rsidP="00A23B72">
      <w:pPr>
        <w:pStyle w:val="Heading2"/>
        <w:spacing w:before="0" w:after="0"/>
        <w:rPr>
          <w:b/>
          <w:bCs/>
          <w:sz w:val="28"/>
          <w:szCs w:val="28"/>
          <w:u w:val="single"/>
        </w:rPr>
      </w:pPr>
      <w:r w:rsidRPr="00CF0754">
        <w:rPr>
          <w:b/>
          <w:bCs/>
          <w:sz w:val="28"/>
          <w:szCs w:val="28"/>
          <w:u w:val="single"/>
        </w:rPr>
        <w:t>Planning Staff Report</w:t>
      </w:r>
    </w:p>
    <w:p w14:paraId="041A8047" w14:textId="77777777" w:rsidR="00663C27" w:rsidRDefault="00663C27" w:rsidP="00663C27">
      <w:pPr>
        <w:spacing w:after="150"/>
      </w:pPr>
      <w:r>
        <w:t>City Planner Machael Layton delivered the planning staff report and offered two announcements. First, she informed the Commission that the city had brought on an intern from Utah State University who had been working and training alongside staff that day, and that commissioners and members of the public might see him present at the building. Second, and more consequentially for the evening's agenda, City Planner Layton announced that agenda item 6b — Recommendation for Schreiber Foods Development Agreement had been pulled from the agenda at the request of the applicant and would therefore not be heard that evening.</w:t>
      </w:r>
    </w:p>
    <w:p w14:paraId="600C4FA5" w14:textId="77777777" w:rsidR="00D54C94" w:rsidRPr="00D54C94" w:rsidRDefault="00D54C94" w:rsidP="00D54C94"/>
    <w:p w14:paraId="07203619" w14:textId="4DBCD8E5" w:rsidR="009C613A" w:rsidRPr="00CF0754" w:rsidRDefault="005B187E" w:rsidP="00A23B72">
      <w:pPr>
        <w:pStyle w:val="Heading2"/>
        <w:spacing w:before="0" w:after="0"/>
        <w:rPr>
          <w:b/>
          <w:bCs/>
          <w:sz w:val="28"/>
          <w:szCs w:val="28"/>
        </w:rPr>
      </w:pPr>
      <w:r w:rsidRPr="00CF0754">
        <w:rPr>
          <w:b/>
          <w:bCs/>
          <w:sz w:val="28"/>
          <w:szCs w:val="28"/>
          <w:u w:val="single"/>
        </w:rPr>
        <w:t>Administrative</w:t>
      </w:r>
      <w:r w:rsidR="007C6A11" w:rsidRPr="00CF0754">
        <w:rPr>
          <w:b/>
          <w:bCs/>
          <w:sz w:val="28"/>
          <w:szCs w:val="28"/>
          <w:u w:val="single"/>
        </w:rPr>
        <w:t xml:space="preserve"> Items</w:t>
      </w:r>
      <w:r w:rsidR="00663C27" w:rsidRPr="00CF0754">
        <w:rPr>
          <w:b/>
          <w:bCs/>
          <w:sz w:val="28"/>
          <w:szCs w:val="28"/>
          <w:u w:val="single"/>
        </w:rPr>
        <w:t xml:space="preserve"> </w:t>
      </w:r>
      <w:r w:rsidR="00663C27" w:rsidRPr="00CF0754">
        <w:rPr>
          <w:b/>
          <w:bCs/>
          <w:sz w:val="28"/>
          <w:szCs w:val="28"/>
        </w:rPr>
        <w:t xml:space="preserve">   </w:t>
      </w:r>
    </w:p>
    <w:p w14:paraId="41A74E11" w14:textId="536024DB" w:rsidR="005B187E" w:rsidRPr="00CF0754" w:rsidRDefault="005B187E" w:rsidP="005B187E">
      <w:pPr>
        <w:pStyle w:val="Heading3"/>
        <w:rPr>
          <w:b/>
          <w:bCs/>
        </w:rPr>
      </w:pPr>
      <w:r w:rsidRPr="00CF0754">
        <w:rPr>
          <w:b/>
          <w:bCs/>
        </w:rPr>
        <w:t xml:space="preserve">Recommendation for Steve Regan Site Plan Amendment </w:t>
      </w:r>
    </w:p>
    <w:p w14:paraId="4A6AAF80" w14:textId="77777777" w:rsidR="005B187E" w:rsidRDefault="005B187E" w:rsidP="005B187E">
      <w:pPr>
        <w:spacing w:after="150"/>
      </w:pPr>
      <w:r>
        <w:t>City Planner Layton presented the staff report for this item, noting that the applicant's representative, Cody Bartlett, did not appear to be in attendance. She directed the Commission's attention to the previously distributed meeting minutes from the Planning Commission meeting at which the original site plan was approved, along with its conditions.</w:t>
      </w:r>
    </w:p>
    <w:p w14:paraId="79DBACB8" w14:textId="77777777" w:rsidR="005B187E" w:rsidRPr="00CF0754" w:rsidRDefault="005B187E" w:rsidP="005B187E">
      <w:pPr>
        <w:spacing w:after="150"/>
        <w:rPr>
          <w:b/>
          <w:bCs/>
        </w:rPr>
      </w:pPr>
      <w:r w:rsidRPr="00CF0754">
        <w:rPr>
          <w:b/>
          <w:bCs/>
        </w:rPr>
        <w:t>Background and Context</w:t>
      </w:r>
    </w:p>
    <w:p w14:paraId="7B7E0C45" w14:textId="77777777" w:rsidR="005B187E" w:rsidRDefault="005B187E" w:rsidP="005B187E">
      <w:pPr>
        <w:spacing w:after="150"/>
      </w:pPr>
      <w:r>
        <w:t xml:space="preserve">Layton explained that since the original site </w:t>
      </w:r>
      <w:proofErr w:type="gramStart"/>
      <w:r>
        <w:t>plan</w:t>
      </w:r>
      <w:proofErr w:type="gramEnd"/>
      <w:r>
        <w:t xml:space="preserve"> approval, construction on the structure had begun and was partially complete. During the inspection process, it was discovered that the building had been erected in a slightly different location than what the approved site plan called for. The city requested as-built specifications along with any other proposed changes. The applicant's submitted amendment requested two significant modifications from the original approval: (1) that a portion of the originally planned warehouse building not be constructed, and (2) that certain site improvements required under the original site plan approval not be completed at this time.</w:t>
      </w:r>
    </w:p>
    <w:p w14:paraId="2DA9B5F8" w14:textId="77777777" w:rsidR="005B187E" w:rsidRDefault="005B187E" w:rsidP="005B187E">
      <w:pPr>
        <w:spacing w:after="150"/>
      </w:pPr>
      <w:r>
        <w:t>Layton then displayed both the original and the amended site plans on the large screen for the Commission's reference. She walked through the differences, explaining that the amended plan proposed to leave unpaved a significant section of the western parking area — including what was designed as a paved delivery way — and to defer other concrete, curbing, sidewalk, and pavement improvements within a designated blue line on the amended plan. She clarified that the applicant did indicate they would still construct the stormwater retention pond.</w:t>
      </w:r>
    </w:p>
    <w:p w14:paraId="62B6AB28" w14:textId="77777777" w:rsidR="005B187E" w:rsidRPr="00CF0754" w:rsidRDefault="005B187E" w:rsidP="005B187E">
      <w:pPr>
        <w:spacing w:after="150"/>
        <w:rPr>
          <w:b/>
          <w:bCs/>
        </w:rPr>
      </w:pPr>
      <w:r w:rsidRPr="00CF0754">
        <w:rPr>
          <w:b/>
          <w:bCs/>
        </w:rPr>
        <w:t>DRC Review and Findings</w:t>
      </w:r>
    </w:p>
    <w:p w14:paraId="14D102FD" w14:textId="77777777" w:rsidR="005B187E" w:rsidRDefault="005B187E" w:rsidP="005B187E">
      <w:pPr>
        <w:spacing w:after="150"/>
      </w:pPr>
      <w:r>
        <w:t>Layton acknowledged an error in her staff report, clarifying that the item had not gone before a public hearing of the Planning Commission — only to the Development Review Committee (DRC), which met on May 12th. She reported that the DRC did not support the proposed amendment for two primary reasons:</w:t>
      </w:r>
    </w:p>
    <w:p w14:paraId="316C5524" w14:textId="77777777" w:rsidR="005B187E" w:rsidRDefault="005B187E" w:rsidP="005B187E">
      <w:pPr>
        <w:spacing w:after="150"/>
      </w:pPr>
      <w:r>
        <w:t>The first concern was stormwater management. The original stormwater pond and site drainage calculations were designed for the entire parcel, including the section that would remain unpaved under the amendment. Without the paved parking lot being completed, the DRC's engineering representative concluded that the unpaved area — which would remain gravel or bare dirt — would generate significantly increased runoff, causing the retention pond to fill prematurely and the site to no longer meet its Stormwater Pollution Prevention Plan (SWPPP) requirements.</w:t>
      </w:r>
    </w:p>
    <w:p w14:paraId="240B0685" w14:textId="77777777" w:rsidR="005B187E" w:rsidRDefault="005B187E" w:rsidP="005B187E">
      <w:pPr>
        <w:spacing w:after="150"/>
      </w:pPr>
      <w:r>
        <w:t>The second concern was fire code compliance. The approved fire truck turnaround route required a truck to enter from the north, circulate through the parking lot, travel around the south, west, and back out. Because the building had been placed slightly closer to the property line than originally planned, there was insufficient physical space for a large fire truck to complete the required turning radius. Combined with the absence of a compacted hard surface on the western side, the fire department's DRC representative determined the site would not meet fire code as presented.</w:t>
      </w:r>
    </w:p>
    <w:p w14:paraId="5605D7E2" w14:textId="77777777" w:rsidR="005B187E" w:rsidRDefault="005B187E" w:rsidP="005B187E">
      <w:pPr>
        <w:spacing w:after="150"/>
      </w:pPr>
      <w:r>
        <w:lastRenderedPageBreak/>
        <w:t>Layton also noted that it had come to the city's attention that rather than the building being used solely for the Steve Regan business as originally understood, the intention was now to bring in multiple tenants. This would require a tenant improvement permit and would necessitate a recalculation of parking requirements based on the mix and number of uses — calculations the applicant had not yet provided.</w:t>
      </w:r>
    </w:p>
    <w:p w14:paraId="3937E274" w14:textId="77777777" w:rsidR="005B187E" w:rsidRPr="00CF0754" w:rsidRDefault="005B187E" w:rsidP="005B187E">
      <w:pPr>
        <w:spacing w:after="150"/>
        <w:rPr>
          <w:b/>
          <w:bCs/>
        </w:rPr>
      </w:pPr>
      <w:r w:rsidRPr="00CF0754">
        <w:rPr>
          <w:b/>
          <w:bCs/>
        </w:rPr>
        <w:t>Commission Discussion</w:t>
      </w:r>
    </w:p>
    <w:p w14:paraId="2FF73E74" w14:textId="77777777" w:rsidR="005B187E" w:rsidRDefault="005B187E" w:rsidP="005B187E">
      <w:pPr>
        <w:spacing w:after="150"/>
      </w:pPr>
      <w:r>
        <w:t>The discussion among commissioners was substantive. Commissioner Hansen opened by suggesting that the fire truck turnaround issue was the more definitive problem, characterizing it as a "deal breaker" because, unlike stormwater calculations which might potentially be revised to account for percolation through gravel, the physical constraints of the building's placement could not be easily resolved. He acknowledged that stormwater might theoretically be workable — noting that water percolates through gravel differently than off pavement — but maintained that the fire access issue was likely insurmountable without significant changes.</w:t>
      </w:r>
    </w:p>
    <w:p w14:paraId="3B23B877" w14:textId="77777777" w:rsidR="005B187E" w:rsidRDefault="005B187E" w:rsidP="005B187E">
      <w:pPr>
        <w:spacing w:after="150"/>
      </w:pPr>
      <w:r>
        <w:t>Commissioner Mowes raised a practical question about whether a simple correction to the plan — such as explicitly specifying "compacted road base" rather than leaving the surface type ambiguous — might be sufficient to satisfy the fire department's concerns. Layton clarified that the DRC's role was to evaluate what was submitted, not to consult applicants on how to correct deficiencies. As submitted, the fire department's answer was that the plan was not acceptable. She confirmed that if the applicant wished to make corrections, the amended plan would need to return to the DRC for review and then back to the Planning Commission for a recommendation.</w:t>
      </w:r>
    </w:p>
    <w:p w14:paraId="64687C47" w14:textId="77777777" w:rsidR="005B187E" w:rsidRDefault="005B187E" w:rsidP="005B187E">
      <w:pPr>
        <w:spacing w:after="150"/>
      </w:pPr>
      <w:r>
        <w:t>Commissioner Mowes also asked whether, if the fire department independently confirmed a specific change would satisfy their requirements, the plan could bypass the full review cycle. Layton was clear that the process requires changes to go back through DRC first and then return to Planning Commission for another recommendation — regardless of informal consultations.</w:t>
      </w:r>
    </w:p>
    <w:p w14:paraId="1774A1D6" w14:textId="77777777" w:rsidR="005B187E" w:rsidRDefault="005B187E" w:rsidP="005B187E">
      <w:pPr>
        <w:spacing w:after="150"/>
      </w:pPr>
      <w:r>
        <w:t>Commissioners also flagged the stormwater issue independently. Layton reiterated that the engineering DRC comments were firm: the storm water calculations were made for the whole parcel, the pond was sized for the whole lot, and not completing the paved improvements would require an entirely new set of calculations. Chair Lee expressed that she was not satisfied with the stormwater piece either, reinforcing that both the fire and stormwater issues were problematic.</w:t>
      </w:r>
    </w:p>
    <w:p w14:paraId="707153C0" w14:textId="77777777" w:rsidR="005B187E" w:rsidRDefault="005B187E" w:rsidP="005B187E">
      <w:pPr>
        <w:spacing w:after="150"/>
      </w:pPr>
      <w:r>
        <w:t>Commissioner Williams raised the question of whether the applicant had provided any timeline or rationale for the deferral of improvements, to which Layton responded that they had not given a specific date or reason, though Commissioner Hansen offered the informal observation that they had likely run short of funds.</w:t>
      </w:r>
    </w:p>
    <w:p w14:paraId="46A6D1C1" w14:textId="77777777" w:rsidR="005B187E" w:rsidRDefault="005B187E" w:rsidP="005B187E">
      <w:pPr>
        <w:spacing w:after="150"/>
      </w:pPr>
      <w:r>
        <w:t>Chair Lee also briefly raised questions about the lot's future subdivision intentions and the relationship between the UDOT-deferred highway improvements and the current site improvements. Layton clarified that the UDOT highway improvements had been deferred to the time of subdivision, that the property was currently one parcel, and that the Center Street improvements had been completed and accepted by the city.</w:t>
      </w:r>
    </w:p>
    <w:p w14:paraId="08C9AD43" w14:textId="77777777" w:rsidR="005B187E" w:rsidRDefault="005B187E" w:rsidP="005B187E">
      <w:pPr>
        <w:spacing w:after="150"/>
      </w:pPr>
      <w:r>
        <w:t xml:space="preserve">The Commission noted that the applicant was not present and therefore could not provide clarification. Commissioner Mowes wanted it clearly noted — for the benefit of anyone reviewing the record or the feedback letter — those specific corrections, such as specifying </w:t>
      </w:r>
      <w:r>
        <w:lastRenderedPageBreak/>
        <w:t>compacted road base, might be a path forward should the applicant choose to resubmit. Layton confirmed that the feedback letter sent after the meeting would communicate the Commission's findings to the applicant.</w:t>
      </w:r>
    </w:p>
    <w:p w14:paraId="3C089624" w14:textId="77777777" w:rsidR="005B187E" w:rsidRDefault="005B187E" w:rsidP="005B187E">
      <w:pPr>
        <w:pStyle w:val="Aside"/>
        <w:spacing w:before="120" w:after="120"/>
      </w:pPr>
      <w:r>
        <w:t>Motion to forward an unfavorable recommendation to the Zoning Administrator for the Steve Regan Site Plan Amendment was made by Commissioner Hansen and seconded by Chair Lee. The motion carried unanimously.</w:t>
      </w:r>
    </w:p>
    <w:p w14:paraId="16B80DF2" w14:textId="77777777" w:rsidR="005B187E" w:rsidRDefault="005B187E" w:rsidP="005B187E"/>
    <w:p w14:paraId="69DC8791" w14:textId="77777777" w:rsidR="005B187E" w:rsidRPr="00CF0754" w:rsidRDefault="005B187E" w:rsidP="005B187E">
      <w:pPr>
        <w:pStyle w:val="Heading2"/>
        <w:rPr>
          <w:b/>
          <w:bCs/>
          <w:sz w:val="28"/>
          <w:szCs w:val="28"/>
        </w:rPr>
      </w:pPr>
      <w:r w:rsidRPr="00CF0754">
        <w:rPr>
          <w:b/>
          <w:bCs/>
          <w:sz w:val="28"/>
          <w:szCs w:val="28"/>
        </w:rPr>
        <w:t>Legislative Items</w:t>
      </w:r>
    </w:p>
    <w:p w14:paraId="4C49AAE7" w14:textId="77777777" w:rsidR="005B187E" w:rsidRDefault="005B187E" w:rsidP="005B187E">
      <w:pPr>
        <w:pStyle w:val="Heading3"/>
      </w:pPr>
      <w:r>
        <w:t xml:space="preserve">a. </w:t>
      </w:r>
      <w:r w:rsidRPr="00A51A71">
        <w:rPr>
          <w:b/>
          <w:bCs/>
        </w:rPr>
        <w:t>Public Hearing for Ordinance 2026-05 Use Table</w:t>
      </w:r>
      <w:r>
        <w:t xml:space="preserve"> </w:t>
      </w:r>
    </w:p>
    <w:p w14:paraId="412E48F8" w14:textId="77777777" w:rsidR="005B187E" w:rsidRDefault="005B187E" w:rsidP="005B187E">
      <w:pPr>
        <w:spacing w:after="150"/>
      </w:pPr>
      <w:r>
        <w:t>City Planner Layton presented the proposed amendments to the city's land use table under Ordinance 2026-05. She reminded the Commission that a public hearing on this item had been properly opened and closed at a prior meeting, with no public comments received. The item was now before the Commission for a recommendation to the City Council, which holds authority to adopt the ordinance and codify the changes.</w:t>
      </w:r>
    </w:p>
    <w:p w14:paraId="27B21EE6" w14:textId="77777777" w:rsidR="005B187E" w:rsidRDefault="005B187E" w:rsidP="005B187E">
      <w:pPr>
        <w:spacing w:after="150"/>
      </w:pPr>
      <w:r>
        <w:t>Overview of Changes</w:t>
      </w:r>
    </w:p>
    <w:p w14:paraId="775817FF" w14:textId="15B97D52" w:rsidR="005B187E" w:rsidRDefault="005B187E" w:rsidP="005B187E">
      <w:pPr>
        <w:spacing w:after="150"/>
      </w:pPr>
      <w:r>
        <w:t>Layton displayed the land use table and walked the Commission through the scope of the revisions. She characterized the primary effort as a comprehensive cleanup and reorganization rather than a wholesale policy change. She described several categories of corrections: residential uses that had been incorrectly listed under residential (such as public stables and fruit and vegetable stands, are not residential uses) had been relocated to the commercial section where they belong. Similarly, certain industrial uses that had been listed under commercial and vice versa were corrected.</w:t>
      </w:r>
    </w:p>
    <w:p w14:paraId="099D858E" w14:textId="6F87A3A0" w:rsidR="005B187E" w:rsidRDefault="005B187E" w:rsidP="005B187E">
      <w:pPr>
        <w:spacing w:after="150"/>
      </w:pPr>
      <w:r>
        <w:t xml:space="preserve">A significant structural improvement was the addition of a "use-specific standards" column in the table. Layton explained that under the current table, someone looking up a use such as outdoor amusement can see whether it is permitted </w:t>
      </w:r>
      <w:r w:rsidR="002B2C1D">
        <w:t>in each</w:t>
      </w:r>
      <w:r>
        <w:t xml:space="preserve"> zone but has no direct link to the section of code that governs the development standards for that use. The new column would eventually contain specific code section references — such as a citation to a particular section number — so that applicants, residents, and staff can immediately navigate to the applicable standards. She acknowledged this column would take time to fully populate but emphasized its importance for transparency and ease of use. Commissioners expressed agreement, noting that being told to "search through the land use code and see what you can find" was not a workable approach.</w:t>
      </w:r>
    </w:p>
    <w:p w14:paraId="4571C129" w14:textId="77777777" w:rsidR="002B2C1D" w:rsidRDefault="002B2C1D" w:rsidP="005B187E">
      <w:pPr>
        <w:spacing w:after="150"/>
      </w:pPr>
    </w:p>
    <w:p w14:paraId="7B194C0F" w14:textId="77777777" w:rsidR="005B187E" w:rsidRPr="002B2C1D" w:rsidRDefault="005B187E" w:rsidP="005B187E">
      <w:pPr>
        <w:spacing w:after="150"/>
        <w:rPr>
          <w:b/>
          <w:bCs/>
        </w:rPr>
      </w:pPr>
      <w:r w:rsidRPr="002B2C1D">
        <w:rPr>
          <w:b/>
          <w:bCs/>
        </w:rPr>
        <w:t>New Uses Added</w:t>
      </w:r>
    </w:p>
    <w:p w14:paraId="1487D37D" w14:textId="77777777" w:rsidR="005B187E" w:rsidRDefault="005B187E" w:rsidP="005B187E">
      <w:pPr>
        <w:spacing w:after="150"/>
      </w:pPr>
      <w:r>
        <w:t xml:space="preserve">Layton described three new uses that were added to the table that had not been there before: wind, solar, and power plant facilities; data centers; and detention center facilities. She explained that these topics had been a focus at a recent planning conference she attended, and that guidance from that conference made clear these uses needed to be explicitly addressed in the table. Because the Commission had not yet deliberated on where these uses should or should not be allowed in the city, they were added as not permitted in </w:t>
      </w:r>
      <w:r>
        <w:lastRenderedPageBreak/>
        <w:t>any zone. The Commission could address appropriate zoning designations and development standards for each in future code amendment proceedings.</w:t>
      </w:r>
    </w:p>
    <w:p w14:paraId="39C91596" w14:textId="77777777" w:rsidR="005B187E" w:rsidRPr="00A51A71" w:rsidRDefault="005B187E" w:rsidP="005B187E">
      <w:pPr>
        <w:spacing w:after="150"/>
        <w:rPr>
          <w:b/>
          <w:bCs/>
        </w:rPr>
      </w:pPr>
      <w:r w:rsidRPr="00A51A71">
        <w:rPr>
          <w:b/>
          <w:bCs/>
        </w:rPr>
        <w:t>ADU Update</w:t>
      </w:r>
    </w:p>
    <w:p w14:paraId="724DF7A7" w14:textId="77777777" w:rsidR="005B187E" w:rsidRDefault="005B187E" w:rsidP="005B187E">
      <w:pPr>
        <w:spacing w:after="150"/>
      </w:pPr>
      <w:r>
        <w:t>Layton also noted that since the city had recently removed the conditional use permit (CUP) requirement for accessory dwelling units (ADUs), that CUP requirement was correspondingly removed from the use table as well.</w:t>
      </w:r>
    </w:p>
    <w:p w14:paraId="3422AB8B" w14:textId="77777777" w:rsidR="005B187E" w:rsidRPr="00A51A71" w:rsidRDefault="005B187E" w:rsidP="005B187E">
      <w:pPr>
        <w:spacing w:after="150"/>
        <w:rPr>
          <w:b/>
          <w:bCs/>
        </w:rPr>
      </w:pPr>
      <w:r w:rsidRPr="00A51A71">
        <w:rPr>
          <w:b/>
          <w:bCs/>
        </w:rPr>
        <w:t>Commission Discussion</w:t>
      </w:r>
    </w:p>
    <w:p w14:paraId="311BC04D" w14:textId="77777777" w:rsidR="005B187E" w:rsidRDefault="005B187E" w:rsidP="005B187E">
      <w:pPr>
        <w:spacing w:after="150"/>
      </w:pPr>
      <w:r>
        <w:t>Commissioner Hansen said he found the revised table significantly easier to read and navigate than the previous version. He mentioned that in reviewing it, he noticed some entries — particularly under mountain recreation — that seemed inconsistent or out of place, suggesting those might warrant future discussion. Layton agreed that identifying those kinds of anomalies was precisely the value of doing periodic reviews and updates.</w:t>
      </w:r>
    </w:p>
    <w:p w14:paraId="10AD046C" w14:textId="3FFCC8FC" w:rsidR="005B187E" w:rsidRDefault="005B187E" w:rsidP="005B187E">
      <w:pPr>
        <w:spacing w:after="150"/>
      </w:pPr>
      <w:r>
        <w:t xml:space="preserve">Chair Lee noted that while the document was improved, she would still benefit from horizontal </w:t>
      </w:r>
      <w:r w:rsidR="00A51A71">
        <w:t>guidelines</w:t>
      </w:r>
      <w:r>
        <w:t xml:space="preserve"> across every three to five rows to help track across wide columns without losing one's place on the page. Commissioner Williams agreed, and Layton acknowledged the difficulty, noting she experiences the same challenge working with the table </w:t>
      </w:r>
      <w:r w:rsidR="00A51A71">
        <w:t>daily</w:t>
      </w:r>
      <w:r>
        <w:t>.</w:t>
      </w:r>
    </w:p>
    <w:p w14:paraId="588F4A6C" w14:textId="77777777" w:rsidR="005B187E" w:rsidRDefault="005B187E" w:rsidP="005B187E">
      <w:pPr>
        <w:spacing w:after="150"/>
      </w:pPr>
      <w:r>
        <w:t>Commissioner Mowes returned to a point raised in the minutes from the prior meeting: the Commission had discussed adding explicit language stating that any use not listed in the table is prohibited by default. He asked whether that language could be incorporated into the table, perhaps as a footnote. Layton confirmed that this language could be included and suggested it be incorporated into the motion.</w:t>
      </w:r>
    </w:p>
    <w:p w14:paraId="0C26EB01" w14:textId="77777777" w:rsidR="005B187E" w:rsidRDefault="005B187E" w:rsidP="005B187E">
      <w:pPr>
        <w:spacing w:after="150"/>
      </w:pPr>
      <w:r>
        <w:t>Commissioner Williams formulated a motion that captured both the recommendation for adoption and the added condition regarding unlisted uses.</w:t>
      </w:r>
    </w:p>
    <w:p w14:paraId="4C1229B4" w14:textId="77777777" w:rsidR="005B187E" w:rsidRDefault="005B187E" w:rsidP="005B187E">
      <w:pPr>
        <w:pStyle w:val="Aside"/>
        <w:spacing w:before="120" w:after="120"/>
      </w:pPr>
      <w:r>
        <w:t>Motion to forward a favorable recommendation to City Council for the adoption of Ordinance 2026-05 amending the Land Use Table, with the condition that text be added to the table stating that any use not specifically listed is prohibited by default, was made by Commissioner Williams and seconded by Commissioner Hansen. The motion carried unanimously.</w:t>
      </w:r>
    </w:p>
    <w:p w14:paraId="6FD6BBE6" w14:textId="77777777" w:rsidR="005B187E" w:rsidRDefault="005B187E" w:rsidP="005B187E">
      <w:pPr>
        <w:pStyle w:val="Heading3"/>
      </w:pPr>
      <w:r>
        <w:t xml:space="preserve">b. </w:t>
      </w:r>
      <w:r w:rsidRPr="00A51A71">
        <w:rPr>
          <w:b/>
          <w:bCs/>
        </w:rPr>
        <w:t>Recommendation for Schreiber Foods Development Agreement</w:t>
      </w:r>
    </w:p>
    <w:p w14:paraId="1BF35AC5" w14:textId="77777777" w:rsidR="005B187E" w:rsidRDefault="005B187E" w:rsidP="005B187E">
      <w:pPr>
        <w:spacing w:after="150"/>
      </w:pPr>
      <w:r>
        <w:t>This item was pulled from the agenda at the request of the applicant prior to the meeting, as noted in the Planning Staff Report. No discussion or action was taken.</w:t>
      </w:r>
    </w:p>
    <w:p w14:paraId="6ACD87B8" w14:textId="77777777" w:rsidR="005B187E" w:rsidRPr="005B187E" w:rsidRDefault="005B187E" w:rsidP="005B187E"/>
    <w:p w14:paraId="11A62981" w14:textId="77777777" w:rsidR="00D54C94" w:rsidRPr="00D54C94" w:rsidRDefault="00D54C94" w:rsidP="00D54C94"/>
    <w:p w14:paraId="0BEDFA71" w14:textId="27693471" w:rsidR="009C613A" w:rsidRDefault="001626B4" w:rsidP="00B227A6">
      <w:pPr>
        <w:pStyle w:val="Heading2"/>
        <w:spacing w:before="0" w:after="0"/>
        <w:rPr>
          <w:b/>
          <w:bCs/>
          <w:u w:val="single"/>
        </w:rPr>
      </w:pPr>
      <w:r>
        <w:rPr>
          <w:b/>
          <w:bCs/>
          <w:u w:val="single"/>
        </w:rPr>
        <w:t>Discussion</w:t>
      </w:r>
      <w:r w:rsidR="007C6A11" w:rsidRPr="00A23B72">
        <w:rPr>
          <w:b/>
          <w:bCs/>
          <w:u w:val="single"/>
        </w:rPr>
        <w:t xml:space="preserve"> Items</w:t>
      </w:r>
    </w:p>
    <w:p w14:paraId="72D9B7CC" w14:textId="77777777" w:rsidR="005B187E" w:rsidRPr="00A51A71" w:rsidRDefault="005B187E" w:rsidP="005B187E">
      <w:pPr>
        <w:pStyle w:val="Heading3"/>
        <w:rPr>
          <w:b/>
          <w:bCs/>
        </w:rPr>
      </w:pPr>
      <w:r w:rsidRPr="00A51A71">
        <w:rPr>
          <w:b/>
          <w:bCs/>
        </w:rPr>
        <w:t xml:space="preserve">Recommendation for Aspen Grove DA </w:t>
      </w:r>
    </w:p>
    <w:p w14:paraId="256D0452" w14:textId="77777777" w:rsidR="005B187E" w:rsidRDefault="005B187E" w:rsidP="005B187E">
      <w:pPr>
        <w:spacing w:after="150"/>
      </w:pPr>
      <w:r>
        <w:t>Chair Lee clarified at the outset that this was a discussion item only — not a voting item — and that the Commission's role at this stage was to consider whether the proposed arrangement warrants a formal development agreement, and to provide preliminary feedback to the applicant ahead of a properly noticed public hearing.</w:t>
      </w:r>
    </w:p>
    <w:p w14:paraId="624B9754" w14:textId="1E1F9501" w:rsidR="005B187E" w:rsidRDefault="005B187E" w:rsidP="005B187E">
      <w:pPr>
        <w:spacing w:after="150"/>
      </w:pPr>
      <w:r>
        <w:lastRenderedPageBreak/>
        <w:t>City Planner Layton introduced Bryce Good</w:t>
      </w:r>
      <w:r w:rsidR="00A51A71">
        <w:t>i</w:t>
      </w:r>
      <w:r>
        <w:t xml:space="preserve">n </w:t>
      </w:r>
      <w:proofErr w:type="gramStart"/>
      <w:r>
        <w:t>of</w:t>
      </w:r>
      <w:proofErr w:type="gramEnd"/>
      <w:r>
        <w:t xml:space="preserve"> Visionary, the development company, who was present to present the project and answer questions.</w:t>
      </w:r>
    </w:p>
    <w:p w14:paraId="08F94DAE" w14:textId="77777777" w:rsidR="005B187E" w:rsidRPr="00A51A71" w:rsidRDefault="005B187E" w:rsidP="005B187E">
      <w:pPr>
        <w:spacing w:after="150"/>
        <w:rPr>
          <w:b/>
          <w:bCs/>
        </w:rPr>
      </w:pPr>
      <w:r w:rsidRPr="00A51A71">
        <w:rPr>
          <w:b/>
          <w:bCs/>
        </w:rPr>
        <w:t>Project Overview</w:t>
      </w:r>
    </w:p>
    <w:p w14:paraId="5F25CFB8" w14:textId="7B284CC6" w:rsidR="005B187E" w:rsidRDefault="005B187E" w:rsidP="005B187E">
      <w:pPr>
        <w:spacing w:after="150"/>
      </w:pPr>
      <w:r>
        <w:t>Bryce Good</w:t>
      </w:r>
      <w:r w:rsidR="00A51A71">
        <w:t>i</w:t>
      </w:r>
      <w:r>
        <w:t>n provided a comprehensive overview of the Aspen Grove project. He explained that the primary parcel was acquired from a previous owner along 600 South, and that Visionary had worked to assemble as many adjacent parcels as possible to create a single cohesive development rather than having multiple independent projects on neighboring lots proceed piecemeal under their separate zoning designations. The assembled parcels span two different zones: the southern parcel falls within the Mixed Use (MX) zone, while the remainder falls within the Residential Transition (RT) zone. The city also owns two parcels on the northern end of the site.</w:t>
      </w:r>
    </w:p>
    <w:p w14:paraId="489EB8EF" w14:textId="73227164" w:rsidR="005B187E" w:rsidRDefault="00A51A71" w:rsidP="005B187E">
      <w:pPr>
        <w:spacing w:after="150"/>
      </w:pPr>
      <w:r>
        <w:t>Goodin</w:t>
      </w:r>
      <w:r w:rsidR="005B187E">
        <w:t xml:space="preserve"> described the overall project as approximately 196 residential units, coming in at just under 11 units per acre in overall density. He acknowledged that the mixed configuration of zoning districts and the relatively narrow, elongated shape of some of the northern parcels made designing a coherent project under the existing zone standards challenging, particularly for the RT zone which has specific requirements that do not lend themselves well to the dimensions of those lots.</w:t>
      </w:r>
    </w:p>
    <w:p w14:paraId="0C2982AB" w14:textId="77777777" w:rsidR="005B187E" w:rsidRPr="00A51A71" w:rsidRDefault="005B187E" w:rsidP="005B187E">
      <w:pPr>
        <w:spacing w:after="150"/>
        <w:rPr>
          <w:b/>
          <w:bCs/>
        </w:rPr>
      </w:pPr>
      <w:r w:rsidRPr="00A51A71">
        <w:rPr>
          <w:b/>
          <w:bCs/>
        </w:rPr>
        <w:t>The Park and Land Swap</w:t>
      </w:r>
    </w:p>
    <w:p w14:paraId="2F86856E" w14:textId="52074C7E" w:rsidR="005B187E" w:rsidRDefault="005B187E" w:rsidP="005B187E">
      <w:pPr>
        <w:spacing w:after="150"/>
      </w:pPr>
      <w:r>
        <w:t xml:space="preserve">A central element of the proposal is the creation of a public park in the middle of the development. </w:t>
      </w:r>
      <w:r w:rsidR="00A51A71">
        <w:t>Goodin</w:t>
      </w:r>
      <w:r>
        <w:t xml:space="preserve"> explained that Visionary had engaged six groups of Utah State University students to develop design concepts for the park, and that rather than a conventional grass-and-playground layout, the student concepts emphasized nature-oriented features. The wetland corridor running through the site would be preserved and enhanced. Proposed amenities drawn from the student designs included fire pits, hammock areas, a sledding hill created by integrating detention ponds into landscaped mounds, a boardwalk across the wetland, trails, and an amphitheater. </w:t>
      </w:r>
      <w:r w:rsidR="00A51A71">
        <w:t>Goodin</w:t>
      </w:r>
      <w:r>
        <w:t xml:space="preserve"> was clear that these were proposed concepts intended to generate feedback — nothing was yet fully solidified.</w:t>
      </w:r>
    </w:p>
    <w:p w14:paraId="56B9A659" w14:textId="6F6237E5" w:rsidR="005B187E" w:rsidRDefault="00A51A71" w:rsidP="005B187E">
      <w:pPr>
        <w:spacing w:after="150"/>
      </w:pPr>
      <w:r>
        <w:t>Goodin</w:t>
      </w:r>
      <w:r w:rsidR="005B187E">
        <w:t xml:space="preserve"> proposed that Visionary would build this park at its own expense and then dedicate it to the city as a public park. In connection with this, a land swap was proposed involving the two city-owned parcels. One city parcel would be exchanged for a parcel currently owned by Visionary that would become part of the park area. The other city parcel — located east of 200 West — would be transferred to Visionary to allow for residential development, with Visionary transferring land elsewhere to make the geometry work. </w:t>
      </w:r>
      <w:r>
        <w:t>Goodin</w:t>
      </w:r>
      <w:r w:rsidR="005B187E">
        <w:t xml:space="preserve"> described the arrangement as something of a "real estate Rubik's cube," with the mechanics of the swap described in detail within the development agreement document.</w:t>
      </w:r>
    </w:p>
    <w:p w14:paraId="2B2F98EC" w14:textId="7E3BF0C4" w:rsidR="005B187E" w:rsidRDefault="005B187E" w:rsidP="005B187E">
      <w:pPr>
        <w:spacing w:after="150"/>
      </w:pPr>
      <w:r>
        <w:t xml:space="preserve">Additionally, </w:t>
      </w:r>
      <w:r w:rsidR="00A51A71">
        <w:t>Goodin</w:t>
      </w:r>
      <w:r>
        <w:t xml:space="preserve"> indicated that a separate piece of property on Wolfpack Way, which Visionary had not yet determined a use for, was being proposed for dedication to the city. He noted that the idea of a </w:t>
      </w:r>
      <w:r w:rsidR="00A51A71">
        <w:t>sub fire</w:t>
      </w:r>
      <w:r>
        <w:t xml:space="preserve"> station had come up in prior conversations with city staff and council members — given that current fire services run from Smithfield — and that the parcel was large enough to accommodate even a larger-scale fire station if needed. This dedication was proposed to occur when Phase 1 of the subdivision is recorded.</w:t>
      </w:r>
    </w:p>
    <w:p w14:paraId="5C0A617C" w14:textId="77777777" w:rsidR="005B187E" w:rsidRPr="00A51A71" w:rsidRDefault="005B187E" w:rsidP="005B187E">
      <w:pPr>
        <w:spacing w:after="150"/>
        <w:rPr>
          <w:b/>
          <w:bCs/>
        </w:rPr>
      </w:pPr>
      <w:r w:rsidRPr="00A51A71">
        <w:rPr>
          <w:b/>
          <w:bCs/>
        </w:rPr>
        <w:t>Commercial Component</w:t>
      </w:r>
    </w:p>
    <w:p w14:paraId="154AC464" w14:textId="427BFA40" w:rsidR="005B187E" w:rsidRDefault="005B187E" w:rsidP="005B187E">
      <w:pPr>
        <w:spacing w:after="150"/>
      </w:pPr>
      <w:r>
        <w:t xml:space="preserve">For the corner parcel in the </w:t>
      </w:r>
      <w:r w:rsidR="00A51A71">
        <w:t>Mixed-Use</w:t>
      </w:r>
      <w:r>
        <w:t xml:space="preserve"> zone at the intersection of major roads, </w:t>
      </w:r>
      <w:r w:rsidR="00A51A71">
        <w:t>Goodin</w:t>
      </w:r>
      <w:r>
        <w:t xml:space="preserve"> described an approximately 1.25-acre commercial pad. He explained that rather than </w:t>
      </w:r>
      <w:r>
        <w:lastRenderedPageBreak/>
        <w:t xml:space="preserve">Visionary constructing a commercial building — which is outside their expertise as a residential developer — the proposal was to prepare the site with utilities stubbed, grade it appropriately, and then sell the pad to a commercial developer when the market supports it. The commercial developer would then come before the city with their own site plan and use </w:t>
      </w:r>
      <w:r w:rsidR="00A51A71">
        <w:t>proposals</w:t>
      </w:r>
      <w:r>
        <w:t xml:space="preserve">. </w:t>
      </w:r>
      <w:r w:rsidR="00A51A71">
        <w:t>Goodin</w:t>
      </w:r>
      <w:r>
        <w:t xml:space="preserve"> provided commercial rendering concepts showing the range of possibilities, from a single drive-through restaurant to a multi-unit strip commercial configuration, to give the Commission a sense of scale and viability.</w:t>
      </w:r>
    </w:p>
    <w:p w14:paraId="705CEAD8" w14:textId="070C24DC" w:rsidR="005B187E" w:rsidRDefault="005B187E" w:rsidP="005B187E">
      <w:pPr>
        <w:spacing w:after="150"/>
      </w:pPr>
      <w:r>
        <w:t xml:space="preserve">Layton clarified for the Commission that this approach is different from what the </w:t>
      </w:r>
      <w:r w:rsidR="00A51A71">
        <w:t>Mixed-Use</w:t>
      </w:r>
      <w:r>
        <w:t xml:space="preserve"> zone would normally require, where a developer must build a certain amount of commercial floor area before adding more residential units. The development agreement would essentially allow Visionary to deviate from those sequencing requirements.</w:t>
      </w:r>
    </w:p>
    <w:p w14:paraId="37AA5B5A" w14:textId="77777777" w:rsidR="005B187E" w:rsidRPr="00A51A71" w:rsidRDefault="005B187E" w:rsidP="005B187E">
      <w:pPr>
        <w:spacing w:after="150"/>
        <w:rPr>
          <w:b/>
          <w:bCs/>
        </w:rPr>
      </w:pPr>
      <w:r w:rsidRPr="00A51A71">
        <w:rPr>
          <w:b/>
          <w:bCs/>
        </w:rPr>
        <w:t>Residential Design and Architecture</w:t>
      </w:r>
    </w:p>
    <w:p w14:paraId="1D7F6157" w14:textId="1E11B3A4" w:rsidR="005B187E" w:rsidRDefault="00A51A71" w:rsidP="005B187E">
      <w:pPr>
        <w:spacing w:after="150"/>
      </w:pPr>
      <w:r>
        <w:t>Goodin</w:t>
      </w:r>
      <w:r w:rsidR="005B187E">
        <w:t xml:space="preserve"> shared detailed architectural renderings and a color and material key for the proposed residential units. He emphasized that the project would feature at least two distinct building types — including what he described as a "</w:t>
      </w:r>
      <w:proofErr w:type="spellStart"/>
      <w:r w:rsidR="005B187E">
        <w:t>mansionette</w:t>
      </w:r>
      <w:proofErr w:type="spellEnd"/>
      <w:r w:rsidR="005B187E">
        <w:t xml:space="preserve">" style along Wolfpack Way, where two-story center units are flanked by single-story end units to create a varied roofline — and that no two adjacent buildings would be identical. Units would be alternated between craftsman and contemporary styles with specified color schemes down to fascia, post, and stone veneer colors. All units fronting Wolfpack Way or 600 South would be </w:t>
      </w:r>
      <w:r>
        <w:t>rear loaded</w:t>
      </w:r>
      <w:r w:rsidR="005B187E">
        <w:t>, meaning garages and vehicle access would face internal community roads rather than the public street, presenting a more attractive face to passersby and reducing traffic conflict points on the busier roads.</w:t>
      </w:r>
    </w:p>
    <w:p w14:paraId="3AC611AF" w14:textId="39D8D0F0" w:rsidR="005B187E" w:rsidRDefault="00A51A71" w:rsidP="005B187E">
      <w:pPr>
        <w:spacing w:after="150"/>
      </w:pPr>
      <w:r>
        <w:t>Goodin</w:t>
      </w:r>
      <w:r w:rsidR="005B187E">
        <w:t xml:space="preserve"> referenced a completed Visionary project in Logan at approximately 1800 South and 1200 West as a comparable community that commissioners were invited to visit. He noted that a former city planning staff member had lived in that development and could speak </w:t>
      </w:r>
      <w:proofErr w:type="gramStart"/>
      <w:r w:rsidR="005B187E">
        <w:t>to</w:t>
      </w:r>
      <w:proofErr w:type="gramEnd"/>
      <w:r w:rsidR="005B187E">
        <w:t xml:space="preserve"> its quality.</w:t>
      </w:r>
    </w:p>
    <w:p w14:paraId="5BA14090" w14:textId="77777777" w:rsidR="005B187E" w:rsidRPr="00A51A71" w:rsidRDefault="005B187E" w:rsidP="005B187E">
      <w:pPr>
        <w:spacing w:after="150"/>
        <w:rPr>
          <w:b/>
          <w:bCs/>
        </w:rPr>
      </w:pPr>
      <w:r w:rsidRPr="00A51A71">
        <w:rPr>
          <w:b/>
          <w:bCs/>
        </w:rPr>
        <w:t>Commission Feedback and Discussion</w:t>
      </w:r>
    </w:p>
    <w:p w14:paraId="5436B3EC" w14:textId="77777777" w:rsidR="005B187E" w:rsidRDefault="005B187E" w:rsidP="005B187E">
      <w:pPr>
        <w:spacing w:after="150"/>
      </w:pPr>
      <w:r>
        <w:t>The discussion that followed was wide-ranging and substantive.</w:t>
      </w:r>
    </w:p>
    <w:p w14:paraId="51A135E2" w14:textId="4E0239C1" w:rsidR="005B187E" w:rsidRDefault="005B187E" w:rsidP="005B187E">
      <w:pPr>
        <w:spacing w:after="150"/>
      </w:pPr>
      <w:r>
        <w:t xml:space="preserve">Commissioner Hansen raised what he described the RT zone's requirements were specifically crafted following significant community input from existing residents who live adjacent to the development area, who had expressed strong concerns about the proximity of attached townhomes to their established single-family homes. He felt that the development agreement should explicitly require the residential development in the RT zone portions to honor, or at least substantially satisfy, the intent of the RT zone's transition requirements, and that any deviations from those standards would need to be explicitly negotiated and stated in the agreement. He acknowledged that this might create constraints for the </w:t>
      </w:r>
      <w:r w:rsidR="00A51A71">
        <w:t>developer but</w:t>
      </w:r>
      <w:r>
        <w:t xml:space="preserve"> was firm that protecting the interests of those established residents was a priority for him in reviewing the final document. </w:t>
      </w:r>
      <w:r w:rsidR="00A51A71">
        <w:t>Goodin</w:t>
      </w:r>
      <w:r>
        <w:t xml:space="preserve"> acknowledged the feedback and reiterated his view that the current proposal represents far less impact than what is legally permissible under the existing MX zone — which he suggested could allow five-story apartment buildings at 25 or more units per acre.</w:t>
      </w:r>
    </w:p>
    <w:p w14:paraId="309CEE14" w14:textId="1D7337CE" w:rsidR="005B187E" w:rsidRDefault="005B187E" w:rsidP="005B187E">
      <w:pPr>
        <w:spacing w:after="150"/>
      </w:pPr>
      <w:r>
        <w:t xml:space="preserve">Commissioner Mowes offered a design suggestion for the narrow northern parcels, proposing the possibility of starter homes arranged with a central private drive, facing inward, with rear elevations toward Wolfpack Way and the eastern residents. He acknowledged this would reduce the developer's profit margin but noted it would give </w:t>
      </w:r>
      <w:r>
        <w:lastRenderedPageBreak/>
        <w:t xml:space="preserve">residents something they could own independently without a shared wall. </w:t>
      </w:r>
      <w:r w:rsidR="00A51A71">
        <w:t>Goodin</w:t>
      </w:r>
      <w:r>
        <w:t xml:space="preserve"> responded thoughtfully that Visionary had in fact explored a single-family concept for those parcels and found that the shape and dimensions produced double-</w:t>
      </w:r>
      <w:r w:rsidR="00A51A71">
        <w:t>fronted</w:t>
      </w:r>
      <w:r>
        <w:t xml:space="preserve"> lots that face two streets — which tend to result in neglected frontages and a visual of blank fence lines from the public road. He cited a Visionary-affiliated project that </w:t>
      </w:r>
      <w:r w:rsidR="00A51A71">
        <w:t>demonstrated</w:t>
      </w:r>
      <w:r>
        <w:t xml:space="preserve"> the challenge. He indicated he believed the site is not well-suited to that design and felt the project as proposed was still meaningfully better for neighbors than a denser alternative.</w:t>
      </w:r>
    </w:p>
    <w:p w14:paraId="0F6639FA" w14:textId="77777777" w:rsidR="005B187E" w:rsidRDefault="005B187E" w:rsidP="005B187E">
      <w:pPr>
        <w:spacing w:after="150"/>
      </w:pPr>
      <w:r>
        <w:t>Chair Lee offered perspective on the community integration side of the discussion, noting that while neighbors predictably resist new higher-density development in advance, in her observation, once people move in, meet each other's families, and become part of the community fabric, those concerns tend to dissolve. She expressed a concern, however, about the long-term health of HOAs, saying she has struggled to be confident that HOAs function well twenty years out and wondered whether there were any stronger guarantees possible beyond hoping for the best.</w:t>
      </w:r>
    </w:p>
    <w:p w14:paraId="5FCAF4F3" w14:textId="7F980C83" w:rsidR="005B187E" w:rsidRDefault="00A51A71" w:rsidP="005B187E">
      <w:pPr>
        <w:spacing w:after="150"/>
      </w:pPr>
      <w:r>
        <w:t>Goodin</w:t>
      </w:r>
      <w:r w:rsidR="005B187E">
        <w:t xml:space="preserve"> responded at length on the HOA topic. He explained that Visionary conducts formal reserve studies for its HOA communities — studies that assess the lifespan of all building components, estimate replacement costs, and project appropriate reserve funding levels. He noted that Visionary's HOA fees are intentionally set somewhat higher than some competitors precisely to ensure that when the HOA is turned over to homeowners, there is adequate funding in reserves and a realistic ongoing fee structure. He contrasted this with developers who minimize fees to accelerate sales and then leave homeowners to raise fees and address underfunded reserves after turnover. He noted that HOA coverage in their projects typically includes exterior building elements such as roofing and siding — given that replacing one unit's roof in isolation would create visible inconsistencies across a shared roofline — as well as landscaping and snow removal. He indicated driveways were more likely to fall on homeowners depending on the specific configuration.</w:t>
      </w:r>
    </w:p>
    <w:p w14:paraId="0823F2E9" w14:textId="1A15E7A6" w:rsidR="005B187E" w:rsidRDefault="00A51A71" w:rsidP="005B187E">
      <w:pPr>
        <w:spacing w:after="150"/>
      </w:pPr>
      <w:r>
        <w:t>Goodin</w:t>
      </w:r>
      <w:r w:rsidR="005B187E">
        <w:t xml:space="preserve"> further explained a proposal included in the development agreement regarding impact fee adjustments. Because the city requires utilities within private streets to also be privately maintained, the HOA — rather than the city — would bear long-term maintenance costs for internal utilities. In recognition of this, </w:t>
      </w:r>
      <w:r>
        <w:t>Goodin</w:t>
      </w:r>
      <w:r w:rsidR="005B187E">
        <w:t xml:space="preserve"> proposed that a portion of the impact fees that would normally go to the city be redirected as seed funding into the HOA's reserve accounts. He used water as an example, suggesting that while the city still needs impact fee contributions toward its broader infrastructure such as wells and storage tanks, a portion could instead be placed directly into the HOA reserves to fund the private infrastructure maintenance burden the HOA would carry. Chair Lee indicated she found this proposal meaningful and appreciated the intent behind it.</w:t>
      </w:r>
    </w:p>
    <w:p w14:paraId="662A85F2" w14:textId="2D72BC27" w:rsidR="005B187E" w:rsidRDefault="005B187E" w:rsidP="005B187E">
      <w:pPr>
        <w:spacing w:after="150"/>
      </w:pPr>
      <w:r>
        <w:t xml:space="preserve">Commissioner Williams raised the issue of owner-occupancy ratio requirements. She expressed concern from her real estate experience that townhomes, condominiums, and small-unit attached housing are attractive targets for investors, and that without restrictions, investors could acquire a disproportionate share of units, bidding up prices and ultimately affecting affordability and long-term comps for all subsequent sales. She argued that a development agreement was an appropriate vehicle to require an owner-occupancy ratio — perhaps 75 to 80 percent — as a deed restriction. She noted that this type of restriction does not require active city enforcement because lenders, title companies, and escrow agents verify owner-occupancy ratios during transactions and will decline to proceed if a ratio threshold would be breached. She described this as the most important single issue she would want addressed in the development </w:t>
      </w:r>
      <w:r w:rsidR="00A51A71">
        <w:t>agreement and</w:t>
      </w:r>
      <w:r>
        <w:t xml:space="preserve"> noted she had </w:t>
      </w:r>
      <w:r>
        <w:lastRenderedPageBreak/>
        <w:t xml:space="preserve">been advocating for this mechanism with any higher-density housing proposal before the Commission. </w:t>
      </w:r>
      <w:r w:rsidR="00A51A71">
        <w:t>Goodin</w:t>
      </w:r>
      <w:r>
        <w:t xml:space="preserve"> was receptive to the concept, noting that Visionary had done deed-restricted workforce housing in Logan in partnership with another entity, with resale restrictions of approximately five years to prevent flipping. He indicated he would </w:t>
      </w:r>
      <w:proofErr w:type="gramStart"/>
      <w:r>
        <w:t>look into</w:t>
      </w:r>
      <w:proofErr w:type="gramEnd"/>
      <w:r>
        <w:t xml:space="preserve"> owner-occupancy ratio mechanisms used in other communities and report back.</w:t>
      </w:r>
    </w:p>
    <w:p w14:paraId="086182B0" w14:textId="26DEE14A" w:rsidR="005B187E" w:rsidRDefault="005B187E" w:rsidP="005B187E">
      <w:pPr>
        <w:spacing w:after="150"/>
      </w:pPr>
      <w:r>
        <w:t xml:space="preserve">Layton clarified for the Commission that the formal development agreement document had been distributed in their packets and included, among other things, the full set of exhibits describing road design, parking layout, and park elements, as well as a benefit analysis table near the end of the document. She reminded commissioners that while </w:t>
      </w:r>
      <w:r w:rsidR="00A51A71">
        <w:t>Goodin</w:t>
      </w:r>
      <w:r>
        <w:t xml:space="preserve"> had provided useful visual context, the formal scope of the development agreement recommendation is specifically about the terms of the agreement itself — the land swap, the bonus density exchange, the park commitment, and the various conditions — and not about evaluating the subdivision layout, which would come at preliminary and final plat stages.</w:t>
      </w:r>
    </w:p>
    <w:p w14:paraId="1FDF5163" w14:textId="77777777" w:rsidR="005B187E" w:rsidRDefault="005B187E" w:rsidP="005B187E">
      <w:pPr>
        <w:spacing w:after="150"/>
      </w:pPr>
      <w:r>
        <w:t>Commissioner Mowes summarized the discussion by stating that it appeared a development agreement was clearly necessary for this project to proceed as proposed, given the land swap, the proposed bonus density, and the departure from standard mixed-use sequencing requirements. The Commission generally agreed that the discussion had been productive and would help the applicant prepare for the formal public hearing.</w:t>
      </w:r>
    </w:p>
    <w:p w14:paraId="55420653" w14:textId="6B2A0257" w:rsidR="005B187E" w:rsidRDefault="00A51A71" w:rsidP="005B187E">
      <w:pPr>
        <w:spacing w:after="150"/>
      </w:pPr>
      <w:r>
        <w:t>Goodin</w:t>
      </w:r>
      <w:r w:rsidR="005B187E">
        <w:t xml:space="preserve"> committed to providing an updated site plan and commercial renderings for the next meeting, and invited commissioners to review the benefit analysis table in the distributed development agreement and bring any questions to the public hearing.</w:t>
      </w:r>
    </w:p>
    <w:p w14:paraId="7D784150" w14:textId="77777777" w:rsidR="00DF14B3" w:rsidRPr="00DF14B3" w:rsidRDefault="00DF14B3" w:rsidP="00DF14B3"/>
    <w:p w14:paraId="448E605D" w14:textId="77777777" w:rsidR="00A51A71" w:rsidRDefault="00C54F42" w:rsidP="00A51A71">
      <w:pPr>
        <w:pStyle w:val="Heading2"/>
        <w:spacing w:before="0" w:after="0"/>
        <w:rPr>
          <w:b/>
          <w:bCs/>
          <w:u w:val="single"/>
        </w:rPr>
      </w:pPr>
      <w:r>
        <w:rPr>
          <w:b/>
          <w:bCs/>
          <w:u w:val="single"/>
        </w:rPr>
        <w:t>Future Items</w:t>
      </w:r>
    </w:p>
    <w:p w14:paraId="339B88F0" w14:textId="5DEC127E" w:rsidR="005B187E" w:rsidRDefault="005B187E" w:rsidP="00A51A71">
      <w:pPr>
        <w:pStyle w:val="Heading2"/>
        <w:spacing w:before="0" w:after="0"/>
      </w:pPr>
      <w:r>
        <w:t xml:space="preserve">Future Items: Next meeting June 3, 2026 </w:t>
      </w:r>
    </w:p>
    <w:p w14:paraId="70E125C4" w14:textId="77777777" w:rsidR="005B187E" w:rsidRDefault="005B187E" w:rsidP="005B187E">
      <w:pPr>
        <w:spacing w:after="150"/>
      </w:pPr>
      <w:r>
        <w:t>Chair Lee confirmed that the next regular meeting is scheduled for June 3, 2026. Commissioner Mowes indicated he would likely be absent but would attempt to participate via Zoom if possible. Commissioners Hansen and Williams indicated they expected to be present. Chair Lee confirmed that a quorum would be available and that the June 3 meeting date stands.</w:t>
      </w:r>
    </w:p>
    <w:p w14:paraId="596FDDC4" w14:textId="77777777" w:rsidR="005B187E" w:rsidRPr="005B187E" w:rsidRDefault="005B187E" w:rsidP="005B187E"/>
    <w:p w14:paraId="12A4AE1F" w14:textId="77777777" w:rsidR="00C764FB" w:rsidRPr="00C764FB" w:rsidRDefault="00C764FB" w:rsidP="00C764FB"/>
    <w:p w14:paraId="71EBBEBC" w14:textId="0E95E98C" w:rsidR="009C613A" w:rsidRPr="00A23B72" w:rsidRDefault="007C6A11" w:rsidP="00B227A6">
      <w:pPr>
        <w:pStyle w:val="Heading2"/>
        <w:spacing w:before="0" w:after="0"/>
        <w:rPr>
          <w:b/>
          <w:bCs/>
          <w:u w:val="single"/>
        </w:rPr>
      </w:pPr>
      <w:r w:rsidRPr="00A23B72">
        <w:rPr>
          <w:b/>
          <w:bCs/>
          <w:u w:val="single"/>
        </w:rPr>
        <w:t>Adjourn</w:t>
      </w:r>
    </w:p>
    <w:p w14:paraId="07ED8122" w14:textId="77777777" w:rsidR="00A362F7" w:rsidRDefault="00A362F7" w:rsidP="00A362F7"/>
    <w:p w14:paraId="58759588" w14:textId="57A41C56" w:rsidR="005B187E" w:rsidRDefault="005B187E" w:rsidP="005B187E">
      <w:pPr>
        <w:spacing w:after="150"/>
      </w:pPr>
      <w:r>
        <w:t xml:space="preserve">There being no further business, Chair Lee adjourned the meeting </w:t>
      </w:r>
      <w:r w:rsidR="006E55C1">
        <w:t xml:space="preserve">at 8:55 pm </w:t>
      </w:r>
      <w:r>
        <w:t>without objection.</w:t>
      </w:r>
    </w:p>
    <w:p w14:paraId="64040FA1" w14:textId="77777777" w:rsidR="00A362F7" w:rsidRPr="00A362F7" w:rsidRDefault="00A362F7" w:rsidP="00A362F7"/>
    <w:p w14:paraId="54A79AC7" w14:textId="77777777" w:rsidR="005D6E75" w:rsidRDefault="005D6E75">
      <w:pPr>
        <w:spacing w:after="150"/>
      </w:pPr>
    </w:p>
    <w:p w14:paraId="68955955" w14:textId="16875D7D" w:rsidR="005D6E75" w:rsidRDefault="005D6E75">
      <w:pPr>
        <w:spacing w:after="150"/>
      </w:pPr>
      <w:r>
        <w:t>______________________________________________________________________</w:t>
      </w:r>
    </w:p>
    <w:p w14:paraId="2700A18C" w14:textId="4D63C6E0" w:rsidR="005D6E75" w:rsidRDefault="005D6E75">
      <w:pPr>
        <w:spacing w:after="150"/>
      </w:pPr>
      <w:r>
        <w:t>Colette Dursteler</w:t>
      </w:r>
    </w:p>
    <w:p w14:paraId="06DF5311" w14:textId="71EC51AB" w:rsidR="005D6E75" w:rsidRDefault="005D6E75">
      <w:pPr>
        <w:spacing w:after="150"/>
      </w:pPr>
      <w:r>
        <w:t>Planning Assistant</w:t>
      </w:r>
    </w:p>
    <w:sectPr w:rsidR="005D6E75" w:rsidSect="009C750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1F29D" w14:textId="77777777" w:rsidR="000D5C6A" w:rsidRDefault="000D5C6A" w:rsidP="00EA231F">
      <w:r>
        <w:separator/>
      </w:r>
    </w:p>
  </w:endnote>
  <w:endnote w:type="continuationSeparator" w:id="0">
    <w:p w14:paraId="6CE66C4E" w14:textId="77777777" w:rsidR="000D5C6A" w:rsidRDefault="000D5C6A" w:rsidP="00EA2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DB654" w14:textId="77777777" w:rsidR="006E55C1" w:rsidRDefault="006E55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285623"/>
      <w:docPartObj>
        <w:docPartGallery w:val="Page Numbers (Bottom of Page)"/>
        <w:docPartUnique/>
      </w:docPartObj>
    </w:sdtPr>
    <w:sdtEndPr/>
    <w:sdtContent>
      <w:sdt>
        <w:sdtPr>
          <w:id w:val="-1769616900"/>
          <w:docPartObj>
            <w:docPartGallery w:val="Page Numbers (Top of Page)"/>
            <w:docPartUnique/>
          </w:docPartObj>
        </w:sdtPr>
        <w:sdtEndPr/>
        <w:sdtContent>
          <w:p w14:paraId="2F6B6AB4" w14:textId="714874F6" w:rsidR="00EA231F" w:rsidRDefault="00EA231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6E41647" w14:textId="5D1A62BA" w:rsidR="00EA231F" w:rsidRDefault="00382343">
    <w:pPr>
      <w:pStyle w:val="Footer"/>
    </w:pPr>
    <w:r>
      <w:t xml:space="preserve">Planning Commission </w:t>
    </w:r>
    <w:r w:rsidR="00663C27">
      <w:t>May 20</w:t>
    </w:r>
    <w:r>
      <w: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D29F0" w14:textId="77777777" w:rsidR="006E55C1" w:rsidRDefault="006E55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E0AC1" w14:textId="77777777" w:rsidR="000D5C6A" w:rsidRDefault="000D5C6A" w:rsidP="00EA231F">
      <w:r>
        <w:separator/>
      </w:r>
    </w:p>
  </w:footnote>
  <w:footnote w:type="continuationSeparator" w:id="0">
    <w:p w14:paraId="51B27F6F" w14:textId="77777777" w:rsidR="000D5C6A" w:rsidRDefault="000D5C6A" w:rsidP="00EA23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8A8B2" w14:textId="77777777" w:rsidR="006E55C1" w:rsidRDefault="006E55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506BF" w14:textId="70319D31" w:rsidR="00EA231F" w:rsidRDefault="000D5C6A">
    <w:pPr>
      <w:pStyle w:val="Header"/>
    </w:pPr>
    <w:r>
      <w:rPr>
        <w:noProof/>
      </w:rPr>
      <w:object w:dxaOrig="1440" w:dyaOrig="1440" w14:anchorId="5E73EB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77.75pt;margin-top:-13.85pt;width:108pt;height:60pt;z-index:251658240;mso-wrap-edited:f;mso-position-horizontal-relative:text;mso-position-vertical-relative:text" wrapcoords="-100 0 -100 21420 21600 21420 21600 0 -100 0">
          <v:imagedata r:id="rId1" o:title=""/>
          <w10:wrap type="tight"/>
        </v:shape>
        <o:OLEObject Type="Embed" ProgID="MSPhotoEd.3" ShapeID="_x0000_s1025" DrawAspect="Content" ObjectID="_1843292760" r:id="rId2"/>
      </w:object>
    </w:r>
    <w:r w:rsidR="009C750B">
      <w:tab/>
    </w:r>
    <w:r w:rsidR="009C750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2D5DB" w14:textId="77777777" w:rsidR="006E55C1" w:rsidRDefault="006E55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A03B1"/>
    <w:multiLevelType w:val="multilevel"/>
    <w:tmpl w:val="5BE26A90"/>
    <w:lvl w:ilvl="0">
      <w:start w:val="1"/>
      <w:numFmt w:val="decimal"/>
      <w:lvlText w:val="%1."/>
      <w:lvlJc w:val="left"/>
    </w:lvl>
    <w:lvl w:ilvl="1">
      <w:start w:val="1"/>
      <w:numFmt w:val="decimal"/>
      <w:lvlText w:val="%1.%2."/>
      <w:lvlJc w:val="left"/>
      <w:pPr>
        <w:ind w:left="43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2C79A5"/>
    <w:multiLevelType w:val="hybridMultilevel"/>
    <w:tmpl w:val="3EEA0FA6"/>
    <w:lvl w:ilvl="0" w:tplc="9C1EA542">
      <w:start w:val="1"/>
      <w:numFmt w:val="bullet"/>
      <w:lvlText w:val="●"/>
      <w:lvlJc w:val="left"/>
      <w:pPr>
        <w:ind w:left="720" w:hanging="360"/>
      </w:pPr>
    </w:lvl>
    <w:lvl w:ilvl="1" w:tplc="537642B4">
      <w:start w:val="1"/>
      <w:numFmt w:val="bullet"/>
      <w:lvlText w:val="○"/>
      <w:lvlJc w:val="left"/>
      <w:pPr>
        <w:ind w:left="1440" w:hanging="360"/>
      </w:pPr>
    </w:lvl>
    <w:lvl w:ilvl="2" w:tplc="48F0A850">
      <w:start w:val="1"/>
      <w:numFmt w:val="bullet"/>
      <w:lvlText w:val="■"/>
      <w:lvlJc w:val="left"/>
      <w:pPr>
        <w:ind w:left="2160" w:hanging="360"/>
      </w:pPr>
    </w:lvl>
    <w:lvl w:ilvl="3" w:tplc="73DA166A">
      <w:start w:val="1"/>
      <w:numFmt w:val="bullet"/>
      <w:lvlText w:val="●"/>
      <w:lvlJc w:val="left"/>
      <w:pPr>
        <w:ind w:left="2880" w:hanging="360"/>
      </w:pPr>
    </w:lvl>
    <w:lvl w:ilvl="4" w:tplc="2516107E">
      <w:start w:val="1"/>
      <w:numFmt w:val="bullet"/>
      <w:lvlText w:val="○"/>
      <w:lvlJc w:val="left"/>
      <w:pPr>
        <w:ind w:left="3600" w:hanging="360"/>
      </w:pPr>
    </w:lvl>
    <w:lvl w:ilvl="5" w:tplc="FF6EE7C6">
      <w:start w:val="1"/>
      <w:numFmt w:val="bullet"/>
      <w:lvlText w:val="■"/>
      <w:lvlJc w:val="left"/>
      <w:pPr>
        <w:ind w:left="4320" w:hanging="360"/>
      </w:pPr>
    </w:lvl>
    <w:lvl w:ilvl="6" w:tplc="5802A2C6">
      <w:start w:val="1"/>
      <w:numFmt w:val="bullet"/>
      <w:lvlText w:val="●"/>
      <w:lvlJc w:val="left"/>
      <w:pPr>
        <w:ind w:left="5040" w:hanging="360"/>
      </w:pPr>
    </w:lvl>
    <w:lvl w:ilvl="7" w:tplc="07825B14">
      <w:start w:val="1"/>
      <w:numFmt w:val="bullet"/>
      <w:lvlText w:val="●"/>
      <w:lvlJc w:val="left"/>
      <w:pPr>
        <w:ind w:left="5760" w:hanging="360"/>
      </w:pPr>
    </w:lvl>
    <w:lvl w:ilvl="8" w:tplc="A0D47C2E">
      <w:start w:val="1"/>
      <w:numFmt w:val="bullet"/>
      <w:lvlText w:val="●"/>
      <w:lvlJc w:val="left"/>
      <w:pPr>
        <w:ind w:left="6480" w:hanging="360"/>
      </w:pPr>
    </w:lvl>
  </w:abstractNum>
  <w:abstractNum w:abstractNumId="2" w15:restartNumberingAfterBreak="0">
    <w:nsid w:val="2C962B3F"/>
    <w:multiLevelType w:val="multilevel"/>
    <w:tmpl w:val="B4E41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FE0AC2"/>
    <w:multiLevelType w:val="multilevel"/>
    <w:tmpl w:val="C9A09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EB60C8"/>
    <w:multiLevelType w:val="hybridMultilevel"/>
    <w:tmpl w:val="EDA465C8"/>
    <w:lvl w:ilvl="0" w:tplc="1F0A4662">
      <w:start w:val="1"/>
      <w:numFmt w:val="bullet"/>
      <w:lvlText w:val="●"/>
      <w:lvlJc w:val="left"/>
      <w:pPr>
        <w:ind w:left="720" w:hanging="360"/>
      </w:pPr>
    </w:lvl>
    <w:lvl w:ilvl="1" w:tplc="7E34094C">
      <w:start w:val="1"/>
      <w:numFmt w:val="bullet"/>
      <w:lvlText w:val="○"/>
      <w:lvlJc w:val="left"/>
      <w:pPr>
        <w:ind w:left="1440" w:hanging="360"/>
      </w:pPr>
    </w:lvl>
    <w:lvl w:ilvl="2" w:tplc="14EE4A9A">
      <w:start w:val="1"/>
      <w:numFmt w:val="bullet"/>
      <w:lvlText w:val="■"/>
      <w:lvlJc w:val="left"/>
      <w:pPr>
        <w:ind w:left="2160" w:hanging="360"/>
      </w:pPr>
    </w:lvl>
    <w:lvl w:ilvl="3" w:tplc="80665CAE">
      <w:start w:val="1"/>
      <w:numFmt w:val="bullet"/>
      <w:lvlText w:val="●"/>
      <w:lvlJc w:val="left"/>
      <w:pPr>
        <w:ind w:left="2880" w:hanging="360"/>
      </w:pPr>
    </w:lvl>
    <w:lvl w:ilvl="4" w:tplc="D6E0D950">
      <w:start w:val="1"/>
      <w:numFmt w:val="bullet"/>
      <w:lvlText w:val="○"/>
      <w:lvlJc w:val="left"/>
      <w:pPr>
        <w:ind w:left="3600" w:hanging="360"/>
      </w:pPr>
    </w:lvl>
    <w:lvl w:ilvl="5" w:tplc="5CA0E3BA">
      <w:start w:val="1"/>
      <w:numFmt w:val="bullet"/>
      <w:lvlText w:val="■"/>
      <w:lvlJc w:val="left"/>
      <w:pPr>
        <w:ind w:left="4320" w:hanging="360"/>
      </w:pPr>
    </w:lvl>
    <w:lvl w:ilvl="6" w:tplc="EE0AA780">
      <w:start w:val="1"/>
      <w:numFmt w:val="bullet"/>
      <w:lvlText w:val="●"/>
      <w:lvlJc w:val="left"/>
      <w:pPr>
        <w:ind w:left="5040" w:hanging="360"/>
      </w:pPr>
    </w:lvl>
    <w:lvl w:ilvl="7" w:tplc="52B2F0BA">
      <w:start w:val="1"/>
      <w:numFmt w:val="bullet"/>
      <w:lvlText w:val="●"/>
      <w:lvlJc w:val="left"/>
      <w:pPr>
        <w:ind w:left="5760" w:hanging="360"/>
      </w:pPr>
    </w:lvl>
    <w:lvl w:ilvl="8" w:tplc="CADCF464">
      <w:start w:val="1"/>
      <w:numFmt w:val="bullet"/>
      <w:lvlText w:val="●"/>
      <w:lvlJc w:val="left"/>
      <w:pPr>
        <w:ind w:left="6480" w:hanging="360"/>
      </w:pPr>
    </w:lvl>
  </w:abstractNum>
  <w:abstractNum w:abstractNumId="5" w15:restartNumberingAfterBreak="0">
    <w:nsid w:val="54434B6C"/>
    <w:multiLevelType w:val="multilevel"/>
    <w:tmpl w:val="6E8EC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610A03"/>
    <w:multiLevelType w:val="hybridMultilevel"/>
    <w:tmpl w:val="C938F5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7E3E5F"/>
    <w:multiLevelType w:val="multilevel"/>
    <w:tmpl w:val="E5069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0D7A61"/>
    <w:multiLevelType w:val="hybridMultilevel"/>
    <w:tmpl w:val="62FAA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C76862"/>
    <w:multiLevelType w:val="multilevel"/>
    <w:tmpl w:val="979CA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8910564">
    <w:abstractNumId w:val="4"/>
    <w:lvlOverride w:ilvl="0">
      <w:startOverride w:val="1"/>
    </w:lvlOverride>
  </w:num>
  <w:num w:numId="2" w16cid:durableId="685980313">
    <w:abstractNumId w:val="8"/>
  </w:num>
  <w:num w:numId="3" w16cid:durableId="475685476">
    <w:abstractNumId w:val="6"/>
  </w:num>
  <w:num w:numId="4" w16cid:durableId="1094322821">
    <w:abstractNumId w:val="1"/>
    <w:lvlOverride w:ilvl="0">
      <w:startOverride w:val="1"/>
    </w:lvlOverride>
  </w:num>
  <w:num w:numId="5" w16cid:durableId="1606428363">
    <w:abstractNumId w:val="9"/>
  </w:num>
  <w:num w:numId="6" w16cid:durableId="1475835543">
    <w:abstractNumId w:val="7"/>
  </w:num>
  <w:num w:numId="7" w16cid:durableId="36707214">
    <w:abstractNumId w:val="2"/>
  </w:num>
  <w:num w:numId="8" w16cid:durableId="1963807160">
    <w:abstractNumId w:val="5"/>
  </w:num>
  <w:num w:numId="9" w16cid:durableId="17592521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13A"/>
    <w:rsid w:val="00025903"/>
    <w:rsid w:val="00074FF0"/>
    <w:rsid w:val="000D5173"/>
    <w:rsid w:val="000D5C6A"/>
    <w:rsid w:val="000F3770"/>
    <w:rsid w:val="000F6874"/>
    <w:rsid w:val="00111672"/>
    <w:rsid w:val="001626B4"/>
    <w:rsid w:val="001856A7"/>
    <w:rsid w:val="001A2C8A"/>
    <w:rsid w:val="0029299F"/>
    <w:rsid w:val="002B2966"/>
    <w:rsid w:val="002B2C1D"/>
    <w:rsid w:val="002D7358"/>
    <w:rsid w:val="00354CD9"/>
    <w:rsid w:val="00382343"/>
    <w:rsid w:val="003A2C8B"/>
    <w:rsid w:val="003F6ACA"/>
    <w:rsid w:val="0045688D"/>
    <w:rsid w:val="00542F0D"/>
    <w:rsid w:val="00570F54"/>
    <w:rsid w:val="005A1112"/>
    <w:rsid w:val="005B187E"/>
    <w:rsid w:val="005D6E75"/>
    <w:rsid w:val="00663C27"/>
    <w:rsid w:val="006A2A83"/>
    <w:rsid w:val="006C7C13"/>
    <w:rsid w:val="006D74BC"/>
    <w:rsid w:val="006E55C1"/>
    <w:rsid w:val="006F7572"/>
    <w:rsid w:val="007C6A11"/>
    <w:rsid w:val="007D1DFB"/>
    <w:rsid w:val="007E630D"/>
    <w:rsid w:val="00883CA5"/>
    <w:rsid w:val="00955E97"/>
    <w:rsid w:val="00994286"/>
    <w:rsid w:val="009C17C4"/>
    <w:rsid w:val="009C613A"/>
    <w:rsid w:val="009C750B"/>
    <w:rsid w:val="00A23B72"/>
    <w:rsid w:val="00A2703D"/>
    <w:rsid w:val="00A362F7"/>
    <w:rsid w:val="00A51A71"/>
    <w:rsid w:val="00AB70EB"/>
    <w:rsid w:val="00AE4551"/>
    <w:rsid w:val="00B101EB"/>
    <w:rsid w:val="00B227A6"/>
    <w:rsid w:val="00B25059"/>
    <w:rsid w:val="00C27C17"/>
    <w:rsid w:val="00C41238"/>
    <w:rsid w:val="00C54F42"/>
    <w:rsid w:val="00C764FB"/>
    <w:rsid w:val="00CB289B"/>
    <w:rsid w:val="00CF02B3"/>
    <w:rsid w:val="00CF0754"/>
    <w:rsid w:val="00CF4729"/>
    <w:rsid w:val="00D34E5D"/>
    <w:rsid w:val="00D51413"/>
    <w:rsid w:val="00D54C94"/>
    <w:rsid w:val="00D758B2"/>
    <w:rsid w:val="00D958A3"/>
    <w:rsid w:val="00DD2E20"/>
    <w:rsid w:val="00DF14B3"/>
    <w:rsid w:val="00E538DD"/>
    <w:rsid w:val="00EA231F"/>
    <w:rsid w:val="00F63393"/>
    <w:rsid w:val="00FB1B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ED8CB"/>
  <w15:docId w15:val="{9133CCE5-3728-4ADA-B7B4-1C51AFE9B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Inter" w:eastAsia="Inter" w:hAnsi="Inter" w:cs="Inter"/>
      <w:sz w:val="23"/>
      <w:szCs w:val="23"/>
    </w:rPr>
  </w:style>
  <w:style w:type="paragraph" w:styleId="Heading1">
    <w:name w:val="heading 1"/>
    <w:basedOn w:val="Normal"/>
    <w:next w:val="Normal"/>
    <w:uiPriority w:val="9"/>
    <w:qFormat/>
    <w:pPr>
      <w:spacing w:after="120"/>
      <w:outlineLvl w:val="0"/>
    </w:pPr>
    <w:rPr>
      <w:sz w:val="35"/>
      <w:szCs w:val="35"/>
    </w:rPr>
  </w:style>
  <w:style w:type="paragraph" w:styleId="Heading2">
    <w:name w:val="heading 2"/>
    <w:basedOn w:val="Normal"/>
    <w:next w:val="Normal"/>
    <w:uiPriority w:val="9"/>
    <w:unhideWhenUsed/>
    <w:qFormat/>
    <w:pPr>
      <w:spacing w:before="500" w:after="120"/>
      <w:outlineLvl w:val="1"/>
    </w:pPr>
    <w:rPr>
      <w:sz w:val="30"/>
      <w:szCs w:val="30"/>
    </w:rPr>
  </w:style>
  <w:style w:type="paragraph" w:styleId="Heading3">
    <w:name w:val="heading 3"/>
    <w:basedOn w:val="Normal"/>
    <w:next w:val="Normal"/>
    <w:uiPriority w:val="9"/>
    <w:unhideWhenUsed/>
    <w:qFormat/>
    <w:pPr>
      <w:spacing w:before="120" w:after="100"/>
      <w:outlineLvl w:val="2"/>
    </w:pPr>
    <w:rPr>
      <w:sz w:val="28"/>
      <w:szCs w:val="28"/>
    </w:rPr>
  </w:style>
  <w:style w:type="paragraph" w:styleId="Heading4">
    <w:name w:val="heading 4"/>
    <w:basedOn w:val="Normal"/>
    <w:next w:val="Normal"/>
    <w:uiPriority w:val="9"/>
    <w:semiHidden/>
    <w:unhideWhenUsed/>
    <w:qFormat/>
    <w:pPr>
      <w:spacing w:before="120" w:after="100"/>
      <w:outlineLvl w:val="3"/>
    </w:pPr>
    <w:rPr>
      <w:sz w:val="25"/>
      <w:szCs w:val="25"/>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customStyle="1" w:styleId="Aside">
    <w:name w:val="Aside"/>
    <w:basedOn w:val="Normal"/>
    <w:next w:val="Normal"/>
    <w:pPr>
      <w:spacing w:line="276" w:lineRule="auto"/>
      <w:ind w:left="500"/>
    </w:pPr>
    <w:rPr>
      <w:color w:val="333333"/>
    </w:rPr>
  </w:style>
  <w:style w:type="paragraph" w:styleId="Header">
    <w:name w:val="header"/>
    <w:basedOn w:val="Normal"/>
    <w:link w:val="HeaderChar"/>
    <w:uiPriority w:val="99"/>
    <w:unhideWhenUsed/>
    <w:rsid w:val="00EA231F"/>
    <w:pPr>
      <w:tabs>
        <w:tab w:val="center" w:pos="4680"/>
        <w:tab w:val="right" w:pos="9360"/>
      </w:tabs>
    </w:pPr>
  </w:style>
  <w:style w:type="character" w:customStyle="1" w:styleId="HeaderChar">
    <w:name w:val="Header Char"/>
    <w:basedOn w:val="DefaultParagraphFont"/>
    <w:link w:val="Header"/>
    <w:uiPriority w:val="99"/>
    <w:rsid w:val="00EA231F"/>
    <w:rPr>
      <w:rFonts w:ascii="Inter" w:eastAsia="Inter" w:hAnsi="Inter" w:cs="Inter"/>
      <w:sz w:val="23"/>
      <w:szCs w:val="23"/>
    </w:rPr>
  </w:style>
  <w:style w:type="paragraph" w:styleId="Footer">
    <w:name w:val="footer"/>
    <w:basedOn w:val="Normal"/>
    <w:link w:val="FooterChar"/>
    <w:uiPriority w:val="99"/>
    <w:unhideWhenUsed/>
    <w:rsid w:val="00EA231F"/>
    <w:pPr>
      <w:tabs>
        <w:tab w:val="center" w:pos="4680"/>
        <w:tab w:val="right" w:pos="9360"/>
      </w:tabs>
    </w:pPr>
  </w:style>
  <w:style w:type="character" w:customStyle="1" w:styleId="FooterChar">
    <w:name w:val="Footer Char"/>
    <w:basedOn w:val="DefaultParagraphFont"/>
    <w:link w:val="Footer"/>
    <w:uiPriority w:val="99"/>
    <w:rsid w:val="00EA231F"/>
    <w:rPr>
      <w:rFonts w:ascii="Inter" w:eastAsia="Inter" w:hAnsi="Inter" w:cs="Inter"/>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51</TotalTime>
  <Pages>9</Pages>
  <Words>4134</Words>
  <Characters>23567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Planning Commission - Meeting Minutes</vt:lpstr>
    </vt:vector>
  </TitlesOfParts>
  <Company/>
  <LinksUpToDate>false</LinksUpToDate>
  <CharactersWithSpaces>27646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Commission - Meeting Minutes</dc:title>
  <dc:creator>ClerkMinutes</dc:creator>
  <cp:lastModifiedBy>Colette Dursteler</cp:lastModifiedBy>
  <cp:revision>7</cp:revision>
  <cp:lastPrinted>2026-06-18T18:59:00Z</cp:lastPrinted>
  <dcterms:created xsi:type="dcterms:W3CDTF">2026-06-04T22:14:00Z</dcterms:created>
  <dcterms:modified xsi:type="dcterms:W3CDTF">2026-06-18T19:00:00Z</dcterms:modified>
</cp:coreProperties>
</file>