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D0E1" w14:textId="74286398" w:rsidR="00CF1AFF" w:rsidRPr="004833D3" w:rsidRDefault="00CF1AFF" w:rsidP="00CF1AFF">
      <w:pPr>
        <w:pStyle w:val="BodyText"/>
        <w:spacing w:before="180" w:line="255" w:lineRule="auto"/>
        <w:ind w:left="339" w:right="220"/>
        <w:jc w:val="center"/>
        <w:rPr>
          <w:rFonts w:cs="Arial"/>
          <w:b/>
          <w:bCs/>
          <w:w w:val="105"/>
        </w:rPr>
      </w:pPr>
      <w:r w:rsidRPr="004833D3">
        <w:rPr>
          <w:rFonts w:cs="Arial"/>
          <w:b/>
          <w:bCs/>
          <w:w w:val="105"/>
        </w:rPr>
        <w:t>Budget Officers Statement</w:t>
      </w:r>
    </w:p>
    <w:p w14:paraId="6A5F3728" w14:textId="77777777" w:rsidR="00CF1AFF" w:rsidRPr="004833D3" w:rsidRDefault="00CF1AFF" w:rsidP="00CF1AFF">
      <w:pPr>
        <w:pStyle w:val="BodyText"/>
        <w:spacing w:before="180" w:line="255" w:lineRule="auto"/>
        <w:ind w:left="339" w:right="220"/>
        <w:rPr>
          <w:rFonts w:asciiTheme="minorHAnsi" w:hAnsiTheme="minorHAnsi" w:cstheme="minorHAnsi"/>
          <w:w w:val="105"/>
        </w:rPr>
      </w:pPr>
      <w:r w:rsidRPr="004833D3">
        <w:rPr>
          <w:rFonts w:asciiTheme="minorHAnsi" w:hAnsiTheme="minorHAnsi" w:cstheme="minorHAnsi"/>
          <w:w w:val="105"/>
        </w:rPr>
        <w:t>In accordance with the requirements of the State of Utah Truth-in-Taxation law, I hereby submit the INTERIM budget for Hyde Park City for the fiscal year 2026-2027</w:t>
      </w:r>
    </w:p>
    <w:p w14:paraId="1C48B129" w14:textId="6D8C5989" w:rsidR="00CF1AFF" w:rsidRPr="004833D3" w:rsidRDefault="00CF1AFF" w:rsidP="00CF1AFF">
      <w:pPr>
        <w:pStyle w:val="BodyText"/>
        <w:spacing w:before="180" w:line="255" w:lineRule="auto"/>
        <w:ind w:left="339" w:right="220"/>
        <w:rPr>
          <w:rFonts w:asciiTheme="minorHAnsi" w:hAnsiTheme="minorHAnsi" w:cstheme="minorHAnsi"/>
          <w:w w:val="105"/>
        </w:rPr>
      </w:pPr>
      <w:r w:rsidRPr="004833D3">
        <w:rPr>
          <w:rFonts w:asciiTheme="minorHAnsi" w:hAnsiTheme="minorHAnsi" w:cstheme="minorHAnsi"/>
          <w:w w:val="105"/>
        </w:rPr>
        <w:t>The INTERIM budget has been prepared in compliance with applicable provision of the Utah Truth-in</w:t>
      </w:r>
      <w:r w:rsidR="004B2AC2" w:rsidRPr="004833D3">
        <w:rPr>
          <w:rFonts w:asciiTheme="minorHAnsi" w:hAnsiTheme="minorHAnsi" w:cstheme="minorHAnsi"/>
          <w:w w:val="105"/>
        </w:rPr>
        <w:t>-</w:t>
      </w:r>
      <w:r w:rsidRPr="004833D3">
        <w:rPr>
          <w:rFonts w:asciiTheme="minorHAnsi" w:hAnsiTheme="minorHAnsi" w:cstheme="minorHAnsi"/>
          <w:w w:val="105"/>
        </w:rPr>
        <w:t xml:space="preserve">taxation Law and reflects a thorough evaluation of anticipated revenue, </w:t>
      </w:r>
      <w:proofErr w:type="gramStart"/>
      <w:r w:rsidR="004B2AC2" w:rsidRPr="004833D3">
        <w:rPr>
          <w:rFonts w:asciiTheme="minorHAnsi" w:hAnsiTheme="minorHAnsi" w:cstheme="minorHAnsi"/>
          <w:w w:val="105"/>
        </w:rPr>
        <w:t>expenditures</w:t>
      </w:r>
      <w:proofErr w:type="gramEnd"/>
      <w:r w:rsidRPr="004833D3">
        <w:rPr>
          <w:rFonts w:asciiTheme="minorHAnsi" w:hAnsiTheme="minorHAnsi" w:cstheme="minorHAnsi"/>
          <w:w w:val="105"/>
        </w:rPr>
        <w:t xml:space="preserve">, and the operational needs of the city.  </w:t>
      </w:r>
    </w:p>
    <w:p w14:paraId="03A0E16C" w14:textId="15F6FDAD" w:rsidR="00CF1AFF" w:rsidRPr="004833D3" w:rsidRDefault="00CF1AFF" w:rsidP="00CF1AFF">
      <w:pPr>
        <w:pStyle w:val="BodyText"/>
        <w:spacing w:before="180" w:line="255" w:lineRule="auto"/>
        <w:ind w:left="339" w:right="220"/>
        <w:rPr>
          <w:rFonts w:asciiTheme="minorHAnsi" w:hAnsiTheme="minorHAnsi" w:cstheme="minorHAnsi"/>
          <w:w w:val="105"/>
        </w:rPr>
      </w:pPr>
      <w:r w:rsidRPr="004833D3">
        <w:rPr>
          <w:rFonts w:asciiTheme="minorHAnsi" w:hAnsiTheme="minorHAnsi" w:cstheme="minorHAnsi"/>
          <w:w w:val="105"/>
        </w:rPr>
        <w:t xml:space="preserve">As required by law, a </w:t>
      </w:r>
      <w:r w:rsidRPr="004833D3">
        <w:rPr>
          <w:rFonts w:asciiTheme="minorHAnsi" w:hAnsiTheme="minorHAnsi" w:cstheme="minorHAnsi"/>
          <w:b/>
          <w:bCs/>
          <w:w w:val="105"/>
        </w:rPr>
        <w:t>Property Tax Impact Schedule</w:t>
      </w:r>
      <w:r w:rsidRPr="004833D3">
        <w:rPr>
          <w:rFonts w:asciiTheme="minorHAnsi" w:hAnsiTheme="minorHAnsi" w:cstheme="minorHAnsi"/>
          <w:w w:val="105"/>
        </w:rPr>
        <w:t xml:space="preserve"> has been prepared and is included </w:t>
      </w:r>
      <w:r w:rsidR="004833D3" w:rsidRPr="004833D3">
        <w:rPr>
          <w:rFonts w:asciiTheme="minorHAnsi" w:hAnsiTheme="minorHAnsi" w:cstheme="minorHAnsi"/>
          <w:w w:val="105"/>
        </w:rPr>
        <w:t>in</w:t>
      </w:r>
      <w:r w:rsidRPr="004833D3">
        <w:rPr>
          <w:rFonts w:asciiTheme="minorHAnsi" w:hAnsiTheme="minorHAnsi" w:cstheme="minorHAnsi"/>
          <w:w w:val="105"/>
        </w:rPr>
        <w:t xml:space="preserve"> this INTERIM budget.  </w:t>
      </w:r>
      <w:r w:rsidR="009527A0" w:rsidRPr="004833D3">
        <w:rPr>
          <w:rFonts w:asciiTheme="minorHAnsi" w:hAnsiTheme="minorHAnsi" w:cstheme="minorHAnsi"/>
          <w:w w:val="105"/>
        </w:rPr>
        <w:t xml:space="preserve"> </w:t>
      </w:r>
    </w:p>
    <w:p w14:paraId="3C74E551" w14:textId="23C81324" w:rsidR="004B2AC2" w:rsidRPr="004833D3" w:rsidRDefault="009527A0" w:rsidP="00CF1AFF">
      <w:pPr>
        <w:pStyle w:val="BodyText"/>
        <w:spacing w:before="180" w:line="255" w:lineRule="auto"/>
        <w:ind w:left="339" w:right="220"/>
        <w:rPr>
          <w:rFonts w:asciiTheme="minorHAnsi" w:hAnsiTheme="minorHAnsi" w:cstheme="minorHAnsi"/>
          <w:w w:val="105"/>
        </w:rPr>
      </w:pPr>
      <w:r w:rsidRPr="004833D3">
        <w:rPr>
          <w:rFonts w:asciiTheme="minorHAnsi" w:hAnsiTheme="minorHAnsi" w:cstheme="minorHAnsi"/>
          <w:w w:val="105"/>
        </w:rPr>
        <w:t>Hyde Park City is considering a property tax increase of</w:t>
      </w:r>
      <w:r w:rsidR="00646B90">
        <w:rPr>
          <w:rFonts w:asciiTheme="minorHAnsi" w:hAnsiTheme="minorHAnsi" w:cstheme="minorHAnsi"/>
          <w:w w:val="105"/>
        </w:rPr>
        <w:t xml:space="preserve"> approximately</w:t>
      </w:r>
      <w:r w:rsidRPr="004833D3">
        <w:rPr>
          <w:rFonts w:asciiTheme="minorHAnsi" w:hAnsiTheme="minorHAnsi" w:cstheme="minorHAnsi"/>
          <w:w w:val="105"/>
        </w:rPr>
        <w:t xml:space="preserve"> </w:t>
      </w:r>
      <w:r w:rsidR="00800C05">
        <w:rPr>
          <w:rFonts w:asciiTheme="minorHAnsi" w:hAnsiTheme="minorHAnsi" w:cstheme="minorHAnsi"/>
          <w:w w:val="105"/>
        </w:rPr>
        <w:t>9.74</w:t>
      </w:r>
      <w:r w:rsidRPr="004833D3">
        <w:rPr>
          <w:rFonts w:asciiTheme="minorHAnsi" w:hAnsiTheme="minorHAnsi" w:cstheme="minorHAnsi"/>
          <w:w w:val="105"/>
        </w:rPr>
        <w:t xml:space="preserve">%, which </w:t>
      </w:r>
      <w:r w:rsidR="00646B90">
        <w:rPr>
          <w:rFonts w:asciiTheme="minorHAnsi" w:hAnsiTheme="minorHAnsi" w:cstheme="minorHAnsi"/>
          <w:w w:val="105"/>
        </w:rPr>
        <w:t xml:space="preserve">is projected to </w:t>
      </w:r>
      <w:r w:rsidR="00800C05">
        <w:rPr>
          <w:rFonts w:asciiTheme="minorHAnsi" w:hAnsiTheme="minorHAnsi" w:cstheme="minorHAnsi"/>
          <w:w w:val="105"/>
        </w:rPr>
        <w:t>g</w:t>
      </w:r>
      <w:r w:rsidRPr="004833D3">
        <w:rPr>
          <w:rFonts w:asciiTheme="minorHAnsi" w:hAnsiTheme="minorHAnsi" w:cstheme="minorHAnsi"/>
          <w:w w:val="105"/>
        </w:rPr>
        <w:t xml:space="preserve">enerate an additional </w:t>
      </w:r>
      <w:r w:rsidRPr="004833D3">
        <w:rPr>
          <w:rFonts w:asciiTheme="minorHAnsi" w:hAnsiTheme="minorHAnsi" w:cstheme="minorHAnsi"/>
          <w:b/>
          <w:bCs/>
          <w:w w:val="105"/>
        </w:rPr>
        <w:t>$</w:t>
      </w:r>
      <w:r w:rsidR="00800C05">
        <w:rPr>
          <w:rFonts w:asciiTheme="minorHAnsi" w:hAnsiTheme="minorHAnsi" w:cstheme="minorHAnsi"/>
          <w:b/>
          <w:bCs/>
          <w:w w:val="105"/>
        </w:rPr>
        <w:t>95,185.00</w:t>
      </w:r>
      <w:r w:rsidRPr="004833D3">
        <w:rPr>
          <w:rFonts w:asciiTheme="minorHAnsi" w:hAnsiTheme="minorHAnsi" w:cstheme="minorHAnsi"/>
          <w:w w:val="105"/>
        </w:rPr>
        <w:t xml:space="preserve"> in </w:t>
      </w:r>
      <w:r w:rsidR="004B2AC2" w:rsidRPr="004833D3">
        <w:rPr>
          <w:rFonts w:asciiTheme="minorHAnsi" w:hAnsiTheme="minorHAnsi" w:cstheme="minorHAnsi"/>
          <w:w w:val="105"/>
        </w:rPr>
        <w:t xml:space="preserve">ad valorem tax revenue consisting of </w:t>
      </w:r>
    </w:p>
    <w:p w14:paraId="39CB7B61" w14:textId="159C694F" w:rsidR="00CF1AFF" w:rsidRPr="004833D3" w:rsidRDefault="009527A0" w:rsidP="004B2AC2">
      <w:pPr>
        <w:pStyle w:val="BodyText"/>
        <w:numPr>
          <w:ilvl w:val="0"/>
          <w:numId w:val="1"/>
        </w:numPr>
        <w:spacing w:before="180" w:line="255" w:lineRule="auto"/>
        <w:ind w:right="220"/>
        <w:rPr>
          <w:rFonts w:asciiTheme="minorHAnsi" w:hAnsiTheme="minorHAnsi" w:cstheme="minorHAnsi"/>
          <w:b/>
          <w:bCs/>
          <w:w w:val="105"/>
        </w:rPr>
      </w:pPr>
      <w:r w:rsidRPr="004833D3">
        <w:rPr>
          <w:rFonts w:asciiTheme="minorHAnsi" w:hAnsiTheme="minorHAnsi" w:cstheme="minorHAnsi"/>
          <w:b/>
          <w:bCs/>
          <w:w w:val="105"/>
        </w:rPr>
        <w:t xml:space="preserve">General Fund </w:t>
      </w:r>
      <w:r w:rsidR="004B2AC2" w:rsidRPr="004833D3">
        <w:rPr>
          <w:rFonts w:asciiTheme="minorHAnsi" w:hAnsiTheme="minorHAnsi" w:cstheme="minorHAnsi"/>
          <w:b/>
          <w:bCs/>
          <w:w w:val="105"/>
        </w:rPr>
        <w:t>Increase: $</w:t>
      </w:r>
      <w:r w:rsidR="00800C05">
        <w:rPr>
          <w:rFonts w:asciiTheme="minorHAnsi" w:hAnsiTheme="minorHAnsi" w:cstheme="minorHAnsi"/>
          <w:b/>
          <w:bCs/>
          <w:w w:val="105"/>
        </w:rPr>
        <w:t>95,185</w:t>
      </w:r>
      <w:r w:rsidRPr="004833D3">
        <w:rPr>
          <w:rFonts w:asciiTheme="minorHAnsi" w:hAnsiTheme="minorHAnsi" w:cstheme="minorHAnsi"/>
          <w:b/>
          <w:bCs/>
          <w:w w:val="105"/>
        </w:rPr>
        <w:t xml:space="preserve"> </w:t>
      </w:r>
    </w:p>
    <w:p w14:paraId="301DD4C4" w14:textId="76A699B3" w:rsidR="009527A0" w:rsidRPr="004833D3" w:rsidRDefault="00CF1AFF">
      <w:pPr>
        <w:pStyle w:val="BodyText"/>
        <w:spacing w:before="180" w:line="255" w:lineRule="auto"/>
        <w:ind w:left="339" w:right="220"/>
        <w:rPr>
          <w:rFonts w:asciiTheme="minorHAnsi" w:hAnsiTheme="minorHAnsi" w:cstheme="minorHAnsi"/>
          <w:w w:val="105"/>
        </w:rPr>
      </w:pPr>
      <w:r w:rsidRPr="004833D3">
        <w:rPr>
          <w:rFonts w:asciiTheme="minorHAnsi" w:hAnsiTheme="minorHAnsi" w:cstheme="minorHAnsi"/>
          <w:w w:val="105"/>
        </w:rPr>
        <w:t xml:space="preserve"> </w:t>
      </w:r>
      <w:r w:rsidR="009527A0" w:rsidRPr="004833D3">
        <w:rPr>
          <w:rFonts w:asciiTheme="minorHAnsi" w:hAnsiTheme="minorHAnsi" w:cstheme="minorHAnsi"/>
          <w:w w:val="105"/>
        </w:rPr>
        <w:t xml:space="preserve">Estimated impacts </w:t>
      </w:r>
      <w:r w:rsidR="004B2AC2" w:rsidRPr="004833D3">
        <w:rPr>
          <w:rFonts w:asciiTheme="minorHAnsi" w:hAnsiTheme="minorHAnsi" w:cstheme="minorHAnsi"/>
          <w:w w:val="105"/>
        </w:rPr>
        <w:t>to</w:t>
      </w:r>
      <w:r w:rsidR="009527A0" w:rsidRPr="004833D3">
        <w:rPr>
          <w:rFonts w:asciiTheme="minorHAnsi" w:hAnsiTheme="minorHAnsi" w:cstheme="minorHAnsi"/>
          <w:w w:val="105"/>
        </w:rPr>
        <w:t xml:space="preserve"> taxpayers based on </w:t>
      </w:r>
      <w:r w:rsidR="004B2AC2" w:rsidRPr="004833D3">
        <w:rPr>
          <w:rFonts w:asciiTheme="minorHAnsi" w:hAnsiTheme="minorHAnsi" w:cstheme="minorHAnsi"/>
          <w:w w:val="105"/>
        </w:rPr>
        <w:t>a $</w:t>
      </w:r>
      <w:r w:rsidR="00800C05">
        <w:rPr>
          <w:rFonts w:asciiTheme="minorHAnsi" w:hAnsiTheme="minorHAnsi" w:cstheme="minorHAnsi"/>
          <w:w w:val="105"/>
        </w:rPr>
        <w:t>599</w:t>
      </w:r>
      <w:r w:rsidR="004B2AC2" w:rsidRPr="004833D3">
        <w:rPr>
          <w:rFonts w:asciiTheme="minorHAnsi" w:hAnsiTheme="minorHAnsi" w:cstheme="minorHAnsi"/>
          <w:w w:val="105"/>
        </w:rPr>
        <w:t xml:space="preserve">,000 average home value include: </w:t>
      </w:r>
    </w:p>
    <w:p w14:paraId="0FB1DFC1" w14:textId="76455236" w:rsidR="004B2AC2" w:rsidRPr="004833D3" w:rsidRDefault="004B2AC2" w:rsidP="004B2AC2">
      <w:pPr>
        <w:pStyle w:val="BodyText"/>
        <w:numPr>
          <w:ilvl w:val="0"/>
          <w:numId w:val="1"/>
        </w:numPr>
        <w:spacing w:before="180" w:line="255" w:lineRule="auto"/>
        <w:ind w:right="220"/>
        <w:rPr>
          <w:rFonts w:asciiTheme="minorHAnsi" w:hAnsiTheme="minorHAnsi" w:cstheme="minorHAnsi"/>
          <w:b/>
          <w:bCs/>
          <w:w w:val="105"/>
        </w:rPr>
      </w:pPr>
      <w:r w:rsidRPr="004833D3">
        <w:rPr>
          <w:rFonts w:asciiTheme="minorHAnsi" w:hAnsiTheme="minorHAnsi" w:cstheme="minorHAnsi"/>
          <w:b/>
          <w:bCs/>
          <w:w w:val="105"/>
        </w:rPr>
        <w:t xml:space="preserve">Residential Property: </w:t>
      </w:r>
      <w:r w:rsidR="00646B90">
        <w:rPr>
          <w:rFonts w:asciiTheme="minorHAnsi" w:hAnsiTheme="minorHAnsi" w:cstheme="minorHAnsi"/>
          <w:b/>
          <w:bCs/>
          <w:w w:val="105"/>
        </w:rPr>
        <w:t xml:space="preserve">approximately </w:t>
      </w:r>
      <w:r w:rsidRPr="004833D3">
        <w:rPr>
          <w:rFonts w:asciiTheme="minorHAnsi" w:hAnsiTheme="minorHAnsi" w:cstheme="minorHAnsi"/>
          <w:b/>
          <w:bCs/>
          <w:w w:val="105"/>
        </w:rPr>
        <w:t>$</w:t>
      </w:r>
      <w:r w:rsidR="00800C05">
        <w:rPr>
          <w:rFonts w:asciiTheme="minorHAnsi" w:hAnsiTheme="minorHAnsi" w:cstheme="minorHAnsi"/>
          <w:b/>
          <w:bCs/>
          <w:w w:val="105"/>
        </w:rPr>
        <w:t>32.29</w:t>
      </w:r>
      <w:r w:rsidRPr="004833D3">
        <w:rPr>
          <w:rFonts w:asciiTheme="minorHAnsi" w:hAnsiTheme="minorHAnsi" w:cstheme="minorHAnsi"/>
          <w:b/>
          <w:bCs/>
          <w:w w:val="105"/>
        </w:rPr>
        <w:t xml:space="preserve"> annual increase</w:t>
      </w:r>
      <w:r w:rsidR="00646B90">
        <w:rPr>
          <w:rFonts w:asciiTheme="minorHAnsi" w:hAnsiTheme="minorHAnsi" w:cstheme="minorHAnsi"/>
          <w:b/>
          <w:bCs/>
          <w:w w:val="105"/>
        </w:rPr>
        <w:t xml:space="preserve"> </w:t>
      </w:r>
    </w:p>
    <w:p w14:paraId="19A03A4E" w14:textId="4AA983D1" w:rsidR="004B2AC2" w:rsidRPr="004833D3" w:rsidRDefault="004B2AC2" w:rsidP="004B2AC2">
      <w:pPr>
        <w:pStyle w:val="BodyText"/>
        <w:numPr>
          <w:ilvl w:val="0"/>
          <w:numId w:val="1"/>
        </w:numPr>
        <w:spacing w:before="180" w:line="255" w:lineRule="auto"/>
        <w:ind w:right="220"/>
        <w:rPr>
          <w:rFonts w:asciiTheme="minorHAnsi" w:hAnsiTheme="minorHAnsi" w:cstheme="minorHAnsi"/>
          <w:b/>
          <w:bCs/>
          <w:w w:val="105"/>
        </w:rPr>
      </w:pPr>
      <w:r w:rsidRPr="004833D3">
        <w:rPr>
          <w:rFonts w:asciiTheme="minorHAnsi" w:hAnsiTheme="minorHAnsi" w:cstheme="minorHAnsi"/>
          <w:b/>
          <w:bCs/>
          <w:w w:val="105"/>
        </w:rPr>
        <w:t xml:space="preserve">Business Property: </w:t>
      </w:r>
      <w:r w:rsidR="00646B90">
        <w:rPr>
          <w:rFonts w:asciiTheme="minorHAnsi" w:hAnsiTheme="minorHAnsi" w:cstheme="minorHAnsi"/>
          <w:b/>
          <w:bCs/>
          <w:w w:val="105"/>
        </w:rPr>
        <w:t xml:space="preserve">approximately </w:t>
      </w:r>
      <w:r w:rsidRPr="004833D3">
        <w:rPr>
          <w:rFonts w:asciiTheme="minorHAnsi" w:hAnsiTheme="minorHAnsi" w:cstheme="minorHAnsi"/>
          <w:b/>
          <w:bCs/>
          <w:w w:val="105"/>
        </w:rPr>
        <w:t>$5</w:t>
      </w:r>
      <w:r w:rsidR="00800C05">
        <w:rPr>
          <w:rFonts w:asciiTheme="minorHAnsi" w:hAnsiTheme="minorHAnsi" w:cstheme="minorHAnsi"/>
          <w:b/>
          <w:bCs/>
          <w:w w:val="105"/>
        </w:rPr>
        <w:t>8.70</w:t>
      </w:r>
      <w:r w:rsidRPr="004833D3">
        <w:rPr>
          <w:rFonts w:asciiTheme="minorHAnsi" w:hAnsiTheme="minorHAnsi" w:cstheme="minorHAnsi"/>
          <w:b/>
          <w:bCs/>
          <w:w w:val="105"/>
        </w:rPr>
        <w:t xml:space="preserve"> annual increase</w:t>
      </w:r>
      <w:r w:rsidR="00646B90">
        <w:rPr>
          <w:rFonts w:asciiTheme="minorHAnsi" w:hAnsiTheme="minorHAnsi" w:cstheme="minorHAnsi"/>
          <w:b/>
          <w:bCs/>
          <w:w w:val="105"/>
        </w:rPr>
        <w:t xml:space="preserve"> </w:t>
      </w:r>
    </w:p>
    <w:p w14:paraId="2A839F69" w14:textId="381388E0" w:rsidR="004B2AC2" w:rsidRPr="004833D3" w:rsidRDefault="004B2AC2">
      <w:pPr>
        <w:pStyle w:val="BodyText"/>
        <w:spacing w:before="180" w:line="255" w:lineRule="auto"/>
        <w:ind w:left="339" w:right="220"/>
        <w:rPr>
          <w:rFonts w:asciiTheme="minorHAnsi" w:hAnsiTheme="minorHAnsi" w:cstheme="minorHAnsi"/>
          <w:w w:val="105"/>
        </w:rPr>
      </w:pPr>
      <w:r w:rsidRPr="004833D3">
        <w:rPr>
          <w:rFonts w:asciiTheme="minorHAnsi" w:hAnsiTheme="minorHAnsi" w:cstheme="minorHAnsi"/>
          <w:w w:val="105"/>
        </w:rPr>
        <w:t xml:space="preserve">Hyde Park City is considering an increase in the certified tax rate to </w:t>
      </w:r>
      <w:r w:rsidR="000D7014" w:rsidRPr="004833D3">
        <w:rPr>
          <w:rFonts w:asciiTheme="minorHAnsi" w:hAnsiTheme="minorHAnsi" w:cstheme="minorHAnsi"/>
          <w:w w:val="105"/>
        </w:rPr>
        <w:t xml:space="preserve">.00110, bringing the current </w:t>
      </w:r>
      <w:r w:rsidR="00646B90">
        <w:rPr>
          <w:rFonts w:asciiTheme="minorHAnsi" w:hAnsiTheme="minorHAnsi" w:cstheme="minorHAnsi"/>
          <w:w w:val="105"/>
        </w:rPr>
        <w:t xml:space="preserve">estimated </w:t>
      </w:r>
      <w:r w:rsidR="000D7014" w:rsidRPr="004833D3">
        <w:rPr>
          <w:rFonts w:asciiTheme="minorHAnsi" w:hAnsiTheme="minorHAnsi" w:cstheme="minorHAnsi"/>
          <w:w w:val="105"/>
        </w:rPr>
        <w:t>property tax revenue of $</w:t>
      </w:r>
      <w:r w:rsidR="00800C05">
        <w:rPr>
          <w:rFonts w:asciiTheme="minorHAnsi" w:hAnsiTheme="minorHAnsi" w:cstheme="minorHAnsi"/>
          <w:w w:val="105"/>
        </w:rPr>
        <w:t>973,219</w:t>
      </w:r>
      <w:r w:rsidR="000D7014" w:rsidRPr="004833D3">
        <w:rPr>
          <w:rFonts w:asciiTheme="minorHAnsi" w:hAnsiTheme="minorHAnsi" w:cstheme="minorHAnsi"/>
          <w:w w:val="105"/>
        </w:rPr>
        <w:t xml:space="preserve"> to</w:t>
      </w:r>
      <w:r w:rsidR="00646B90">
        <w:rPr>
          <w:rFonts w:asciiTheme="minorHAnsi" w:hAnsiTheme="minorHAnsi" w:cstheme="minorHAnsi"/>
          <w:w w:val="105"/>
        </w:rPr>
        <w:t xml:space="preserve"> an estimated </w:t>
      </w:r>
      <w:r w:rsidR="000D7014" w:rsidRPr="004833D3">
        <w:rPr>
          <w:rFonts w:asciiTheme="minorHAnsi" w:hAnsiTheme="minorHAnsi" w:cstheme="minorHAnsi"/>
          <w:w w:val="105"/>
        </w:rPr>
        <w:t>$1,</w:t>
      </w:r>
      <w:r w:rsidR="00800C05">
        <w:rPr>
          <w:rFonts w:asciiTheme="minorHAnsi" w:hAnsiTheme="minorHAnsi" w:cstheme="minorHAnsi"/>
          <w:w w:val="105"/>
        </w:rPr>
        <w:t>068</w:t>
      </w:r>
      <w:r w:rsidR="000D7014" w:rsidRPr="004833D3">
        <w:rPr>
          <w:rFonts w:asciiTheme="minorHAnsi" w:hAnsiTheme="minorHAnsi" w:cstheme="minorHAnsi"/>
          <w:w w:val="105"/>
        </w:rPr>
        <w:t>,</w:t>
      </w:r>
      <w:r w:rsidR="00800C05">
        <w:rPr>
          <w:rFonts w:asciiTheme="minorHAnsi" w:hAnsiTheme="minorHAnsi" w:cstheme="minorHAnsi"/>
          <w:w w:val="105"/>
        </w:rPr>
        <w:t>404</w:t>
      </w:r>
      <w:r w:rsidR="000D7014" w:rsidRPr="004833D3">
        <w:rPr>
          <w:rFonts w:asciiTheme="minorHAnsi" w:hAnsiTheme="minorHAnsi" w:cstheme="minorHAnsi"/>
          <w:w w:val="105"/>
        </w:rPr>
        <w:t xml:space="preserve">. </w:t>
      </w:r>
    </w:p>
    <w:p w14:paraId="4F7BD01E" w14:textId="6B63F078" w:rsidR="009C240F" w:rsidRPr="004833D3" w:rsidRDefault="004B2AC2" w:rsidP="000D7014">
      <w:pPr>
        <w:pStyle w:val="BodyText"/>
        <w:spacing w:before="180" w:line="255" w:lineRule="auto"/>
        <w:ind w:left="339" w:right="220"/>
        <w:rPr>
          <w:rFonts w:asciiTheme="minorHAnsi" w:hAnsiTheme="minorHAnsi" w:cstheme="minorHAnsi"/>
          <w:w w:val="105"/>
        </w:rPr>
      </w:pPr>
      <w:r w:rsidRPr="004833D3">
        <w:rPr>
          <w:rFonts w:asciiTheme="minorHAnsi" w:hAnsiTheme="minorHAnsi" w:cstheme="minorHAnsi"/>
          <w:w w:val="105"/>
        </w:rPr>
        <w:t xml:space="preserve">The property tax schedule also outlines the operation impact of the proposed increase if not adopted, including: </w:t>
      </w:r>
    </w:p>
    <w:tbl>
      <w:tblPr>
        <w:tblW w:w="7696" w:type="dxa"/>
        <w:tblInd w:w="1300" w:type="dxa"/>
        <w:tblLook w:val="04A0" w:firstRow="1" w:lastRow="0" w:firstColumn="1" w:lastColumn="0" w:noHBand="0" w:noVBand="1"/>
      </w:tblPr>
      <w:tblGrid>
        <w:gridCol w:w="1418"/>
        <w:gridCol w:w="1868"/>
        <w:gridCol w:w="2160"/>
        <w:gridCol w:w="2250"/>
      </w:tblGrid>
      <w:tr w:rsidR="00042330" w:rsidRPr="000D7947" w14:paraId="4CE6A428" w14:textId="77777777" w:rsidTr="004833D3">
        <w:trPr>
          <w:trHeight w:val="900"/>
        </w:trPr>
        <w:tc>
          <w:tcPr>
            <w:tcW w:w="1418" w:type="dxa"/>
            <w:tcBorders>
              <w:top w:val="nil"/>
              <w:left w:val="nil"/>
              <w:bottom w:val="nil"/>
              <w:right w:val="nil"/>
            </w:tcBorders>
            <w:vAlign w:val="bottom"/>
            <w:hideMark/>
          </w:tcPr>
          <w:p w14:paraId="6DAA5F83" w14:textId="77777777" w:rsidR="00042330" w:rsidRPr="000D7947" w:rsidRDefault="00042330" w:rsidP="000D7014">
            <w:pPr>
              <w:widowControl/>
              <w:ind w:left="-195" w:firstLine="195"/>
              <w:jc w:val="center"/>
              <w:rPr>
                <w:rFonts w:ascii="Arial" w:eastAsia="Times New Roman" w:hAnsi="Arial" w:cs="Arial"/>
                <w:b/>
                <w:bCs/>
                <w:color w:val="000000"/>
                <w:sz w:val="20"/>
                <w:szCs w:val="20"/>
                <w:u w:val="single"/>
              </w:rPr>
            </w:pPr>
            <w:r w:rsidRPr="000D7947">
              <w:rPr>
                <w:rFonts w:ascii="Arial" w:eastAsia="Times New Roman" w:hAnsi="Arial" w:cs="Arial"/>
                <w:b/>
                <w:bCs/>
                <w:color w:val="000000"/>
                <w:sz w:val="20"/>
                <w:szCs w:val="20"/>
                <w:u w:val="single"/>
              </w:rPr>
              <w:t>Affected Department</w:t>
            </w:r>
          </w:p>
        </w:tc>
        <w:tc>
          <w:tcPr>
            <w:tcW w:w="1868" w:type="dxa"/>
            <w:tcBorders>
              <w:top w:val="nil"/>
              <w:left w:val="nil"/>
              <w:bottom w:val="nil"/>
              <w:right w:val="nil"/>
            </w:tcBorders>
            <w:vAlign w:val="bottom"/>
            <w:hideMark/>
          </w:tcPr>
          <w:p w14:paraId="3C1F14D5" w14:textId="77777777" w:rsidR="00042330" w:rsidRPr="000D7947" w:rsidRDefault="00042330" w:rsidP="00042330">
            <w:pPr>
              <w:widowControl/>
              <w:jc w:val="center"/>
              <w:rPr>
                <w:rFonts w:ascii="Arial" w:eastAsia="Times New Roman" w:hAnsi="Arial" w:cs="Arial"/>
                <w:b/>
                <w:bCs/>
                <w:color w:val="000000"/>
                <w:sz w:val="20"/>
                <w:szCs w:val="20"/>
                <w:u w:val="single"/>
              </w:rPr>
            </w:pPr>
            <w:r w:rsidRPr="000D7947">
              <w:rPr>
                <w:rFonts w:ascii="Arial" w:eastAsia="Times New Roman" w:hAnsi="Arial" w:cs="Arial"/>
                <w:b/>
                <w:bCs/>
                <w:color w:val="000000"/>
                <w:sz w:val="20"/>
                <w:szCs w:val="20"/>
                <w:u w:val="single"/>
              </w:rPr>
              <w:t>Proposed Budget</w:t>
            </w:r>
          </w:p>
        </w:tc>
        <w:tc>
          <w:tcPr>
            <w:tcW w:w="2160" w:type="dxa"/>
            <w:tcBorders>
              <w:top w:val="nil"/>
              <w:left w:val="nil"/>
              <w:bottom w:val="nil"/>
              <w:right w:val="nil"/>
            </w:tcBorders>
            <w:vAlign w:val="bottom"/>
            <w:hideMark/>
          </w:tcPr>
          <w:p w14:paraId="0F6F0D1E" w14:textId="77777777" w:rsidR="00042330" w:rsidRPr="000D7947" w:rsidRDefault="00042330" w:rsidP="00042330">
            <w:pPr>
              <w:widowControl/>
              <w:jc w:val="center"/>
              <w:rPr>
                <w:rFonts w:ascii="Arial" w:eastAsia="Times New Roman" w:hAnsi="Arial" w:cs="Arial"/>
                <w:b/>
                <w:bCs/>
                <w:color w:val="000000"/>
                <w:sz w:val="20"/>
                <w:szCs w:val="20"/>
                <w:u w:val="single"/>
              </w:rPr>
            </w:pPr>
            <w:r w:rsidRPr="000D7947">
              <w:rPr>
                <w:rFonts w:ascii="Arial" w:eastAsia="Times New Roman" w:hAnsi="Arial" w:cs="Arial"/>
                <w:b/>
                <w:bCs/>
                <w:color w:val="000000"/>
                <w:sz w:val="20"/>
                <w:szCs w:val="20"/>
                <w:u w:val="single"/>
              </w:rPr>
              <w:t>Budget Without Tax Change</w:t>
            </w:r>
          </w:p>
        </w:tc>
        <w:tc>
          <w:tcPr>
            <w:tcW w:w="2250" w:type="dxa"/>
            <w:tcBorders>
              <w:top w:val="nil"/>
              <w:left w:val="nil"/>
              <w:bottom w:val="nil"/>
              <w:right w:val="nil"/>
            </w:tcBorders>
            <w:vAlign w:val="bottom"/>
            <w:hideMark/>
          </w:tcPr>
          <w:p w14:paraId="3256F44B" w14:textId="77777777" w:rsidR="00042330" w:rsidRPr="000D7947" w:rsidRDefault="00042330" w:rsidP="00042330">
            <w:pPr>
              <w:widowControl/>
              <w:jc w:val="center"/>
              <w:rPr>
                <w:rFonts w:ascii="Arial" w:eastAsia="Times New Roman" w:hAnsi="Arial" w:cs="Arial"/>
                <w:b/>
                <w:bCs/>
                <w:color w:val="000000"/>
                <w:sz w:val="20"/>
                <w:szCs w:val="20"/>
                <w:u w:val="single"/>
              </w:rPr>
            </w:pPr>
            <w:r w:rsidRPr="000D7947">
              <w:rPr>
                <w:rFonts w:ascii="Arial" w:eastAsia="Times New Roman" w:hAnsi="Arial" w:cs="Arial"/>
                <w:b/>
                <w:bCs/>
                <w:color w:val="000000"/>
                <w:sz w:val="20"/>
                <w:szCs w:val="20"/>
                <w:u w:val="single"/>
              </w:rPr>
              <w:t>Budget Change</w:t>
            </w:r>
          </w:p>
        </w:tc>
      </w:tr>
      <w:tr w:rsidR="00042330" w:rsidRPr="000D7947" w14:paraId="35135700" w14:textId="77777777" w:rsidTr="004833D3">
        <w:trPr>
          <w:trHeight w:val="300"/>
        </w:trPr>
        <w:tc>
          <w:tcPr>
            <w:tcW w:w="1418" w:type="dxa"/>
            <w:tcBorders>
              <w:top w:val="nil"/>
              <w:left w:val="nil"/>
              <w:bottom w:val="nil"/>
              <w:right w:val="nil"/>
            </w:tcBorders>
            <w:noWrap/>
            <w:vAlign w:val="bottom"/>
            <w:hideMark/>
          </w:tcPr>
          <w:p w14:paraId="4734743D" w14:textId="77777777" w:rsidR="00042330" w:rsidRPr="000D7947" w:rsidRDefault="00042330" w:rsidP="00042330">
            <w:pPr>
              <w:widowControl/>
              <w:jc w:val="center"/>
              <w:rPr>
                <w:rFonts w:ascii="Arial" w:eastAsia="Times New Roman" w:hAnsi="Arial" w:cs="Arial"/>
                <w:b/>
                <w:bCs/>
                <w:color w:val="000000"/>
                <w:sz w:val="20"/>
                <w:szCs w:val="20"/>
                <w:u w:val="single"/>
              </w:rPr>
            </w:pPr>
          </w:p>
        </w:tc>
        <w:tc>
          <w:tcPr>
            <w:tcW w:w="1868" w:type="dxa"/>
            <w:tcBorders>
              <w:top w:val="nil"/>
              <w:left w:val="nil"/>
              <w:bottom w:val="nil"/>
              <w:right w:val="nil"/>
            </w:tcBorders>
            <w:noWrap/>
            <w:vAlign w:val="bottom"/>
            <w:hideMark/>
          </w:tcPr>
          <w:p w14:paraId="425C1C9B" w14:textId="77777777" w:rsidR="00042330" w:rsidRPr="000D7947" w:rsidRDefault="00042330" w:rsidP="00042330">
            <w:pPr>
              <w:widowControl/>
              <w:rPr>
                <w:rFonts w:ascii="Arial" w:eastAsia="Times New Roman" w:hAnsi="Arial" w:cs="Arial"/>
                <w:sz w:val="20"/>
                <w:szCs w:val="20"/>
              </w:rPr>
            </w:pPr>
          </w:p>
        </w:tc>
        <w:tc>
          <w:tcPr>
            <w:tcW w:w="2160" w:type="dxa"/>
            <w:tcBorders>
              <w:top w:val="nil"/>
              <w:left w:val="nil"/>
              <w:bottom w:val="nil"/>
              <w:right w:val="nil"/>
            </w:tcBorders>
            <w:noWrap/>
            <w:vAlign w:val="bottom"/>
            <w:hideMark/>
          </w:tcPr>
          <w:p w14:paraId="62C234FB" w14:textId="77777777" w:rsidR="00042330" w:rsidRPr="000D7947" w:rsidRDefault="00042330" w:rsidP="00042330">
            <w:pPr>
              <w:widowControl/>
              <w:rPr>
                <w:rFonts w:ascii="Arial" w:eastAsia="Times New Roman" w:hAnsi="Arial" w:cs="Arial"/>
                <w:sz w:val="20"/>
                <w:szCs w:val="20"/>
              </w:rPr>
            </w:pPr>
          </w:p>
        </w:tc>
        <w:tc>
          <w:tcPr>
            <w:tcW w:w="2250" w:type="dxa"/>
            <w:tcBorders>
              <w:top w:val="nil"/>
              <w:left w:val="nil"/>
              <w:bottom w:val="nil"/>
              <w:right w:val="nil"/>
            </w:tcBorders>
            <w:noWrap/>
            <w:vAlign w:val="bottom"/>
            <w:hideMark/>
          </w:tcPr>
          <w:p w14:paraId="4F7776BF" w14:textId="77777777" w:rsidR="00042330" w:rsidRPr="000D7947" w:rsidRDefault="00042330" w:rsidP="00042330">
            <w:pPr>
              <w:widowControl/>
              <w:rPr>
                <w:rFonts w:ascii="Arial" w:eastAsia="Times New Roman" w:hAnsi="Arial" w:cs="Arial"/>
                <w:sz w:val="20"/>
                <w:szCs w:val="20"/>
              </w:rPr>
            </w:pPr>
          </w:p>
        </w:tc>
      </w:tr>
      <w:tr w:rsidR="00042330" w:rsidRPr="000D7947" w14:paraId="5E8B84FB" w14:textId="77777777" w:rsidTr="004833D3">
        <w:trPr>
          <w:trHeight w:val="300"/>
        </w:trPr>
        <w:tc>
          <w:tcPr>
            <w:tcW w:w="1418" w:type="dxa"/>
            <w:tcBorders>
              <w:top w:val="nil"/>
              <w:left w:val="nil"/>
              <w:bottom w:val="nil"/>
              <w:right w:val="nil"/>
            </w:tcBorders>
            <w:noWrap/>
            <w:vAlign w:val="bottom"/>
            <w:hideMark/>
          </w:tcPr>
          <w:p w14:paraId="41FD7E21" w14:textId="77777777" w:rsidR="00042330" w:rsidRPr="000D7947" w:rsidRDefault="00042330" w:rsidP="00042330">
            <w:pPr>
              <w:widowControl/>
              <w:rPr>
                <w:rFonts w:ascii="Arial" w:eastAsia="Times New Roman" w:hAnsi="Arial" w:cs="Arial"/>
                <w:color w:val="000000"/>
                <w:sz w:val="20"/>
                <w:szCs w:val="20"/>
              </w:rPr>
            </w:pPr>
            <w:r w:rsidRPr="000D7947">
              <w:rPr>
                <w:rFonts w:ascii="Arial" w:eastAsia="Times New Roman" w:hAnsi="Arial" w:cs="Arial"/>
                <w:color w:val="000000"/>
                <w:sz w:val="20"/>
                <w:szCs w:val="20"/>
              </w:rPr>
              <w:t>Streets</w:t>
            </w:r>
          </w:p>
        </w:tc>
        <w:tc>
          <w:tcPr>
            <w:tcW w:w="1868" w:type="dxa"/>
            <w:tcBorders>
              <w:top w:val="nil"/>
              <w:left w:val="nil"/>
              <w:bottom w:val="nil"/>
              <w:right w:val="nil"/>
            </w:tcBorders>
            <w:noWrap/>
            <w:vAlign w:val="bottom"/>
            <w:hideMark/>
          </w:tcPr>
          <w:p w14:paraId="34DC9DBE" w14:textId="5FF6B682" w:rsidR="00042330" w:rsidRPr="000D7947" w:rsidRDefault="00042330" w:rsidP="00042330">
            <w:pPr>
              <w:widowControl/>
              <w:rPr>
                <w:rFonts w:ascii="Arial" w:eastAsia="Times New Roman" w:hAnsi="Arial" w:cs="Arial"/>
                <w:color w:val="000000"/>
                <w:sz w:val="20"/>
                <w:szCs w:val="20"/>
              </w:rPr>
            </w:pPr>
            <w:r w:rsidRPr="000D7947">
              <w:rPr>
                <w:rFonts w:ascii="Arial" w:eastAsia="Times New Roman" w:hAnsi="Arial" w:cs="Arial"/>
                <w:color w:val="000000"/>
                <w:sz w:val="20"/>
                <w:szCs w:val="20"/>
              </w:rPr>
              <w:t xml:space="preserve"> $    1,</w:t>
            </w:r>
            <w:r w:rsidR="0038791F">
              <w:rPr>
                <w:rFonts w:ascii="Arial" w:eastAsia="Times New Roman" w:hAnsi="Arial" w:cs="Arial"/>
                <w:color w:val="000000"/>
                <w:sz w:val="20"/>
                <w:szCs w:val="20"/>
              </w:rPr>
              <w:t>582,000</w:t>
            </w:r>
            <w:r w:rsidRPr="000D7947">
              <w:rPr>
                <w:rFonts w:ascii="Arial" w:eastAsia="Times New Roman" w:hAnsi="Arial" w:cs="Arial"/>
                <w:color w:val="000000"/>
                <w:sz w:val="20"/>
                <w:szCs w:val="20"/>
              </w:rPr>
              <w:t xml:space="preserve"> </w:t>
            </w:r>
          </w:p>
        </w:tc>
        <w:tc>
          <w:tcPr>
            <w:tcW w:w="2160" w:type="dxa"/>
            <w:tcBorders>
              <w:top w:val="nil"/>
              <w:left w:val="nil"/>
              <w:bottom w:val="nil"/>
              <w:right w:val="nil"/>
            </w:tcBorders>
            <w:noWrap/>
            <w:vAlign w:val="bottom"/>
            <w:hideMark/>
          </w:tcPr>
          <w:p w14:paraId="0E9C4F21" w14:textId="594C7452" w:rsidR="00042330" w:rsidRPr="000D7947" w:rsidRDefault="00042330" w:rsidP="00042330">
            <w:pPr>
              <w:widowControl/>
              <w:rPr>
                <w:rFonts w:ascii="Arial" w:eastAsia="Times New Roman" w:hAnsi="Arial" w:cs="Arial"/>
                <w:color w:val="000000"/>
                <w:sz w:val="20"/>
                <w:szCs w:val="20"/>
              </w:rPr>
            </w:pPr>
            <w:r w:rsidRPr="000D7947">
              <w:rPr>
                <w:rFonts w:ascii="Arial" w:eastAsia="Times New Roman" w:hAnsi="Arial" w:cs="Arial"/>
                <w:color w:val="000000"/>
                <w:sz w:val="20"/>
                <w:szCs w:val="20"/>
              </w:rPr>
              <w:t xml:space="preserve"> $       1,</w:t>
            </w:r>
            <w:r w:rsidR="0038791F">
              <w:rPr>
                <w:rFonts w:ascii="Arial" w:eastAsia="Times New Roman" w:hAnsi="Arial" w:cs="Arial"/>
                <w:color w:val="000000"/>
                <w:sz w:val="20"/>
                <w:szCs w:val="20"/>
              </w:rPr>
              <w:t>487</w:t>
            </w:r>
            <w:r w:rsidRPr="000D7947">
              <w:rPr>
                <w:rFonts w:ascii="Arial" w:eastAsia="Times New Roman" w:hAnsi="Arial" w:cs="Arial"/>
                <w:color w:val="000000"/>
                <w:sz w:val="20"/>
                <w:szCs w:val="20"/>
              </w:rPr>
              <w:t xml:space="preserve">,000 </w:t>
            </w:r>
          </w:p>
        </w:tc>
        <w:tc>
          <w:tcPr>
            <w:tcW w:w="2250" w:type="dxa"/>
            <w:tcBorders>
              <w:top w:val="nil"/>
              <w:left w:val="nil"/>
              <w:bottom w:val="nil"/>
              <w:right w:val="nil"/>
            </w:tcBorders>
            <w:noWrap/>
            <w:vAlign w:val="bottom"/>
            <w:hideMark/>
          </w:tcPr>
          <w:p w14:paraId="1D9454F2" w14:textId="3D84F586" w:rsidR="00042330" w:rsidRPr="000D7947" w:rsidRDefault="00042330" w:rsidP="00042330">
            <w:pPr>
              <w:widowControl/>
              <w:rPr>
                <w:rFonts w:ascii="Arial" w:eastAsia="Times New Roman" w:hAnsi="Arial" w:cs="Arial"/>
                <w:color w:val="000000"/>
                <w:sz w:val="20"/>
                <w:szCs w:val="20"/>
              </w:rPr>
            </w:pPr>
            <w:r w:rsidRPr="000D7947">
              <w:rPr>
                <w:rFonts w:ascii="Arial" w:eastAsia="Times New Roman" w:hAnsi="Arial" w:cs="Arial"/>
                <w:color w:val="000000"/>
                <w:sz w:val="20"/>
                <w:szCs w:val="20"/>
              </w:rPr>
              <w:t xml:space="preserve"> $        </w:t>
            </w:r>
            <w:r w:rsidR="00DA569C">
              <w:rPr>
                <w:rFonts w:ascii="Arial" w:eastAsia="Times New Roman" w:hAnsi="Arial" w:cs="Arial"/>
                <w:color w:val="000000"/>
                <w:sz w:val="20"/>
                <w:szCs w:val="20"/>
              </w:rPr>
              <w:t>95,185</w:t>
            </w:r>
            <w:r w:rsidRPr="000D7947">
              <w:rPr>
                <w:rFonts w:ascii="Arial" w:eastAsia="Times New Roman" w:hAnsi="Arial" w:cs="Arial"/>
                <w:color w:val="000000"/>
                <w:sz w:val="20"/>
                <w:szCs w:val="20"/>
              </w:rPr>
              <w:t xml:space="preserve"> </w:t>
            </w:r>
          </w:p>
        </w:tc>
      </w:tr>
    </w:tbl>
    <w:p w14:paraId="159B4A4E" w14:textId="77777777" w:rsidR="009C240F" w:rsidRPr="000D7947" w:rsidRDefault="009C240F">
      <w:pPr>
        <w:rPr>
          <w:rFonts w:ascii="Arial" w:eastAsia="Arial" w:hAnsi="Arial" w:cs="Arial"/>
          <w:sz w:val="20"/>
          <w:szCs w:val="20"/>
        </w:rPr>
      </w:pPr>
    </w:p>
    <w:p w14:paraId="655A21F2" w14:textId="77777777" w:rsidR="00042330" w:rsidRPr="004833D3" w:rsidRDefault="00042330">
      <w:pPr>
        <w:rPr>
          <w:rFonts w:ascii="Arial" w:eastAsia="Arial" w:hAnsi="Arial" w:cs="Arial"/>
          <w:sz w:val="25"/>
          <w:szCs w:val="25"/>
        </w:rPr>
      </w:pPr>
    </w:p>
    <w:p w14:paraId="07F0E765" w14:textId="24240C32" w:rsidR="00042330" w:rsidRPr="004833D3" w:rsidRDefault="00EA3FE8">
      <w:pPr>
        <w:rPr>
          <w:rFonts w:ascii="Arial" w:eastAsia="Arial" w:hAnsi="Arial" w:cs="Arial"/>
          <w:sz w:val="25"/>
          <w:szCs w:val="25"/>
        </w:rPr>
      </w:pPr>
      <w:r>
        <w:rPr>
          <w:rFonts w:ascii="Arial" w:eastAsia="Arial" w:hAnsi="Arial" w:cs="Arial"/>
          <w:sz w:val="20"/>
          <w:szCs w:val="20"/>
        </w:rPr>
      </w:r>
      <w:r>
        <w:rPr>
          <w:rFonts w:ascii="Arial" w:eastAsia="Arial" w:hAnsi="Arial" w:cs="Arial"/>
          <w:sz w:val="20"/>
          <w:szCs w:val="20"/>
        </w:rPr>
        <w:pict w14:anchorId="7815A500">
          <v:shapetype id="_x0000_t202" coordsize="21600,21600" o:spt="202" path="m,l,21600r21600,l21600,xe">
            <v:stroke joinstyle="miter"/>
            <v:path gradientshapeok="t" o:connecttype="rect"/>
          </v:shapetype>
          <v:shape id="_x0000_s1026" type="#_x0000_t202" style="width:470.75pt;height:47.3pt;mso-left-percent:-10001;mso-top-percent:-10001;mso-position-horizontal:absolute;mso-position-horizontal-relative:char;mso-position-vertical:absolute;mso-position-vertical-relative:line;mso-left-percent:-10001;mso-top-percent:-10001" filled="f" strokeweight=".48pt">
            <v:textbox style="mso-next-textbox:#_x0000_s1026" inset="0,0,0,0">
              <w:txbxContent>
                <w:p w14:paraId="7167FBFD" w14:textId="5127F86E" w:rsidR="00042330" w:rsidRDefault="00042330" w:rsidP="00042330">
                  <w:pPr>
                    <w:spacing w:before="147"/>
                    <w:ind w:left="104" w:right="370"/>
                    <w:rPr>
                      <w:rFonts w:ascii="Calibri" w:eastAsia="Calibri" w:hAnsi="Calibri" w:cs="Calibri"/>
                    </w:rPr>
                  </w:pPr>
                  <w:r>
                    <w:rPr>
                      <w:rFonts w:ascii="Calibri"/>
                      <w:b/>
                      <w:spacing w:val="-3"/>
                    </w:rPr>
                    <w:t>Impact</w:t>
                  </w:r>
                  <w:r>
                    <w:rPr>
                      <w:rFonts w:ascii="Calibri"/>
                      <w:b/>
                      <w:spacing w:val="-14"/>
                    </w:rPr>
                    <w:t xml:space="preserve"> </w:t>
                  </w:r>
                  <w:r>
                    <w:rPr>
                      <w:rFonts w:ascii="Calibri"/>
                      <w:b/>
                      <w:spacing w:val="-2"/>
                    </w:rPr>
                    <w:t>of</w:t>
                  </w:r>
                  <w:r>
                    <w:rPr>
                      <w:rFonts w:ascii="Calibri"/>
                      <w:b/>
                      <w:spacing w:val="-15"/>
                    </w:rPr>
                    <w:t xml:space="preserve"> </w:t>
                  </w:r>
                  <w:r w:rsidR="000D7014">
                    <w:rPr>
                      <w:rFonts w:ascii="Calibri"/>
                      <w:b/>
                      <w:spacing w:val="-15"/>
                    </w:rPr>
                    <w:t>no t</w:t>
                  </w:r>
                  <w:r>
                    <w:rPr>
                      <w:rFonts w:ascii="Calibri"/>
                      <w:b/>
                      <w:spacing w:val="-2"/>
                    </w:rPr>
                    <w:t>ax</w:t>
                  </w:r>
                  <w:r>
                    <w:rPr>
                      <w:rFonts w:ascii="Calibri"/>
                      <w:b/>
                      <w:spacing w:val="-15"/>
                    </w:rPr>
                    <w:t xml:space="preserve"> </w:t>
                  </w:r>
                  <w:r w:rsidR="000D7014">
                    <w:rPr>
                      <w:rFonts w:ascii="Calibri"/>
                      <w:b/>
                      <w:spacing w:val="-15"/>
                    </w:rPr>
                    <w:t>i</w:t>
                  </w:r>
                  <w:r>
                    <w:rPr>
                      <w:rFonts w:ascii="Calibri"/>
                      <w:b/>
                      <w:spacing w:val="-3"/>
                    </w:rPr>
                    <w:t>ncrease</w:t>
                  </w:r>
                  <w:r>
                    <w:rPr>
                      <w:rFonts w:ascii="Calibri"/>
                      <w:b/>
                      <w:spacing w:val="-13"/>
                    </w:rPr>
                    <w:t xml:space="preserve"> </w:t>
                  </w:r>
                  <w:r>
                    <w:rPr>
                      <w:rFonts w:ascii="Calibri"/>
                    </w:rPr>
                    <w:t>-</w:t>
                  </w:r>
                  <w:r>
                    <w:rPr>
                      <w:rFonts w:ascii="Calibri"/>
                      <w:spacing w:val="-15"/>
                    </w:rPr>
                    <w:t xml:space="preserve"> </w:t>
                  </w:r>
                  <w:r>
                    <w:rPr>
                      <w:rFonts w:ascii="Calibri"/>
                      <w:spacing w:val="-2"/>
                    </w:rPr>
                    <w:t>The</w:t>
                  </w:r>
                  <w:r>
                    <w:rPr>
                      <w:rFonts w:ascii="Calibri"/>
                      <w:spacing w:val="-14"/>
                    </w:rPr>
                    <w:t xml:space="preserve"> </w:t>
                  </w:r>
                  <w:r>
                    <w:rPr>
                      <w:rFonts w:ascii="Calibri"/>
                      <w:spacing w:val="-3"/>
                    </w:rPr>
                    <w:t>Public Works Department</w:t>
                  </w:r>
                  <w:r>
                    <w:rPr>
                      <w:rFonts w:ascii="Calibri"/>
                      <w:spacing w:val="-14"/>
                    </w:rPr>
                    <w:t xml:space="preserve"> </w:t>
                  </w:r>
                  <w:r>
                    <w:rPr>
                      <w:rFonts w:ascii="Calibri"/>
                      <w:spacing w:val="-2"/>
                    </w:rPr>
                    <w:t>will</w:t>
                  </w:r>
                  <w:r>
                    <w:rPr>
                      <w:rFonts w:ascii="Calibri"/>
                      <w:spacing w:val="-14"/>
                    </w:rPr>
                    <w:t xml:space="preserve"> </w:t>
                  </w:r>
                  <w:r w:rsidR="000D7014">
                    <w:rPr>
                      <w:rFonts w:ascii="Calibri"/>
                      <w:spacing w:val="-14"/>
                    </w:rPr>
                    <w:t xml:space="preserve">not be able to hire an </w:t>
                  </w:r>
                  <w:r>
                    <w:rPr>
                      <w:rFonts w:ascii="Calibri"/>
                      <w:spacing w:val="-13"/>
                    </w:rPr>
                    <w:t>additional employee to help run equipment etc.</w:t>
                  </w:r>
                  <w:r>
                    <w:rPr>
                      <w:rFonts w:ascii="Calibri"/>
                      <w:spacing w:val="-1"/>
                    </w:rPr>
                    <w:t xml:space="preserve"> and the city will </w:t>
                  </w:r>
                  <w:r w:rsidR="000D7014">
                    <w:rPr>
                      <w:rFonts w:ascii="Calibri"/>
                      <w:spacing w:val="-1"/>
                    </w:rPr>
                    <w:t xml:space="preserve">not be able to </w:t>
                  </w:r>
                  <w:r>
                    <w:rPr>
                      <w:rFonts w:ascii="Calibri"/>
                      <w:spacing w:val="-1"/>
                    </w:rPr>
                    <w:t>repair additional sidewalks</w:t>
                  </w:r>
                  <w:r w:rsidR="000D7014">
                    <w:rPr>
                      <w:rFonts w:ascii="Calibri"/>
                      <w:spacing w:val="-1"/>
                    </w:rPr>
                    <w:t xml:space="preserve"> and</w:t>
                  </w:r>
                  <w:r>
                    <w:rPr>
                      <w:rFonts w:ascii="Calibri"/>
                      <w:spacing w:val="-1"/>
                    </w:rPr>
                    <w:t xml:space="preserve"> curb &amp; gutter.  </w:t>
                  </w:r>
                </w:p>
              </w:txbxContent>
            </v:textbox>
          </v:shape>
        </w:pict>
      </w:r>
    </w:p>
    <w:p w14:paraId="03EF73F4" w14:textId="77777777" w:rsidR="00042330" w:rsidRPr="004833D3" w:rsidRDefault="00042330">
      <w:pPr>
        <w:rPr>
          <w:rFonts w:ascii="Arial" w:eastAsia="Arial" w:hAnsi="Arial" w:cs="Arial"/>
          <w:sz w:val="25"/>
          <w:szCs w:val="25"/>
        </w:rPr>
      </w:pPr>
    </w:p>
    <w:p w14:paraId="4D132D92" w14:textId="313F7F3C" w:rsidR="009C240F" w:rsidRPr="004833D3" w:rsidRDefault="009C240F">
      <w:pPr>
        <w:spacing w:line="200" w:lineRule="atLeast"/>
        <w:ind w:left="339"/>
        <w:rPr>
          <w:rFonts w:ascii="Arial" w:eastAsia="Arial" w:hAnsi="Arial" w:cs="Arial"/>
          <w:sz w:val="20"/>
          <w:szCs w:val="20"/>
        </w:rPr>
      </w:pPr>
    </w:p>
    <w:p w14:paraId="73C823C3" w14:textId="51F8C580" w:rsidR="009C240F" w:rsidRPr="004833D3" w:rsidRDefault="000D7014" w:rsidP="004833D3">
      <w:r w:rsidRPr="004833D3">
        <w:t xml:space="preserve">In Compliance with Truth-in-Taxation requirements, the City will provide notice of and conduct public hearings as required by law, where members of the public will have an opportunity to comment on the proposed budget and the proposed property tax increase.  Instructions for virtual participation will be posted online on the Utah Public Meeting Notice Website and on the </w:t>
      </w:r>
      <w:hyperlink r:id="rId5" w:history="1">
        <w:r w:rsidRPr="004833D3">
          <w:rPr>
            <w:rStyle w:val="Hyperlink"/>
            <w:rFonts w:ascii="Arial" w:eastAsia="Arial" w:hAnsi="Arial" w:cs="Arial"/>
            <w:sz w:val="20"/>
            <w:szCs w:val="20"/>
          </w:rPr>
          <w:t>www.hpcutah.gov</w:t>
        </w:r>
      </w:hyperlink>
      <w:r w:rsidRPr="004833D3">
        <w:t xml:space="preserve"> website not later than 24 hours before the public hearing. </w:t>
      </w:r>
    </w:p>
    <w:p w14:paraId="6010D4FE" w14:textId="77777777" w:rsidR="009C240F" w:rsidRPr="004833D3" w:rsidRDefault="009C240F" w:rsidP="004833D3">
      <w:pPr>
        <w:rPr>
          <w:sz w:val="26"/>
          <w:szCs w:val="26"/>
        </w:rPr>
      </w:pPr>
    </w:p>
    <w:p w14:paraId="2F10B6FA" w14:textId="77777777" w:rsidR="00B0674C" w:rsidRPr="004833D3" w:rsidRDefault="00B0674C" w:rsidP="004833D3">
      <w:pPr>
        <w:rPr>
          <w:spacing w:val="-7"/>
          <w:w w:val="95"/>
        </w:rPr>
      </w:pPr>
    </w:p>
    <w:p w14:paraId="071AEE78" w14:textId="6FFE8DCE" w:rsidR="00B0674C" w:rsidRPr="004833D3" w:rsidRDefault="000D7014" w:rsidP="004833D3">
      <w:pPr>
        <w:pStyle w:val="ListParagraph"/>
        <w:numPr>
          <w:ilvl w:val="0"/>
          <w:numId w:val="3"/>
        </w:numPr>
        <w:rPr>
          <w:b/>
          <w:bCs/>
          <w:w w:val="95"/>
        </w:rPr>
      </w:pPr>
      <w:r w:rsidRPr="004833D3">
        <w:rPr>
          <w:b/>
          <w:bCs/>
          <w:w w:val="95"/>
        </w:rPr>
        <w:t>Public Budget Hearing which incorporates a Certified Tax Rate Increase:</w:t>
      </w:r>
    </w:p>
    <w:p w14:paraId="05A977AD" w14:textId="351BFCA8" w:rsidR="000D7014" w:rsidRPr="004833D3" w:rsidRDefault="000D7014" w:rsidP="004833D3">
      <w:pPr>
        <w:pStyle w:val="ListParagraph"/>
        <w:ind w:left="720"/>
        <w:rPr>
          <w:w w:val="95"/>
        </w:rPr>
      </w:pPr>
      <w:r w:rsidRPr="004833D3">
        <w:rPr>
          <w:w w:val="95"/>
        </w:rPr>
        <w:t xml:space="preserve">Schedule for June 10, </w:t>
      </w:r>
      <w:r w:rsidR="004833D3" w:rsidRPr="004833D3">
        <w:rPr>
          <w:w w:val="95"/>
        </w:rPr>
        <w:t>2026,</w:t>
      </w:r>
      <w:r w:rsidRPr="004833D3">
        <w:rPr>
          <w:w w:val="95"/>
        </w:rPr>
        <w:t xml:space="preserve"> at 7:00 PM</w:t>
      </w:r>
    </w:p>
    <w:p w14:paraId="0C0B5506" w14:textId="77777777" w:rsidR="000D7014" w:rsidRPr="004833D3" w:rsidRDefault="000D7014" w:rsidP="004833D3">
      <w:pPr>
        <w:rPr>
          <w:w w:val="95"/>
        </w:rPr>
      </w:pPr>
    </w:p>
    <w:p w14:paraId="3084BB70" w14:textId="38B2C17B" w:rsidR="000D7014" w:rsidRPr="004833D3" w:rsidRDefault="000D7014" w:rsidP="004833D3">
      <w:pPr>
        <w:pStyle w:val="ListParagraph"/>
        <w:numPr>
          <w:ilvl w:val="0"/>
          <w:numId w:val="3"/>
        </w:numPr>
        <w:rPr>
          <w:b/>
          <w:bCs/>
          <w:w w:val="95"/>
        </w:rPr>
      </w:pPr>
      <w:r w:rsidRPr="004833D3">
        <w:rPr>
          <w:b/>
          <w:bCs/>
          <w:w w:val="95"/>
        </w:rPr>
        <w:t xml:space="preserve">Truth-In-Taxation Hearing: </w:t>
      </w:r>
    </w:p>
    <w:p w14:paraId="68354886" w14:textId="04D11FE0" w:rsidR="004833D3" w:rsidRDefault="000D7014" w:rsidP="004833D3">
      <w:pPr>
        <w:pStyle w:val="ListParagraph"/>
        <w:ind w:left="720"/>
        <w:rPr>
          <w:w w:val="95"/>
        </w:rPr>
      </w:pPr>
      <w:r w:rsidRPr="004833D3">
        <w:rPr>
          <w:w w:val="95"/>
        </w:rPr>
        <w:t xml:space="preserve">Scheduled for August </w:t>
      </w:r>
      <w:r w:rsidR="004833D3" w:rsidRPr="004833D3">
        <w:rPr>
          <w:w w:val="95"/>
        </w:rPr>
        <w:t>26, 2026, at 7:00 PM</w:t>
      </w:r>
    </w:p>
    <w:p w14:paraId="65C091E4" w14:textId="77777777" w:rsidR="004833D3" w:rsidRDefault="004833D3">
      <w:pPr>
        <w:rPr>
          <w:w w:val="95"/>
        </w:rPr>
      </w:pPr>
      <w:r>
        <w:rPr>
          <w:w w:val="95"/>
        </w:rPr>
        <w:br w:type="page"/>
      </w:r>
    </w:p>
    <w:p w14:paraId="27B22E08" w14:textId="77777777" w:rsidR="004833D3" w:rsidRPr="004833D3" w:rsidRDefault="004833D3" w:rsidP="004833D3">
      <w:pPr>
        <w:pStyle w:val="BodyText"/>
        <w:spacing w:before="180" w:line="255" w:lineRule="auto"/>
        <w:ind w:left="339" w:right="220"/>
        <w:jc w:val="center"/>
        <w:rPr>
          <w:rFonts w:cs="Arial"/>
          <w:b/>
          <w:bCs/>
          <w:w w:val="105"/>
        </w:rPr>
      </w:pPr>
      <w:r w:rsidRPr="004833D3">
        <w:rPr>
          <w:rFonts w:cs="Arial"/>
          <w:b/>
          <w:bCs/>
          <w:w w:val="105"/>
        </w:rPr>
        <w:lastRenderedPageBreak/>
        <w:t>Budget Officers Statement</w:t>
      </w:r>
    </w:p>
    <w:p w14:paraId="2F23A080" w14:textId="77777777" w:rsidR="000D7014" w:rsidRDefault="000D7014" w:rsidP="004833D3">
      <w:pPr>
        <w:pStyle w:val="ListParagraph"/>
        <w:ind w:left="720"/>
        <w:rPr>
          <w:w w:val="95"/>
        </w:rPr>
      </w:pPr>
    </w:p>
    <w:p w14:paraId="0A10D74B" w14:textId="321DAAD8" w:rsidR="004833D3" w:rsidRPr="004833D3" w:rsidRDefault="004833D3" w:rsidP="004833D3">
      <w:pPr>
        <w:pStyle w:val="ListParagraph"/>
        <w:ind w:left="720"/>
        <w:jc w:val="center"/>
        <w:rPr>
          <w:b/>
          <w:bCs/>
          <w:w w:val="95"/>
        </w:rPr>
      </w:pPr>
      <w:r w:rsidRPr="004833D3">
        <w:rPr>
          <w:b/>
          <w:bCs/>
          <w:w w:val="95"/>
        </w:rPr>
        <w:t xml:space="preserve">Hyde Park City </w:t>
      </w:r>
    </w:p>
    <w:p w14:paraId="46B69977" w14:textId="39A9E44C" w:rsidR="004833D3" w:rsidRPr="004833D3" w:rsidRDefault="004833D3" w:rsidP="004833D3">
      <w:pPr>
        <w:pStyle w:val="ListParagraph"/>
        <w:ind w:left="720"/>
        <w:jc w:val="center"/>
        <w:rPr>
          <w:b/>
          <w:bCs/>
          <w:w w:val="95"/>
        </w:rPr>
      </w:pPr>
      <w:r w:rsidRPr="004833D3">
        <w:rPr>
          <w:b/>
          <w:bCs/>
          <w:w w:val="95"/>
        </w:rPr>
        <w:t>Fiscal Year 2026-2027 Tentative Budget</w:t>
      </w:r>
    </w:p>
    <w:p w14:paraId="5C5EB2B0" w14:textId="77777777" w:rsidR="004833D3" w:rsidRDefault="004833D3" w:rsidP="004833D3">
      <w:pPr>
        <w:pStyle w:val="ListParagraph"/>
        <w:ind w:left="720"/>
        <w:jc w:val="center"/>
        <w:rPr>
          <w:w w:val="95"/>
        </w:rPr>
      </w:pPr>
    </w:p>
    <w:p w14:paraId="0BC33704" w14:textId="0DF24EED" w:rsidR="004833D3" w:rsidRDefault="004833D3" w:rsidP="004833D3">
      <w:pPr>
        <w:pStyle w:val="ListParagraph"/>
        <w:ind w:left="720"/>
        <w:rPr>
          <w:w w:val="95"/>
        </w:rPr>
      </w:pPr>
      <w:r>
        <w:rPr>
          <w:w w:val="95"/>
        </w:rPr>
        <w:t>Both Hearings will be held at:</w:t>
      </w:r>
    </w:p>
    <w:p w14:paraId="2FE1ECD4" w14:textId="011B5E7B" w:rsidR="004833D3" w:rsidRDefault="004833D3" w:rsidP="004833D3">
      <w:pPr>
        <w:pStyle w:val="ListParagraph"/>
        <w:ind w:left="720"/>
        <w:rPr>
          <w:w w:val="95"/>
        </w:rPr>
      </w:pPr>
      <w:r>
        <w:rPr>
          <w:w w:val="95"/>
        </w:rPr>
        <w:t>Hyde Park City Council Chambers</w:t>
      </w:r>
    </w:p>
    <w:p w14:paraId="4865692C" w14:textId="01608998" w:rsidR="004833D3" w:rsidRDefault="004833D3" w:rsidP="004833D3">
      <w:pPr>
        <w:pStyle w:val="ListParagraph"/>
        <w:ind w:left="720"/>
        <w:rPr>
          <w:w w:val="95"/>
        </w:rPr>
      </w:pPr>
      <w:r>
        <w:rPr>
          <w:w w:val="95"/>
        </w:rPr>
        <w:t>113 East Center, Hyde Park, UT 84318</w:t>
      </w:r>
    </w:p>
    <w:p w14:paraId="4B2BABF1" w14:textId="77777777" w:rsidR="004833D3" w:rsidRDefault="004833D3" w:rsidP="004833D3">
      <w:pPr>
        <w:pStyle w:val="ListParagraph"/>
        <w:ind w:left="720"/>
        <w:rPr>
          <w:w w:val="95"/>
        </w:rPr>
      </w:pPr>
    </w:p>
    <w:p w14:paraId="18A78589" w14:textId="5B474F36" w:rsidR="004833D3" w:rsidRDefault="004833D3" w:rsidP="004833D3">
      <w:pPr>
        <w:pStyle w:val="ListParagraph"/>
        <w:ind w:left="720"/>
        <w:rPr>
          <w:w w:val="95"/>
        </w:rPr>
      </w:pPr>
      <w:r>
        <w:rPr>
          <w:w w:val="95"/>
        </w:rPr>
        <w:t xml:space="preserve">Based on the best information currently available, the INTERIM budget is balanced and </w:t>
      </w:r>
      <w:r w:rsidR="00AC454D">
        <w:rPr>
          <w:w w:val="95"/>
        </w:rPr>
        <w:t>d</w:t>
      </w:r>
      <w:r>
        <w:rPr>
          <w:w w:val="95"/>
        </w:rPr>
        <w:t>esigned to maintain essential public services, address rising operational costs, and support the long-term financial stability of Hyde Park City.</w:t>
      </w:r>
    </w:p>
    <w:p w14:paraId="095DB735" w14:textId="77777777" w:rsidR="004833D3" w:rsidRDefault="004833D3" w:rsidP="004833D3">
      <w:pPr>
        <w:pStyle w:val="ListParagraph"/>
        <w:ind w:left="720"/>
        <w:rPr>
          <w:w w:val="95"/>
        </w:rPr>
      </w:pPr>
    </w:p>
    <w:p w14:paraId="16A18FBF" w14:textId="53B7DC74" w:rsidR="004833D3" w:rsidRDefault="004833D3" w:rsidP="004833D3">
      <w:pPr>
        <w:pStyle w:val="ListParagraph"/>
        <w:ind w:left="720"/>
        <w:rPr>
          <w:w w:val="95"/>
        </w:rPr>
      </w:pPr>
      <w:r>
        <w:rPr>
          <w:w w:val="95"/>
        </w:rPr>
        <w:t>Respectfully Submitted,</w:t>
      </w:r>
    </w:p>
    <w:p w14:paraId="11219E0E" w14:textId="77777777" w:rsidR="004833D3" w:rsidRDefault="004833D3" w:rsidP="004833D3">
      <w:pPr>
        <w:pStyle w:val="ListParagraph"/>
        <w:ind w:left="720"/>
        <w:rPr>
          <w:w w:val="95"/>
        </w:rPr>
      </w:pPr>
    </w:p>
    <w:p w14:paraId="48377719" w14:textId="19F15F47" w:rsidR="004833D3" w:rsidRDefault="004833D3" w:rsidP="004833D3">
      <w:pPr>
        <w:pStyle w:val="ListParagraph"/>
        <w:ind w:left="720"/>
        <w:rPr>
          <w:w w:val="95"/>
        </w:rPr>
      </w:pPr>
      <w:r>
        <w:rPr>
          <w:w w:val="95"/>
        </w:rPr>
        <w:t>Donja Wright, Budget Officer</w:t>
      </w:r>
    </w:p>
    <w:p w14:paraId="5E1F23D9" w14:textId="46603372" w:rsidR="004833D3" w:rsidRDefault="004833D3" w:rsidP="004833D3">
      <w:pPr>
        <w:pStyle w:val="ListParagraph"/>
        <w:ind w:left="720"/>
        <w:rPr>
          <w:w w:val="95"/>
        </w:rPr>
      </w:pPr>
      <w:r>
        <w:rPr>
          <w:w w:val="95"/>
        </w:rPr>
        <w:t>Hyde Park City</w:t>
      </w:r>
    </w:p>
    <w:p w14:paraId="3CFB1221" w14:textId="0E6AB6A8" w:rsidR="004833D3" w:rsidRDefault="004833D3" w:rsidP="004833D3">
      <w:pPr>
        <w:pStyle w:val="ListParagraph"/>
        <w:ind w:left="720"/>
        <w:rPr>
          <w:w w:val="95"/>
        </w:rPr>
      </w:pPr>
      <w:r>
        <w:rPr>
          <w:w w:val="95"/>
        </w:rPr>
        <w:t>May 13, 2026</w:t>
      </w:r>
    </w:p>
    <w:p w14:paraId="4E7A6824" w14:textId="77777777" w:rsidR="004833D3" w:rsidRPr="004833D3" w:rsidRDefault="004833D3" w:rsidP="004833D3">
      <w:pPr>
        <w:rPr>
          <w:w w:val="95"/>
        </w:rPr>
      </w:pPr>
    </w:p>
    <w:sectPr w:rsidR="004833D3" w:rsidRPr="004833D3">
      <w:type w:val="continuous"/>
      <w:pgSz w:w="12240" w:h="15840"/>
      <w:pgMar w:top="860" w:right="172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00AA"/>
    <w:multiLevelType w:val="hybridMultilevel"/>
    <w:tmpl w:val="AAE82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D7379"/>
    <w:multiLevelType w:val="hybridMultilevel"/>
    <w:tmpl w:val="4DDA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86372"/>
    <w:multiLevelType w:val="hybridMultilevel"/>
    <w:tmpl w:val="BB26245C"/>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num w:numId="1" w16cid:durableId="82342132">
    <w:abstractNumId w:val="2"/>
  </w:num>
  <w:num w:numId="2" w16cid:durableId="2060782638">
    <w:abstractNumId w:val="0"/>
  </w:num>
  <w:num w:numId="3" w16cid:durableId="54271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C240F"/>
    <w:rsid w:val="00042330"/>
    <w:rsid w:val="000D7014"/>
    <w:rsid w:val="000D7947"/>
    <w:rsid w:val="00133871"/>
    <w:rsid w:val="00321D00"/>
    <w:rsid w:val="0038791F"/>
    <w:rsid w:val="004833D3"/>
    <w:rsid w:val="004B2AC2"/>
    <w:rsid w:val="004E5F47"/>
    <w:rsid w:val="00530168"/>
    <w:rsid w:val="00534FA3"/>
    <w:rsid w:val="005C6121"/>
    <w:rsid w:val="00646B90"/>
    <w:rsid w:val="00782A72"/>
    <w:rsid w:val="00793D94"/>
    <w:rsid w:val="00800C05"/>
    <w:rsid w:val="008C4C01"/>
    <w:rsid w:val="008D3B53"/>
    <w:rsid w:val="009527A0"/>
    <w:rsid w:val="009C240F"/>
    <w:rsid w:val="00AC454D"/>
    <w:rsid w:val="00B0674C"/>
    <w:rsid w:val="00CD07B6"/>
    <w:rsid w:val="00CF1AFF"/>
    <w:rsid w:val="00D43F9F"/>
    <w:rsid w:val="00DA569C"/>
    <w:rsid w:val="00DB599D"/>
    <w:rsid w:val="00E4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487BE1"/>
  <w15:docId w15:val="{3E081D7A-46A3-429A-849D-C0EA7696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ind w:left="43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7014"/>
    <w:rPr>
      <w:color w:val="0000FF" w:themeColor="hyperlink"/>
      <w:u w:val="single"/>
    </w:rPr>
  </w:style>
  <w:style w:type="character" w:styleId="UnresolvedMention">
    <w:name w:val="Unresolved Mention"/>
    <w:basedOn w:val="DefaultParagraphFont"/>
    <w:uiPriority w:val="99"/>
    <w:semiHidden/>
    <w:unhideWhenUsed/>
    <w:rsid w:val="000D7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pcuta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Proposed Property Tax Impact Schedule</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Proposed Property Tax Impact Schedule</dc:title>
  <dc:creator>Gary Hill</dc:creator>
  <cp:lastModifiedBy>Donja Wright</cp:lastModifiedBy>
  <cp:revision>7</cp:revision>
  <cp:lastPrinted>2026-04-30T13:59:00Z</cp:lastPrinted>
  <dcterms:created xsi:type="dcterms:W3CDTF">2026-05-12T20:25:00Z</dcterms:created>
  <dcterms:modified xsi:type="dcterms:W3CDTF">2026-06-11T00:52:00Z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LastSaved">
    <vt:filetime>2026-04-29T00:00:00Z</vt:filetime>
  </property>
</Properties>
</file>