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C2BB" w14:textId="77777777" w:rsidR="005F0D56" w:rsidRDefault="005F0D56" w:rsidP="005F0D56">
      <w:r>
        <w:t>WHEN RECORDED, RETURN TO:</w:t>
      </w:r>
    </w:p>
    <w:p w14:paraId="5B8625D9" w14:textId="77777777" w:rsidR="005F0D56" w:rsidRDefault="005F0D56" w:rsidP="005F0D56"/>
    <w:p w14:paraId="3911BE7F" w14:textId="77777777" w:rsidR="000E50B2" w:rsidRDefault="000E50B2" w:rsidP="005F0D56"/>
    <w:p w14:paraId="4466CC39" w14:textId="77777777" w:rsidR="005F0D56" w:rsidRDefault="005F0D56" w:rsidP="005F0D56">
      <w:r>
        <w:t>Randall M. Larsen</w:t>
      </w:r>
    </w:p>
    <w:p w14:paraId="36B5911B" w14:textId="77777777" w:rsidR="005F0D56" w:rsidRDefault="005F0D56" w:rsidP="005F0D56">
      <w:r>
        <w:t>Gilmore &amp; Bell, P.C.</w:t>
      </w:r>
    </w:p>
    <w:p w14:paraId="6E8C8FF3" w14:textId="77777777" w:rsidR="005F0D56" w:rsidRDefault="005F0D56" w:rsidP="005F0D56">
      <w:r>
        <w:t>15 West South Temple, Suite 1400</w:t>
      </w:r>
    </w:p>
    <w:p w14:paraId="217B40A2" w14:textId="77777777" w:rsidR="005F0D56" w:rsidRDefault="005F0D56" w:rsidP="005F0D56">
      <w:r>
        <w:t>Salt Lake City, Utah  84101</w:t>
      </w:r>
    </w:p>
    <w:p w14:paraId="106B5B4D" w14:textId="77777777" w:rsidR="005F0D56" w:rsidRDefault="005F0D56" w:rsidP="005F0D56"/>
    <w:p w14:paraId="019A414A" w14:textId="77777777" w:rsidR="005F0D56" w:rsidRDefault="005F0D56" w:rsidP="005F0D56"/>
    <w:p w14:paraId="3A0ADFC1" w14:textId="77777777" w:rsidR="005F0D56" w:rsidRDefault="005F0D56" w:rsidP="005F0D56">
      <w:pPr>
        <w:jc w:val="center"/>
      </w:pPr>
    </w:p>
    <w:p w14:paraId="24EDBFA7" w14:textId="77777777" w:rsidR="005F0D56" w:rsidRDefault="005F0D56" w:rsidP="005F0D56">
      <w:pPr>
        <w:jc w:val="center"/>
      </w:pPr>
    </w:p>
    <w:p w14:paraId="4FDE387E" w14:textId="1BC2CA79" w:rsidR="005F0D56" w:rsidRDefault="004F170F" w:rsidP="005F0D56">
      <w:pPr>
        <w:pBdr>
          <w:bottom w:val="single" w:sz="12" w:space="1" w:color="auto"/>
        </w:pBdr>
      </w:pPr>
      <w:r>
        <w:t>Parcel No</w:t>
      </w:r>
      <w:r w:rsidR="00906CEF">
        <w:t>(s):</w:t>
      </w:r>
      <w:r w:rsidR="00CF3CFF">
        <w:t xml:space="preserve"> </w:t>
      </w:r>
      <w:r w:rsidR="00943B32" w:rsidRPr="00943B32">
        <w:t>AV-2-2-27-432</w:t>
      </w:r>
      <w:r w:rsidR="00943B32">
        <w:t xml:space="preserve">; </w:t>
      </w:r>
      <w:r w:rsidR="00943B32" w:rsidRPr="00943B32">
        <w:t xml:space="preserve">AV-2169-A-1; AV-2169-B; AV-2194-C; AV-2195-B; AV-2196-A-1; AV-2196-B; AV-2196-C; AV-2196-D; AV-2196-E; AV-2196-F; AV-2196-G; AV-2196-H; AV-2196-I; AV-2-2-27-430; AV-2-2-27-431; AV-2-2-28-110; AV-2-2-28-120; AV-2-2-28-220; AV-2-2-28-221; </w:t>
      </w:r>
      <w:r w:rsidR="006642E3" w:rsidRPr="00943B32">
        <w:t>AV-2-2-28-2</w:t>
      </w:r>
      <w:r w:rsidR="006642E3">
        <w:t xml:space="preserve">30; </w:t>
      </w:r>
      <w:r w:rsidR="00943B32" w:rsidRPr="00943B32">
        <w:t>AV-2-2-28-240</w:t>
      </w:r>
      <w:r w:rsidR="00781396">
        <w:t xml:space="preserve">; </w:t>
      </w:r>
      <w:r w:rsidR="00781396" w:rsidRPr="00781396">
        <w:t>AV-2194-A, AV-2194-B-OR1, AV-2194-D-OR1</w:t>
      </w:r>
      <w:r w:rsidR="00781396">
        <w:t xml:space="preserve"> [</w:t>
      </w:r>
      <w:r w:rsidR="00781396" w:rsidRPr="00781396">
        <w:rPr>
          <w:highlight w:val="yellow"/>
        </w:rPr>
        <w:t>CONFIRM</w:t>
      </w:r>
      <w:r w:rsidR="00781396">
        <w:t>]</w:t>
      </w:r>
    </w:p>
    <w:p w14:paraId="1096BE18" w14:textId="77777777" w:rsidR="005F0D56" w:rsidRDefault="005F0D56" w:rsidP="005F0D56">
      <w:pPr>
        <w:jc w:val="center"/>
      </w:pPr>
    </w:p>
    <w:p w14:paraId="38BDBA04" w14:textId="7B2F3268" w:rsidR="005F0D56" w:rsidRDefault="0003432B" w:rsidP="005F0D56">
      <w:pPr>
        <w:jc w:val="center"/>
      </w:pPr>
      <w:r>
        <w:t xml:space="preserve">OCULTA ROCA PUBLIC INFRASTRUCTURE </w:t>
      </w:r>
      <w:r w:rsidR="00943B32">
        <w:t>DISTRICT NO. 2</w:t>
      </w:r>
    </w:p>
    <w:p w14:paraId="61960F55" w14:textId="5312A539" w:rsidR="005F0D56" w:rsidRDefault="0003432B" w:rsidP="005F0D56">
      <w:pPr>
        <w:jc w:val="center"/>
      </w:pPr>
      <w:r>
        <w:t>OCULTA ROCA ASSESSMENT AREA NO.1</w:t>
      </w:r>
    </w:p>
    <w:p w14:paraId="54D70E96" w14:textId="77777777" w:rsidR="005F0D56" w:rsidRDefault="005F0D56" w:rsidP="005F0D56">
      <w:pPr>
        <w:jc w:val="center"/>
      </w:pPr>
    </w:p>
    <w:p w14:paraId="5957811C" w14:textId="39BED9A7" w:rsidR="005F0D56" w:rsidRDefault="001A5D9B" w:rsidP="005F0D56">
      <w:pPr>
        <w:jc w:val="center"/>
      </w:pPr>
      <w:r>
        <w:t xml:space="preserve">AMENDED AND RESTATED </w:t>
      </w:r>
      <w:r w:rsidR="005F0D56">
        <w:t xml:space="preserve">ASSESSMENT ORDINANCE </w:t>
      </w:r>
      <w:r>
        <w:br/>
      </w:r>
      <w:r w:rsidR="005F0D56">
        <w:t>AND NOTICE OF ASSESSMENT INTEREST</w:t>
      </w:r>
    </w:p>
    <w:p w14:paraId="0D00E93D" w14:textId="77777777" w:rsidR="005F0D56" w:rsidRDefault="005F0D56" w:rsidP="005F0D56">
      <w:pPr>
        <w:jc w:val="center"/>
      </w:pPr>
    </w:p>
    <w:p w14:paraId="7700895F" w14:textId="5276B415" w:rsidR="005F0D56" w:rsidRDefault="005F0D56" w:rsidP="005F0D56">
      <w:pPr>
        <w:jc w:val="center"/>
      </w:pPr>
      <w:r>
        <w:t xml:space="preserve">DATED AS OF </w:t>
      </w:r>
      <w:r w:rsidR="00581659">
        <w:t>JUNE 5, 2026</w:t>
      </w:r>
    </w:p>
    <w:p w14:paraId="6AA2F4E6" w14:textId="77777777" w:rsidR="005F0D56" w:rsidRDefault="005F0D56" w:rsidP="005F0D56"/>
    <w:p w14:paraId="089A1145" w14:textId="77777777" w:rsidR="005F0D56" w:rsidRDefault="005F0D56" w:rsidP="005F0D56"/>
    <w:p w14:paraId="6C621A1C" w14:textId="444B4AF1" w:rsidR="001A5D9B" w:rsidRDefault="001A5D9B" w:rsidP="001A5D9B">
      <w:pPr>
        <w:pStyle w:val="00BodyText5"/>
      </w:pPr>
      <w:bookmarkStart w:id="0" w:name="_Hlk88055131"/>
      <w:r>
        <w:t xml:space="preserve">WHEREAS, the Board of Trustees (the “Board”) of </w:t>
      </w:r>
      <w:r w:rsidR="001E1761">
        <w:t xml:space="preserve">the </w:t>
      </w:r>
      <w:r>
        <w:t xml:space="preserve">Oculta Roca Public Infrastructure District </w:t>
      </w:r>
      <w:r w:rsidR="001E1761">
        <w:t xml:space="preserve">No. 2 </w:t>
      </w:r>
      <w:r>
        <w:t>(the “District”), adopted a Resolution on December 29, 2025 (the “Authorizing Resolution”), pursuant to which the Board authorized and approved the form of an Assessment Ordinance and Notice of Assessment Interest (the “</w:t>
      </w:r>
      <w:r w:rsidR="00186ABB">
        <w:t xml:space="preserve">Original </w:t>
      </w:r>
      <w:r>
        <w:t>Assessment Ordinance”) and the form of the related designation resolution (the “</w:t>
      </w:r>
      <w:r w:rsidR="00BC33B9">
        <w:t xml:space="preserve">Original </w:t>
      </w:r>
      <w:r>
        <w:t>Designation Resolution”); and</w:t>
      </w:r>
    </w:p>
    <w:p w14:paraId="19954542" w14:textId="14C80263" w:rsidR="005F0D56" w:rsidRDefault="005F0D56" w:rsidP="005F0D56">
      <w:pPr>
        <w:pStyle w:val="00BodyText5"/>
      </w:pPr>
      <w:r>
        <w:t xml:space="preserve">WHEREAS, the Board of Trustees (the “Board”) of the District, adopted a Resolution on </w:t>
      </w:r>
      <w:r w:rsidR="00F02F56">
        <w:t>June 5, 2026</w:t>
      </w:r>
      <w:r>
        <w:t xml:space="preserve"> (the “</w:t>
      </w:r>
      <w:r w:rsidR="001A5D9B">
        <w:t>Amendment</w:t>
      </w:r>
      <w:r>
        <w:t xml:space="preserve"> Resolution”), pursuant to which the Board authorized and approved the form of this </w:t>
      </w:r>
      <w:r w:rsidR="007645B3">
        <w:t xml:space="preserve">Amended and Restated </w:t>
      </w:r>
      <w:r>
        <w:t>Assessment Ordinance and Notice of Assessment Interest (the “Assessment Ordinance”</w:t>
      </w:r>
      <w:r w:rsidR="00186ABB">
        <w:t xml:space="preserve"> or “Ordinance”</w:t>
      </w:r>
      <w:r>
        <w:t xml:space="preserve">) and the form of the </w:t>
      </w:r>
      <w:r w:rsidR="007645B3">
        <w:t xml:space="preserve">related </w:t>
      </w:r>
      <w:r w:rsidR="00F02B06">
        <w:t>F</w:t>
      </w:r>
      <w:r w:rsidR="007645B3">
        <w:t xml:space="preserve">irst </w:t>
      </w:r>
      <w:r w:rsidR="00F02B06">
        <w:t>A</w:t>
      </w:r>
      <w:r w:rsidR="007645B3">
        <w:t>mendment to the D</w:t>
      </w:r>
      <w:r>
        <w:t xml:space="preserve">esignation </w:t>
      </w:r>
      <w:r w:rsidR="007645B3">
        <w:t>R</w:t>
      </w:r>
      <w:r>
        <w:t>esolution (the “Designation Resolution”); and</w:t>
      </w:r>
    </w:p>
    <w:bookmarkEnd w:id="0"/>
    <w:p w14:paraId="0E8EA981" w14:textId="5D72CC59" w:rsidR="005F0D56" w:rsidRDefault="005F0D56" w:rsidP="005F0D56">
      <w:pPr>
        <w:pStyle w:val="00BodyText5"/>
      </w:pPr>
      <w:r>
        <w:t xml:space="preserve">WHEREAS, the District, pursuant to the Assessment Area Act, Title 11 Chapter 42, Utah Code Annotated 1953, as amended (the “Act”), and pursuant to the </w:t>
      </w:r>
      <w:r w:rsidR="004A0BC8">
        <w:t xml:space="preserve">Authorizing </w:t>
      </w:r>
      <w:r>
        <w:t xml:space="preserve">Resolution and the Designation Resolution, designated the </w:t>
      </w:r>
      <w:r w:rsidR="0003432B">
        <w:t>Oculta Roca Assessment Area No.1</w:t>
      </w:r>
      <w:r>
        <w:t xml:space="preserve"> </w:t>
      </w:r>
      <w:r>
        <w:rPr>
          <w:color w:val="000000"/>
        </w:rPr>
        <w:t>(the “</w:t>
      </w:r>
      <w:r>
        <w:t xml:space="preserve">Assessment Area”) after having obtained from the fee simple owner(s) of all the property to be assessed within the Assessment Area (the “Owners”) an executed Acknowledgement Waiver and Consent Agreement (the </w:t>
      </w:r>
      <w:bookmarkStart w:id="1" w:name="_Hlk227238346"/>
      <w:r>
        <w:t>“Waiver and Consent”</w:t>
      </w:r>
      <w:bookmarkEnd w:id="1"/>
      <w:r>
        <w:t>) attached to the Designation Resolution; and</w:t>
      </w:r>
    </w:p>
    <w:p w14:paraId="12097A01" w14:textId="2B7210F5" w:rsidR="005F0D56" w:rsidRDefault="005F0D56" w:rsidP="005F0D56">
      <w:pPr>
        <w:pStyle w:val="00BodyText5"/>
      </w:pPr>
      <w:r>
        <w:t xml:space="preserve">WHEREAS, the District plans to finance the costs of publicly owned infrastructure, facilities or systems as part of an approximately </w:t>
      </w:r>
      <w:r w:rsidR="00342423">
        <w:t>728</w:t>
      </w:r>
      <w:r>
        <w:t xml:space="preserve">-acre </w:t>
      </w:r>
      <w:r w:rsidR="00F855ED">
        <w:t>mixed-use</w:t>
      </w:r>
      <w:r>
        <w:t xml:space="preserve"> development (the </w:t>
      </w:r>
      <w:r>
        <w:lastRenderedPageBreak/>
        <w:t>“Development”).  The District plans to levy the assessments to finance the Improvements within the Development.  The Board desires to assess and finance the Improvements (plus related overhead, administration, capitalized interest, reserves, permits, fees, and closing costs) benefitting the Assessment Area</w:t>
      </w:r>
      <w:r w:rsidR="00582D78">
        <w:t>, which are generally described</w:t>
      </w:r>
      <w:r>
        <w:t xml:space="preserve"> as follows:</w:t>
      </w:r>
    </w:p>
    <w:p w14:paraId="085988B5" w14:textId="63CC0099" w:rsidR="005F0D56" w:rsidRDefault="005F0D56" w:rsidP="005F0D56">
      <w:pPr>
        <w:pStyle w:val="00BodyText5"/>
        <w:ind w:left="720"/>
      </w:pPr>
      <w:bookmarkStart w:id="2" w:name="_Hlk136107195"/>
      <w:r>
        <w:t>-Water improvements, including, but not limited to mains, valves, tees/crosses, bends, thrust bonds, fire hydrants, blow offs and appurtenances (various sizes).</w:t>
      </w:r>
    </w:p>
    <w:p w14:paraId="6DDE4890" w14:textId="3435347E" w:rsidR="005F0D56" w:rsidRDefault="005F0D56" w:rsidP="005F0D56">
      <w:pPr>
        <w:pStyle w:val="00BodyText5"/>
        <w:ind w:left="720"/>
      </w:pPr>
      <w:r>
        <w:t xml:space="preserve">-Roads and roadway improvements including, but not limited to, rights of way, </w:t>
      </w:r>
      <w:r w:rsidR="004576EB">
        <w:t xml:space="preserve">trails, </w:t>
      </w:r>
      <w:r>
        <w:t>earthwork, curbs, gutters, sidewalks, street signage, centerline monuments, conduit crossings, street striping, streetlights</w:t>
      </w:r>
      <w:r w:rsidR="004576EB">
        <w:t xml:space="preserve">, </w:t>
      </w:r>
      <w:r>
        <w:t>mailboxes</w:t>
      </w:r>
      <w:r w:rsidR="004576EB">
        <w:t>, and landscaping</w:t>
      </w:r>
      <w:r>
        <w:t>.</w:t>
      </w:r>
    </w:p>
    <w:p w14:paraId="35FC0D51" w14:textId="2BA489DF" w:rsidR="00F855ED" w:rsidRDefault="004576EB" w:rsidP="005F0D56">
      <w:pPr>
        <w:pStyle w:val="00BodyText5"/>
        <w:ind w:left="720"/>
      </w:pPr>
      <w:r w:rsidRPr="004576EB">
        <w:t>-Storm drain improvements, including, but not limited to, storm drain pipes, manholes, catch basins, junction boxes, inlets, culverts, cleanouts, trench spoils, collars, trash racks, rip-rap, tie-ins, and geotextile fabric</w:t>
      </w:r>
      <w:r>
        <w:t>.</w:t>
      </w:r>
    </w:p>
    <w:bookmarkEnd w:id="2"/>
    <w:p w14:paraId="30063DBD" w14:textId="77777777" w:rsidR="005F0D56" w:rsidRDefault="005F0D56" w:rsidP="005F0D56">
      <w:pPr>
        <w:pStyle w:val="00BodyText5"/>
      </w:pPr>
      <w:r>
        <w:t xml:space="preserve">WHEREAS, the Board has (i) determined the total estimated cost of the Improvements, (ii) </w:t>
      </w:r>
      <w:bookmarkStart w:id="3" w:name="_Hlk44538108"/>
      <w:r>
        <w:t>received an appraisal (the “Appraisal”) of the property to be assessed (from an appraiser who is a member of the Appraisal Institute), which was addressed to the District, verifying that the market value of the property, after completion of the proposed improvements, is at least three times the amount of the assessments proposed to be levied against the property to be assessed,</w:t>
      </w:r>
      <w:bookmarkEnd w:id="3"/>
      <w:r>
        <w:t xml:space="preserve"> and (iii) desires to assess the properties within the Assessment Area, and has prepared an assessment list of the assessments to be levied to finance the cost of the Improvements (the “Assessments”); and</w:t>
      </w:r>
    </w:p>
    <w:p w14:paraId="7A7B3FD7" w14:textId="77777777" w:rsidR="005F0D56" w:rsidRDefault="005F0D56" w:rsidP="005F0D56">
      <w:pPr>
        <w:pStyle w:val="00BodyText5"/>
      </w:pPr>
      <w:r>
        <w:t xml:space="preserve">WHEREAS, </w:t>
      </w:r>
      <w:bookmarkStart w:id="4" w:name="_Hlk44537908"/>
      <w:r>
        <w:t xml:space="preserve">the Board hereby finds that pursuant to the Act, the Improvements constitute a </w:t>
      </w:r>
      <w:bookmarkStart w:id="5" w:name="_Hlk44530239"/>
      <w:r>
        <w:t>publicly owned infrastructure, facility, or system</w:t>
      </w:r>
      <w:bookmarkEnd w:id="5"/>
      <w:r>
        <w:t xml:space="preserve"> that (i) the District is authorized to provide or (ii) is necessary or convenient to enable the District to provide a service that the District is authorized to provide</w:t>
      </w:r>
      <w:bookmarkEnd w:id="4"/>
      <w:r>
        <w:t>; and</w:t>
      </w:r>
    </w:p>
    <w:p w14:paraId="654D268C" w14:textId="226C717C" w:rsidR="005F0D56" w:rsidRDefault="005F0D56" w:rsidP="005F0D56">
      <w:pPr>
        <w:pStyle w:val="00BodyText5"/>
      </w:pPr>
      <w:r>
        <w:t>WHEREAS, the District now desires to confirm the assessment list and to levy said Assessments in accordance with this Ordinance</w:t>
      </w:r>
      <w:r w:rsidR="00F02B06">
        <w:t xml:space="preserve"> and to </w:t>
      </w:r>
      <w:r w:rsidR="00184802">
        <w:t>add</w:t>
      </w:r>
      <w:r w:rsidR="00F02B06">
        <w:t xml:space="preserve"> certain properties </w:t>
      </w:r>
      <w:r w:rsidR="00110794">
        <w:t>in</w:t>
      </w:r>
      <w:r w:rsidR="00F02B06">
        <w:t xml:space="preserve">to the Assessment Area as further described in </w:t>
      </w:r>
      <w:r w:rsidR="0089779C">
        <w:t>Exhibit</w:t>
      </w:r>
      <w:r w:rsidR="00F02B06">
        <w:t xml:space="preserve"> A.</w:t>
      </w:r>
      <w:r>
        <w:t>:</w:t>
      </w:r>
    </w:p>
    <w:p w14:paraId="1D038B39" w14:textId="63745A9D" w:rsidR="004A419C" w:rsidRDefault="004A419C" w:rsidP="006C2C76">
      <w:pPr>
        <w:pStyle w:val="00BodyText5"/>
      </w:pPr>
      <w:r>
        <w:t xml:space="preserve">NOW THEREFORE, BE IT ORDAINED BY THE BOARD OF TRUSTEES OF </w:t>
      </w:r>
      <w:r w:rsidR="0003432B">
        <w:t xml:space="preserve">OCULTA ROCA PUBLIC INFRASTRUCTURE </w:t>
      </w:r>
      <w:r w:rsidR="00943B32">
        <w:t>DISTRICT NO. 2</w:t>
      </w:r>
      <w:r>
        <w:t>:</w:t>
      </w:r>
    </w:p>
    <w:p w14:paraId="77989439" w14:textId="6169CD44" w:rsidR="005B2D1F" w:rsidRPr="005B2D1F" w:rsidRDefault="005B2D1F" w:rsidP="004C16C2">
      <w:pPr>
        <w:pStyle w:val="Heading1"/>
        <w:keepNext w:val="0"/>
        <w:rPr>
          <w:rFonts w:cs="Times New Roman"/>
          <w:bCs w:val="0"/>
          <w:szCs w:val="24"/>
        </w:rPr>
      </w:pPr>
      <w:r>
        <w:rPr>
          <w:rFonts w:cs="Times New Roman"/>
          <w:bCs w:val="0"/>
          <w:szCs w:val="24"/>
          <w:u w:val="single"/>
        </w:rPr>
        <w:t>Definitions; Appraisal Requirement</w:t>
      </w:r>
      <w:r w:rsidRPr="005B2D1F">
        <w:rPr>
          <w:rFonts w:cs="Times New Roman"/>
          <w:bCs w:val="0"/>
          <w:szCs w:val="24"/>
        </w:rPr>
        <w:t>.</w:t>
      </w:r>
      <w:r>
        <w:rPr>
          <w:rFonts w:cs="Times New Roman"/>
          <w:bCs w:val="0"/>
          <w:szCs w:val="24"/>
        </w:rPr>
        <w:t xml:space="preserve">  </w:t>
      </w:r>
      <w:r w:rsidRPr="005B2D1F">
        <w:rPr>
          <w:rFonts w:cs="Times New Roman"/>
          <w:bCs w:val="0"/>
          <w:szCs w:val="24"/>
        </w:rPr>
        <w:t>Capitalized terms used herein but not otherwise defined shall have the meanings ascribed to such terms in the Designation Resolution.</w:t>
      </w:r>
      <w:r>
        <w:rPr>
          <w:rFonts w:cs="Times New Roman"/>
          <w:bCs w:val="0"/>
          <w:szCs w:val="24"/>
        </w:rPr>
        <w:t xml:space="preserve">  </w:t>
      </w:r>
      <w:r>
        <w:t>For purposes of this Ordinance:</w:t>
      </w:r>
    </w:p>
    <w:p w14:paraId="68273296" w14:textId="77777777" w:rsidR="00BD4163" w:rsidRPr="00BD4163" w:rsidRDefault="00BD4163" w:rsidP="00BD4163">
      <w:pPr>
        <w:pStyle w:val="Heading2"/>
      </w:pPr>
      <w:r w:rsidRPr="00BD4163">
        <w:t>“Affiliate” means with respect to any Owner, any Person that Controls, is Controlled by or is under common Control with such Owner.</w:t>
      </w:r>
    </w:p>
    <w:p w14:paraId="482F06C4" w14:textId="7FD3099D" w:rsidR="00AF1958" w:rsidRDefault="00AF1958" w:rsidP="00CD3F29">
      <w:pPr>
        <w:pStyle w:val="Heading2"/>
      </w:pPr>
      <w:r w:rsidRPr="00AF1958">
        <w:t>“Assessment Bonds”</w:t>
      </w:r>
      <w:r>
        <w:t xml:space="preserve"> means the </w:t>
      </w:r>
      <w:r w:rsidRPr="00AF1958">
        <w:t>assessment bonds anticipated to be issued by the District for the Assessment Area</w:t>
      </w:r>
      <w:r>
        <w:t>, which may be issued in one or more series</w:t>
      </w:r>
      <w:r w:rsidRPr="00AF1958">
        <w:t xml:space="preserve"> (or any bonds which refund the same)</w:t>
      </w:r>
      <w:r>
        <w:t>.</w:t>
      </w:r>
    </w:p>
    <w:p w14:paraId="7E0A01A4" w14:textId="2313C310" w:rsidR="00CD3F29" w:rsidRPr="00CD3F29" w:rsidRDefault="00CD3F29" w:rsidP="00CD3F29">
      <w:pPr>
        <w:pStyle w:val="Heading2"/>
      </w:pPr>
      <w:r w:rsidRPr="00CD3F29">
        <w:lastRenderedPageBreak/>
        <w:t xml:space="preserve">“ATV Ratio” means the Assessment to Value Ratio and shall be the ratio of (A) the remaining unpaid Assessment on a Subdivision Parcel or Remaining Subdivision parcel, as applicable, plus any other unpaid assessment liens or property tax liens on such Subdivision Parcel divided by (B) the Fair Market Value of such Subdivision Parcel. </w:t>
      </w:r>
    </w:p>
    <w:p w14:paraId="3F0506DF" w14:textId="77777777" w:rsidR="00BD4163" w:rsidRDefault="00BD4163" w:rsidP="00BD4163">
      <w:pPr>
        <w:pStyle w:val="Heading2"/>
      </w:pPr>
      <w:r w:rsidRPr="00A20ED3">
        <w:t>“</w:t>
      </w:r>
      <w:r>
        <w:t>C</w:t>
      </w:r>
      <w:r w:rsidRPr="00A20ED3">
        <w:t>ontrol” or “</w:t>
      </w:r>
      <w:r>
        <w:t>C</w:t>
      </w:r>
      <w:r w:rsidRPr="00A20ED3">
        <w:t xml:space="preserve">ontrolled” means the ownership of more than twenty percent (20%) of the outstanding voting ownership interests of the Owner in question or the power to direct the management of the Owner in question (subject to any required approvals for major decisions by anyone holding equity interests in the </w:t>
      </w:r>
      <w:r>
        <w:t>O</w:t>
      </w:r>
      <w:r w:rsidRPr="00A20ED3">
        <w:t>wner in question).</w:t>
      </w:r>
    </w:p>
    <w:p w14:paraId="337B525B" w14:textId="0DFEA568" w:rsidR="005B2D1F" w:rsidRDefault="005B2D1F" w:rsidP="004C16C2">
      <w:pPr>
        <w:pStyle w:val="Heading2"/>
      </w:pPr>
      <w:r>
        <w:t xml:space="preserve">“Fair Market Value” shall </w:t>
      </w:r>
      <w:r w:rsidRPr="00422CE8">
        <w:t xml:space="preserve">be determined using either taxable value as maintained on the tax records of </w:t>
      </w:r>
      <w:r w:rsidR="00874EE9">
        <w:t>Washington County</w:t>
      </w:r>
      <w:r w:rsidRPr="00255846">
        <w:t>, Utah</w:t>
      </w:r>
      <w:r w:rsidRPr="00422CE8">
        <w:t xml:space="preserve"> (the “County”) (plus the costs of the Improvements if not accounted for yet in the taxable value) or by appraised value presented by the owner of the Subdivision Parcel </w:t>
      </w:r>
      <w:r>
        <w:t xml:space="preserve">or Remaining Subdivision Parcel, as applicable, </w:t>
      </w:r>
      <w:r w:rsidRPr="00422CE8">
        <w:t>and determined by a certified appraiser acceptable to the District, including the costs of the Improvements and any other additions or improvements to the extent currently funded at the time of such appraisal, and meeting any other appraisal requirements of the District related to the Assessment Bonds</w:t>
      </w:r>
      <w:r>
        <w:t xml:space="preserve">. </w:t>
      </w:r>
    </w:p>
    <w:p w14:paraId="7A6923D1" w14:textId="3A446A3A" w:rsidR="00E532D8" w:rsidRPr="0051688F" w:rsidRDefault="00E532D8" w:rsidP="00E532D8">
      <w:pPr>
        <w:pStyle w:val="Heading2"/>
      </w:pPr>
      <w:r w:rsidRPr="0051688F">
        <w:t xml:space="preserve">“Foreclosure Agent” means the Person appointed by the District </w:t>
      </w:r>
      <w:r w:rsidR="00E31BA5">
        <w:t xml:space="preserve">or owners of the Assessment Bonds </w:t>
      </w:r>
      <w:r w:rsidRPr="0051688F">
        <w:t>to process and carry out on behalf of the District any foreclosure of the delinquent Assessments pursuant to this Assessment Ordinance and the Indenture. The initial Foreclosure Agent shall be</w:t>
      </w:r>
      <w:r w:rsidR="00F24D14">
        <w:t xml:space="preserve"> </w:t>
      </w:r>
      <w:r w:rsidR="001C15EE">
        <w:t>Snow Jensen &amp; Reece</w:t>
      </w:r>
      <w:r w:rsidR="00F24D14">
        <w:t>.</w:t>
      </w:r>
    </w:p>
    <w:p w14:paraId="7ED6A98B" w14:textId="05DA7FDF" w:rsidR="00AF1958" w:rsidRDefault="00AF1958" w:rsidP="00CD3F29">
      <w:pPr>
        <w:pStyle w:val="Heading2"/>
      </w:pPr>
      <w:r>
        <w:t xml:space="preserve">“Indenture” means </w:t>
      </w:r>
      <w:r w:rsidRPr="00AF1958">
        <w:t>the indenture</w:t>
      </w:r>
      <w:r>
        <w:t>(s)</w:t>
      </w:r>
      <w:r w:rsidRPr="00AF1958">
        <w:t xml:space="preserve"> of trust and pledge under which the Assessment Bonds are issued</w:t>
      </w:r>
      <w:r>
        <w:t>.</w:t>
      </w:r>
    </w:p>
    <w:p w14:paraId="4D129FF5" w14:textId="2AAE6147" w:rsidR="00CD3F29" w:rsidRPr="00CD3F29" w:rsidRDefault="00CD3F29" w:rsidP="00CD3F29">
      <w:pPr>
        <w:pStyle w:val="Heading2"/>
      </w:pPr>
      <w:r>
        <w:t xml:space="preserve">“Original ATV Ratio” means the </w:t>
      </w:r>
      <w:r w:rsidRPr="00CD3F29">
        <w:t xml:space="preserve">ATV Ratio on </w:t>
      </w:r>
      <w:r>
        <w:t>a parcel,</w:t>
      </w:r>
      <w:r w:rsidRPr="00CD3F29">
        <w:t xml:space="preserve"> Subdivision Parcel</w:t>
      </w:r>
      <w:r>
        <w:t>, or Remaining Subdivision Parcel, as applicable,</w:t>
      </w:r>
      <w:r w:rsidRPr="00CD3F29">
        <w:t xml:space="preserve"> at the time of closing of the Assessment Bonds (as reasonably determined by the District)</w:t>
      </w:r>
      <w:r>
        <w:t>.</w:t>
      </w:r>
    </w:p>
    <w:p w14:paraId="2D4587CD" w14:textId="77777777" w:rsidR="00E532D8" w:rsidRPr="0051688F" w:rsidRDefault="00E532D8" w:rsidP="00E532D8">
      <w:pPr>
        <w:pStyle w:val="Heading2"/>
      </w:pPr>
      <w:r w:rsidRPr="0051688F">
        <w:t>“Person” means natural persons, firms, partnerships, associations, corporations, trusts, public bodies, and other entities.</w:t>
      </w:r>
    </w:p>
    <w:p w14:paraId="08686DA9" w14:textId="7AF0395A" w:rsidR="005B2D1F" w:rsidRPr="00487082" w:rsidRDefault="005B2D1F" w:rsidP="005B2D1F">
      <w:pPr>
        <w:pStyle w:val="Heading2"/>
      </w:pPr>
      <w:r>
        <w:t>When</w:t>
      </w:r>
      <w:r w:rsidR="004C16C2">
        <w:t>ever</w:t>
      </w:r>
      <w:r>
        <w:t xml:space="preserve"> an appraisal is required under this Ordinance, t</w:t>
      </w:r>
      <w:r w:rsidRPr="00A675CE">
        <w:t xml:space="preserve">he District and Title Owners may continue to utilize an appraisal </w:t>
      </w:r>
      <w:r>
        <w:t xml:space="preserve">previously </w:t>
      </w:r>
      <w:r w:rsidRPr="00A675CE">
        <w:t xml:space="preserve">delivered in connection with the Assessment </w:t>
      </w:r>
      <w:r>
        <w:t>Area</w:t>
      </w:r>
      <w:r w:rsidRPr="00A675CE">
        <w:t xml:space="preserve"> so long as (</w:t>
      </w:r>
      <w:r>
        <w:t>i</w:t>
      </w:r>
      <w:r w:rsidRPr="00A675CE">
        <w:t xml:space="preserve">) such appraisal describes the intended use of </w:t>
      </w:r>
      <w:r>
        <w:t>the</w:t>
      </w:r>
      <w:r w:rsidRPr="00A675CE">
        <w:t xml:space="preserve"> Subdivision Parcel </w:t>
      </w:r>
      <w:r>
        <w:t>and such parcel entitled for such intended use and/or density (as applicable),</w:t>
      </w:r>
      <w:r w:rsidRPr="00A675CE">
        <w:t xml:space="preserve"> (</w:t>
      </w:r>
      <w:r>
        <w:t>ii</w:t>
      </w:r>
      <w:r w:rsidRPr="00A675CE">
        <w:t>) the Title Owner certifies in writing that it is not aware of any facts or circumstances that would cause the relevant values contained in such appraisal to be materially less than the market value of the Subdivision Parcel</w:t>
      </w:r>
      <w:r>
        <w:t>, and (iii) the District in its reasonable judgment has no reason to question such certification</w:t>
      </w:r>
      <w:r w:rsidRPr="00A675CE">
        <w:t>.</w:t>
      </w:r>
    </w:p>
    <w:p w14:paraId="2C00B83D" w14:textId="484743BC" w:rsidR="004A419C" w:rsidRPr="008C379C" w:rsidRDefault="004A419C" w:rsidP="008C379C">
      <w:pPr>
        <w:pStyle w:val="Heading1"/>
        <w:keepNext w:val="0"/>
        <w:rPr>
          <w:rFonts w:cs="Times New Roman"/>
          <w:bCs w:val="0"/>
          <w:szCs w:val="24"/>
        </w:rPr>
      </w:pPr>
      <w:r>
        <w:rPr>
          <w:u w:val="single"/>
        </w:rPr>
        <w:t>Determination of Estimated Costs of the Improvements and Right of District to Levy Additional Assessments for Completion</w:t>
      </w:r>
      <w:r>
        <w:t xml:space="preserve">.  </w:t>
      </w:r>
      <w:r w:rsidR="00E45CBA" w:rsidRPr="00A2751A">
        <w:t>The Board has determined that the estimated acquisition, construction and installation costs of the Improvements within the Assessment Area is $</w:t>
      </w:r>
      <w:r w:rsidR="00581659" w:rsidRPr="00581659">
        <w:t>42,665,942</w:t>
      </w:r>
      <w:r w:rsidR="00E45CBA" w:rsidRPr="00A2751A">
        <w:t xml:space="preserve"> and that the estimated overhead costs, administrative costs, costs of funding reserves, capitalized interest, and debt issuance costs is $</w:t>
      </w:r>
      <w:r w:rsidR="00581659" w:rsidRPr="00581659">
        <w:t>11,341,820</w:t>
      </w:r>
      <w:r w:rsidR="00E45CBA" w:rsidRPr="00A2751A">
        <w:t xml:space="preserve">, for an estimated </w:t>
      </w:r>
      <w:r w:rsidR="00E45CBA" w:rsidRPr="00A2751A">
        <w:lastRenderedPageBreak/>
        <w:t>total cost of $</w:t>
      </w:r>
      <w:r w:rsidR="00581659" w:rsidRPr="00581659">
        <w:t>54,007,762</w:t>
      </w:r>
      <w:r w:rsidR="00E45CBA" w:rsidRPr="00A2751A">
        <w:t>, of which $</w:t>
      </w:r>
      <w:r w:rsidR="00581659">
        <w:t>34,066,000</w:t>
      </w:r>
      <w:r w:rsidR="00E45CBA" w:rsidRPr="00A2751A">
        <w:t xml:space="preserve"> shall be assessed within the Assessment Area</w:t>
      </w:r>
      <w:r>
        <w:rPr>
          <w:rFonts w:cs="Times New Roman"/>
          <w:bCs w:val="0"/>
          <w:szCs w:val="24"/>
        </w:rPr>
        <w:t xml:space="preserve">. Such amount to be levied is an estimate, as permitted under Section 11-42-401 of the Act.  </w:t>
      </w:r>
      <w:r w:rsidR="005F72BF" w:rsidRPr="005F72BF">
        <w:rPr>
          <w:rFonts w:cs="Times New Roman"/>
          <w:bCs w:val="0"/>
          <w:szCs w:val="24"/>
        </w:rPr>
        <w:t xml:space="preserve">The Owners anticipate using additional funding in order to complete the Improvements.  If the Assessments and additional funding are not sufficient in amount to complete the Improvements and pay related costs as described above, the Owners shall be responsible to pay the remaining amount in order to complete the Improvements. </w:t>
      </w:r>
      <w:r w:rsidRPr="008C379C">
        <w:rPr>
          <w:rFonts w:cs="Times New Roman"/>
          <w:bCs w:val="0"/>
          <w:szCs w:val="24"/>
        </w:rPr>
        <w:t xml:space="preserve">  However, the District does not guaranty such payments from the Owners. Therefore, if for any reason the Owners do not pay such remaining amount to complete the Improvements, any and all property owners within the Assessment Area shall be responsible for paying any pro-rata share of additional costs required to complete the Improvements, including, but not limited to, an additional assessment on their property without any ability to contest such assessment. </w:t>
      </w:r>
      <w:r w:rsidR="001340C1" w:rsidRPr="008C379C">
        <w:rPr>
          <w:rFonts w:cs="Times New Roman"/>
          <w:bCs w:val="0"/>
          <w:szCs w:val="24"/>
        </w:rPr>
        <w:t xml:space="preserve"> </w:t>
      </w:r>
    </w:p>
    <w:p w14:paraId="32A8CE48" w14:textId="7A39FC8C" w:rsidR="004A419C" w:rsidRPr="00A20ED3" w:rsidRDefault="004A419C" w:rsidP="004A419C">
      <w:pPr>
        <w:pStyle w:val="Heading1"/>
        <w:keepNext w:val="0"/>
      </w:pPr>
      <w:r w:rsidRPr="00A20ED3">
        <w:rPr>
          <w:u w:val="single"/>
        </w:rPr>
        <w:t>Approval of Assessment List; Findings</w:t>
      </w:r>
      <w:r w:rsidRPr="00A20ED3">
        <w:t xml:space="preserve">.  The Board confirms and adopts the assessment list for the Assessment Area, a copy of which is attached hereto as </w:t>
      </w:r>
      <w:r w:rsidRPr="00A20ED3">
        <w:rPr>
          <w:u w:val="single"/>
        </w:rPr>
        <w:t>Exhibit A</w:t>
      </w:r>
      <w:r w:rsidRPr="00A20ED3">
        <w:t xml:space="preserve"> and incorporated herein by reference (the “Assessment List”).  The Board has determined that the Assessments are levied according to the benefits to be derived by each property within the Assessment Area and</w:t>
      </w:r>
      <w:r w:rsidR="00681D71" w:rsidRPr="00A20ED3">
        <w:t>,</w:t>
      </w:r>
      <w:r w:rsidRPr="00A20ED3">
        <w:t xml:space="preserve"> in any case</w:t>
      </w:r>
      <w:r w:rsidR="00756092" w:rsidRPr="00A20ED3">
        <w:t>,</w:t>
      </w:r>
      <w:r w:rsidRPr="00A20ED3">
        <w:t xml:space="preserve"> the Owners have consented to such methodology as provided in Section 11-42-409(5) of the Act.  </w:t>
      </w:r>
    </w:p>
    <w:p w14:paraId="10FE7CFF" w14:textId="5A1B9725" w:rsidR="004A419C" w:rsidRDefault="004A419C" w:rsidP="004A419C">
      <w:pPr>
        <w:pStyle w:val="Heading1"/>
        <w:keepNext w:val="0"/>
      </w:pPr>
      <w:r>
        <w:rPr>
          <w:u w:val="single"/>
        </w:rPr>
        <w:t>Levy of Assessments</w:t>
      </w:r>
      <w:r>
        <w:t xml:space="preserve">.  </w:t>
      </w:r>
      <w:r w:rsidR="00BA0852" w:rsidRPr="00BA0852">
        <w:t xml:space="preserve">The Board does hereby levy a collective initial Assessment against each and every parcel of property identified in the Assessment List (the “Collective Assessment”).  </w:t>
      </w:r>
      <w:r w:rsidR="00BA0852" w:rsidRPr="00255846">
        <w:t>On the date of this Ordinance all of the property being assessed is owned by the same Owner</w:t>
      </w:r>
      <w:r w:rsidR="00BA0852" w:rsidRPr="00BA0852">
        <w:t xml:space="preserve"> (or an </w:t>
      </w:r>
      <w:r w:rsidR="00BD4163">
        <w:t>A</w:t>
      </w:r>
      <w:r w:rsidR="00BA0852" w:rsidRPr="00BA0852">
        <w:t>ffiliate thereof) and the Assessments are initially levied against all parcels.  The Collective Assessment and the currently anticipated amount of Assessments expected to be levied upon each parcel of property and the number of ERUs</w:t>
      </w:r>
      <w:r w:rsidR="006D0805">
        <w:t xml:space="preserve"> </w:t>
      </w:r>
      <w:r w:rsidR="006D0805" w:rsidRPr="00BA0852">
        <w:t xml:space="preserve">(defined herein) </w:t>
      </w:r>
      <w:r w:rsidR="00BA0852" w:rsidRPr="00BA0852">
        <w:t xml:space="preserve">anticipated to be allocated to each </w:t>
      </w:r>
      <w:r w:rsidR="00B76294">
        <w:t>parcel of property</w:t>
      </w:r>
      <w:r w:rsidR="00BA0852" w:rsidRPr="00BA0852">
        <w:t xml:space="preserve"> in the Assessment Area (upon compliance with the process and coverage described herein) reflects an equitable portion of the benefit each </w:t>
      </w:r>
      <w:r w:rsidR="00B76294">
        <w:t>parcel of property</w:t>
      </w:r>
      <w:r w:rsidR="00BA0852" w:rsidRPr="00BA0852">
        <w:t xml:space="preserve"> will receive from the Improvements and, in any case, the Owners have consented to such methodology as provided in Section 11-42-409(5) of the Act.</w:t>
      </w:r>
    </w:p>
    <w:p w14:paraId="0E0DF824" w14:textId="684EF31A" w:rsidR="004A419C" w:rsidRDefault="004A419C" w:rsidP="004A419C">
      <w:pPr>
        <w:pStyle w:val="Heading1"/>
        <w:keepNext w:val="0"/>
      </w:pPr>
      <w:r>
        <w:rPr>
          <w:u w:val="single"/>
        </w:rPr>
        <w:t>Amount of Total Assessments</w:t>
      </w:r>
      <w:r>
        <w:t xml:space="preserve">.  The Assessments do not exceed in the aggregate the sum of: </w:t>
      </w:r>
      <w:r>
        <w:fldChar w:fldCharType="begin"/>
      </w:r>
      <w:r>
        <w:instrText xml:space="preserve"> LISTNUM NumberDefault \l5 \s1 \* MERGEFORMAT </w:instrText>
      </w:r>
      <w:r>
        <w:fldChar w:fldCharType="end"/>
      </w:r>
      <w:r>
        <w:t xml:space="preserve"> the estimated contract price of the Improvements (plus related capitalized soft costs); </w:t>
      </w:r>
      <w:r>
        <w:fldChar w:fldCharType="begin"/>
      </w:r>
      <w:r>
        <w:instrText xml:space="preserve"> LISTNUM NumberDefault \l5 \* MERGEFORMAT </w:instrText>
      </w:r>
      <w:r>
        <w:fldChar w:fldCharType="end"/>
      </w:r>
      <w:r>
        <w:t xml:space="preserve"> the estimated acquisition price of the Improvements; </w:t>
      </w:r>
      <w:r>
        <w:fldChar w:fldCharType="begin"/>
      </w:r>
      <w:r>
        <w:instrText xml:space="preserve"> LISTNUM NumberDefault \l5 \* MERGEFORMAT </w:instrText>
      </w:r>
      <w:r>
        <w:fldChar w:fldCharType="end"/>
      </w:r>
      <w:r>
        <w:t xml:space="preserve"> the reasonable cost of </w:t>
      </w:r>
      <w:r>
        <w:fldChar w:fldCharType="begin"/>
      </w:r>
      <w:r>
        <w:instrText xml:space="preserve"> LISTNUM NumberDefault \l6 \s1 \* MERGEFORMAT </w:instrText>
      </w:r>
      <w:r>
        <w:fldChar w:fldCharType="end"/>
      </w:r>
      <w:r>
        <w:t xml:space="preserve"> utility services, maintenance, and operation to the extent permitted by the Act and </w:t>
      </w:r>
      <w:r>
        <w:fldChar w:fldCharType="begin"/>
      </w:r>
      <w:r>
        <w:instrText xml:space="preserve"> LISTNUM NumberDefault \l6 \* MERGEFORMAT </w:instrText>
      </w:r>
      <w:r>
        <w:fldChar w:fldCharType="end"/>
      </w:r>
      <w:r>
        <w:t xml:space="preserve"> labor, materials, or equipment supplied by the District, if any; </w:t>
      </w:r>
      <w:r>
        <w:fldChar w:fldCharType="begin"/>
      </w:r>
      <w:r>
        <w:instrText xml:space="preserve"> LISTNUM NumberDefault \l5 \* MERGEFORMAT </w:instrText>
      </w:r>
      <w:r>
        <w:fldChar w:fldCharType="end"/>
      </w:r>
      <w:r>
        <w:t xml:space="preserve"> the price or estimated price of purchasing property; </w:t>
      </w:r>
      <w:r>
        <w:fldChar w:fldCharType="begin"/>
      </w:r>
      <w:r>
        <w:instrText xml:space="preserve"> LISTNUM NumberDefault \l5 \* MERGEFORMAT </w:instrText>
      </w:r>
      <w:r>
        <w:fldChar w:fldCharType="end"/>
      </w:r>
      <w:r>
        <w:t xml:space="preserve"> overhead costs not to exceed fifteen percent (15%) of the sum of (a), (b), and (c); </w:t>
      </w:r>
      <w:r>
        <w:fldChar w:fldCharType="begin"/>
      </w:r>
      <w:r>
        <w:instrText xml:space="preserve"> LISTNUM NumberDefault \l5 \* MERGEFORMAT </w:instrText>
      </w:r>
      <w:r>
        <w:fldChar w:fldCharType="end"/>
      </w:r>
      <w:r>
        <w:t xml:space="preserve"> an amount for contingencies of not more than ten percent (10%) of the sum of (a) and (c); </w:t>
      </w:r>
      <w:r>
        <w:fldChar w:fldCharType="begin"/>
      </w:r>
      <w:r>
        <w:instrText xml:space="preserve"> LISTNUM NumberDefault \l5 \* MERGEFORMAT </w:instrText>
      </w:r>
      <w:r>
        <w:fldChar w:fldCharType="end"/>
      </w:r>
      <w:r>
        <w:t xml:space="preserve"> estimated interest on interim warrants and bond anticipation notes issued to finance the Improvements, if any; </w:t>
      </w:r>
      <w:r>
        <w:fldChar w:fldCharType="begin"/>
      </w:r>
      <w:r>
        <w:instrText xml:space="preserve"> LISTNUM NumberDefault \l5 \* MERGEFORMAT </w:instrText>
      </w:r>
      <w:r>
        <w:fldChar w:fldCharType="end"/>
      </w:r>
      <w:r>
        <w:t xml:space="preserve"> an amount sufficient to fund a reserve fund</w:t>
      </w:r>
      <w:r w:rsidR="00EF74D9">
        <w:t>; and (i) the capitalized interest on each assessment bond.</w:t>
      </w:r>
    </w:p>
    <w:p w14:paraId="33A8EB6C" w14:textId="77777777" w:rsidR="00834856" w:rsidRDefault="00301A59" w:rsidP="00834856">
      <w:pPr>
        <w:pStyle w:val="Heading1"/>
      </w:pPr>
      <w:r>
        <w:rPr>
          <w:u w:val="single"/>
        </w:rPr>
        <w:lastRenderedPageBreak/>
        <w:t>Method and Rate</w:t>
      </w:r>
      <w:r>
        <w:t xml:space="preserve">.  </w:t>
      </w:r>
      <w:r w:rsidR="00834856" w:rsidRPr="00E271FA">
        <w:t xml:space="preserve">Each of the benefited properties </w:t>
      </w:r>
      <w:r w:rsidR="00834856" w:rsidRPr="00B76294">
        <w:t xml:space="preserve">and all of them collectively </w:t>
      </w:r>
      <w:r w:rsidR="00834856" w:rsidRPr="00E271FA">
        <w:t xml:space="preserve">will be assessed within the Assessment Area initially </w:t>
      </w:r>
      <w:bookmarkStart w:id="6" w:name="_Hlk205914196"/>
      <w:r w:rsidR="00834856" w:rsidRPr="00E271FA">
        <w:t>pursuant to a</w:t>
      </w:r>
      <w:r w:rsidR="00834856">
        <w:t>n equivalent residential unit (“ERU”) method</w:t>
      </w:r>
      <w:r w:rsidR="00834856" w:rsidRPr="00E271FA">
        <w:t xml:space="preserve"> as </w:t>
      </w:r>
      <w:r w:rsidR="00834856">
        <w:t>follows:</w:t>
      </w:r>
      <w:bookmarkEnd w:id="6"/>
      <w:r w:rsidR="00834856">
        <w:t xml:space="preserve">  </w:t>
      </w:r>
    </w:p>
    <w:tbl>
      <w:tblPr>
        <w:tblW w:w="5144" w:type="pct"/>
        <w:tblInd w:w="-270" w:type="dxa"/>
        <w:tblLayout w:type="fixed"/>
        <w:tblCellMar>
          <w:left w:w="115" w:type="dxa"/>
          <w:right w:w="115" w:type="dxa"/>
        </w:tblCellMar>
        <w:tblLook w:val="04A0" w:firstRow="1" w:lastRow="0" w:firstColumn="1" w:lastColumn="0" w:noHBand="0" w:noVBand="1"/>
      </w:tblPr>
      <w:tblGrid>
        <w:gridCol w:w="3602"/>
        <w:gridCol w:w="1658"/>
        <w:gridCol w:w="2159"/>
        <w:gridCol w:w="2211"/>
      </w:tblGrid>
      <w:tr w:rsidR="00834856" w:rsidRPr="0001315C" w14:paraId="0CC699F3" w14:textId="77777777" w:rsidTr="003E7699">
        <w:trPr>
          <w:trHeight w:val="300"/>
        </w:trPr>
        <w:tc>
          <w:tcPr>
            <w:tcW w:w="1870" w:type="pct"/>
            <w:tcBorders>
              <w:top w:val="nil"/>
              <w:left w:val="nil"/>
              <w:bottom w:val="nil"/>
              <w:right w:val="nil"/>
            </w:tcBorders>
            <w:noWrap/>
            <w:vAlign w:val="bottom"/>
            <w:hideMark/>
          </w:tcPr>
          <w:p w14:paraId="725C6838" w14:textId="77777777" w:rsidR="00834856" w:rsidRPr="0001315C" w:rsidRDefault="00834856" w:rsidP="000B6CAB">
            <w:pPr>
              <w:keepNext/>
              <w:jc w:val="center"/>
              <w:rPr>
                <w:sz w:val="22"/>
                <w:szCs w:val="22"/>
                <w:u w:val="single"/>
              </w:rPr>
            </w:pPr>
            <w:bookmarkStart w:id="7" w:name="_Hlk205914099"/>
            <w:r w:rsidRPr="0001315C">
              <w:rPr>
                <w:sz w:val="22"/>
                <w:szCs w:val="22"/>
                <w:u w:val="single"/>
              </w:rPr>
              <w:t>Improvements</w:t>
            </w:r>
          </w:p>
        </w:tc>
        <w:tc>
          <w:tcPr>
            <w:tcW w:w="861" w:type="pct"/>
            <w:tcBorders>
              <w:top w:val="nil"/>
              <w:left w:val="nil"/>
              <w:bottom w:val="nil"/>
              <w:right w:val="nil"/>
            </w:tcBorders>
            <w:noWrap/>
            <w:vAlign w:val="bottom"/>
          </w:tcPr>
          <w:p w14:paraId="5E173250" w14:textId="77777777" w:rsidR="00834856" w:rsidRPr="00EF3C4C" w:rsidRDefault="00834856" w:rsidP="000B6CAB">
            <w:pPr>
              <w:keepNext/>
              <w:jc w:val="center"/>
              <w:rPr>
                <w:sz w:val="22"/>
              </w:rPr>
            </w:pPr>
            <w:r w:rsidRPr="0001315C">
              <w:rPr>
                <w:sz w:val="22"/>
                <w:szCs w:val="22"/>
                <w:u w:val="single"/>
              </w:rPr>
              <w:t>Assessment</w:t>
            </w:r>
          </w:p>
        </w:tc>
        <w:tc>
          <w:tcPr>
            <w:tcW w:w="1121" w:type="pct"/>
            <w:tcBorders>
              <w:top w:val="nil"/>
              <w:left w:val="nil"/>
              <w:bottom w:val="nil"/>
              <w:right w:val="nil"/>
            </w:tcBorders>
            <w:vAlign w:val="bottom"/>
          </w:tcPr>
          <w:p w14:paraId="3AF21E93" w14:textId="77777777" w:rsidR="00834856" w:rsidRPr="00EF3C4C" w:rsidRDefault="00834856" w:rsidP="000B6CAB">
            <w:pPr>
              <w:keepNext/>
              <w:jc w:val="center"/>
              <w:rPr>
                <w:sz w:val="22"/>
              </w:rPr>
            </w:pPr>
            <w:r w:rsidRPr="0001315C">
              <w:rPr>
                <w:sz w:val="22"/>
                <w:szCs w:val="22"/>
                <w:u w:val="single"/>
              </w:rPr>
              <w:t>Assessment Method</w:t>
            </w:r>
          </w:p>
        </w:tc>
        <w:tc>
          <w:tcPr>
            <w:tcW w:w="1148" w:type="pct"/>
            <w:tcBorders>
              <w:top w:val="nil"/>
              <w:left w:val="nil"/>
              <w:bottom w:val="nil"/>
              <w:right w:val="nil"/>
            </w:tcBorders>
            <w:noWrap/>
            <w:vAlign w:val="bottom"/>
            <w:hideMark/>
          </w:tcPr>
          <w:p w14:paraId="758BBC60" w14:textId="77777777" w:rsidR="00834856" w:rsidRPr="00EF3C4C" w:rsidRDefault="00834856" w:rsidP="000B6CAB">
            <w:pPr>
              <w:keepNext/>
              <w:jc w:val="center"/>
              <w:rPr>
                <w:sz w:val="22"/>
              </w:rPr>
            </w:pPr>
            <w:r w:rsidRPr="0001315C">
              <w:rPr>
                <w:sz w:val="22"/>
                <w:szCs w:val="22"/>
                <w:u w:val="single"/>
              </w:rPr>
              <w:t>Assessment Per ERU</w:t>
            </w:r>
          </w:p>
        </w:tc>
      </w:tr>
      <w:tr w:rsidR="00834856" w:rsidRPr="0001315C" w14:paraId="7371DE45" w14:textId="77777777" w:rsidTr="003E7699">
        <w:trPr>
          <w:trHeight w:val="315"/>
        </w:trPr>
        <w:tc>
          <w:tcPr>
            <w:tcW w:w="1870" w:type="pct"/>
            <w:tcBorders>
              <w:top w:val="nil"/>
              <w:left w:val="nil"/>
              <w:bottom w:val="nil"/>
              <w:right w:val="nil"/>
            </w:tcBorders>
            <w:noWrap/>
            <w:vAlign w:val="bottom"/>
          </w:tcPr>
          <w:p w14:paraId="3A0CC87C" w14:textId="77777777" w:rsidR="00834856" w:rsidRPr="0001315C" w:rsidRDefault="00834856" w:rsidP="000B6CAB">
            <w:pPr>
              <w:keepNext/>
              <w:ind w:left="60"/>
              <w:jc w:val="center"/>
              <w:rPr>
                <w:sz w:val="22"/>
                <w:szCs w:val="22"/>
              </w:rPr>
            </w:pPr>
            <w:r w:rsidRPr="0001315C">
              <w:rPr>
                <w:sz w:val="22"/>
                <w:szCs w:val="22"/>
              </w:rPr>
              <w:t>All above-described Improvements</w:t>
            </w:r>
          </w:p>
        </w:tc>
        <w:tc>
          <w:tcPr>
            <w:tcW w:w="861" w:type="pct"/>
            <w:tcBorders>
              <w:top w:val="nil"/>
              <w:left w:val="nil"/>
              <w:bottom w:val="nil"/>
              <w:right w:val="nil"/>
            </w:tcBorders>
            <w:noWrap/>
            <w:vAlign w:val="bottom"/>
          </w:tcPr>
          <w:p w14:paraId="17740249" w14:textId="33AE28D0" w:rsidR="00834856" w:rsidRPr="0001315C" w:rsidRDefault="00834856" w:rsidP="000B6CAB">
            <w:pPr>
              <w:keepNext/>
              <w:tabs>
                <w:tab w:val="decimal" w:pos="817"/>
              </w:tabs>
              <w:jc w:val="center"/>
              <w:rPr>
                <w:sz w:val="22"/>
                <w:szCs w:val="22"/>
              </w:rPr>
            </w:pPr>
            <w:r w:rsidRPr="0001315C">
              <w:rPr>
                <w:sz w:val="22"/>
                <w:szCs w:val="22"/>
              </w:rPr>
              <w:t>$</w:t>
            </w:r>
            <w:r w:rsidR="00581659">
              <w:rPr>
                <w:sz w:val="22"/>
                <w:szCs w:val="22"/>
              </w:rPr>
              <w:t>34,066,000</w:t>
            </w:r>
          </w:p>
        </w:tc>
        <w:tc>
          <w:tcPr>
            <w:tcW w:w="1121" w:type="pct"/>
            <w:tcBorders>
              <w:top w:val="nil"/>
              <w:left w:val="nil"/>
              <w:bottom w:val="nil"/>
              <w:right w:val="nil"/>
            </w:tcBorders>
            <w:vAlign w:val="bottom"/>
          </w:tcPr>
          <w:p w14:paraId="588857B3" w14:textId="77777777" w:rsidR="00834856" w:rsidRPr="0001315C" w:rsidRDefault="00834856" w:rsidP="000B6CAB">
            <w:pPr>
              <w:keepNext/>
              <w:tabs>
                <w:tab w:val="decimal" w:pos="151"/>
              </w:tabs>
              <w:jc w:val="center"/>
              <w:rPr>
                <w:sz w:val="22"/>
                <w:szCs w:val="22"/>
              </w:rPr>
            </w:pPr>
            <w:r w:rsidRPr="0001315C">
              <w:rPr>
                <w:sz w:val="22"/>
                <w:szCs w:val="22"/>
              </w:rPr>
              <w:t>ERU</w:t>
            </w:r>
          </w:p>
        </w:tc>
        <w:tc>
          <w:tcPr>
            <w:tcW w:w="1148" w:type="pct"/>
            <w:tcBorders>
              <w:top w:val="nil"/>
              <w:left w:val="nil"/>
              <w:bottom w:val="nil"/>
              <w:right w:val="nil"/>
            </w:tcBorders>
            <w:noWrap/>
            <w:vAlign w:val="bottom"/>
          </w:tcPr>
          <w:p w14:paraId="01995C2D" w14:textId="499583A5" w:rsidR="00834856" w:rsidRPr="0001315C" w:rsidRDefault="00834856" w:rsidP="000B6CAB">
            <w:pPr>
              <w:keepNext/>
              <w:tabs>
                <w:tab w:val="decimal" w:pos="526"/>
              </w:tabs>
              <w:jc w:val="center"/>
              <w:rPr>
                <w:sz w:val="22"/>
                <w:szCs w:val="22"/>
              </w:rPr>
            </w:pPr>
            <w:r w:rsidRPr="0001315C">
              <w:rPr>
                <w:sz w:val="22"/>
                <w:szCs w:val="22"/>
              </w:rPr>
              <w:t>$</w:t>
            </w:r>
            <w:r w:rsidR="00581659" w:rsidRPr="00581659">
              <w:rPr>
                <w:sz w:val="22"/>
                <w:szCs w:val="22"/>
              </w:rPr>
              <w:t>216,186</w:t>
            </w:r>
            <w:r w:rsidR="0029143B">
              <w:rPr>
                <w:sz w:val="22"/>
                <w:szCs w:val="22"/>
              </w:rPr>
              <w:t>.24</w:t>
            </w:r>
          </w:p>
        </w:tc>
      </w:tr>
    </w:tbl>
    <w:bookmarkEnd w:id="7"/>
    <w:p w14:paraId="14E33121" w14:textId="25D00BE1" w:rsidR="004A419C" w:rsidRPr="008A374B" w:rsidRDefault="004044DE" w:rsidP="00F02B06">
      <w:pPr>
        <w:pStyle w:val="Heading1"/>
        <w:numPr>
          <w:ilvl w:val="0"/>
          <w:numId w:val="0"/>
        </w:numPr>
        <w:spacing w:before="240"/>
        <w:ind w:firstLine="720"/>
      </w:pPr>
      <w:r>
        <w:t>T</w:t>
      </w:r>
      <w:r w:rsidR="00EE5754">
        <w:t xml:space="preserve">he currently anticipated number of </w:t>
      </w:r>
      <w:r w:rsidR="00834856">
        <w:t>ERUs</w:t>
      </w:r>
      <w:r w:rsidR="00A1455B">
        <w:t xml:space="preserve"> and </w:t>
      </w:r>
      <w:r w:rsidR="00EE5754">
        <w:t xml:space="preserve">ERUs per unit type is set forth on </w:t>
      </w:r>
      <w:r w:rsidR="00EE5754" w:rsidRPr="003E7699">
        <w:rPr>
          <w:u w:val="single"/>
        </w:rPr>
        <w:t>Exhibit A</w:t>
      </w:r>
      <w:r w:rsidR="00EE5754">
        <w:t xml:space="preserve"> hereto. </w:t>
      </w:r>
      <w:r w:rsidR="004A419C" w:rsidRPr="00A20ED3">
        <w:t xml:space="preserve">Notwithstanding the levy of the </w:t>
      </w:r>
      <w:r w:rsidR="00A8436A">
        <w:t>A</w:t>
      </w:r>
      <w:r w:rsidR="004A419C" w:rsidRPr="00A20ED3">
        <w:t xml:space="preserve">ssessments, in order to provide additional security for the payment of </w:t>
      </w:r>
      <w:r w:rsidR="00A8436A">
        <w:t>the A</w:t>
      </w:r>
      <w:r w:rsidR="004A419C" w:rsidRPr="00A20ED3">
        <w:t xml:space="preserve">ssessments, the District shall require that all assessments of all properties owned by the same Owner within the Assessment Area (or an </w:t>
      </w:r>
      <w:r w:rsidR="00BD4163">
        <w:t>A</w:t>
      </w:r>
      <w:r w:rsidR="004A419C" w:rsidRPr="00A20ED3">
        <w:t xml:space="preserve">ffiliate of the same Owner) be aggregated as a single unified </w:t>
      </w:r>
      <w:r w:rsidR="00A8436A">
        <w:t>A</w:t>
      </w:r>
      <w:r w:rsidR="004A419C" w:rsidRPr="00A20ED3">
        <w:t xml:space="preserve">ssessment against all properties owned by the same Owner within the Assessment Area (or an </w:t>
      </w:r>
      <w:r w:rsidR="00BD4163">
        <w:t>A</w:t>
      </w:r>
      <w:r w:rsidR="004A419C" w:rsidRPr="00A20ED3">
        <w:t>ffiliate of the same Owner).</w:t>
      </w:r>
    </w:p>
    <w:p w14:paraId="6AE0742F" w14:textId="77777777" w:rsidR="004A419C" w:rsidRDefault="004A419C" w:rsidP="004A419C">
      <w:pPr>
        <w:pStyle w:val="Heading1"/>
        <w:keepNext w:val="0"/>
      </w:pPr>
      <w:bookmarkStart w:id="8" w:name="_Ref259518248"/>
      <w:r>
        <w:rPr>
          <w:u w:val="single"/>
        </w:rPr>
        <w:t>Payment of Assessments</w:t>
      </w:r>
      <w:r>
        <w:t>.</w:t>
      </w:r>
      <w:bookmarkEnd w:id="8"/>
      <w:r>
        <w:t xml:space="preserve">  </w:t>
      </w:r>
    </w:p>
    <w:p w14:paraId="3FD62DEE" w14:textId="0EB511CE" w:rsidR="004A419C" w:rsidRDefault="004A419C" w:rsidP="007433B7">
      <w:pPr>
        <w:pStyle w:val="Heading2"/>
      </w:pPr>
      <w:r w:rsidRPr="007A7C2B">
        <w:t>The Board hereby determines that the Improvements have a weighted average useful life of not less than</w:t>
      </w:r>
      <w:r w:rsidR="00A20ED3" w:rsidRPr="007A7C2B">
        <w:t xml:space="preserve"> </w:t>
      </w:r>
      <w:r w:rsidR="00E45CBA">
        <w:t>[NUMBER]</w:t>
      </w:r>
      <w:r w:rsidR="00A20ED3" w:rsidRPr="007A7C2B">
        <w:t xml:space="preserve"> </w:t>
      </w:r>
      <w:r w:rsidR="00CD0966">
        <w:t>(</w:t>
      </w:r>
      <w:r w:rsidR="00E45CBA">
        <w:t>[##]</w:t>
      </w:r>
      <w:r w:rsidR="00CD0966">
        <w:t>)</w:t>
      </w:r>
      <w:r w:rsidR="00A20ED3" w:rsidRPr="007A7C2B">
        <w:t xml:space="preserve"> years</w:t>
      </w:r>
      <w:r w:rsidR="00A8436A">
        <w:t xml:space="preserve"> [</w:t>
      </w:r>
      <w:r w:rsidR="00A8436A" w:rsidRPr="00A8436A">
        <w:rPr>
          <w:highlight w:val="yellow"/>
        </w:rPr>
        <w:t>CONFIRM PREPAYMENT IF ANY</w:t>
      </w:r>
      <w:r w:rsidR="00A8436A">
        <w:t>]</w:t>
      </w:r>
      <w:r w:rsidR="00853EC6">
        <w:t xml:space="preserve">. </w:t>
      </w:r>
      <w:r w:rsidR="00FB43BB">
        <w:t xml:space="preserve"> </w:t>
      </w:r>
      <w:r w:rsidR="003C2ABD" w:rsidRPr="007A7C2B">
        <w:t>Pursuant</w:t>
      </w:r>
      <w:r w:rsidR="003C2ABD">
        <w:t xml:space="preserve"> to Section 11-42-409(5) of the Act, the Owners have consented to</w:t>
      </w:r>
      <w:r w:rsidR="003C2ABD" w:rsidRPr="009D781F">
        <w:t xml:space="preserve"> aggregate annual Assessment payments </w:t>
      </w:r>
      <w:r w:rsidR="003C2ABD">
        <w:t>which are not in</w:t>
      </w:r>
      <w:r w:rsidR="003C2ABD" w:rsidRPr="009D781F">
        <w:t xml:space="preserve"> substantially equal amounts</w:t>
      </w:r>
      <w:r w:rsidR="003C2ABD">
        <w:t xml:space="preserve"> and instead aggregate annual Assessment payments shall be in accordance with the debt service payments as shall be established in the Indenture</w:t>
      </w:r>
      <w:r w:rsidR="00A5367A">
        <w:t>;</w:t>
      </w:r>
      <w:r w:rsidR="003C2ABD">
        <w:t xml:space="preserve"> subject, however, to adjustment as described herein.</w:t>
      </w:r>
      <w:r>
        <w:t xml:space="preserve"> Interest on the unpaid balance of the Assessments shall accrue at the same rate or rates as shall be borne by the</w:t>
      </w:r>
      <w:r w:rsidR="00AF1958">
        <w:t xml:space="preserve"> Assessment Bonds</w:t>
      </w:r>
      <w:r w:rsidRPr="00681129">
        <w:t xml:space="preserve">, </w:t>
      </w:r>
      <w:r w:rsidR="00CE0DFE" w:rsidRPr="00CE0DFE">
        <w:t>plus an annual administration cost incurred by the District</w:t>
      </w:r>
      <w:r w:rsidR="00CE0DFE">
        <w:t xml:space="preserve">, </w:t>
      </w:r>
      <w:r w:rsidRPr="00FC6652">
        <w:t>plus any third party direct out of pocket costs of the District related to the administration and collection of the Assessments</w:t>
      </w:r>
      <w:r>
        <w:t xml:space="preserve">. The District may outsource all or a portion of the administration services, including legal costs or consulting costs as an additional out of pocket cost, including, but not limited to, all costs related to foreclosure (and other remedies) and amendments to this Ordinance.   </w:t>
      </w:r>
    </w:p>
    <w:p w14:paraId="682C96E1" w14:textId="44DC87BA" w:rsidR="00A40182" w:rsidRDefault="00A40182" w:rsidP="00A40182">
      <w:pPr>
        <w:pStyle w:val="Heading2"/>
        <w:rPr>
          <w:szCs w:val="24"/>
        </w:rPr>
      </w:pPr>
      <w:bookmarkStart w:id="9" w:name="_Hlk44538915"/>
      <w:bookmarkStart w:id="10" w:name="_Hlk164761317"/>
      <w:r>
        <w:t xml:space="preserve">The District will collect the Assessments by directly billing each property owner rather than inclusion on a property tax notice. </w:t>
      </w:r>
      <w:bookmarkStart w:id="11" w:name="_Hlk136889956"/>
      <w:r w:rsidR="00534B2A" w:rsidRPr="001F666B">
        <w:t xml:space="preserve">The </w:t>
      </w:r>
      <w:r w:rsidR="00E31BA5">
        <w:t>payment</w:t>
      </w:r>
      <w:r w:rsidR="00534B2A" w:rsidRPr="001F666B">
        <w:t xml:space="preserve"> for each Assessment payment shall be due </w:t>
      </w:r>
      <w:r w:rsidR="00351B13">
        <w:t>March</w:t>
      </w:r>
      <w:r w:rsidR="00534B2A" w:rsidRPr="001F666B">
        <w:t xml:space="preserve"> 1 and </w:t>
      </w:r>
      <w:r w:rsidR="00351B13">
        <w:t>September</w:t>
      </w:r>
      <w:r w:rsidR="00534B2A" w:rsidRPr="001F666B">
        <w:t xml:space="preserve"> 1</w:t>
      </w:r>
      <w:r w:rsidR="00186ABB">
        <w:t xml:space="preserve"> </w:t>
      </w:r>
      <w:r w:rsidR="00534B2A" w:rsidRPr="001F666B">
        <w:t xml:space="preserve">of each year (approximately 30 days after sending </w:t>
      </w:r>
      <w:r w:rsidR="00E31BA5">
        <w:t xml:space="preserve">the </w:t>
      </w:r>
      <w:r w:rsidR="00534B2A" w:rsidRPr="001F666B">
        <w:t>bills</w:t>
      </w:r>
      <w:r w:rsidR="00534B2A">
        <w:t xml:space="preserve"> for such period)</w:t>
      </w:r>
      <w:r w:rsidR="00534B2A" w:rsidRPr="001F666B">
        <w:t xml:space="preserve">, which shall be sent on or prior to </w:t>
      </w:r>
      <w:r w:rsidR="00351B13">
        <w:t>Februar</w:t>
      </w:r>
      <w:r w:rsidR="00EB7DF3">
        <w:t>y</w:t>
      </w:r>
      <w:r w:rsidR="00534B2A" w:rsidRPr="001F666B">
        <w:t xml:space="preserve"> 1 and </w:t>
      </w:r>
      <w:r w:rsidR="00351B13">
        <w:t>August</w:t>
      </w:r>
      <w:r w:rsidR="00534B2A" w:rsidRPr="001F666B">
        <w:t xml:space="preserve"> 1 of each year, respectively,</w:t>
      </w:r>
      <w:r w:rsidR="00847887">
        <w:t xml:space="preserve"> </w:t>
      </w:r>
      <w:r w:rsidR="00E31BA5">
        <w:t>estimated</w:t>
      </w:r>
      <w:r w:rsidR="00847887">
        <w:t xml:space="preserve"> to</w:t>
      </w:r>
      <w:r w:rsidR="00534B2A" w:rsidRPr="001F666B">
        <w:t xml:space="preserve"> </w:t>
      </w:r>
      <w:r w:rsidR="00534B2A" w:rsidRPr="000C3A3E">
        <w:t>commenc</w:t>
      </w:r>
      <w:r w:rsidR="00847887">
        <w:t>e</w:t>
      </w:r>
      <w:r w:rsidR="00534B2A" w:rsidRPr="000C3A3E">
        <w:t xml:space="preserve"> </w:t>
      </w:r>
      <w:r w:rsidR="00511B74">
        <w:t>August</w:t>
      </w:r>
      <w:r w:rsidR="00853EC6">
        <w:t>,</w:t>
      </w:r>
      <w:r w:rsidR="006F1355">
        <w:t xml:space="preserve"> 1 20</w:t>
      </w:r>
      <w:r w:rsidR="00CD0966">
        <w:t>29</w:t>
      </w:r>
      <w:r w:rsidR="00534B2A" w:rsidRPr="000C3A3E">
        <w:t>, due to capitalized</w:t>
      </w:r>
      <w:r w:rsidR="00534B2A">
        <w:t xml:space="preserve"> interest</w:t>
      </w:r>
      <w:bookmarkEnd w:id="11"/>
      <w:r w:rsidR="00534B2A" w:rsidRPr="001F666B">
        <w:t>.</w:t>
      </w:r>
      <w:r>
        <w:t xml:space="preserve"> However, failure to send any such bill by the scheduled date shall not impact the requirement of property owners to timely pay their Assessments on the due date thereof.</w:t>
      </w:r>
    </w:p>
    <w:p w14:paraId="2DD2575B" w14:textId="77777777" w:rsidR="00422CE8" w:rsidRDefault="004A419C" w:rsidP="00422CE8">
      <w:pPr>
        <w:pStyle w:val="Heading2"/>
      </w:pPr>
      <w:bookmarkStart w:id="12" w:name="_Ref259518245"/>
      <w:bookmarkEnd w:id="9"/>
      <w:bookmarkEnd w:id="10"/>
      <w:r>
        <w:t xml:space="preserve">All unpaid installments of an Assessment levied against any parcel of property may be paid prior to the dates on which they become due, but any such prepayment must include an additional amount equal to the interest which would accrue on the Assessment to the next succeeding date on which interest is payable on the Assessment Bonds, plus such additional amount as, in the opinion of the </w:t>
      </w:r>
      <w:r w:rsidR="008554C0" w:rsidRPr="00146A55">
        <w:t xml:space="preserve">District </w:t>
      </w:r>
      <w:r w:rsidR="00AF6BBE" w:rsidRPr="00146A55">
        <w:t>Chair</w:t>
      </w:r>
      <w:r w:rsidRPr="00146A55">
        <w:t xml:space="preserve"> or designee as approved by the District (the “</w:t>
      </w:r>
      <w:r w:rsidR="00AF6BBE" w:rsidRPr="00146A55">
        <w:t>Chair</w:t>
      </w:r>
      <w:r w:rsidRPr="00146A55">
        <w:t xml:space="preserve">”) </w:t>
      </w:r>
      <w:bookmarkStart w:id="13" w:name="_Hlk89783497"/>
      <w:r w:rsidRPr="00146A55">
        <w:t>(with assistance</w:t>
      </w:r>
      <w:r>
        <w:t xml:space="preserve"> from the administrator of the Assessments, if any), </w:t>
      </w:r>
      <w:bookmarkEnd w:id="13"/>
      <w:r>
        <w:t xml:space="preserve">is necessary to assure the availability of money to pay interest on the Assessment Bonds as interest becomes due and payable, plus any premiums required </w:t>
      </w:r>
      <w:r>
        <w:lastRenderedPageBreak/>
        <w:t>to redeem the Assessment Bonds on their first available call date pursuant to the Indenture (defined herein), plus any reasonable administrative costs.</w:t>
      </w:r>
      <w:bookmarkEnd w:id="12"/>
      <w:r>
        <w:t xml:space="preserve">  </w:t>
      </w:r>
    </w:p>
    <w:p w14:paraId="68B9663A" w14:textId="1FB98C59" w:rsidR="004A419C" w:rsidRDefault="004A419C" w:rsidP="00422CE8">
      <w:pPr>
        <w:pStyle w:val="Heading2"/>
      </w:pPr>
      <w:bookmarkStart w:id="14" w:name="_Hlk164776360"/>
      <w:r w:rsidRPr="00A439B4">
        <w:t>The property assessed has yet to be fully subdivided as anticipated for development.</w:t>
      </w:r>
      <w:r w:rsidR="00B45203">
        <w:t xml:space="preserve"> </w:t>
      </w:r>
      <w:r w:rsidRPr="00A20ED3">
        <w:t xml:space="preserve">The </w:t>
      </w:r>
      <w:r w:rsidR="000A1D3B" w:rsidRPr="00A20ED3">
        <w:t>p</w:t>
      </w:r>
      <w:r w:rsidR="000A1D3B">
        <w:t>roperty</w:t>
      </w:r>
      <w:r>
        <w:t xml:space="preserve"> identified on the Assessment List (whether before or after formal subdivision individually, a “Subdivision Parcel” and collectively, the “Subdivision Parcels”) </w:t>
      </w:r>
      <w:r w:rsidR="00AE7016" w:rsidRPr="00AE7016">
        <w:t xml:space="preserve">may hereafter be subdivided and re-subdivided, with the consent of the </w:t>
      </w:r>
      <w:r w:rsidR="00863554">
        <w:t>District</w:t>
      </w:r>
      <w:r w:rsidR="00AE7016" w:rsidRPr="00AE7016">
        <w:t xml:space="preserve"> (which consent shall not be unreasonably withheld).  </w:t>
      </w:r>
      <w:bookmarkStart w:id="15" w:name="_Hlk89783669"/>
      <w:r w:rsidR="00AE7016" w:rsidRPr="00AE7016">
        <w:t>The owner of a Subdivision Parcel may make changes to that Subdivision Parcel including, without limitation, reducing or increasing the size of that Subdivision Parcel, modifying the boundary description of that Subdivision Parcel, and otherwise make changes necessary or appropriate to plat that Subdivision Parcel</w:t>
      </w:r>
      <w:r w:rsidR="00AE7016" w:rsidRPr="00300669">
        <w:t>; provided that</w:t>
      </w:r>
      <w:r w:rsidR="0028551A" w:rsidRPr="00300669">
        <w:t xml:space="preserve"> </w:t>
      </w:r>
      <w:r w:rsidR="00422CE8" w:rsidRPr="00422CE8">
        <w:rPr>
          <w:bCs w:val="0"/>
          <w:iCs w:val="0"/>
        </w:rPr>
        <w:t>(i</w:t>
      </w:r>
      <w:r w:rsidR="00422CE8">
        <w:t xml:space="preserve">) the total Assessment of that Subdivision Parcel after the applicable change </w:t>
      </w:r>
      <w:r w:rsidR="00E45CBA">
        <w:t>is</w:t>
      </w:r>
      <w:r w:rsidR="00422CE8">
        <w:t xml:space="preserve"> unaffected </w:t>
      </w:r>
      <w:r w:rsidR="00AE7016" w:rsidRPr="00300669">
        <w:t xml:space="preserve">and (ii) the </w:t>
      </w:r>
      <w:r w:rsidR="00FF43B9">
        <w:t>ATV</w:t>
      </w:r>
      <w:r w:rsidR="004D4AF1">
        <w:t xml:space="preserve"> Ratio</w:t>
      </w:r>
      <w:r w:rsidR="00422CE8" w:rsidRPr="00422CE8">
        <w:t xml:space="preserve"> is </w:t>
      </w:r>
      <w:r w:rsidR="00DF7900">
        <w:t>less</w:t>
      </w:r>
      <w:r w:rsidR="00422CE8" w:rsidRPr="00422CE8">
        <w:t xml:space="preserve"> than or equal to</w:t>
      </w:r>
      <w:r w:rsidR="005D3443">
        <w:t xml:space="preserve"> the </w:t>
      </w:r>
      <w:r w:rsidR="00DF7900">
        <w:t>greater</w:t>
      </w:r>
      <w:r w:rsidR="005D3443">
        <w:t xml:space="preserve"> of (A)</w:t>
      </w:r>
      <w:r w:rsidR="00422CE8" w:rsidRPr="00422CE8">
        <w:t xml:space="preserve"> the </w:t>
      </w:r>
      <w:r w:rsidR="00CD009C">
        <w:t>Original ATV Ratio</w:t>
      </w:r>
      <w:r w:rsidR="005D3443">
        <w:t xml:space="preserve"> or (B) 33.3%</w:t>
      </w:r>
      <w:r w:rsidR="00AE7016" w:rsidRPr="00AE7016">
        <w:t xml:space="preserve">.  Provided, however, any </w:t>
      </w:r>
      <w:r w:rsidR="00863554">
        <w:t>adjustment</w:t>
      </w:r>
      <w:r w:rsidR="00AE7016" w:rsidRPr="00AE7016">
        <w:t xml:space="preserve"> of a parcel </w:t>
      </w:r>
      <w:r w:rsidR="00863554">
        <w:t xml:space="preserve">outside of the boundaries of the Assessment Area would require an amendment </w:t>
      </w:r>
      <w:r w:rsidR="00AE7016" w:rsidRPr="00AE7016">
        <w:t xml:space="preserve">to this Ordinance to that effect, in accordance with the Act.  Once a Subdivision Parcel is subdivided, the lien of the </w:t>
      </w:r>
      <w:r w:rsidR="00AE7016" w:rsidRPr="00300669">
        <w:t xml:space="preserve">Assessment Area will be re-allocated to or released from, as appropriate, any property located outside the subdivided portion of that Subdivision Parcel by either the District adopting an amendment to this Ordinance or by the Chair or other authorized officer of the District authorized to make such changes and record the applicable notices (within the provisions of this Ordinance) and provided the </w:t>
      </w:r>
      <w:r w:rsidR="00FF43B9">
        <w:t>ATV</w:t>
      </w:r>
      <w:r w:rsidR="00422CE8">
        <w:t xml:space="preserve"> Ratio </w:t>
      </w:r>
      <w:r w:rsidR="00AE7016" w:rsidRPr="00300669">
        <w:t xml:space="preserve">of such subdivided portion (after release of the property), is </w:t>
      </w:r>
      <w:r w:rsidR="00DF7900">
        <w:t>less</w:t>
      </w:r>
      <w:r w:rsidR="00AE7016" w:rsidRPr="00300669">
        <w:t xml:space="preserve"> than </w:t>
      </w:r>
      <w:r w:rsidR="00422CE8">
        <w:t xml:space="preserve">or equal to </w:t>
      </w:r>
      <w:r w:rsidR="005D3443" w:rsidRPr="005D3443">
        <w:t xml:space="preserve">the </w:t>
      </w:r>
      <w:r w:rsidR="00DF7900">
        <w:t>greater</w:t>
      </w:r>
      <w:r w:rsidR="005D3443" w:rsidRPr="005D3443">
        <w:t xml:space="preserve"> of (A) the Original ATV Ratio or (B) 33.3%</w:t>
      </w:r>
      <w:r w:rsidR="00A20ED3">
        <w:t>.</w:t>
      </w:r>
      <w:bookmarkEnd w:id="15"/>
    </w:p>
    <w:p w14:paraId="2B93A44D" w14:textId="0ED558B8" w:rsidR="004A419C" w:rsidRDefault="004A419C" w:rsidP="00031714">
      <w:pPr>
        <w:pStyle w:val="Heading2"/>
      </w:pPr>
      <w:bookmarkStart w:id="16" w:name="_Hlk64912869"/>
      <w:bookmarkStart w:id="17" w:name="_Hlk89783944"/>
      <w:r>
        <w:t xml:space="preserve">An interest in a Subdivision Parcel may be sold, transferred or exchanged to any </w:t>
      </w:r>
      <w:r w:rsidR="00E532D8">
        <w:t>Person</w:t>
      </w:r>
      <w:r w:rsidR="00717DB5">
        <w:t xml:space="preserve"> </w:t>
      </w:r>
      <w:r w:rsidR="000A1D3B">
        <w:t xml:space="preserve">(the “Title Owner”) </w:t>
      </w:r>
      <w:r>
        <w:t xml:space="preserve">so long as </w:t>
      </w:r>
      <w:r w:rsidR="00AE7016">
        <w:t>the interest is recognized by the County and</w:t>
      </w:r>
      <w:r w:rsidR="000A1D3B">
        <w:t xml:space="preserve"> </w:t>
      </w:r>
      <w:r>
        <w:t xml:space="preserve">charged a distinct property tax bill by </w:t>
      </w:r>
      <w:r w:rsidR="00E10997">
        <w:t>the County</w:t>
      </w:r>
      <w:r w:rsidR="000A1D3B">
        <w:t>. A Title Owner</w:t>
      </w:r>
      <w:r>
        <w:t xml:space="preserve"> may further subdivide or create a new Title Owner on the Subdivision Parcel and such new Subdivision Parcels are reallocated Assessments in compliance with this Ordinance</w:t>
      </w:r>
      <w:bookmarkEnd w:id="16"/>
      <w:r>
        <w:t>. When a Title Owner of any Subdivision Parcel in the Assessment Area subdivides, re-subdivides or creates a new Title Owner, it shall allocate the responsibility to pay Assessments tied to that Subdivision Parcel among Title Owners in accordance with (i) or (ii) below.</w:t>
      </w:r>
      <w:r w:rsidR="006C3C02">
        <w:t xml:space="preserve"> </w:t>
      </w:r>
      <w:r w:rsidRPr="007610B2">
        <w:t xml:space="preserve">Such reallocation of Assessments must be approved by all Title Owners subject to the reallocation by execution of a form reasonably satisfactory to the </w:t>
      </w:r>
      <w:r w:rsidR="00AF6BBE">
        <w:t>Chair</w:t>
      </w:r>
      <w:r w:rsidRPr="007610B2">
        <w:t xml:space="preserve"> or other authorized officer of the District and similar in form to the Waiver and Consent</w:t>
      </w:r>
      <w:r>
        <w:t xml:space="preserve">, </w:t>
      </w:r>
      <w:r w:rsidRPr="003A72D0">
        <w:t xml:space="preserve">and with the consent of the </w:t>
      </w:r>
      <w:r w:rsidR="00AF6BBE">
        <w:t>Chair</w:t>
      </w:r>
      <w:r w:rsidRPr="003A72D0">
        <w:t xml:space="preserve">, </w:t>
      </w:r>
      <w:r>
        <w:t xml:space="preserve">which consent shall not be unreasonably withheld, conditioned or delayed, </w:t>
      </w:r>
      <w:r w:rsidRPr="003A72D0">
        <w:t xml:space="preserve">but such consent </w:t>
      </w:r>
      <w:r>
        <w:t xml:space="preserve">shall be </w:t>
      </w:r>
      <w:r w:rsidRPr="003A72D0">
        <w:t xml:space="preserve">limited solely to the allocation of </w:t>
      </w:r>
      <w:r w:rsidR="00EE5754">
        <w:t>ERUs</w:t>
      </w:r>
      <w:r w:rsidR="00A1455B">
        <w:t xml:space="preserve"> </w:t>
      </w:r>
      <w:r w:rsidRPr="00FC6652">
        <w:t>or other assessment method</w:t>
      </w:r>
      <w:r w:rsidRPr="003A72D0">
        <w:t xml:space="preserve"> to Subdivided Parcels and withheld only where the information, assumptions and/or formula described in this section create less security for the repayment of the Assessments for </w:t>
      </w:r>
      <w:r w:rsidR="00031714">
        <w:t xml:space="preserve">the District </w:t>
      </w:r>
      <w:r w:rsidRPr="003A72D0">
        <w:t>or holders of Assessment Bonds</w:t>
      </w:r>
      <w:r>
        <w:t xml:space="preserve"> than the security contemplated in this Section </w:t>
      </w:r>
      <w:r w:rsidR="005B2D1F">
        <w:t>7</w:t>
      </w:r>
      <w:r>
        <w:t xml:space="preserve">(e). </w:t>
      </w:r>
      <w:r w:rsidR="006C3C02">
        <w:t xml:space="preserve"> </w:t>
      </w:r>
      <w:r w:rsidRPr="007610B2">
        <w:t xml:space="preserve">The final plat for any Subdivision Parcel recorded after the effective date of this Ordinance must include a plat note that provides the exact allocation of the Assessments among Title Owners and the Assessment List attached as </w:t>
      </w:r>
      <w:r w:rsidRPr="006C3C02">
        <w:rPr>
          <w:u w:val="single"/>
        </w:rPr>
        <w:t>Exhibit A</w:t>
      </w:r>
      <w:r w:rsidRPr="007610B2">
        <w:t xml:space="preserve"> to this Ordinance must be accordingly amended</w:t>
      </w:r>
      <w:r>
        <w:t xml:space="preserve">, and the </w:t>
      </w:r>
      <w:r w:rsidR="00AF6BBE">
        <w:t>Chair</w:t>
      </w:r>
      <w:r w:rsidRPr="007610B2">
        <w:t xml:space="preserve"> or other authorized officer of the District </w:t>
      </w:r>
      <w:r>
        <w:t xml:space="preserve">is hereby authorized to make such amendments, but may also seek the approval of the Board at his/her discretion. </w:t>
      </w:r>
      <w:r w:rsidR="006D31EA">
        <w:t xml:space="preserve"> For any reallocation of Assessments tied to a Subdivision Parcel among Title Owners, the Title Owners may either:</w:t>
      </w:r>
    </w:p>
    <w:p w14:paraId="5A12E0A8" w14:textId="1AF84E91" w:rsidR="004A419C" w:rsidRDefault="006D31EA" w:rsidP="004A419C">
      <w:pPr>
        <w:pStyle w:val="Heading3"/>
        <w:jc w:val="both"/>
      </w:pPr>
      <w:r>
        <w:lastRenderedPageBreak/>
        <w:t>Reallocate in full the</w:t>
      </w:r>
      <w:r w:rsidR="004A419C">
        <w:t xml:space="preserve"> </w:t>
      </w:r>
      <w:r w:rsidR="00EC06B0">
        <w:t>Assessments</w:t>
      </w:r>
      <w:r w:rsidR="004A419C">
        <w:t xml:space="preserve"> ascribed to that Subdivision Parcel(s) </w:t>
      </w:r>
      <w:r w:rsidR="00783CF4">
        <w:t xml:space="preserve">using </w:t>
      </w:r>
      <w:r w:rsidR="00834856">
        <w:t>ERUs</w:t>
      </w:r>
      <w:r w:rsidR="00783CF4">
        <w:t xml:space="preserve"> </w:t>
      </w:r>
      <w:r w:rsidR="004A419C">
        <w:t xml:space="preserve">as contemplated in </w:t>
      </w:r>
      <w:r>
        <w:t>this Section</w:t>
      </w:r>
      <w:r w:rsidR="004A419C">
        <w:t xml:space="preserve"> </w:t>
      </w:r>
      <w:r w:rsidR="005B2D1F">
        <w:t>7</w:t>
      </w:r>
      <w:r w:rsidR="004A419C">
        <w:t>(e); or</w:t>
      </w:r>
    </w:p>
    <w:p w14:paraId="21418033" w14:textId="77777777" w:rsidR="004A419C" w:rsidRDefault="004A419C" w:rsidP="004A419C">
      <w:pPr>
        <w:pStyle w:val="Heading3"/>
        <w:jc w:val="both"/>
      </w:pPr>
      <w:r>
        <w:t xml:space="preserve">As long as the aggregate Assessments tied to a Subdivision Parcel in the Assessment Area are allocated in full among Title Owners of that Subdivision Parcel, a Title Owner of that Subdivision Parcel </w:t>
      </w:r>
      <w:bookmarkStart w:id="18" w:name="_Hlk44324874"/>
      <w:r>
        <w:t>may</w:t>
      </w:r>
      <w:bookmarkEnd w:id="18"/>
      <w:r>
        <w:t xml:space="preserve"> reallocate the Assessments to the interest(s) of Title Owners in such Subdivision Parcel based on either:</w:t>
      </w:r>
    </w:p>
    <w:p w14:paraId="68DFDEF8" w14:textId="6CFFAF9A" w:rsidR="004A419C" w:rsidRDefault="00834856" w:rsidP="006C3C02">
      <w:pPr>
        <w:pStyle w:val="Heading3"/>
        <w:numPr>
          <w:ilvl w:val="0"/>
          <w:numId w:val="34"/>
        </w:numPr>
        <w:ind w:left="2160" w:firstLine="720"/>
        <w:jc w:val="both"/>
      </w:pPr>
      <w:r>
        <w:t>a</w:t>
      </w:r>
      <w:r w:rsidRPr="00834856">
        <w:t>n ERU method, a square foot method</w:t>
      </w:r>
      <w:r w:rsidR="004A419C">
        <w:t xml:space="preserve"> or a then current </w:t>
      </w:r>
      <w:r w:rsidR="00AF1958">
        <w:t>Fair Market Value method</w:t>
      </w:r>
      <w:r w:rsidR="004A419C">
        <w:t xml:space="preserve">, or </w:t>
      </w:r>
    </w:p>
    <w:p w14:paraId="6F79C401" w14:textId="0FEF502B" w:rsidR="004A419C" w:rsidRDefault="004A419C" w:rsidP="006C3C02">
      <w:pPr>
        <w:pStyle w:val="Heading3"/>
        <w:numPr>
          <w:ilvl w:val="0"/>
          <w:numId w:val="34"/>
        </w:numPr>
        <w:ind w:left="2160" w:firstLine="720"/>
        <w:jc w:val="both"/>
      </w:pPr>
      <w:r>
        <w:t xml:space="preserve">any other assessment method reasonably allocating benefit as determined in the reasonable discretion of the </w:t>
      </w:r>
      <w:r w:rsidR="00AF6BBE">
        <w:t>Chair</w:t>
      </w:r>
      <w:r>
        <w:t xml:space="preserve"> or other authorized officer of the District,</w:t>
      </w:r>
    </w:p>
    <w:p w14:paraId="2D615A7E" w14:textId="50CA6450" w:rsidR="004A419C" w:rsidRDefault="004A419C" w:rsidP="005D3443">
      <w:pPr>
        <w:pStyle w:val="00Normal"/>
        <w:ind w:left="720"/>
        <w:jc w:val="both"/>
      </w:pPr>
      <w:r>
        <w:t>so long as</w:t>
      </w:r>
      <w:r w:rsidRPr="00E33C36">
        <w:t xml:space="preserve">, following a reallocation as described in this paragraph, the then current </w:t>
      </w:r>
      <w:r w:rsidR="00FF43B9">
        <w:t>ATV</w:t>
      </w:r>
      <w:r w:rsidR="00422CE8">
        <w:t xml:space="preserve"> Ratio </w:t>
      </w:r>
      <w:r w:rsidRPr="00E33C36">
        <w:t>of each remaining interest</w:t>
      </w:r>
      <w:r>
        <w:t xml:space="preserve"> in such Subdivision Parcel</w:t>
      </w:r>
      <w:r w:rsidRPr="00E33C36">
        <w:t xml:space="preserve"> </w:t>
      </w:r>
      <w:r>
        <w:t xml:space="preserve">and all other affected parcels </w:t>
      </w:r>
      <w:r w:rsidRPr="00E33C36">
        <w:t xml:space="preserve">must be </w:t>
      </w:r>
      <w:r w:rsidR="00DF7900">
        <w:t>less</w:t>
      </w:r>
      <w:r w:rsidR="00422CE8" w:rsidRPr="00422CE8">
        <w:t xml:space="preserve"> than or equal to</w:t>
      </w:r>
      <w:r w:rsidR="00394422">
        <w:t xml:space="preserve"> the </w:t>
      </w:r>
      <w:r w:rsidR="00DF7900">
        <w:t>greater</w:t>
      </w:r>
      <w:r w:rsidR="00394422">
        <w:t xml:space="preserve"> of </w:t>
      </w:r>
      <w:r w:rsidR="005D3443" w:rsidRPr="005D3443">
        <w:t>(A) the Original ATV Ratio or (B) 33.3%</w:t>
      </w:r>
      <w:r w:rsidR="005F74D6">
        <w:t>.</w:t>
      </w:r>
    </w:p>
    <w:bookmarkEnd w:id="17"/>
    <w:p w14:paraId="0AD95EA1" w14:textId="4442E73A" w:rsidR="004A419C" w:rsidRDefault="004A419C" w:rsidP="004A419C">
      <w:pPr>
        <w:pStyle w:val="Heading2"/>
      </w:pPr>
      <w:r w:rsidRPr="00657169">
        <w:t>A release of the Assessment lien for any Subdivision Parcel will be delivered</w:t>
      </w:r>
      <w:r>
        <w:t xml:space="preserve"> by the District</w:t>
      </w:r>
      <w:r w:rsidRPr="00657169">
        <w:t xml:space="preserve"> </w:t>
      </w:r>
      <w:r>
        <w:t xml:space="preserve">for recordation </w:t>
      </w:r>
      <w:r w:rsidR="003D2E38">
        <w:t xml:space="preserve">with the County Recorder </w:t>
      </w:r>
      <w:r w:rsidRPr="00657169">
        <w:t>as soon as practicable after the Assessment balance for such subdivided parcel is paid in full.</w:t>
      </w:r>
      <w:r>
        <w:t xml:space="preserve">  If prepayment of an Assessment prior to the Assessment payment date</w:t>
      </w:r>
      <w:r w:rsidR="003D2E38">
        <w:t xml:space="preserve"> </w:t>
      </w:r>
      <w:r>
        <w:t>arises out of a need of the property owner to clear the Assessment lien from a portion (a “Release Parcel”) but not all of a Subdivision Parcel, the Assessment lien on the Release Parcel shall be released by the District, as follows:</w:t>
      </w:r>
    </w:p>
    <w:p w14:paraId="50100B92" w14:textId="6D6C9B73" w:rsidR="004A419C" w:rsidRDefault="004A419C" w:rsidP="004A419C">
      <w:pPr>
        <w:pStyle w:val="Heading3"/>
        <w:jc w:val="both"/>
      </w:pPr>
      <w:r>
        <w:t xml:space="preserve">The Title Owner(s) shall submit the legal description of the Release Parcel which shall include the total </w:t>
      </w:r>
      <w:r w:rsidR="00AE7016">
        <w:t xml:space="preserve">number of </w:t>
      </w:r>
      <w:r w:rsidR="00EE5754">
        <w:t>ERUs</w:t>
      </w:r>
      <w:r w:rsidR="00A1455B">
        <w:t xml:space="preserve"> </w:t>
      </w:r>
      <w:r>
        <w:t>allocated</w:t>
      </w:r>
      <w:r w:rsidR="00C4655B">
        <w:t xml:space="preserve"> </w:t>
      </w:r>
      <w:r>
        <w:t>to the Release Parcel pursuant to the procedure set forth in this Ordinance.</w:t>
      </w:r>
      <w:r w:rsidR="00162563">
        <w:t xml:space="preserve">  If a</w:t>
      </w:r>
      <w:r w:rsidR="001D2FEB">
        <w:t>n assessment</w:t>
      </w:r>
      <w:r w:rsidR="00162563">
        <w:t xml:space="preserve"> allocation method </w:t>
      </w:r>
      <w:r w:rsidR="001D2FEB">
        <w:t xml:space="preserve">other than </w:t>
      </w:r>
      <w:r w:rsidR="00EE5754">
        <w:t>ERUs</w:t>
      </w:r>
      <w:r w:rsidR="001D2FEB">
        <w:t xml:space="preserve"> has been applied to a parcel, the release procedures in this subsection (f) shall apply using the new assessment method in lieu of </w:t>
      </w:r>
      <w:r w:rsidR="00EE5754">
        <w:t>ERUs</w:t>
      </w:r>
      <w:r w:rsidR="00162563">
        <w:t>.</w:t>
      </w:r>
    </w:p>
    <w:p w14:paraId="1298CC04" w14:textId="2DE4251B" w:rsidR="004A419C" w:rsidRDefault="004A419C" w:rsidP="004A419C">
      <w:pPr>
        <w:pStyle w:val="Heading3"/>
        <w:jc w:val="both"/>
        <w:rPr>
          <w:szCs w:val="24"/>
        </w:rPr>
      </w:pPr>
      <w:r>
        <w:t xml:space="preserve">The Title Owner(s) shall prepay an Assessment applicable to the Release Parcel calculated by the </w:t>
      </w:r>
      <w:r w:rsidR="00AF6BBE">
        <w:t>Chair</w:t>
      </w:r>
      <w:r>
        <w:t xml:space="preserve"> (with assistance from the administrator of the Assessments, if any), which Assessment shall be the product of the following</w:t>
      </w:r>
      <w:r>
        <w:rPr>
          <w:szCs w:val="24"/>
        </w:rPr>
        <w:t xml:space="preserve">: (A) the amount of the prepayment calculated pursuant to </w:t>
      </w:r>
      <w:r>
        <w:rPr>
          <w:szCs w:val="24"/>
        </w:rPr>
        <w:fldChar w:fldCharType="begin"/>
      </w:r>
      <w:r>
        <w:rPr>
          <w:szCs w:val="24"/>
        </w:rPr>
        <w:instrText xml:space="preserve"> REF _Ref259518248 \r \h </w:instrText>
      </w:r>
      <w:r>
        <w:rPr>
          <w:szCs w:val="24"/>
        </w:rPr>
      </w:r>
      <w:r>
        <w:rPr>
          <w:szCs w:val="24"/>
        </w:rPr>
        <w:fldChar w:fldCharType="separate"/>
      </w:r>
      <w:r w:rsidR="00854C38">
        <w:rPr>
          <w:szCs w:val="24"/>
        </w:rPr>
        <w:t>Section 7</w:t>
      </w:r>
      <w:r>
        <w:rPr>
          <w:szCs w:val="24"/>
        </w:rPr>
        <w:fldChar w:fldCharType="end"/>
      </w:r>
      <w:r>
        <w:rPr>
          <w:szCs w:val="24"/>
        </w:rPr>
        <w:fldChar w:fldCharType="begin"/>
      </w:r>
      <w:r>
        <w:rPr>
          <w:szCs w:val="24"/>
        </w:rPr>
        <w:instrText xml:space="preserve"> REF _Ref259518245 \r \h </w:instrText>
      </w:r>
      <w:r>
        <w:rPr>
          <w:szCs w:val="24"/>
        </w:rPr>
      </w:r>
      <w:r>
        <w:rPr>
          <w:szCs w:val="24"/>
        </w:rPr>
        <w:fldChar w:fldCharType="separate"/>
      </w:r>
      <w:r w:rsidR="00854C38">
        <w:rPr>
          <w:szCs w:val="24"/>
        </w:rPr>
        <w:t>(c)</w:t>
      </w:r>
      <w:r>
        <w:rPr>
          <w:szCs w:val="24"/>
        </w:rPr>
        <w:fldChar w:fldCharType="end"/>
      </w:r>
      <w:r>
        <w:rPr>
          <w:szCs w:val="24"/>
        </w:rPr>
        <w:t xml:space="preserve"> herein for the entire Subdivision Parcel less any previously paid regularly scheduled Assessment payments, (B) multiplied by the percentage calculated by dividing the </w:t>
      </w:r>
      <w:r w:rsidR="00AE7016">
        <w:t xml:space="preserve">number of </w:t>
      </w:r>
      <w:r w:rsidR="00EE5754">
        <w:t>ERUs</w:t>
      </w:r>
      <w:r w:rsidR="00A1455B">
        <w:t xml:space="preserve"> </w:t>
      </w:r>
      <w:r>
        <w:rPr>
          <w:szCs w:val="24"/>
        </w:rPr>
        <w:t xml:space="preserve">of the Release Parcel by the total </w:t>
      </w:r>
      <w:r w:rsidR="00AE7016">
        <w:t xml:space="preserve">number of </w:t>
      </w:r>
      <w:r w:rsidR="00EE5754">
        <w:t>ERUs</w:t>
      </w:r>
      <w:r w:rsidR="00A1455B">
        <w:t xml:space="preserve"> </w:t>
      </w:r>
      <w:r>
        <w:rPr>
          <w:szCs w:val="24"/>
        </w:rPr>
        <w:t>of the entire Subdivision Parcel.</w:t>
      </w:r>
    </w:p>
    <w:p w14:paraId="0AD75F1E" w14:textId="744E2A8A" w:rsidR="004A419C" w:rsidRPr="00487082" w:rsidRDefault="004A419C" w:rsidP="00487082">
      <w:pPr>
        <w:pStyle w:val="Heading3"/>
        <w:jc w:val="both"/>
        <w:rPr>
          <w:szCs w:val="24"/>
        </w:rPr>
      </w:pPr>
      <w:r>
        <w:rPr>
          <w:szCs w:val="24"/>
        </w:rPr>
        <w:t>The partial release of lien upon payment of the prepayment amount determined under subsection (ii) above shall not be permitted, except as otherwise provided in this paragraph, if the</w:t>
      </w:r>
      <w:r w:rsidR="00487082">
        <w:rPr>
          <w:szCs w:val="24"/>
        </w:rPr>
        <w:t xml:space="preserve"> </w:t>
      </w:r>
      <w:r w:rsidR="00FF43B9">
        <w:rPr>
          <w:szCs w:val="24"/>
        </w:rPr>
        <w:t>ATV</w:t>
      </w:r>
      <w:r w:rsidR="00487082">
        <w:rPr>
          <w:szCs w:val="24"/>
        </w:rPr>
        <w:t xml:space="preserve"> Ratio </w:t>
      </w:r>
      <w:r w:rsidRPr="00487082">
        <w:rPr>
          <w:szCs w:val="24"/>
        </w:rPr>
        <w:t xml:space="preserve">of the Subdivision Parcel, after release of the Release Parcel (the “Remaining Subdivision Parcel”), is </w:t>
      </w:r>
      <w:r w:rsidR="00DF7900">
        <w:rPr>
          <w:szCs w:val="24"/>
        </w:rPr>
        <w:t>greater</w:t>
      </w:r>
      <w:r w:rsidR="00487082">
        <w:rPr>
          <w:szCs w:val="24"/>
        </w:rPr>
        <w:t xml:space="preserve"> than the </w:t>
      </w:r>
      <w:r w:rsidR="00DF7900">
        <w:rPr>
          <w:szCs w:val="24"/>
        </w:rPr>
        <w:t>greater</w:t>
      </w:r>
      <w:r w:rsidR="005D3443" w:rsidRPr="005D3443">
        <w:rPr>
          <w:szCs w:val="24"/>
        </w:rPr>
        <w:t xml:space="preserve"> of (A) the Original ATV Ratio or (B) 33.3%</w:t>
      </w:r>
      <w:r w:rsidRPr="00487082">
        <w:rPr>
          <w:szCs w:val="24"/>
        </w:rPr>
        <w:t xml:space="preserve">.  If the </w:t>
      </w:r>
      <w:r w:rsidR="00AF6BBE" w:rsidRPr="00487082">
        <w:rPr>
          <w:szCs w:val="24"/>
        </w:rPr>
        <w:t>Chair</w:t>
      </w:r>
      <w:r w:rsidRPr="00487082">
        <w:rPr>
          <w:szCs w:val="24"/>
        </w:rPr>
        <w:t xml:space="preserve"> </w:t>
      </w:r>
      <w:r>
        <w:t>(with assistance from the administrator of the Assessments, if any)</w:t>
      </w:r>
      <w:r w:rsidRPr="00487082">
        <w:rPr>
          <w:szCs w:val="24"/>
        </w:rPr>
        <w:t xml:space="preserve"> determines that the proposed </w:t>
      </w:r>
      <w:r w:rsidRPr="00487082">
        <w:rPr>
          <w:szCs w:val="24"/>
        </w:rPr>
        <w:lastRenderedPageBreak/>
        <w:t>partial release does not comply with the requirements of this paragraph, such partial release may still be permitted if the Title Owner(s) prepays a larger portion of the Assessment in order to clear the Assessment lien from the Release Parcel, all as determined by said</w:t>
      </w:r>
      <w:r w:rsidR="008554C0" w:rsidRPr="00487082">
        <w:rPr>
          <w:szCs w:val="24"/>
        </w:rPr>
        <w:t xml:space="preserve"> </w:t>
      </w:r>
      <w:r w:rsidR="00AF6BBE" w:rsidRPr="00487082">
        <w:rPr>
          <w:szCs w:val="24"/>
        </w:rPr>
        <w:t>Chair</w:t>
      </w:r>
      <w:r w:rsidRPr="00487082">
        <w:rPr>
          <w:szCs w:val="24"/>
        </w:rPr>
        <w:t xml:space="preserve"> </w:t>
      </w:r>
      <w:r>
        <w:t>(with assistance from the administrator of the Assessments, if any)</w:t>
      </w:r>
      <w:r w:rsidRPr="00487082">
        <w:rPr>
          <w:szCs w:val="24"/>
        </w:rPr>
        <w:t>.</w:t>
      </w:r>
    </w:p>
    <w:p w14:paraId="0368B514" w14:textId="2DFB3317" w:rsidR="004A419C" w:rsidRDefault="004A419C" w:rsidP="004A419C">
      <w:pPr>
        <w:pStyle w:val="Heading3"/>
        <w:jc w:val="both"/>
        <w:rPr>
          <w:szCs w:val="24"/>
        </w:rPr>
      </w:pPr>
      <w:r>
        <w:rPr>
          <w:szCs w:val="24"/>
        </w:rPr>
        <w:t xml:space="preserve">Prepayments of Assessments shall be applied </w:t>
      </w:r>
      <w:r>
        <w:t xml:space="preserve">as provided </w:t>
      </w:r>
      <w:r w:rsidR="00AF1958">
        <w:t>in the Indenture</w:t>
      </w:r>
      <w:r>
        <w:t>.</w:t>
      </w:r>
      <w:r>
        <w:rPr>
          <w:szCs w:val="24"/>
        </w:rPr>
        <w:t xml:space="preserve"> As prepayments are paid and applied against the payment of the Assessment applicable to the Release Parcel, the Release Parcel shall be released from the lien of the Assessment in accordance with this subsection (f), and the remaining unpaid Assessments levied against the Remaining Subdivision Parcel shall remain unaffected.</w:t>
      </w:r>
    </w:p>
    <w:p w14:paraId="62F77610" w14:textId="77777777" w:rsidR="004A419C" w:rsidRDefault="004A419C" w:rsidP="004A419C">
      <w:pPr>
        <w:pStyle w:val="Heading1"/>
        <w:keepNext w:val="0"/>
      </w:pPr>
      <w:bookmarkStart w:id="19" w:name="default_in_payment"/>
      <w:bookmarkEnd w:id="14"/>
      <w:bookmarkEnd w:id="19"/>
      <w:r>
        <w:rPr>
          <w:u w:val="single"/>
        </w:rPr>
        <w:t>Default in Payment</w:t>
      </w:r>
      <w:r>
        <w:t xml:space="preserve">.  </w:t>
      </w:r>
    </w:p>
    <w:p w14:paraId="6134A1DB" w14:textId="77777777" w:rsidR="00316372" w:rsidRDefault="00316372" w:rsidP="00316372">
      <w:pPr>
        <w:pStyle w:val="Heading2"/>
      </w:pPr>
      <w:r w:rsidRPr="0051688F">
        <w:t>To the extent permitted by law, the District hereby irrevocably appoints the Foreclosure Agent, including any successor thereto, to process and carry out, on behalf of the District, any foreclosure of Assessments pursuant to this Assessment Ordinance and the Indenture, and assigns all rights of collection of the delinquent Assessments to the Foreclosure Agent, as collection agent for the District. To the extent permitted by law, the District covenants and agrees to take such actions as are necessary to authorize and empower the Foreclosure Agent to carry out the duties provided herein.</w:t>
      </w:r>
      <w:r>
        <w:t xml:space="preserve"> If a default occurs in the payment of any Assessment on a Subdivision Parcel when due, and such default is not cured within the period provided for in Section </w:t>
      </w:r>
      <w:r w:rsidRPr="00816471">
        <w:t xml:space="preserve">8(b) herein, the </w:t>
      </w:r>
      <w:r>
        <w:t xml:space="preserve">Foreclosure Agent, </w:t>
      </w:r>
      <w:r w:rsidRPr="00816471">
        <w:t xml:space="preserve">on behalf of the </w:t>
      </w:r>
      <w:r>
        <w:t>District</w:t>
      </w:r>
      <w:r w:rsidRPr="00816471">
        <w:t>, may declare the unpaid</w:t>
      </w:r>
      <w:r>
        <w:t xml:space="preserve"> amount of such Assessment on such Subdivision Parcel to be immediately due and payable and subject to collection as provided herein.  Interest shall accrue and be paid on all amounts declared to be delinquent and immediately due and payable at a rate of 10% per annum (the “Delinquent Rate”). In addition to interest charges at the Delinquent Rate, costs of collection, as approved by the Chair on behalf of the Board, including, without limitation, attorneys’ fees, trustee’s fees, and court costs incurred by the District or required by law, shall be charged and paid on all amounts declared to be delinquent and immediately due and payable.  Until such costs of collection are recovered by the District, the District may charge such costs as an additional overhead cost against all Assessments, with a credit later upon any recovery of such costs.  </w:t>
      </w:r>
      <w:r w:rsidRPr="002C7E92">
        <w:t>The District hereby waives its right to accelerate payment of the total unpaid balance of an Assessment and declare the whole of the unpaid principal and interest then due to be immediately due and payable after a default as provided in Section 11-42-505(1)(b) of the Act.</w:t>
      </w:r>
    </w:p>
    <w:p w14:paraId="3B323210" w14:textId="1D9C44A6" w:rsidR="00316372" w:rsidRPr="00EC348D" w:rsidRDefault="00316372" w:rsidP="00316372">
      <w:pPr>
        <w:pStyle w:val="Heading2"/>
      </w:pPr>
      <w:r>
        <w:t>Upon any default, the Chair shall give notice in writing of the default to the Title Owner(s) of the Subdivision Parcel in default as shown by the last available completed real property assessment rolls of the County. Notice shall be effective upon deposit of the notice in the U.S. Mail, postage prepaid, and addressed to the Title Owner(s) as shown on the last completed real property assessment rolls of the County. The notice shall provide for a period of thirty (30) days in which the Title Owner(s) shall pay the installments then due and owing, after which the Foreclosure Agent, on behalf of the District, may immediately sell the Subdivision Parcel pursuant to Section 11-42-</w:t>
      </w:r>
      <w:r>
        <w:lastRenderedPageBreak/>
        <w:t xml:space="preserve">502.1(2)(a)(ii)(B) and related pertinent provisions of the Act, in the manner provided for judicial foreclosures. If at the sale no Person shall bid and pay the District the amount due on the Assessment plus interest and costs, the Subdivision Parcel shall be deemed sold to the District for these amounts. The District shall be permitted to bid at the sale. So long as the District affirmatively elects to retain ownership of the Subdivision Parcel, it shall pay all delinquent Assessment installments and all Assessment installments that become due, including the interest on them, </w:t>
      </w:r>
      <w:r w:rsidRPr="00D54E0B">
        <w:t xml:space="preserve">and shall be entitled to use amounts on deposit in the Reserve Fund </w:t>
      </w:r>
      <w:r>
        <w:t xml:space="preserve">(as defined herein) </w:t>
      </w:r>
      <w:r w:rsidRPr="00D54E0B">
        <w:t>for such purpose</w:t>
      </w:r>
      <w:r>
        <w:t xml:space="preserve">. The District notes it has no current intention of owning the Subdivision Parcel and will surrender the Subdivision Parcel “as is” and without guaranty or warranty to owner(s) of the Assessment Bonds in full satisfaction of all obligations to such owner(s) of the Assessment Bonds irrespective of the owner(s) of the Assessment Bonds accepting the same.  </w:t>
      </w:r>
    </w:p>
    <w:p w14:paraId="0FB7720C" w14:textId="0F025280" w:rsidR="00316372" w:rsidRDefault="00316372" w:rsidP="00316372">
      <w:pPr>
        <w:pStyle w:val="Heading2"/>
      </w:pPr>
      <w:r>
        <w:t>The remedies provided herein for the collection of Assessments and the enforcement of liens shall be deemed and construed to be cumulative and the use of any one method or means or remedy of collection or enforcement available at law or in equity shall not deprive the District of the use of any other method or means. The amounts of accrued interest and all costs of collection, trustee’s fees, attorneys’ fees, and other reasonable and related costs, shall be added to the amount of the Assessment against such Subdivision Parcel up to, and including, the date of foreclosure sale.</w:t>
      </w:r>
    </w:p>
    <w:p w14:paraId="70255340" w14:textId="3AB9D247" w:rsidR="004A419C" w:rsidRDefault="004A419C" w:rsidP="004A419C">
      <w:pPr>
        <w:pStyle w:val="Heading1"/>
        <w:keepNext w:val="0"/>
      </w:pPr>
      <w:r>
        <w:rPr>
          <w:u w:val="single"/>
        </w:rPr>
        <w:t>Remedy of Default</w:t>
      </w:r>
      <w:r>
        <w:t xml:space="preserve">.  If prior to the final date payment may be legally made under a final sale or foreclosure of property to collect delinquent Assessments, the Title Owner(s) pays the full amount of all unpaid installments of principal and interest which are past due and delinquent with interest on such installments at the rate or rates set forth in Section </w:t>
      </w:r>
      <w:r w:rsidR="005B2D1F">
        <w:t xml:space="preserve">8 </w:t>
      </w:r>
      <w:r>
        <w:t xml:space="preserve">herein to the payment date, plus all attorneys’ fees, and other costs of collection, the Assessment of said Title Owner(s) shall be restored and the default removed, and thereafter the Title Owner(s) shall have the right to make the payments in installments as if the default had not occurred.  Any payment made to cure a default shall be applied first to the payment of attorneys’ fees and other costs incurred as a result of such default; second, to interest charged on past due installments, as set forth above; third, to the interest portion of all past due Assessments; and last, to the payment of outstanding principal. </w:t>
      </w:r>
    </w:p>
    <w:p w14:paraId="62F7BE00" w14:textId="5D2AB745" w:rsidR="004A419C" w:rsidRDefault="004A419C" w:rsidP="004A419C">
      <w:pPr>
        <w:pStyle w:val="Heading1"/>
        <w:keepNext w:val="0"/>
      </w:pPr>
      <w:r>
        <w:rPr>
          <w:u w:val="single"/>
        </w:rPr>
        <w:t>Lien of Assessment</w:t>
      </w:r>
      <w:r>
        <w:t>.  An Assessment or any part or installment of it, any interest accruing thereon and the penalties, trustee’s fees, attorneys’ fees, and other costs of collection therewith shall constitute a lien against the Subdivision Parcel</w:t>
      </w:r>
      <w:r w:rsidR="00A1599B">
        <w:t xml:space="preserve"> </w:t>
      </w:r>
      <w:r>
        <w:t xml:space="preserve">upon which the Assessment is levied on the effective date of this Ordinance. Said lien shall be superior to the lien of any trust deed, mortgage, mechanic’s, or materialman’s lien, or other encumbrance and shall be equal to and on a parity with the lien for general property taxes. The lien shall apply without interruption, change in priority, or alteration in any manner to any reduced payment obligations and shall continue until the Assessment, reduced payment obligations, and any interest, penalties, and costs on it are paid, notwithstanding any sale of the property for or on account of a delinquent general property tax, special tax, or other Assessment or the issuance of a tax deed, an assignment of interest by the </w:t>
      </w:r>
      <w:r w:rsidR="003D2E38">
        <w:t>County</w:t>
      </w:r>
      <w:r>
        <w:t xml:space="preserve"> or a sheriff’s certificate of sale or deed.</w:t>
      </w:r>
    </w:p>
    <w:p w14:paraId="5540FAAA" w14:textId="77777777" w:rsidR="004A419C" w:rsidRDefault="004A419C" w:rsidP="004A419C">
      <w:pPr>
        <w:pStyle w:val="Heading1"/>
        <w:keepNext w:val="0"/>
      </w:pPr>
      <w:bookmarkStart w:id="20" w:name="_Ref227143113"/>
      <w:r w:rsidRPr="002B46DD">
        <w:rPr>
          <w:u w:val="single"/>
        </w:rPr>
        <w:t>Reserve Fund</w:t>
      </w:r>
      <w:r>
        <w:t xml:space="preserve">.  </w:t>
      </w:r>
    </w:p>
    <w:p w14:paraId="38DD1E7B" w14:textId="55AD6413" w:rsidR="004A419C" w:rsidRDefault="004A419C" w:rsidP="00C045E6">
      <w:pPr>
        <w:pStyle w:val="Heading2"/>
      </w:pPr>
      <w:r>
        <w:lastRenderedPageBreak/>
        <w:t>The District</w:t>
      </w:r>
      <w:r w:rsidRPr="002B46DD">
        <w:t xml:space="preserve"> does hereby establish a reserve fund (the “Reserve Fund”) in lieu of funding a guaranty fund, as additional security for the Assessment Bonds.</w:t>
      </w:r>
      <w:r>
        <w:t xml:space="preserve">  </w:t>
      </w:r>
    </w:p>
    <w:p w14:paraId="15E71C8B" w14:textId="3D340B85" w:rsidR="004A419C" w:rsidRDefault="003C2ABD" w:rsidP="004A419C">
      <w:pPr>
        <w:pStyle w:val="Heading2"/>
      </w:pPr>
      <w:r>
        <w:t>The Reserve Fund may be initially funded from proceeds of the Assessment Bonds in an amount not to exceed the least of (i) ten percent (10%) of the proceeds of the Assessment Bonds determined on the basis of its initial purchase price to the public, (ii) the maximum aggregate annual debt service requirement during any bond fund year for the Assessment Bonds, and (iii) one hundred twenty-five percent (125%) of the average aggregate annual debt service requirement for the Assessment Bonds</w:t>
      </w:r>
      <w:r w:rsidRPr="003A112B">
        <w:t xml:space="preserve"> </w:t>
      </w:r>
      <w:r>
        <w:t>(the “Reserve Requirement</w:t>
      </w:r>
      <w:bookmarkStart w:id="21" w:name="_Hlk63254418"/>
      <w:r>
        <w:t xml:space="preserve">”).  </w:t>
      </w:r>
      <w:bookmarkEnd w:id="21"/>
      <w:r>
        <w:t xml:space="preserve">The cost of initially funding the Reserve Fund is included in the Assessments of the property in the Assessment Area.  </w:t>
      </w:r>
      <w:r w:rsidRPr="00FC6652">
        <w:t xml:space="preserve">The Reserve Requirement </w:t>
      </w:r>
      <w:r>
        <w:t>may</w:t>
      </w:r>
      <w:r w:rsidRPr="00FC6652">
        <w:t xml:space="preserve"> be adjusted as </w:t>
      </w:r>
      <w:r>
        <w:t xml:space="preserve">payments are made on the Assessment Bonds (including from prepayment of Assessments by </w:t>
      </w:r>
      <w:r w:rsidRPr="00FC6652">
        <w:t>property owners</w:t>
      </w:r>
      <w:r>
        <w:t xml:space="preserve">) </w:t>
      </w:r>
      <w:r w:rsidRPr="00FC6652">
        <w:t>as provided in the Indenture.</w:t>
      </w:r>
      <w:r>
        <w:t> </w:t>
      </w:r>
      <w:r w:rsidRPr="00FC6652">
        <w:t xml:space="preserve"> The moneys on deposit in the Reserve Fund, if any, </w:t>
      </w:r>
      <w:r>
        <w:t xml:space="preserve">may </w:t>
      </w:r>
      <w:r w:rsidRPr="00FC6652">
        <w:t xml:space="preserve">be applied to the </w:t>
      </w:r>
      <w:r>
        <w:t xml:space="preserve">Assessment payment obligations, including the final </w:t>
      </w:r>
      <w:r w:rsidRPr="00FC6652">
        <w:t xml:space="preserve">Assessment payment </w:t>
      </w:r>
      <w:r w:rsidR="00E31BA5">
        <w:t xml:space="preserve">obligation, </w:t>
      </w:r>
      <w:r>
        <w:t>and used to make</w:t>
      </w:r>
      <w:r w:rsidRPr="00FC6652">
        <w:t xml:space="preserve"> </w:t>
      </w:r>
      <w:r>
        <w:t xml:space="preserve">payments </w:t>
      </w:r>
      <w:r w:rsidRPr="00FC6652">
        <w:t>o</w:t>
      </w:r>
      <w:r>
        <w:t>n</w:t>
      </w:r>
      <w:r w:rsidRPr="00FC6652">
        <w:t xml:space="preserve"> the Assessment Bonds</w:t>
      </w:r>
      <w:r>
        <w:t xml:space="preserve"> as provided in the Indenture. </w:t>
      </w:r>
      <w:r w:rsidRPr="00FC6652">
        <w:t xml:space="preserve"> If the amounts on deposit in the Reserve Fund exceed the final Assessment obligation, any excess amounts shall be paid by the District to the owners whose properties were subject to the final Assessment payment obligation on a pro rata basis, as an excess Assessment payment.</w:t>
      </w:r>
      <w:r w:rsidR="004A419C">
        <w:t xml:space="preserve">  </w:t>
      </w:r>
    </w:p>
    <w:bookmarkEnd w:id="20"/>
    <w:p w14:paraId="5E3EBB63" w14:textId="4B01D3F3" w:rsidR="004A419C" w:rsidRPr="006955E1" w:rsidRDefault="004A419C" w:rsidP="004A419C">
      <w:pPr>
        <w:pStyle w:val="00BodyText5"/>
        <w:numPr>
          <w:ilvl w:val="1"/>
          <w:numId w:val="3"/>
        </w:numPr>
        <w:tabs>
          <w:tab w:val="clear" w:pos="1800"/>
        </w:tabs>
        <w:rPr>
          <w:iCs/>
        </w:rPr>
      </w:pPr>
      <w:r>
        <w:t>In the event insufficient Assessments are collected by the District to make the debt service payments on the Assessment Bonds, the District shall draw on the Reserve Fund</w:t>
      </w:r>
      <w:r w:rsidR="00FC566C">
        <w:t xml:space="preserve"> </w:t>
      </w:r>
      <w:r>
        <w:t>to make up such deficiency, but shall have no obligation to replenish the Reserve Fund</w:t>
      </w:r>
      <w:r w:rsidR="00FC566C">
        <w:t xml:space="preserve"> </w:t>
      </w:r>
      <w:r>
        <w:t xml:space="preserve">with </w:t>
      </w:r>
      <w:r w:rsidR="00394422">
        <w:t>any funds other than those collected from Assessments as described herein</w:t>
      </w:r>
      <w:r>
        <w:t>.</w:t>
      </w:r>
    </w:p>
    <w:p w14:paraId="27A7BC54" w14:textId="44F97343" w:rsidR="004A419C" w:rsidRDefault="004A419C" w:rsidP="004A419C">
      <w:pPr>
        <w:pStyle w:val="Heading2"/>
      </w:pPr>
      <w:r>
        <w:t>Amounts recovered by exercise of any of the remedies provided herein or otherwise from delinquent Assessments (and not needed to pay amounts coming due on the Assessment Bonds) shall be used to replenish amounts drawn from the Reserve Fund</w:t>
      </w:r>
      <w:r w:rsidR="00194EBF">
        <w:t>.</w:t>
      </w:r>
      <w:r>
        <w:t xml:space="preserve"> </w:t>
      </w:r>
    </w:p>
    <w:p w14:paraId="68F0A38D" w14:textId="30C79E4B" w:rsidR="004A419C" w:rsidRPr="00FC7F50" w:rsidRDefault="004A419C" w:rsidP="004A419C">
      <w:pPr>
        <w:pStyle w:val="Heading2"/>
      </w:pPr>
      <w:r>
        <w:t>In the event the Assessment Bonds are refunded, the Reserve Requirement may be adjusted by the District and amounts in the Reserve Fund</w:t>
      </w:r>
      <w:r w:rsidR="00FC566C">
        <w:t xml:space="preserve"> </w:t>
      </w:r>
      <w:r>
        <w:t>may be applied to assist in such refunding.  Any refunding of the Assessment Bonds is hereby permitted so long as the structure thereof shall not increase the total cost of the Assessments in any one year.</w:t>
      </w:r>
    </w:p>
    <w:p w14:paraId="2FC1B584" w14:textId="352ED8B0" w:rsidR="004A419C" w:rsidRDefault="004A419C" w:rsidP="004A419C">
      <w:pPr>
        <w:pStyle w:val="Heading1"/>
        <w:keepNext w:val="0"/>
      </w:pPr>
      <w:r>
        <w:rPr>
          <w:u w:val="single"/>
        </w:rPr>
        <w:t>Investment Earnings</w:t>
      </w:r>
      <w:r>
        <w:t>.  Except as otherwise provided in the Indenture, all investment earnings on the Reserve Fund shall be maintained in said Fund and applied in the same manner as the other moneys on deposit therein as provided in the Indenture.</w:t>
      </w:r>
    </w:p>
    <w:p w14:paraId="355D4E6A" w14:textId="2B80EECE" w:rsidR="004A419C" w:rsidRDefault="004A419C" w:rsidP="004A419C">
      <w:pPr>
        <w:pStyle w:val="Heading1"/>
        <w:keepNext w:val="0"/>
      </w:pPr>
      <w:r>
        <w:rPr>
          <w:u w:val="single"/>
        </w:rPr>
        <w:t>Contestability</w:t>
      </w:r>
      <w:r>
        <w:t xml:space="preserve">.  </w:t>
      </w:r>
      <w:r w:rsidR="00D97D00">
        <w:t xml:space="preserve">No Assessment shall be declared invalid or set aside, in whole or in part, in consequence of any error or irregularity which does not go to the equity or justice of the Assessment or proceeding.  The Owners and any succeeding property owners (whether by sale, foreclosure, or any other property transfer of title) have waived any rights to contest this </w:t>
      </w:r>
      <w:r w:rsidR="00D97D00" w:rsidRPr="00F03BFD">
        <w:t>Ordinance</w:t>
      </w:r>
      <w:r w:rsidR="00D97D00">
        <w:t xml:space="preserve">.  Any party who has not waived his or her objections to the same as provided by statute may commence a civil action in the district court with jurisdiction in the District against the District to enjoin the levy or collection of the Assessment or to set aside and declare unlawful this </w:t>
      </w:r>
      <w:r>
        <w:t>Ordinance.</w:t>
      </w:r>
    </w:p>
    <w:p w14:paraId="5795FA98" w14:textId="6000CFC1" w:rsidR="004A419C" w:rsidRDefault="00D97D00" w:rsidP="00AE7016">
      <w:pPr>
        <w:pStyle w:val="00BodyText5"/>
      </w:pPr>
      <w:r w:rsidRPr="00394422">
        <w:lastRenderedPageBreak/>
        <w:t xml:space="preserve">Such action must be commenced and summons must be served on the District not later than </w:t>
      </w:r>
      <w:r w:rsidR="00F3648E">
        <w:t>thirty</w:t>
      </w:r>
      <w:r w:rsidRPr="00394422">
        <w:t xml:space="preserve"> (</w:t>
      </w:r>
      <w:r w:rsidR="00F3648E">
        <w:t>3</w:t>
      </w:r>
      <w:r w:rsidRPr="00394422">
        <w:t xml:space="preserve">0) days after the effective date of this </w:t>
      </w:r>
      <w:r w:rsidR="004A419C">
        <w:t>Ordinance.</w:t>
      </w:r>
      <w:r w:rsidRPr="00394422">
        <w:t xml:space="preserve">  This action shall be the exclusive remedy of any aggrieved party.  No court shall entertain any complaint which the party was authorized to make by statute but did not timely make or any complaint that does not go to the equity or justice of the Assessment or proceeding</w:t>
      </w:r>
      <w:r w:rsidR="004A419C">
        <w:t>.</w:t>
      </w:r>
    </w:p>
    <w:p w14:paraId="2FBB7B00" w14:textId="2D5D9458" w:rsidR="004A419C" w:rsidRDefault="004A419C" w:rsidP="00AE7016">
      <w:pPr>
        <w:pStyle w:val="00BodyText5"/>
      </w:pPr>
      <w:r>
        <w:t xml:space="preserve">After the expiration of the </w:t>
      </w:r>
      <w:r w:rsidR="00F3648E">
        <w:t>thirty</w:t>
      </w:r>
      <w:r>
        <w:t xml:space="preserve"> (</w:t>
      </w:r>
      <w:r w:rsidR="00F3648E">
        <w:t>3</w:t>
      </w:r>
      <w:r>
        <w:t>0) day period provided in this Section:</w:t>
      </w:r>
    </w:p>
    <w:p w14:paraId="466A8A6A" w14:textId="0895D0AB" w:rsidR="004A419C" w:rsidRDefault="004A419C" w:rsidP="004A419C">
      <w:pPr>
        <w:pStyle w:val="Heading2"/>
      </w:pPr>
      <w:r>
        <w:t xml:space="preserve">The Assessment Bonds and any refunding bonds to be issued with respect to the Assessment Area and the Assessments levied in the Assessment Area shall become incontestable as to all </w:t>
      </w:r>
      <w:r w:rsidR="00E532D8">
        <w:t>P</w:t>
      </w:r>
      <w:r>
        <w:t>ersons who have not commenced the action and served a summons as provided for in this Section; and</w:t>
      </w:r>
    </w:p>
    <w:p w14:paraId="004CCF11" w14:textId="77777777" w:rsidR="004A419C" w:rsidRDefault="004A419C" w:rsidP="004A419C">
      <w:pPr>
        <w:pStyle w:val="Heading2"/>
      </w:pPr>
      <w:r>
        <w:t>No suit to enjoin the issuance or payment of the Assessment Bonds</w:t>
      </w:r>
      <w:r w:rsidRPr="0008332B">
        <w:t xml:space="preserve"> </w:t>
      </w:r>
      <w:r>
        <w:t>or refunding assessment bonds, the levy, collection, or enforcement of the Assessments, or in any other manner attacking or questioning the legality of the Assessment Bonds or refunding assessment bonds or Assessments may be commenced, and no court shall have authority to inquire into these matters.</w:t>
      </w:r>
    </w:p>
    <w:p w14:paraId="31DEEA20" w14:textId="6ED8F4FC" w:rsidR="00151467" w:rsidRDefault="00151467" w:rsidP="00151467">
      <w:pPr>
        <w:ind w:firstLine="720"/>
      </w:pPr>
      <w:r w:rsidRPr="00151467">
        <w:t>Notwithstanding the foregoing, nothing within this Assessment Ordinance shall impact the contest period relating to the Original Assessment Ordinance and no party may challenge the Original Assessment Ordinance, except as specifically amended by this Ordinance</w:t>
      </w:r>
      <w:r w:rsidR="00E45CBA">
        <w:t>.</w:t>
      </w:r>
    </w:p>
    <w:p w14:paraId="062DDDA8" w14:textId="77777777" w:rsidR="00151467" w:rsidRPr="00151467" w:rsidRDefault="00151467" w:rsidP="00151467">
      <w:pPr>
        <w:ind w:firstLine="720"/>
      </w:pPr>
    </w:p>
    <w:p w14:paraId="1DB06864" w14:textId="7B87AA66" w:rsidR="004A419C" w:rsidRDefault="004A419C" w:rsidP="004A419C">
      <w:pPr>
        <w:pStyle w:val="Heading1"/>
        <w:keepNext w:val="0"/>
      </w:pPr>
      <w:r>
        <w:rPr>
          <w:u w:val="single"/>
        </w:rPr>
        <w:t>Notice to Property Owners</w:t>
      </w:r>
      <w:r>
        <w:t>.  The Owners are hereby deemed to have received notice of assessment and have waived any notice and hearing requirements under the Act.</w:t>
      </w:r>
      <w:r w:rsidR="00945708">
        <w:t xml:space="preserve"> </w:t>
      </w:r>
    </w:p>
    <w:p w14:paraId="13A17410" w14:textId="3F3421E9" w:rsidR="004A419C" w:rsidRDefault="004A419C" w:rsidP="004A419C">
      <w:pPr>
        <w:pStyle w:val="Heading1"/>
        <w:keepNext w:val="0"/>
      </w:pPr>
      <w:r>
        <w:rPr>
          <w:u w:val="single"/>
        </w:rPr>
        <w:t>All Necessary Action Approved</w:t>
      </w:r>
      <w:r>
        <w:t xml:space="preserve">.  </w:t>
      </w:r>
      <w:r w:rsidR="00EF1E72">
        <w:t>The officials of the District are hereby authorized and directed to take all action necessary and appropriate to effectuate the provisions of this Ordinance, including filing this Assessment Ordinance with the County Recorder.</w:t>
      </w:r>
    </w:p>
    <w:p w14:paraId="68ECCDA9" w14:textId="268DDB5E" w:rsidR="00EF1E72" w:rsidRDefault="00EF1E72">
      <w:pPr>
        <w:pStyle w:val="Heading1"/>
      </w:pPr>
      <w:r w:rsidRPr="00EF1E72">
        <w:rPr>
          <w:u w:val="single"/>
        </w:rPr>
        <w:t>Notice of Assessment Interest</w:t>
      </w:r>
      <w:r w:rsidRPr="00EF1E72">
        <w:t>.  In accordance with Section 11-42-404 of the Act, filing of this Assessment Ordinance with the County Recorder shall constitute notice of the District’s assessment interest in the property described on Exhibit A hereto</w:t>
      </w:r>
      <w:r>
        <w:t>.</w:t>
      </w:r>
    </w:p>
    <w:p w14:paraId="33EE405D" w14:textId="36C55EFC" w:rsidR="004A419C" w:rsidRDefault="004A419C" w:rsidP="004A419C">
      <w:pPr>
        <w:pStyle w:val="Heading1"/>
        <w:keepNext w:val="0"/>
      </w:pPr>
      <w:r>
        <w:rPr>
          <w:u w:val="single"/>
        </w:rPr>
        <w:t>Repeal of Conflicting Provisions; Amendment</w:t>
      </w:r>
      <w:r>
        <w:t>.  All ordinances or parts thereof in conflict with this Ordinance are hereby repealed</w:t>
      </w:r>
      <w:r w:rsidR="00151467">
        <w:t xml:space="preserve">, provided that this Ordinance shall constitute and amendment to, rather than a repeal of the Original Assessment Ordinance.  </w:t>
      </w:r>
      <w:r>
        <w:t xml:space="preserve">The </w:t>
      </w:r>
      <w:r w:rsidR="00AF6BBE">
        <w:t>Chair</w:t>
      </w:r>
      <w:r>
        <w:t xml:space="preserve"> (or any assigned designee of the</w:t>
      </w:r>
      <w:r w:rsidR="00B40A6B">
        <w:t xml:space="preserve"> </w:t>
      </w:r>
      <w:r w:rsidR="00AF6BBE">
        <w:t>Chair</w:t>
      </w:r>
      <w:r>
        <w:t>) may</w:t>
      </w:r>
      <w:r w:rsidRPr="00E72D6F">
        <w:t xml:space="preserve"> make any alterati</w:t>
      </w:r>
      <w:r>
        <w:t>ons, changes or additions to this</w:t>
      </w:r>
      <w:r w:rsidRPr="00E72D6F">
        <w:t xml:space="preserve"> </w:t>
      </w:r>
      <w:r>
        <w:t>Ordinance</w:t>
      </w:r>
      <w:r w:rsidRPr="00E72D6F">
        <w:t xml:space="preserve"> which may be necessary to conform the same to the final terms of the</w:t>
      </w:r>
      <w:r>
        <w:t xml:space="preserve"> Assessment</w:t>
      </w:r>
      <w:r w:rsidRPr="00E72D6F">
        <w:t xml:space="preserve"> Bonds</w:t>
      </w:r>
      <w:r>
        <w:t>,</w:t>
      </w:r>
      <w:r w:rsidRPr="00E72D6F">
        <w:t xml:space="preserve"> to correct errors or omissions </w:t>
      </w:r>
      <w:r>
        <w:t>h</w:t>
      </w:r>
      <w:r w:rsidRPr="00E72D6F">
        <w:t xml:space="preserve">erein, to complete the same, to remove ambiguities </w:t>
      </w:r>
      <w:r>
        <w:t>here</w:t>
      </w:r>
      <w:r w:rsidRPr="00E72D6F">
        <w:t xml:space="preserve">from, or to conform the same to other provisions of this </w:t>
      </w:r>
      <w:r>
        <w:t>Ordinance</w:t>
      </w:r>
      <w:r w:rsidRPr="00E72D6F">
        <w:t xml:space="preserve"> or any resolution adopted by the </w:t>
      </w:r>
      <w:r>
        <w:t>Board</w:t>
      </w:r>
      <w:r w:rsidRPr="00E72D6F">
        <w:t xml:space="preserve"> or the provisions of the laws of the State of U</w:t>
      </w:r>
      <w:r>
        <w:t>tah or the United States, including technical changes to the description of the boundary of the Assessment Area, so long as those changes do not change the boundaries from those depicted on the maps attached to the Designation Resolution and do not materially adversely affect the rights of the Owners hereunder without the consent of such Owners affected.</w:t>
      </w:r>
    </w:p>
    <w:p w14:paraId="5627EC40" w14:textId="4A6C96C6" w:rsidR="004A419C" w:rsidRDefault="0086656A" w:rsidP="004A419C">
      <w:pPr>
        <w:pStyle w:val="Heading1"/>
        <w:keepNext w:val="0"/>
      </w:pPr>
      <w:bookmarkStart w:id="22" w:name="_Ref245088643"/>
      <w:r>
        <w:rPr>
          <w:u w:val="single"/>
        </w:rPr>
        <w:lastRenderedPageBreak/>
        <w:t>Posting</w:t>
      </w:r>
      <w:r w:rsidR="004A419C">
        <w:rPr>
          <w:u w:val="single"/>
        </w:rPr>
        <w:t xml:space="preserve"> of Ordinance</w:t>
      </w:r>
      <w:r w:rsidR="004A419C">
        <w:t xml:space="preserve">.  This Ordinance shall be signed by the Chair and </w:t>
      </w:r>
      <w:r w:rsidR="00572AAE">
        <w:t>Secretary/Clerk</w:t>
      </w:r>
      <w:r w:rsidR="00AE7016">
        <w:t xml:space="preserve"> </w:t>
      </w:r>
      <w:r w:rsidR="004A419C">
        <w:t>and shall be recorded in the ordinance book kept for that purpose upon final confirmation of the property description</w:t>
      </w:r>
      <w:r w:rsidR="001A7DEC">
        <w:t xml:space="preserve"> and terms</w:t>
      </w:r>
      <w:r w:rsidR="004A419C">
        <w:t xml:space="preserve"> of the Assessment Area.  The officials of the District are hereby authorized to make technical corrections to the legal description of the Assessment Area.  Upon finalization of the legal description, </w:t>
      </w:r>
      <w:r>
        <w:t xml:space="preserve">copies of </w:t>
      </w:r>
      <w:r w:rsidR="004A419C">
        <w:t>this Ordinance</w:t>
      </w:r>
      <w:r>
        <w:t xml:space="preserve"> </w:t>
      </w:r>
      <w:r w:rsidR="004A419C">
        <w:t xml:space="preserve">shall be </w:t>
      </w:r>
      <w:r>
        <w:t xml:space="preserve">posted in </w:t>
      </w:r>
      <w:r w:rsidR="002141BB">
        <w:t>a</w:t>
      </w:r>
      <w:r>
        <w:t xml:space="preserve"> public </w:t>
      </w:r>
      <w:r w:rsidR="002141BB">
        <w:t>location</w:t>
      </w:r>
      <w:r>
        <w:t xml:space="preserve"> within</w:t>
      </w:r>
      <w:r w:rsidR="002141BB">
        <w:t xml:space="preserve"> or near</w:t>
      </w:r>
      <w:r>
        <w:t xml:space="preserve"> the District’s boundaries </w:t>
      </w:r>
      <w:r w:rsidR="002141BB">
        <w:t xml:space="preserve">that is reasonably likely to be seen by individuals who pass through or near the affected area </w:t>
      </w:r>
      <w:r>
        <w:t xml:space="preserve">for at least 21 days </w:t>
      </w:r>
      <w:r w:rsidR="004A419C">
        <w:t>and a copy of this Ordinance shall also be posted on the Utah Public Notice Website (</w:t>
      </w:r>
      <w:hyperlink r:id="rId8" w:history="1">
        <w:r w:rsidRPr="00ED792B">
          <w:rPr>
            <w:rStyle w:val="Hyperlink"/>
          </w:rPr>
          <w:t>http://pmn.utah.gov</w:t>
        </w:r>
      </w:hyperlink>
      <w:r w:rsidR="004A419C">
        <w:t>)</w:t>
      </w:r>
      <w:r>
        <w:t xml:space="preserve"> for at least 21 days</w:t>
      </w:r>
      <w:r w:rsidR="004A419C">
        <w:t>.  This Ordinance shall take effect</w:t>
      </w:r>
      <w:r w:rsidR="00EC06B0">
        <w:t xml:space="preserve"> </w:t>
      </w:r>
      <w:r w:rsidR="00C7159E">
        <w:t xml:space="preserve">immediately upon its passage and approval and </w:t>
      </w:r>
      <w:r w:rsidR="00FF1948">
        <w:t>posting</w:t>
      </w:r>
      <w:r w:rsidR="00C7159E">
        <w:t xml:space="preserve"> as required by law</w:t>
      </w:r>
      <w:r w:rsidR="004A419C">
        <w:t>.</w:t>
      </w:r>
      <w:bookmarkEnd w:id="22"/>
      <w:r w:rsidR="004A419C">
        <w:t xml:space="preserve">  </w:t>
      </w:r>
    </w:p>
    <w:p w14:paraId="35DC8BF0" w14:textId="77777777" w:rsidR="00C045E6" w:rsidRDefault="00C045E6" w:rsidP="00C045E6">
      <w:pPr>
        <w:sectPr w:rsidR="00C045E6" w:rsidSect="00F3462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docGrid w:linePitch="326"/>
        </w:sectPr>
      </w:pPr>
    </w:p>
    <w:p w14:paraId="549F437E" w14:textId="5C64FEFC" w:rsidR="004A419C" w:rsidRDefault="004A419C" w:rsidP="00C045E6">
      <w:pPr>
        <w:pStyle w:val="00BodyText5"/>
      </w:pPr>
      <w:r>
        <w:lastRenderedPageBreak/>
        <w:t>Dated as of</w:t>
      </w:r>
      <w:r w:rsidR="00D06C0B">
        <w:t xml:space="preserve"> </w:t>
      </w:r>
      <w:r w:rsidR="00581659">
        <w:t>June 5, 2026</w:t>
      </w:r>
      <w:r>
        <w:t>.</w:t>
      </w:r>
    </w:p>
    <w:p w14:paraId="25757DAA" w14:textId="77777777" w:rsidR="00C045E6" w:rsidRDefault="00C045E6" w:rsidP="00C045E6">
      <w:pPr>
        <w:jc w:val="both"/>
      </w:pPr>
    </w:p>
    <w:p w14:paraId="2762B04F" w14:textId="58CD9855" w:rsidR="00C045E6" w:rsidRDefault="0003432B" w:rsidP="003718BE">
      <w:pPr>
        <w:pStyle w:val="Signature"/>
        <w:jc w:val="left"/>
      </w:pPr>
      <w:r>
        <w:t xml:space="preserve">OCULTA ROCA PUBLIC INFRASTRUCTURE </w:t>
      </w:r>
      <w:r w:rsidR="00943B32">
        <w:t>DISTRICT NO. 2</w:t>
      </w:r>
    </w:p>
    <w:p w14:paraId="1012A077" w14:textId="77777777" w:rsidR="00C045E6" w:rsidRDefault="00C045E6" w:rsidP="003718BE">
      <w:pPr>
        <w:pStyle w:val="Signature"/>
      </w:pPr>
    </w:p>
    <w:p w14:paraId="35A2BFEF" w14:textId="77777777" w:rsidR="00C045E6" w:rsidRDefault="00C045E6" w:rsidP="003718BE">
      <w:pPr>
        <w:pStyle w:val="Signature"/>
      </w:pPr>
    </w:p>
    <w:p w14:paraId="3FAA1156" w14:textId="77777777" w:rsidR="00C045E6" w:rsidRDefault="00C045E6" w:rsidP="003718BE">
      <w:pPr>
        <w:pStyle w:val="Signature"/>
      </w:pPr>
    </w:p>
    <w:p w14:paraId="7A67DE17" w14:textId="1424782E" w:rsidR="00C045E6" w:rsidRPr="00B955F8" w:rsidRDefault="00C045E6" w:rsidP="003718BE">
      <w:pPr>
        <w:pStyle w:val="Signature"/>
        <w:rPr>
          <w:u w:val="single"/>
        </w:rPr>
      </w:pPr>
      <w:r>
        <w:t xml:space="preserve">By: </w:t>
      </w:r>
      <w:r w:rsidR="00B955F8">
        <w:rPr>
          <w:u w:val="single"/>
        </w:rPr>
        <w:tab/>
      </w:r>
    </w:p>
    <w:p w14:paraId="7DC00DFD" w14:textId="3E9223B4" w:rsidR="00C045E6" w:rsidRDefault="003718BE" w:rsidP="003718BE">
      <w:pPr>
        <w:pStyle w:val="Signature"/>
      </w:pPr>
      <w:bookmarkStart w:id="23" w:name="_Hlk498606042"/>
      <w:r>
        <w:t xml:space="preserve">       </w:t>
      </w:r>
      <w:r>
        <w:rPr>
          <w:color w:val="000000"/>
          <w:sz w:val="22"/>
          <w:szCs w:val="22"/>
        </w:rPr>
        <w:t>Dallin Jolley</w:t>
      </w:r>
      <w:r>
        <w:t xml:space="preserve">, </w:t>
      </w:r>
      <w:r w:rsidR="00C045E6">
        <w:t>Chair</w:t>
      </w:r>
    </w:p>
    <w:bookmarkEnd w:id="23"/>
    <w:p w14:paraId="4BE5AA01" w14:textId="77777777" w:rsidR="00C045E6" w:rsidRDefault="00C045E6" w:rsidP="00C045E6"/>
    <w:p w14:paraId="44B7D562" w14:textId="77777777" w:rsidR="00C045E6" w:rsidRDefault="00C045E6" w:rsidP="00C045E6">
      <w:pPr>
        <w:tabs>
          <w:tab w:val="left" w:pos="4320"/>
        </w:tabs>
        <w:ind w:right="4320"/>
      </w:pPr>
    </w:p>
    <w:p w14:paraId="5B81F574" w14:textId="77777777" w:rsidR="00C045E6" w:rsidRDefault="00C045E6" w:rsidP="00C045E6">
      <w:pPr>
        <w:tabs>
          <w:tab w:val="left" w:pos="4320"/>
        </w:tabs>
        <w:ind w:right="4320"/>
      </w:pPr>
    </w:p>
    <w:p w14:paraId="23B24FB7" w14:textId="77777777" w:rsidR="00C045E6" w:rsidRDefault="00C045E6" w:rsidP="003718BE">
      <w:pPr>
        <w:pStyle w:val="SignatureLEFT"/>
      </w:pPr>
      <w:r>
        <w:t>ATTEST:</w:t>
      </w:r>
    </w:p>
    <w:p w14:paraId="0AA8DA87" w14:textId="77777777" w:rsidR="00C045E6" w:rsidRDefault="00C045E6" w:rsidP="003718BE">
      <w:pPr>
        <w:pStyle w:val="SignatureLEFT"/>
      </w:pPr>
    </w:p>
    <w:p w14:paraId="0AD4259E" w14:textId="77777777" w:rsidR="00C045E6" w:rsidRDefault="00C045E6" w:rsidP="003718BE">
      <w:pPr>
        <w:pStyle w:val="SignatureLEFT"/>
      </w:pPr>
    </w:p>
    <w:p w14:paraId="07B3D733" w14:textId="77777777" w:rsidR="00C045E6" w:rsidRDefault="00C045E6" w:rsidP="003718BE">
      <w:pPr>
        <w:pStyle w:val="SignatureLEFT"/>
      </w:pPr>
    </w:p>
    <w:p w14:paraId="195366DE" w14:textId="77777777" w:rsidR="00C045E6" w:rsidRDefault="00C045E6" w:rsidP="003718BE">
      <w:pPr>
        <w:pStyle w:val="SignatureLEFT"/>
        <w:rPr>
          <w:u w:val="single"/>
        </w:rPr>
      </w:pPr>
      <w:r>
        <w:t xml:space="preserve">By: </w:t>
      </w:r>
      <w:r>
        <w:rPr>
          <w:u w:val="single"/>
        </w:rPr>
        <w:tab/>
      </w:r>
    </w:p>
    <w:p w14:paraId="2F9E13FD" w14:textId="6E5822C5" w:rsidR="00C045E6" w:rsidRPr="00EE5873" w:rsidRDefault="003718BE" w:rsidP="003718BE">
      <w:pPr>
        <w:pStyle w:val="SignatureLEFT"/>
      </w:pPr>
      <w:r>
        <w:t xml:space="preserve">       </w:t>
      </w:r>
      <w:r>
        <w:rPr>
          <w:color w:val="000000"/>
          <w:sz w:val="22"/>
          <w:szCs w:val="22"/>
        </w:rPr>
        <w:t>Blaine Benard</w:t>
      </w:r>
      <w:r>
        <w:t xml:space="preserve">, </w:t>
      </w:r>
      <w:r w:rsidR="00572AAE">
        <w:t>Secretary/Clerk</w:t>
      </w:r>
    </w:p>
    <w:p w14:paraId="5E71935F" w14:textId="77777777" w:rsidR="00C045E6" w:rsidRDefault="00C045E6" w:rsidP="00C045E6">
      <w:pPr>
        <w:tabs>
          <w:tab w:val="left" w:pos="4320"/>
        </w:tabs>
        <w:ind w:right="4320"/>
      </w:pPr>
    </w:p>
    <w:p w14:paraId="27211641" w14:textId="77777777" w:rsidR="00C045E6" w:rsidRDefault="00C045E6" w:rsidP="00C045E6">
      <w:pPr>
        <w:tabs>
          <w:tab w:val="left" w:pos="4320"/>
        </w:tabs>
        <w:ind w:right="4320"/>
      </w:pPr>
    </w:p>
    <w:p w14:paraId="59C219AB" w14:textId="77777777" w:rsidR="00C045E6" w:rsidRDefault="00C045E6" w:rsidP="00C045E6">
      <w:pPr>
        <w:tabs>
          <w:tab w:val="center" w:pos="2160"/>
        </w:tabs>
        <w:jc w:val="both"/>
      </w:pPr>
    </w:p>
    <w:p w14:paraId="501F3AFC" w14:textId="77777777" w:rsidR="00C045E6" w:rsidRDefault="00C045E6" w:rsidP="004A419C">
      <w:pPr>
        <w:sectPr w:rsidR="00C045E6" w:rsidSect="00F34628">
          <w:footerReference w:type="first" r:id="rId15"/>
          <w:endnotePr>
            <w:numFmt w:val="decimal"/>
          </w:endnotePr>
          <w:pgSz w:w="12240" w:h="15840" w:code="1"/>
          <w:pgMar w:top="1440" w:right="1440" w:bottom="1440" w:left="1440" w:header="720" w:footer="720" w:gutter="0"/>
          <w:pgNumType w:start="1"/>
          <w:cols w:space="720"/>
          <w:noEndnote/>
          <w:titlePg/>
          <w:docGrid w:linePitch="326"/>
        </w:sectPr>
      </w:pPr>
    </w:p>
    <w:p w14:paraId="77D0A016" w14:textId="199A50EC" w:rsidR="00C045E6" w:rsidRDefault="00C045E6" w:rsidP="004A419C"/>
    <w:p w14:paraId="2AE95712" w14:textId="59A9A8C6" w:rsidR="00C045E6" w:rsidRDefault="00C045E6" w:rsidP="00C045E6">
      <w:pPr>
        <w:tabs>
          <w:tab w:val="center" w:pos="2160"/>
        </w:tabs>
        <w:jc w:val="both"/>
      </w:pPr>
      <w:bookmarkStart w:id="24" w:name="_Hlk213668911"/>
      <w:r>
        <w:t xml:space="preserve">STATE OF </w:t>
      </w:r>
      <w:r w:rsidR="003718BE">
        <w:t>______________</w:t>
      </w:r>
      <w:r>
        <w:tab/>
      </w:r>
      <w:r>
        <w:tab/>
      </w:r>
      <w:r w:rsidR="00B955F8">
        <w:tab/>
      </w:r>
      <w:r>
        <w:t>)</w:t>
      </w:r>
    </w:p>
    <w:p w14:paraId="54BE2175" w14:textId="716FCDC3" w:rsidR="00C045E6" w:rsidRDefault="00C045E6" w:rsidP="00C045E6">
      <w:pPr>
        <w:ind w:left="1980"/>
      </w:pPr>
      <w:r>
        <w:tab/>
      </w:r>
      <w:r>
        <w:tab/>
      </w:r>
      <w:r w:rsidR="00A2303B">
        <w:tab/>
      </w:r>
      <w:r>
        <w:t>: ss.</w:t>
      </w:r>
    </w:p>
    <w:p w14:paraId="1D167021" w14:textId="5CBC9AE1" w:rsidR="00C045E6" w:rsidRDefault="00927D00" w:rsidP="00C045E6">
      <w:r w:rsidRPr="00927D00">
        <w:t>COUNTY OF</w:t>
      </w:r>
      <w:r w:rsidRPr="00927D00">
        <w:tab/>
        <w:t>____________</w:t>
      </w:r>
      <w:r w:rsidR="003718BE">
        <w:tab/>
      </w:r>
      <w:r w:rsidR="00FE10A6">
        <w:tab/>
      </w:r>
      <w:r w:rsidR="00C045E6">
        <w:t>)</w:t>
      </w:r>
    </w:p>
    <w:p w14:paraId="00D867AD" w14:textId="77777777" w:rsidR="00C045E6" w:rsidRDefault="00C045E6" w:rsidP="00C045E6"/>
    <w:p w14:paraId="090E087B" w14:textId="5A826F1E" w:rsidR="00C045E6" w:rsidRDefault="00C045E6" w:rsidP="00C045E6">
      <w:pPr>
        <w:pStyle w:val="00BodyText5"/>
      </w:pPr>
      <w:r>
        <w:t>The foregoing instrument was acknowledged before me this</w:t>
      </w:r>
      <w:r w:rsidR="006220B5">
        <w:t xml:space="preserve"> </w:t>
      </w:r>
      <w:r w:rsidR="00A2303B">
        <w:t>________________</w:t>
      </w:r>
      <w:r w:rsidR="00A348AD">
        <w:t>,</w:t>
      </w:r>
      <w:r w:rsidR="00F24D14">
        <w:t xml:space="preserve"> 202</w:t>
      </w:r>
      <w:r w:rsidR="00151467">
        <w:t>6</w:t>
      </w:r>
      <w:r>
        <w:t xml:space="preserve">, by </w:t>
      </w:r>
      <w:r w:rsidR="00A2303B">
        <w:rPr>
          <w:color w:val="000000"/>
          <w:sz w:val="22"/>
          <w:szCs w:val="22"/>
        </w:rPr>
        <w:t>Dallin Jolley</w:t>
      </w:r>
      <w:r>
        <w:t>, the Chair</w:t>
      </w:r>
      <w:r w:rsidRPr="00F46ADF">
        <w:t xml:space="preserve"> of the </w:t>
      </w:r>
      <w:r>
        <w:t xml:space="preserve">Board of </w:t>
      </w:r>
      <w:r w:rsidR="00DD03FF">
        <w:t>Trustees</w:t>
      </w:r>
      <w:r w:rsidR="00AE7016">
        <w:t xml:space="preserve"> </w:t>
      </w:r>
      <w:r>
        <w:t xml:space="preserve">of </w:t>
      </w:r>
      <w:r w:rsidR="0003432B">
        <w:t xml:space="preserve">Oculta Roca Public Infrastructure </w:t>
      </w:r>
      <w:r w:rsidR="00943B32">
        <w:t>District No. 2</w:t>
      </w:r>
      <w:r>
        <w:t xml:space="preserve"> (the “District”), who represented and acknowledged that </w:t>
      </w:r>
      <w:r w:rsidR="00316AFD">
        <w:t>s/</w:t>
      </w:r>
      <w:r>
        <w:t>he signed the same for and on behalf of the District.</w:t>
      </w:r>
    </w:p>
    <w:p w14:paraId="7A6805BD" w14:textId="77777777" w:rsidR="00C045E6" w:rsidRDefault="00C045E6" w:rsidP="00C045E6"/>
    <w:p w14:paraId="03B10BB4" w14:textId="77777777" w:rsidR="00C045E6" w:rsidRDefault="00C045E6" w:rsidP="00C045E6"/>
    <w:p w14:paraId="3A1AA0C7" w14:textId="77777777" w:rsidR="00C045E6" w:rsidRDefault="00C045E6" w:rsidP="00C045E6"/>
    <w:p w14:paraId="2A96C876" w14:textId="1887DC8F" w:rsidR="00C045E6" w:rsidRPr="00CF3CFF" w:rsidRDefault="00CF3CFF" w:rsidP="00CF3CFF">
      <w:pPr>
        <w:pStyle w:val="Signature"/>
        <w:rPr>
          <w:u w:val="single"/>
        </w:rPr>
      </w:pPr>
      <w:r>
        <w:rPr>
          <w:u w:val="single"/>
        </w:rPr>
        <w:tab/>
      </w:r>
    </w:p>
    <w:p w14:paraId="75952C5C" w14:textId="77777777" w:rsidR="00C045E6" w:rsidRDefault="00C045E6" w:rsidP="00CF3CFF">
      <w:pPr>
        <w:pStyle w:val="Signature"/>
      </w:pPr>
      <w:r>
        <w:t>NOTARY PUBLIC</w:t>
      </w:r>
    </w:p>
    <w:p w14:paraId="76D3A8EC" w14:textId="77777777" w:rsidR="00C045E6" w:rsidRDefault="00C045E6" w:rsidP="00C045E6"/>
    <w:p w14:paraId="31046E54" w14:textId="77777777" w:rsidR="00C045E6" w:rsidRDefault="00C045E6" w:rsidP="00C045E6"/>
    <w:p w14:paraId="12096B74" w14:textId="77777777" w:rsidR="00C045E6" w:rsidRDefault="00C045E6" w:rsidP="00C045E6"/>
    <w:p w14:paraId="0E6BF9F1" w14:textId="77777777" w:rsidR="00C045E6" w:rsidRDefault="00C045E6" w:rsidP="00C045E6"/>
    <w:p w14:paraId="3C315F89" w14:textId="77777777" w:rsidR="00A2303B" w:rsidRDefault="00A2303B" w:rsidP="00A2303B">
      <w:pPr>
        <w:tabs>
          <w:tab w:val="center" w:pos="2160"/>
        </w:tabs>
        <w:jc w:val="both"/>
      </w:pPr>
      <w:r>
        <w:t>STATE OF ______________</w:t>
      </w:r>
      <w:r>
        <w:tab/>
      </w:r>
      <w:r>
        <w:tab/>
      </w:r>
      <w:r>
        <w:tab/>
        <w:t>)</w:t>
      </w:r>
    </w:p>
    <w:p w14:paraId="4D2AD1E0" w14:textId="77777777" w:rsidR="00A2303B" w:rsidRDefault="00A2303B" w:rsidP="00A2303B">
      <w:pPr>
        <w:ind w:left="1980"/>
      </w:pPr>
      <w:r>
        <w:tab/>
      </w:r>
      <w:r>
        <w:tab/>
      </w:r>
      <w:r>
        <w:tab/>
        <w:t>: ss.</w:t>
      </w:r>
    </w:p>
    <w:p w14:paraId="7EC266AC" w14:textId="77777777" w:rsidR="00A2303B" w:rsidRDefault="00A2303B" w:rsidP="00A2303B">
      <w:r w:rsidRPr="00927D00">
        <w:t>COUNTY OF</w:t>
      </w:r>
      <w:r w:rsidRPr="00927D00">
        <w:tab/>
        <w:t>____________</w:t>
      </w:r>
      <w:r>
        <w:tab/>
      </w:r>
      <w:r>
        <w:tab/>
        <w:t>)</w:t>
      </w:r>
    </w:p>
    <w:p w14:paraId="5F3E50E3" w14:textId="77777777" w:rsidR="00C045E6" w:rsidRDefault="00C045E6" w:rsidP="00C045E6"/>
    <w:p w14:paraId="74B201A2" w14:textId="3171FCDE" w:rsidR="00C045E6" w:rsidRDefault="00C045E6" w:rsidP="00C045E6">
      <w:pPr>
        <w:pStyle w:val="00BodyText5"/>
      </w:pPr>
      <w:r>
        <w:t xml:space="preserve">The foregoing instrument was acknowledged before me this </w:t>
      </w:r>
      <w:r w:rsidR="00A2303B">
        <w:t>________________</w:t>
      </w:r>
      <w:r w:rsidR="00A348AD">
        <w:t>,</w:t>
      </w:r>
      <w:r w:rsidR="00F24D14">
        <w:t xml:space="preserve"> 202</w:t>
      </w:r>
      <w:r w:rsidR="00151467">
        <w:t>6</w:t>
      </w:r>
      <w:r>
        <w:t xml:space="preserve">, by </w:t>
      </w:r>
      <w:r w:rsidR="00A2303B">
        <w:rPr>
          <w:color w:val="000000"/>
          <w:sz w:val="22"/>
          <w:szCs w:val="22"/>
        </w:rPr>
        <w:t>Blaine Benard</w:t>
      </w:r>
      <w:r>
        <w:t xml:space="preserve">, the </w:t>
      </w:r>
      <w:r w:rsidR="00572AAE">
        <w:t>Secretary/Clerk</w:t>
      </w:r>
      <w:r w:rsidR="00AE7016">
        <w:t xml:space="preserve"> </w:t>
      </w:r>
      <w:r>
        <w:t xml:space="preserve">of </w:t>
      </w:r>
      <w:r w:rsidR="0003432B">
        <w:t xml:space="preserve">Oculta Roca Public Infrastructure </w:t>
      </w:r>
      <w:r w:rsidR="00943B32">
        <w:t>District No. 2</w:t>
      </w:r>
      <w:r w:rsidR="00EB7DF3">
        <w:t xml:space="preserve"> </w:t>
      </w:r>
      <w:r>
        <w:t xml:space="preserve">(the “District”), who represented and acknowledged that </w:t>
      </w:r>
      <w:r w:rsidR="00316AFD">
        <w:t>s/</w:t>
      </w:r>
      <w:r>
        <w:t>he signed the same for and on behalf of the District.</w:t>
      </w:r>
    </w:p>
    <w:p w14:paraId="6BF596A4" w14:textId="77777777" w:rsidR="00C045E6" w:rsidRDefault="00C045E6" w:rsidP="00C045E6"/>
    <w:p w14:paraId="47A0F5E8" w14:textId="77777777" w:rsidR="00C045E6" w:rsidRDefault="00C045E6" w:rsidP="00C045E6"/>
    <w:p w14:paraId="0506A784" w14:textId="77777777" w:rsidR="00C045E6" w:rsidRDefault="00C045E6" w:rsidP="00C045E6"/>
    <w:p w14:paraId="6B552B72" w14:textId="028FEC46" w:rsidR="00C045E6" w:rsidRPr="00CF3CFF" w:rsidRDefault="00CF3CFF" w:rsidP="00CF3CFF">
      <w:pPr>
        <w:pStyle w:val="Signature"/>
        <w:rPr>
          <w:u w:val="single"/>
        </w:rPr>
      </w:pPr>
      <w:r>
        <w:rPr>
          <w:u w:val="single"/>
        </w:rPr>
        <w:tab/>
      </w:r>
    </w:p>
    <w:p w14:paraId="3D70B2F8" w14:textId="77777777" w:rsidR="00C045E6" w:rsidRDefault="00C045E6" w:rsidP="00CF3CFF">
      <w:pPr>
        <w:pStyle w:val="Signature"/>
      </w:pPr>
      <w:r>
        <w:t>NOTARY PUBLIC</w:t>
      </w:r>
    </w:p>
    <w:bookmarkEnd w:id="24"/>
    <w:p w14:paraId="71D8A989" w14:textId="75EF3A3C" w:rsidR="004A419C" w:rsidRDefault="004A419C" w:rsidP="00C045E6"/>
    <w:p w14:paraId="759A050F" w14:textId="30C0F4A1" w:rsidR="00C045E6" w:rsidRDefault="00C045E6" w:rsidP="00C045E6"/>
    <w:p w14:paraId="496344EB" w14:textId="77777777" w:rsidR="00C045E6" w:rsidRDefault="00C045E6" w:rsidP="00C045E6">
      <w:pPr>
        <w:sectPr w:rsidR="00C045E6" w:rsidSect="00022DD7">
          <w:footerReference w:type="first" r:id="rId16"/>
          <w:endnotePr>
            <w:numFmt w:val="decimal"/>
          </w:endnotePr>
          <w:pgSz w:w="12240" w:h="15840" w:code="1"/>
          <w:pgMar w:top="1440" w:right="1440" w:bottom="1440" w:left="1440" w:header="720" w:footer="720" w:gutter="0"/>
          <w:pgNumType w:start="1"/>
          <w:cols w:space="720"/>
          <w:noEndnote/>
          <w:titlePg/>
          <w:docGrid w:linePitch="326"/>
        </w:sectPr>
      </w:pPr>
    </w:p>
    <w:p w14:paraId="3A6AF31D" w14:textId="77777777" w:rsidR="004A419C" w:rsidRPr="00C045E6" w:rsidRDefault="004A419C" w:rsidP="00C045E6">
      <w:pPr>
        <w:pStyle w:val="00Center"/>
        <w:rPr>
          <w:u w:val="single"/>
        </w:rPr>
      </w:pPr>
      <w:bookmarkStart w:id="25" w:name="_Hlk227316189"/>
      <w:r w:rsidRPr="00C045E6">
        <w:rPr>
          <w:u w:val="single"/>
        </w:rPr>
        <w:lastRenderedPageBreak/>
        <w:t>EXHIBIT A</w:t>
      </w:r>
    </w:p>
    <w:p w14:paraId="33FD64FF" w14:textId="13342B4E" w:rsidR="004A419C" w:rsidRDefault="004A419C" w:rsidP="00C045E6">
      <w:pPr>
        <w:pStyle w:val="00Center"/>
      </w:pPr>
      <w:r>
        <w:t>ASSESSMENT LIST</w:t>
      </w:r>
    </w:p>
    <w:p w14:paraId="0A213D8B" w14:textId="77777777" w:rsidR="001A5D9B" w:rsidRPr="001A611C" w:rsidRDefault="00146A55" w:rsidP="001A5D9B">
      <w:pPr>
        <w:pStyle w:val="00Center"/>
        <w:rPr>
          <w:u w:val="single"/>
        </w:rPr>
      </w:pPr>
      <w:r>
        <w:rPr>
          <w:u w:val="single"/>
        </w:rPr>
        <w:br/>
      </w:r>
      <w:bookmarkStart w:id="26" w:name="_Hlk205914452"/>
      <w:bookmarkStart w:id="27" w:name="_Hlk216963631"/>
      <w:bookmarkStart w:id="28" w:name="_Hlk205914644"/>
      <w:bookmarkStart w:id="29" w:name="_Hlk182577995"/>
      <w:bookmarkStart w:id="30" w:name="_Hlk153783938"/>
      <w:bookmarkStart w:id="31" w:name="_Hlk155429210"/>
      <w:r w:rsidR="001A5D9B" w:rsidRPr="001A611C">
        <w:rPr>
          <w:u w:val="single"/>
        </w:rPr>
        <w:t>Assessment Method and Amount</w:t>
      </w:r>
      <w:r w:rsidR="001A5D9B" w:rsidRPr="001A611C">
        <w:rPr>
          <w:vertAlign w:val="superscript"/>
        </w:rPr>
        <w:t>*</w:t>
      </w:r>
    </w:p>
    <w:tbl>
      <w:tblPr>
        <w:tblW w:w="5310" w:type="dxa"/>
        <w:jc w:val="center"/>
        <w:tblLook w:val="04A0" w:firstRow="1" w:lastRow="0" w:firstColumn="1" w:lastColumn="0" w:noHBand="0" w:noVBand="1"/>
      </w:tblPr>
      <w:tblGrid>
        <w:gridCol w:w="3164"/>
        <w:gridCol w:w="2146"/>
      </w:tblGrid>
      <w:tr w:rsidR="001A5D9B" w:rsidRPr="001A611C" w14:paraId="70163BBA" w14:textId="77777777" w:rsidTr="0023066C">
        <w:trPr>
          <w:trHeight w:val="315"/>
          <w:jc w:val="center"/>
        </w:trPr>
        <w:tc>
          <w:tcPr>
            <w:tcW w:w="3164" w:type="dxa"/>
            <w:tcBorders>
              <w:top w:val="nil"/>
              <w:left w:val="nil"/>
              <w:bottom w:val="nil"/>
              <w:right w:val="nil"/>
            </w:tcBorders>
            <w:noWrap/>
            <w:vAlign w:val="bottom"/>
            <w:hideMark/>
          </w:tcPr>
          <w:p w14:paraId="3842BFCF" w14:textId="77777777" w:rsidR="001A5D9B" w:rsidRPr="001A611C" w:rsidRDefault="001A5D9B" w:rsidP="0023066C">
            <w:pPr>
              <w:rPr>
                <w:b/>
                <w:bCs/>
                <w:color w:val="000000"/>
              </w:rPr>
            </w:pPr>
            <w:r w:rsidRPr="001A611C">
              <w:rPr>
                <w:b/>
                <w:bCs/>
                <w:color w:val="000000"/>
              </w:rPr>
              <w:t>Total Assessment</w:t>
            </w:r>
          </w:p>
        </w:tc>
        <w:tc>
          <w:tcPr>
            <w:tcW w:w="2146" w:type="dxa"/>
            <w:tcBorders>
              <w:top w:val="nil"/>
              <w:left w:val="nil"/>
              <w:bottom w:val="nil"/>
              <w:right w:val="nil"/>
            </w:tcBorders>
            <w:vAlign w:val="bottom"/>
            <w:hideMark/>
          </w:tcPr>
          <w:p w14:paraId="73C53885" w14:textId="64D80E2A" w:rsidR="001A5D9B" w:rsidRPr="001A611C" w:rsidRDefault="001A5D9B" w:rsidP="00C409B6">
            <w:pPr>
              <w:jc w:val="right"/>
              <w:rPr>
                <w:color w:val="000000"/>
              </w:rPr>
            </w:pPr>
            <w:r w:rsidRPr="001A611C">
              <w:rPr>
                <w:color w:val="000000"/>
              </w:rPr>
              <w:t>$</w:t>
            </w:r>
            <w:r w:rsidR="00C409B6">
              <w:rPr>
                <w:color w:val="000000"/>
              </w:rPr>
              <w:t>34,066,000</w:t>
            </w:r>
            <w:r w:rsidR="0029143B">
              <w:rPr>
                <w:color w:val="000000"/>
              </w:rPr>
              <w:t>.00</w:t>
            </w:r>
          </w:p>
        </w:tc>
      </w:tr>
      <w:tr w:rsidR="001A5D9B" w:rsidRPr="001A611C" w14:paraId="5CAFB0C2" w14:textId="77777777" w:rsidTr="0023066C">
        <w:trPr>
          <w:trHeight w:val="315"/>
          <w:jc w:val="center"/>
        </w:trPr>
        <w:tc>
          <w:tcPr>
            <w:tcW w:w="3164" w:type="dxa"/>
            <w:tcBorders>
              <w:top w:val="nil"/>
              <w:left w:val="nil"/>
              <w:bottom w:val="nil"/>
              <w:right w:val="nil"/>
            </w:tcBorders>
            <w:noWrap/>
            <w:vAlign w:val="bottom"/>
            <w:hideMark/>
          </w:tcPr>
          <w:p w14:paraId="1FFE40B0" w14:textId="77777777" w:rsidR="001A5D9B" w:rsidRPr="001A611C" w:rsidRDefault="001A5D9B" w:rsidP="0023066C">
            <w:pPr>
              <w:rPr>
                <w:b/>
                <w:bCs/>
                <w:color w:val="000000"/>
              </w:rPr>
            </w:pPr>
            <w:r w:rsidRPr="001A611C">
              <w:rPr>
                <w:b/>
                <w:bCs/>
                <w:color w:val="000000"/>
              </w:rPr>
              <w:t>Total ERUs</w:t>
            </w:r>
          </w:p>
        </w:tc>
        <w:tc>
          <w:tcPr>
            <w:tcW w:w="2146" w:type="dxa"/>
            <w:tcBorders>
              <w:top w:val="nil"/>
              <w:left w:val="nil"/>
              <w:bottom w:val="nil"/>
              <w:right w:val="nil"/>
            </w:tcBorders>
            <w:vAlign w:val="bottom"/>
          </w:tcPr>
          <w:p w14:paraId="78046BFD" w14:textId="477B2718" w:rsidR="001A5D9B" w:rsidRPr="001A611C" w:rsidRDefault="00C409B6" w:rsidP="00C409B6">
            <w:pPr>
              <w:jc w:val="right"/>
              <w:rPr>
                <w:color w:val="000000"/>
              </w:rPr>
            </w:pPr>
            <w:r>
              <w:rPr>
                <w:color w:val="000000"/>
              </w:rPr>
              <w:t>157.58</w:t>
            </w:r>
          </w:p>
        </w:tc>
      </w:tr>
      <w:tr w:rsidR="001A5D9B" w:rsidRPr="001A611C" w14:paraId="464CD30C" w14:textId="77777777" w:rsidTr="0023066C">
        <w:trPr>
          <w:trHeight w:val="315"/>
          <w:jc w:val="center"/>
        </w:trPr>
        <w:tc>
          <w:tcPr>
            <w:tcW w:w="3164" w:type="dxa"/>
            <w:tcBorders>
              <w:top w:val="nil"/>
              <w:left w:val="nil"/>
              <w:bottom w:val="nil"/>
              <w:right w:val="nil"/>
            </w:tcBorders>
            <w:noWrap/>
            <w:vAlign w:val="bottom"/>
            <w:hideMark/>
          </w:tcPr>
          <w:p w14:paraId="5B1CF963" w14:textId="77777777" w:rsidR="001A5D9B" w:rsidRPr="001A611C" w:rsidRDefault="001A5D9B" w:rsidP="0023066C">
            <w:pPr>
              <w:rPr>
                <w:b/>
                <w:bCs/>
                <w:color w:val="000000"/>
              </w:rPr>
            </w:pPr>
            <w:r w:rsidRPr="001A611C">
              <w:rPr>
                <w:b/>
                <w:bCs/>
                <w:color w:val="000000"/>
              </w:rPr>
              <w:t>Assessment Per ERU</w:t>
            </w:r>
          </w:p>
        </w:tc>
        <w:tc>
          <w:tcPr>
            <w:tcW w:w="2146" w:type="dxa"/>
            <w:tcBorders>
              <w:top w:val="nil"/>
              <w:left w:val="nil"/>
              <w:bottom w:val="nil"/>
              <w:right w:val="nil"/>
            </w:tcBorders>
            <w:vAlign w:val="bottom"/>
          </w:tcPr>
          <w:p w14:paraId="01982EEC" w14:textId="632DD781" w:rsidR="001A5D9B" w:rsidRPr="001A611C" w:rsidRDefault="001A5D9B" w:rsidP="00C409B6">
            <w:pPr>
              <w:jc w:val="right"/>
              <w:rPr>
                <w:color w:val="000000"/>
              </w:rPr>
            </w:pPr>
            <w:r w:rsidRPr="001A611C">
              <w:rPr>
                <w:color w:val="000000"/>
              </w:rPr>
              <w:t>$</w:t>
            </w:r>
            <w:r w:rsidR="00C409B6">
              <w:rPr>
                <w:color w:val="000000"/>
              </w:rPr>
              <w:t>216,186</w:t>
            </w:r>
            <w:r w:rsidR="0029143B">
              <w:rPr>
                <w:color w:val="000000"/>
              </w:rPr>
              <w:t>.24</w:t>
            </w:r>
          </w:p>
        </w:tc>
      </w:tr>
    </w:tbl>
    <w:p w14:paraId="0C495FDC" w14:textId="77777777" w:rsidR="001A5D9B" w:rsidRPr="001A611C" w:rsidRDefault="001A5D9B" w:rsidP="001A5D9B">
      <w:pPr>
        <w:rPr>
          <w:b/>
          <w:bCs/>
          <w:u w:val="single"/>
        </w:rPr>
      </w:pPr>
    </w:p>
    <w:p w14:paraId="75EF3A75" w14:textId="77777777" w:rsidR="001A5D9B" w:rsidRPr="001A611C" w:rsidRDefault="001A5D9B" w:rsidP="001A5D9B"/>
    <w:tbl>
      <w:tblPr>
        <w:tblW w:w="8244" w:type="dxa"/>
        <w:jc w:val="center"/>
        <w:tblLook w:val="04A0" w:firstRow="1" w:lastRow="0" w:firstColumn="1" w:lastColumn="0" w:noHBand="0" w:noVBand="1"/>
      </w:tblPr>
      <w:tblGrid>
        <w:gridCol w:w="1602"/>
        <w:gridCol w:w="1137"/>
        <w:gridCol w:w="1510"/>
        <w:gridCol w:w="1903"/>
        <w:gridCol w:w="2169"/>
      </w:tblGrid>
      <w:tr w:rsidR="001A5D9B" w:rsidRPr="001A611C" w14:paraId="491FDA89" w14:textId="77777777" w:rsidTr="0023066C">
        <w:trPr>
          <w:trHeight w:val="300"/>
          <w:jc w:val="center"/>
        </w:trPr>
        <w:tc>
          <w:tcPr>
            <w:tcW w:w="1602" w:type="dxa"/>
            <w:tcBorders>
              <w:top w:val="nil"/>
              <w:left w:val="nil"/>
              <w:bottom w:val="nil"/>
              <w:right w:val="nil"/>
            </w:tcBorders>
            <w:noWrap/>
            <w:vAlign w:val="center"/>
            <w:hideMark/>
          </w:tcPr>
          <w:p w14:paraId="75A29BE7" w14:textId="77777777" w:rsidR="001A5D9B" w:rsidRPr="001A611C" w:rsidRDefault="001A5D9B" w:rsidP="0023066C">
            <w:pPr>
              <w:jc w:val="center"/>
              <w:rPr>
                <w:b/>
                <w:bCs/>
                <w:color w:val="000000"/>
              </w:rPr>
            </w:pPr>
            <w:r w:rsidRPr="001A611C">
              <w:rPr>
                <w:b/>
                <w:bCs/>
                <w:color w:val="000000"/>
              </w:rPr>
              <w:t>Type</w:t>
            </w:r>
          </w:p>
        </w:tc>
        <w:tc>
          <w:tcPr>
            <w:tcW w:w="1060" w:type="dxa"/>
            <w:tcBorders>
              <w:top w:val="nil"/>
              <w:left w:val="nil"/>
              <w:bottom w:val="nil"/>
              <w:right w:val="nil"/>
            </w:tcBorders>
            <w:noWrap/>
            <w:vAlign w:val="center"/>
            <w:hideMark/>
          </w:tcPr>
          <w:p w14:paraId="7A43E16E" w14:textId="77777777" w:rsidR="001A5D9B" w:rsidRPr="001A611C" w:rsidRDefault="001A5D9B" w:rsidP="0023066C">
            <w:pPr>
              <w:jc w:val="center"/>
              <w:rPr>
                <w:b/>
                <w:bCs/>
                <w:color w:val="000000"/>
              </w:rPr>
            </w:pPr>
            <w:r w:rsidRPr="001A611C">
              <w:rPr>
                <w:b/>
                <w:bCs/>
                <w:color w:val="000000"/>
              </w:rPr>
              <w:t>Quantity</w:t>
            </w:r>
          </w:p>
        </w:tc>
        <w:tc>
          <w:tcPr>
            <w:tcW w:w="1510" w:type="dxa"/>
            <w:tcBorders>
              <w:top w:val="nil"/>
              <w:left w:val="nil"/>
              <w:bottom w:val="nil"/>
              <w:right w:val="nil"/>
            </w:tcBorders>
            <w:noWrap/>
            <w:vAlign w:val="center"/>
            <w:hideMark/>
          </w:tcPr>
          <w:p w14:paraId="192C2430" w14:textId="77777777" w:rsidR="001A5D9B" w:rsidRPr="001A611C" w:rsidRDefault="001A5D9B" w:rsidP="0023066C">
            <w:pPr>
              <w:jc w:val="center"/>
              <w:rPr>
                <w:b/>
                <w:bCs/>
                <w:color w:val="000000"/>
              </w:rPr>
            </w:pPr>
            <w:r w:rsidRPr="001A611C">
              <w:rPr>
                <w:b/>
                <w:bCs/>
                <w:color w:val="000000"/>
              </w:rPr>
              <w:t>Lien/Lot</w:t>
            </w:r>
          </w:p>
        </w:tc>
        <w:tc>
          <w:tcPr>
            <w:tcW w:w="1903" w:type="dxa"/>
            <w:tcBorders>
              <w:top w:val="nil"/>
              <w:left w:val="nil"/>
              <w:bottom w:val="nil"/>
              <w:right w:val="nil"/>
            </w:tcBorders>
            <w:noWrap/>
            <w:vAlign w:val="center"/>
            <w:hideMark/>
          </w:tcPr>
          <w:p w14:paraId="4D74F637" w14:textId="77777777" w:rsidR="001A5D9B" w:rsidRPr="001A611C" w:rsidRDefault="001A5D9B" w:rsidP="0023066C">
            <w:pPr>
              <w:jc w:val="center"/>
              <w:rPr>
                <w:b/>
                <w:bCs/>
                <w:color w:val="000000"/>
              </w:rPr>
            </w:pPr>
            <w:r w:rsidRPr="001A611C">
              <w:rPr>
                <w:b/>
                <w:bCs/>
                <w:color w:val="000000"/>
              </w:rPr>
              <w:t>ERUs Per Unit</w:t>
            </w:r>
          </w:p>
        </w:tc>
        <w:tc>
          <w:tcPr>
            <w:tcW w:w="2169" w:type="dxa"/>
            <w:tcBorders>
              <w:top w:val="nil"/>
              <w:left w:val="nil"/>
              <w:bottom w:val="nil"/>
              <w:right w:val="nil"/>
            </w:tcBorders>
            <w:noWrap/>
            <w:vAlign w:val="center"/>
            <w:hideMark/>
          </w:tcPr>
          <w:p w14:paraId="1B167F57" w14:textId="77777777" w:rsidR="001A5D9B" w:rsidRPr="001A611C" w:rsidRDefault="001A5D9B" w:rsidP="0023066C">
            <w:pPr>
              <w:jc w:val="center"/>
              <w:rPr>
                <w:b/>
                <w:bCs/>
                <w:color w:val="000000"/>
              </w:rPr>
            </w:pPr>
            <w:r w:rsidRPr="001A611C">
              <w:rPr>
                <w:b/>
                <w:bCs/>
                <w:color w:val="000000"/>
              </w:rPr>
              <w:t>Total Assessment</w:t>
            </w:r>
          </w:p>
        </w:tc>
      </w:tr>
      <w:tr w:rsidR="001A5D9B" w:rsidRPr="001A611C" w14:paraId="4AA23B14" w14:textId="77777777" w:rsidTr="0023066C">
        <w:trPr>
          <w:trHeight w:val="300"/>
          <w:jc w:val="center"/>
        </w:trPr>
        <w:tc>
          <w:tcPr>
            <w:tcW w:w="1602" w:type="dxa"/>
            <w:tcBorders>
              <w:top w:val="nil"/>
              <w:left w:val="nil"/>
              <w:bottom w:val="nil"/>
              <w:right w:val="nil"/>
            </w:tcBorders>
            <w:noWrap/>
            <w:vAlign w:val="center"/>
          </w:tcPr>
          <w:p w14:paraId="660FA0DE" w14:textId="77777777" w:rsidR="001A5D9B" w:rsidRPr="001A611C" w:rsidRDefault="001A5D9B" w:rsidP="0023066C">
            <w:pPr>
              <w:jc w:val="center"/>
              <w:rPr>
                <w:color w:val="000000"/>
              </w:rPr>
            </w:pPr>
            <w:r w:rsidRPr="001A611C">
              <w:rPr>
                <w:color w:val="000000"/>
              </w:rPr>
              <w:t>Estates Lots</w:t>
            </w:r>
          </w:p>
        </w:tc>
        <w:tc>
          <w:tcPr>
            <w:tcW w:w="1060" w:type="dxa"/>
            <w:tcBorders>
              <w:top w:val="nil"/>
              <w:left w:val="nil"/>
              <w:bottom w:val="nil"/>
              <w:right w:val="nil"/>
            </w:tcBorders>
            <w:noWrap/>
            <w:vAlign w:val="center"/>
          </w:tcPr>
          <w:p w14:paraId="009B6275" w14:textId="377CB479" w:rsidR="001A5D9B" w:rsidRPr="001A611C" w:rsidRDefault="001A5D9B" w:rsidP="0023066C">
            <w:pPr>
              <w:jc w:val="center"/>
              <w:rPr>
                <w:color w:val="000000"/>
              </w:rPr>
            </w:pPr>
            <w:r w:rsidRPr="001A611C">
              <w:rPr>
                <w:color w:val="000000"/>
              </w:rPr>
              <w:t>5</w:t>
            </w:r>
            <w:r w:rsidR="00987E3E">
              <w:rPr>
                <w:color w:val="000000"/>
              </w:rPr>
              <w:t>0</w:t>
            </w:r>
          </w:p>
        </w:tc>
        <w:tc>
          <w:tcPr>
            <w:tcW w:w="1510" w:type="dxa"/>
            <w:tcBorders>
              <w:top w:val="nil"/>
              <w:left w:val="nil"/>
              <w:bottom w:val="nil"/>
              <w:right w:val="nil"/>
            </w:tcBorders>
            <w:noWrap/>
            <w:vAlign w:val="center"/>
          </w:tcPr>
          <w:p w14:paraId="641CD501" w14:textId="5E526A59" w:rsidR="001A5D9B" w:rsidRPr="001A611C" w:rsidRDefault="001A5D9B" w:rsidP="0023066C">
            <w:pPr>
              <w:jc w:val="center"/>
            </w:pPr>
            <w:r w:rsidRPr="001A611C">
              <w:t>$</w:t>
            </w:r>
            <w:r w:rsidR="00581659" w:rsidRPr="00581659">
              <w:t>378,659.26</w:t>
            </w:r>
          </w:p>
        </w:tc>
        <w:tc>
          <w:tcPr>
            <w:tcW w:w="1903" w:type="dxa"/>
            <w:tcBorders>
              <w:top w:val="nil"/>
              <w:left w:val="nil"/>
              <w:bottom w:val="nil"/>
              <w:right w:val="nil"/>
            </w:tcBorders>
            <w:noWrap/>
            <w:vAlign w:val="center"/>
          </w:tcPr>
          <w:p w14:paraId="4124718A" w14:textId="5168B4CD" w:rsidR="001A5D9B" w:rsidRPr="001A611C" w:rsidRDefault="00581659" w:rsidP="0023066C">
            <w:pPr>
              <w:jc w:val="center"/>
              <w:rPr>
                <w:color w:val="000000"/>
              </w:rPr>
            </w:pPr>
            <w:r>
              <w:rPr>
                <w:color w:val="000000"/>
              </w:rPr>
              <w:t>1.75</w:t>
            </w:r>
          </w:p>
        </w:tc>
        <w:tc>
          <w:tcPr>
            <w:tcW w:w="2169" w:type="dxa"/>
            <w:tcBorders>
              <w:top w:val="nil"/>
              <w:left w:val="nil"/>
              <w:bottom w:val="nil"/>
              <w:right w:val="nil"/>
            </w:tcBorders>
            <w:noWrap/>
            <w:vAlign w:val="center"/>
          </w:tcPr>
          <w:p w14:paraId="2E2488D6" w14:textId="5240E954" w:rsidR="001A5D9B" w:rsidRPr="001A611C" w:rsidRDefault="001A5D9B" w:rsidP="0023066C">
            <w:pPr>
              <w:jc w:val="center"/>
              <w:rPr>
                <w:color w:val="000000"/>
                <w:highlight w:val="yellow"/>
              </w:rPr>
            </w:pPr>
            <w:r w:rsidRPr="001A611C">
              <w:rPr>
                <w:color w:val="000000"/>
              </w:rPr>
              <w:t>$</w:t>
            </w:r>
            <w:r w:rsidR="00581659" w:rsidRPr="00581659">
              <w:rPr>
                <w:color w:val="000000"/>
              </w:rPr>
              <w:t>18,932,963</w:t>
            </w:r>
          </w:p>
        </w:tc>
      </w:tr>
      <w:tr w:rsidR="001A5D9B" w:rsidRPr="001A611C" w14:paraId="4A7DCF4A" w14:textId="77777777" w:rsidTr="0023066C">
        <w:trPr>
          <w:trHeight w:val="300"/>
          <w:jc w:val="center"/>
        </w:trPr>
        <w:tc>
          <w:tcPr>
            <w:tcW w:w="1602" w:type="dxa"/>
            <w:tcBorders>
              <w:top w:val="nil"/>
              <w:left w:val="nil"/>
              <w:bottom w:val="nil"/>
              <w:right w:val="nil"/>
            </w:tcBorders>
            <w:noWrap/>
            <w:vAlign w:val="center"/>
          </w:tcPr>
          <w:p w14:paraId="4CC15717" w14:textId="77777777" w:rsidR="001A5D9B" w:rsidRPr="001A611C" w:rsidRDefault="001A5D9B" w:rsidP="0023066C">
            <w:pPr>
              <w:jc w:val="center"/>
              <w:rPr>
                <w:color w:val="000000"/>
              </w:rPr>
            </w:pPr>
            <w:r>
              <w:rPr>
                <w:color w:val="000000"/>
              </w:rPr>
              <w:t xml:space="preserve">Hotel </w:t>
            </w:r>
          </w:p>
        </w:tc>
        <w:tc>
          <w:tcPr>
            <w:tcW w:w="1060" w:type="dxa"/>
            <w:tcBorders>
              <w:top w:val="nil"/>
              <w:left w:val="nil"/>
              <w:bottom w:val="nil"/>
              <w:right w:val="nil"/>
            </w:tcBorders>
            <w:noWrap/>
            <w:vAlign w:val="center"/>
          </w:tcPr>
          <w:p w14:paraId="3036EB9E" w14:textId="21871ED1" w:rsidR="001A5D9B" w:rsidRDefault="00987E3E" w:rsidP="0023066C">
            <w:pPr>
              <w:jc w:val="center"/>
              <w:rPr>
                <w:color w:val="000000"/>
              </w:rPr>
            </w:pPr>
            <w:r>
              <w:rPr>
                <w:color w:val="000000"/>
              </w:rPr>
              <w:t>70</w:t>
            </w:r>
          </w:p>
        </w:tc>
        <w:tc>
          <w:tcPr>
            <w:tcW w:w="1510" w:type="dxa"/>
            <w:tcBorders>
              <w:top w:val="nil"/>
              <w:left w:val="nil"/>
              <w:bottom w:val="nil"/>
              <w:right w:val="nil"/>
            </w:tcBorders>
            <w:noWrap/>
            <w:vAlign w:val="center"/>
          </w:tcPr>
          <w:p w14:paraId="45F9D335" w14:textId="4B8FAC04" w:rsidR="001A5D9B" w:rsidRPr="001A611C" w:rsidRDefault="001A5D9B" w:rsidP="0023066C">
            <w:pPr>
              <w:jc w:val="center"/>
            </w:pPr>
            <w:r>
              <w:t>$</w:t>
            </w:r>
            <w:r w:rsidR="00581659" w:rsidRPr="00581659">
              <w:t>216,186.24</w:t>
            </w:r>
          </w:p>
        </w:tc>
        <w:tc>
          <w:tcPr>
            <w:tcW w:w="1903" w:type="dxa"/>
            <w:tcBorders>
              <w:top w:val="nil"/>
              <w:left w:val="nil"/>
              <w:bottom w:val="nil"/>
              <w:right w:val="nil"/>
            </w:tcBorders>
            <w:noWrap/>
            <w:vAlign w:val="center"/>
          </w:tcPr>
          <w:p w14:paraId="1C2864AF" w14:textId="5A7109D1" w:rsidR="001A5D9B" w:rsidRPr="001A611C" w:rsidRDefault="00987E3E" w:rsidP="0023066C">
            <w:pPr>
              <w:jc w:val="center"/>
              <w:rPr>
                <w:color w:val="000000"/>
              </w:rPr>
            </w:pPr>
            <w:r>
              <w:rPr>
                <w:color w:val="000000"/>
              </w:rPr>
              <w:t>1.00</w:t>
            </w:r>
          </w:p>
        </w:tc>
        <w:tc>
          <w:tcPr>
            <w:tcW w:w="2169" w:type="dxa"/>
            <w:tcBorders>
              <w:top w:val="nil"/>
              <w:left w:val="nil"/>
              <w:bottom w:val="nil"/>
              <w:right w:val="nil"/>
            </w:tcBorders>
            <w:noWrap/>
            <w:vAlign w:val="center"/>
          </w:tcPr>
          <w:p w14:paraId="54AB4B8A" w14:textId="1CECBD0E" w:rsidR="001A5D9B" w:rsidRPr="001A611C" w:rsidRDefault="00987E3E" w:rsidP="0023066C">
            <w:pPr>
              <w:jc w:val="center"/>
              <w:rPr>
                <w:color w:val="000000"/>
              </w:rPr>
            </w:pPr>
            <w:r>
              <w:rPr>
                <w:color w:val="000000"/>
              </w:rPr>
              <w:t>$</w:t>
            </w:r>
            <w:r w:rsidR="00581659" w:rsidRPr="00581659">
              <w:rPr>
                <w:color w:val="000000"/>
              </w:rPr>
              <w:t>15,133,037</w:t>
            </w:r>
          </w:p>
        </w:tc>
      </w:tr>
      <w:tr w:rsidR="00987E3E" w:rsidRPr="001A611C" w14:paraId="722C52F0" w14:textId="77777777" w:rsidTr="0023066C">
        <w:trPr>
          <w:trHeight w:val="300"/>
          <w:jc w:val="center"/>
        </w:trPr>
        <w:tc>
          <w:tcPr>
            <w:tcW w:w="1602" w:type="dxa"/>
            <w:tcBorders>
              <w:top w:val="nil"/>
              <w:left w:val="nil"/>
              <w:bottom w:val="nil"/>
              <w:right w:val="nil"/>
            </w:tcBorders>
            <w:noWrap/>
            <w:vAlign w:val="center"/>
          </w:tcPr>
          <w:p w14:paraId="6E48BEFE" w14:textId="1A84524C" w:rsidR="00987E3E" w:rsidRPr="00987E3E" w:rsidRDefault="00987E3E" w:rsidP="0023066C">
            <w:pPr>
              <w:jc w:val="center"/>
              <w:rPr>
                <w:b/>
                <w:bCs/>
                <w:color w:val="000000"/>
              </w:rPr>
            </w:pPr>
            <w:r>
              <w:rPr>
                <w:b/>
                <w:bCs/>
                <w:color w:val="000000"/>
              </w:rPr>
              <w:t>TOTAL</w:t>
            </w:r>
          </w:p>
        </w:tc>
        <w:tc>
          <w:tcPr>
            <w:tcW w:w="1060" w:type="dxa"/>
            <w:tcBorders>
              <w:top w:val="nil"/>
              <w:left w:val="nil"/>
              <w:bottom w:val="nil"/>
              <w:right w:val="nil"/>
            </w:tcBorders>
            <w:noWrap/>
            <w:vAlign w:val="center"/>
          </w:tcPr>
          <w:p w14:paraId="77D419FF" w14:textId="1EBE92BA" w:rsidR="00987E3E" w:rsidRPr="00987E3E" w:rsidRDefault="00987E3E" w:rsidP="0023066C">
            <w:pPr>
              <w:jc w:val="center"/>
              <w:rPr>
                <w:b/>
                <w:bCs/>
                <w:color w:val="000000"/>
              </w:rPr>
            </w:pPr>
            <w:r>
              <w:rPr>
                <w:b/>
                <w:bCs/>
                <w:color w:val="000000"/>
              </w:rPr>
              <w:t>120</w:t>
            </w:r>
          </w:p>
        </w:tc>
        <w:tc>
          <w:tcPr>
            <w:tcW w:w="1510" w:type="dxa"/>
            <w:tcBorders>
              <w:top w:val="nil"/>
              <w:left w:val="nil"/>
              <w:bottom w:val="nil"/>
              <w:right w:val="nil"/>
            </w:tcBorders>
            <w:noWrap/>
            <w:vAlign w:val="center"/>
          </w:tcPr>
          <w:p w14:paraId="1EF63211" w14:textId="77777777" w:rsidR="00987E3E" w:rsidRDefault="00987E3E" w:rsidP="0023066C">
            <w:pPr>
              <w:jc w:val="center"/>
            </w:pPr>
          </w:p>
        </w:tc>
        <w:tc>
          <w:tcPr>
            <w:tcW w:w="1903" w:type="dxa"/>
            <w:tcBorders>
              <w:top w:val="nil"/>
              <w:left w:val="nil"/>
              <w:bottom w:val="nil"/>
              <w:right w:val="nil"/>
            </w:tcBorders>
            <w:noWrap/>
            <w:vAlign w:val="center"/>
          </w:tcPr>
          <w:p w14:paraId="65EB7557" w14:textId="77777777" w:rsidR="00987E3E" w:rsidRDefault="00987E3E" w:rsidP="0023066C">
            <w:pPr>
              <w:jc w:val="center"/>
              <w:rPr>
                <w:color w:val="000000"/>
              </w:rPr>
            </w:pPr>
          </w:p>
        </w:tc>
        <w:tc>
          <w:tcPr>
            <w:tcW w:w="2169" w:type="dxa"/>
            <w:tcBorders>
              <w:top w:val="nil"/>
              <w:left w:val="nil"/>
              <w:bottom w:val="nil"/>
              <w:right w:val="nil"/>
            </w:tcBorders>
            <w:noWrap/>
            <w:vAlign w:val="center"/>
          </w:tcPr>
          <w:p w14:paraId="1501692B" w14:textId="41EF7231" w:rsidR="00987E3E" w:rsidRPr="00987E3E" w:rsidRDefault="00987E3E" w:rsidP="0023066C">
            <w:pPr>
              <w:jc w:val="center"/>
              <w:rPr>
                <w:b/>
                <w:bCs/>
                <w:color w:val="000000"/>
              </w:rPr>
            </w:pPr>
            <w:r>
              <w:rPr>
                <w:b/>
                <w:bCs/>
                <w:color w:val="000000"/>
              </w:rPr>
              <w:t>$</w:t>
            </w:r>
            <w:r w:rsidR="00581659" w:rsidRPr="00581659">
              <w:rPr>
                <w:b/>
                <w:bCs/>
                <w:color w:val="000000"/>
              </w:rPr>
              <w:t>34,066,000</w:t>
            </w:r>
          </w:p>
        </w:tc>
      </w:tr>
    </w:tbl>
    <w:p w14:paraId="578621C6" w14:textId="77777777" w:rsidR="001A5D9B" w:rsidRPr="001A611C" w:rsidRDefault="001A5D9B" w:rsidP="001A5D9B"/>
    <w:tbl>
      <w:tblPr>
        <w:tblW w:w="7380" w:type="dxa"/>
        <w:tblLook w:val="04A0" w:firstRow="1" w:lastRow="0" w:firstColumn="1" w:lastColumn="0" w:noHBand="0" w:noVBand="1"/>
      </w:tblPr>
      <w:tblGrid>
        <w:gridCol w:w="4770"/>
        <w:gridCol w:w="2610"/>
      </w:tblGrid>
      <w:tr w:rsidR="00781396" w:rsidRPr="001A611C" w14:paraId="0C810824" w14:textId="77777777" w:rsidTr="00781396">
        <w:trPr>
          <w:trHeight w:val="300"/>
        </w:trPr>
        <w:tc>
          <w:tcPr>
            <w:tcW w:w="4770" w:type="dxa"/>
            <w:tcBorders>
              <w:top w:val="nil"/>
              <w:left w:val="nil"/>
              <w:bottom w:val="nil"/>
              <w:right w:val="nil"/>
            </w:tcBorders>
            <w:noWrap/>
            <w:vAlign w:val="center"/>
            <w:hideMark/>
          </w:tcPr>
          <w:p w14:paraId="4FCA853E" w14:textId="77777777" w:rsidR="00781396" w:rsidRPr="001A611C" w:rsidRDefault="00781396" w:rsidP="0023066C">
            <w:pPr>
              <w:jc w:val="center"/>
              <w:rPr>
                <w:b/>
                <w:bCs/>
                <w:color w:val="000000"/>
              </w:rPr>
            </w:pPr>
            <w:r w:rsidRPr="001A611C">
              <w:rPr>
                <w:b/>
                <w:bCs/>
                <w:color w:val="000000"/>
              </w:rPr>
              <w:t>Parcel ID</w:t>
            </w:r>
          </w:p>
        </w:tc>
        <w:tc>
          <w:tcPr>
            <w:tcW w:w="2610" w:type="dxa"/>
            <w:tcBorders>
              <w:top w:val="nil"/>
              <w:left w:val="nil"/>
              <w:bottom w:val="nil"/>
              <w:right w:val="nil"/>
            </w:tcBorders>
            <w:noWrap/>
            <w:vAlign w:val="center"/>
            <w:hideMark/>
          </w:tcPr>
          <w:p w14:paraId="1F6F50F2" w14:textId="77777777" w:rsidR="00781396" w:rsidRPr="001A611C" w:rsidRDefault="00781396" w:rsidP="0023066C">
            <w:pPr>
              <w:jc w:val="center"/>
              <w:rPr>
                <w:b/>
                <w:bCs/>
                <w:color w:val="000000"/>
              </w:rPr>
            </w:pPr>
            <w:r w:rsidRPr="001A611C">
              <w:rPr>
                <w:b/>
                <w:bCs/>
                <w:color w:val="000000"/>
              </w:rPr>
              <w:t>Total Assessment</w:t>
            </w:r>
          </w:p>
        </w:tc>
      </w:tr>
      <w:tr w:rsidR="00781396" w:rsidRPr="001A611C" w14:paraId="31066A50" w14:textId="77777777" w:rsidTr="00781396">
        <w:trPr>
          <w:trHeight w:val="300"/>
        </w:trPr>
        <w:tc>
          <w:tcPr>
            <w:tcW w:w="4770" w:type="dxa"/>
            <w:tcBorders>
              <w:top w:val="nil"/>
              <w:left w:val="nil"/>
              <w:bottom w:val="nil"/>
              <w:right w:val="nil"/>
            </w:tcBorders>
            <w:noWrap/>
            <w:vAlign w:val="center"/>
            <w:hideMark/>
          </w:tcPr>
          <w:p w14:paraId="4D2217B5" w14:textId="77777777" w:rsidR="00781396" w:rsidRPr="001A611C" w:rsidRDefault="00781396" w:rsidP="0023066C">
            <w:pPr>
              <w:jc w:val="center"/>
              <w:rPr>
                <w:color w:val="000000"/>
              </w:rPr>
            </w:pPr>
            <w:r w:rsidRPr="001A611C">
              <w:rPr>
                <w:color w:val="000000"/>
              </w:rPr>
              <w:t xml:space="preserve">AV-2-2-27-432; AV-2169-A-1; AV-2169-B; </w:t>
            </w:r>
          </w:p>
          <w:p w14:paraId="2FF4514C" w14:textId="77777777" w:rsidR="00781396" w:rsidRPr="001A611C" w:rsidRDefault="00781396" w:rsidP="0023066C">
            <w:pPr>
              <w:jc w:val="center"/>
              <w:rPr>
                <w:color w:val="000000"/>
              </w:rPr>
            </w:pPr>
            <w:r w:rsidRPr="001A611C">
              <w:rPr>
                <w:color w:val="000000"/>
              </w:rPr>
              <w:t xml:space="preserve">AV-2194-C; AV-2195-B; AV-2196-A-1; </w:t>
            </w:r>
          </w:p>
          <w:p w14:paraId="4ADFA295" w14:textId="77777777" w:rsidR="00781396" w:rsidRPr="001A611C" w:rsidRDefault="00781396" w:rsidP="0023066C">
            <w:pPr>
              <w:jc w:val="center"/>
              <w:rPr>
                <w:color w:val="000000"/>
              </w:rPr>
            </w:pPr>
            <w:r w:rsidRPr="001A611C">
              <w:rPr>
                <w:color w:val="000000"/>
              </w:rPr>
              <w:t xml:space="preserve">AV-2196-B; AV-2196-C; AV-2196-D; </w:t>
            </w:r>
          </w:p>
          <w:p w14:paraId="006CFD08" w14:textId="77777777" w:rsidR="00781396" w:rsidRPr="001A611C" w:rsidRDefault="00781396" w:rsidP="0023066C">
            <w:pPr>
              <w:jc w:val="center"/>
              <w:rPr>
                <w:color w:val="000000"/>
              </w:rPr>
            </w:pPr>
            <w:r w:rsidRPr="001A611C">
              <w:rPr>
                <w:color w:val="000000"/>
              </w:rPr>
              <w:t xml:space="preserve">AV-2196-E; AV-2196-F; AV-2196-G; </w:t>
            </w:r>
          </w:p>
          <w:p w14:paraId="7033D9A5" w14:textId="77777777" w:rsidR="00781396" w:rsidRPr="001A611C" w:rsidRDefault="00781396" w:rsidP="0023066C">
            <w:pPr>
              <w:jc w:val="center"/>
              <w:rPr>
                <w:color w:val="000000"/>
              </w:rPr>
            </w:pPr>
            <w:r w:rsidRPr="001A611C">
              <w:rPr>
                <w:color w:val="000000"/>
              </w:rPr>
              <w:t xml:space="preserve">AV-2196-H; AV-2196-I; AV-2-2-27-430; </w:t>
            </w:r>
          </w:p>
          <w:p w14:paraId="1031828F" w14:textId="117DA68B" w:rsidR="00781396" w:rsidRPr="001A611C" w:rsidRDefault="00781396" w:rsidP="0023066C">
            <w:pPr>
              <w:jc w:val="center"/>
              <w:rPr>
                <w:color w:val="000000"/>
              </w:rPr>
            </w:pPr>
            <w:r w:rsidRPr="001A611C">
              <w:rPr>
                <w:color w:val="000000"/>
              </w:rPr>
              <w:t>AV-2-2-27-431; AV-2-2-28-110; AV-2-2-28-120; AV-2-2-28-220; AV-2-2-28-221; AV-2-2-28-230; AV-2-2-28-240</w:t>
            </w:r>
            <w:r>
              <w:rPr>
                <w:color w:val="000000"/>
              </w:rPr>
              <w:t xml:space="preserve">; </w:t>
            </w:r>
            <w:r w:rsidRPr="00781396">
              <w:rPr>
                <w:color w:val="000000"/>
              </w:rPr>
              <w:t>AV-2194-A, AV-2194-B-OR1, AV-2194-D-OR1</w:t>
            </w:r>
          </w:p>
        </w:tc>
        <w:tc>
          <w:tcPr>
            <w:tcW w:w="2610" w:type="dxa"/>
            <w:tcBorders>
              <w:top w:val="nil"/>
              <w:left w:val="nil"/>
              <w:bottom w:val="nil"/>
              <w:right w:val="nil"/>
            </w:tcBorders>
            <w:noWrap/>
            <w:vAlign w:val="center"/>
            <w:hideMark/>
          </w:tcPr>
          <w:p w14:paraId="4C8F503F" w14:textId="0E014668" w:rsidR="00781396" w:rsidRPr="001A611C" w:rsidRDefault="00781396" w:rsidP="0023066C">
            <w:pPr>
              <w:jc w:val="center"/>
              <w:rPr>
                <w:color w:val="000000"/>
              </w:rPr>
            </w:pPr>
            <w:r w:rsidRPr="001A611C">
              <w:rPr>
                <w:color w:val="000000"/>
              </w:rPr>
              <w:t>$</w:t>
            </w:r>
            <w:r>
              <w:t>34,066,000</w:t>
            </w:r>
          </w:p>
        </w:tc>
      </w:tr>
    </w:tbl>
    <w:p w14:paraId="5509C596" w14:textId="0CA5FCA6" w:rsidR="0098400A" w:rsidRPr="001A5D9B" w:rsidRDefault="001A5D9B" w:rsidP="001A5D9B">
      <w:r w:rsidRPr="001A611C">
        <w:t>*Figures have been rounded</w:t>
      </w:r>
      <w:bookmarkEnd w:id="26"/>
      <w:bookmarkEnd w:id="27"/>
    </w:p>
    <w:bookmarkEnd w:id="28"/>
    <w:bookmarkEnd w:id="29"/>
    <w:p w14:paraId="09A380A8" w14:textId="77777777" w:rsidR="00A2303B" w:rsidRDefault="00A2303B">
      <w:pPr>
        <w:rPr>
          <w:u w:val="single"/>
        </w:rPr>
      </w:pPr>
      <w:r>
        <w:rPr>
          <w:u w:val="single"/>
        </w:rPr>
        <w:br w:type="page"/>
      </w:r>
    </w:p>
    <w:bookmarkEnd w:id="25"/>
    <w:p w14:paraId="0AD5D84E" w14:textId="3D052685" w:rsidR="000E50B2" w:rsidRPr="000E50B2" w:rsidRDefault="000E50B2" w:rsidP="000E50B2">
      <w:pPr>
        <w:keepNext/>
        <w:spacing w:after="240"/>
        <w:jc w:val="center"/>
        <w:rPr>
          <w:u w:val="single"/>
        </w:rPr>
      </w:pPr>
      <w:r w:rsidRPr="000E50B2">
        <w:rPr>
          <w:u w:val="single"/>
        </w:rPr>
        <w:lastRenderedPageBreak/>
        <w:t>Legal Description</w:t>
      </w:r>
    </w:p>
    <w:p w14:paraId="48D7DAEA" w14:textId="77777777" w:rsidR="000E50B2" w:rsidRDefault="000E50B2" w:rsidP="000E50B2">
      <w:pPr>
        <w:spacing w:after="240"/>
        <w:ind w:firstLine="720"/>
        <w:jc w:val="both"/>
      </w:pPr>
      <w:bookmarkStart w:id="32" w:name="_Hlk171586619"/>
      <w:bookmarkStart w:id="33" w:name="_Hlk171587032"/>
      <w:r w:rsidRPr="000E50B2">
        <w:t xml:space="preserve">The Assessment Area is more particularly described as follows:  </w:t>
      </w:r>
    </w:p>
    <w:p w14:paraId="3069A3A1" w14:textId="77777777" w:rsidR="00C00CD1" w:rsidRPr="00CD0966" w:rsidRDefault="00C00CD1" w:rsidP="00C00CD1">
      <w:pPr>
        <w:spacing w:after="160" w:line="278" w:lineRule="auto"/>
        <w:jc w:val="both"/>
        <w:rPr>
          <w:rFonts w:eastAsia="Aptos"/>
          <w:b/>
          <w:bCs/>
          <w:kern w:val="2"/>
          <w:u w:val="single"/>
          <w14:ligatures w14:val="standardContextual"/>
        </w:rPr>
      </w:pPr>
      <w:bookmarkStart w:id="34" w:name="_Hlk205914905"/>
      <w:r w:rsidRPr="00CD0966">
        <w:rPr>
          <w:rFonts w:eastAsia="Aptos"/>
          <w:b/>
          <w:bCs/>
          <w:kern w:val="2"/>
          <w:u w:val="single"/>
          <w14:ligatures w14:val="standardContextual"/>
        </w:rPr>
        <w:t>Initial District Boundaries</w:t>
      </w:r>
      <w:r w:rsidRPr="00CD0966">
        <w:rPr>
          <w:rFonts w:eastAsia="Aptos"/>
          <w:b/>
          <w:bCs/>
          <w:kern w:val="2"/>
          <w14:ligatures w14:val="standardContextual"/>
        </w:rPr>
        <w:t>:</w:t>
      </w:r>
      <w:r>
        <w:rPr>
          <w:rFonts w:eastAsia="Aptos"/>
          <w:b/>
          <w:bCs/>
          <w:kern w:val="2"/>
          <w14:ligatures w14:val="standardContextual"/>
        </w:rPr>
        <w:t xml:space="preserve"> [</w:t>
      </w:r>
      <w:r w:rsidRPr="006C2916">
        <w:rPr>
          <w:rFonts w:eastAsia="Aptos"/>
          <w:b/>
          <w:bCs/>
          <w:kern w:val="2"/>
          <w:highlight w:val="yellow"/>
          <w14:ligatures w14:val="standardContextual"/>
        </w:rPr>
        <w:t>CONFIRM LEGAL DESCRIPTION</w:t>
      </w:r>
      <w:r>
        <w:rPr>
          <w:rFonts w:eastAsia="Aptos"/>
          <w:b/>
          <w:bCs/>
          <w:kern w:val="2"/>
          <w14:ligatures w14:val="standardContextual"/>
        </w:rPr>
        <w:t>]</w:t>
      </w:r>
    </w:p>
    <w:p w14:paraId="5FB727E2" w14:textId="77777777" w:rsidR="00C00CD1" w:rsidRPr="00CD0966" w:rsidRDefault="00C00CD1" w:rsidP="00C00CD1">
      <w:pPr>
        <w:spacing w:after="160" w:line="278" w:lineRule="auto"/>
        <w:jc w:val="both"/>
        <w:rPr>
          <w:rFonts w:eastAsia="Aptos"/>
          <w:kern w:val="2"/>
          <w14:ligatures w14:val="standardContextual"/>
        </w:rPr>
      </w:pPr>
      <w:r w:rsidRPr="00CD0966">
        <w:rPr>
          <w:rFonts w:eastAsia="Aptos"/>
          <w:kern w:val="2"/>
          <w14:ligatures w14:val="standardContextual"/>
        </w:rPr>
        <w:t>A TRACT OF LAND IN THE NORTH 112 OF SECTION 27, TOWNSHIP 42 SOUTH, RANGE 12 WEST, SALT LAKE BASE AND MERIDIAN IN WASHINGTON COUNTY, UTAH MORE PARTICULARLY DESCRIBED AS FOLLOWS:</w:t>
      </w:r>
    </w:p>
    <w:p w14:paraId="1082057C" w14:textId="77777777" w:rsidR="00C00CD1" w:rsidRPr="00CD0966" w:rsidRDefault="00C00CD1" w:rsidP="00C00CD1">
      <w:pPr>
        <w:spacing w:after="160" w:line="278" w:lineRule="auto"/>
        <w:jc w:val="both"/>
        <w:rPr>
          <w:rFonts w:eastAsia="Aptos"/>
          <w:kern w:val="2"/>
          <w14:ligatures w14:val="standardContextual"/>
        </w:rPr>
      </w:pPr>
      <w:r w:rsidRPr="00CD0966">
        <w:rPr>
          <w:rFonts w:eastAsia="Aptos"/>
          <w:kern w:val="2"/>
          <w14:ligatures w14:val="standardContextual"/>
        </w:rPr>
        <w:t>BEGINNING AT A ROSENBERG REBAR AND CAP LYING 659.96 FEET S88°58'18"E ALONG THE EAST/WEST QUARTER SECTION LINE OF SAID SECTION 27, FROM A NAIL MONUMENTING THE WEST ¼ CORNER OF SAID SECTION 27; RUNNING THENCE N01°02'30"E 1319.57 FEET TO THE SOUTH LINE OF THE NORTHWEST QUARTER OF THE NORTHWEST QUARTER OF SAID SECTION 27 AND TO A ROSENBERG REBAR AND CAP; IBENCE S88°58'03"E 782.99 FEET ALONG SAID NORTHWEST 1116TH LINE TO THE FLOWLINE OF GOULDS WASH; THENCE ALONG THE FLOWLINE OF GOULDS WASH THE FOLLOWING (22) TWENTY-TWO COURSES, (1) N68°02’23"E 25.84 FEET TO THE BEGINNING OF A CURVE, (2) SAID CURVE TURNING TO THE LEFT THROUGH A CENTRAL ANGLE OF 26°03'06", HAVING A RADIUS OF 59.43 FEET AND WHOSE LONG CHORD BEARS N55°00'48"E 26.79 FEET TO THE BEGINNING OF A COMPOUND CURVE, (3) SAID CURVE TURNING TO THE LEFT THROUGH A CENTRAL ANGLE OF 12°31'03", HAVING A RADIUS OF 129.84 FEET AND WHOSE LONG CHORD BEARS N35°43'44"E 28.31 FEET, (4) THENCE N29°28'16"E 75.24 FEET TO THE BEGINNING OF A CURVE, (5) SAID CURVE TURNING TO THE RIGHT THROUGH A CENTRAL ANGLE OF 10°24'14", HAVING A RADIUS OF 383.00 FEET AND WHOSE LONG CHORD BEARS N34°40'24"E 69.45 FEET, (6) THENCE N39°52'31"E 232.66 FEET TO THE BEGINNING OF A CURVE, (7) SAID CURVE TURNING TO THE RIGHT THROUGH A CENTRAL ANGLE OF 10°24'51", HAVING A RADIUS OF 722.00 FEET AND WHOSE LONG CHORD BEARS N45°04'56"E 131.05 FEET, (8) THENCE N50°17'21"E 25.98 FEET TO THE BEGINNING OF A CURVE, (9) SAID CURVE TURNING TO THE RIGHT THROUGH A CENTRAL ANGLE OF 11°42'18" HAVING A RADIUS OF 333.00 FEET AND WHOSE LONG CHORD BEARS N56°08'29"E 67.91 FEET, (10) THENCE N61°59'37"E 80.09 FEET TO THE BEGINNING OF A CURVE, (11) SAID CURVE TURNING TO THE RIGHT THROUGH A CENTRAL ANGLE OF 07°33'12", HAVING A RADIUS OF 680.00 FEET AND WHOSE LONG CHORD BEARS N65°46'12"E 89.58 FEET, (12) THENCE N89°32'48"E 109.15 FEET TO THE BEGINNING OF A CURVE, (13) SAID CURVE TURNING TO THE LEFT THROUGH A CENTRAL ANGLE OF 07°33'57"', HAVING A RADIUS OF 733.00 FEET AND WHOSE LONG CHORD BEARS N65°45'50"E 96.72 FEET TO THE BEGINNING OF A REVERSE CURVE, (14) SAID CURVE TURNING TO THE RIGHT THROUGH A CENTRAL ANGLE OF 12°06'57", HAVING A RADIUS OF 600.00 FEET AND WHOSE LONG CHORD BEARS</w:t>
      </w:r>
    </w:p>
    <w:p w14:paraId="67192D9A" w14:textId="77777777" w:rsidR="00C00CD1" w:rsidRPr="00CD0966" w:rsidRDefault="00C00CD1" w:rsidP="00C00CD1">
      <w:pPr>
        <w:spacing w:after="160" w:line="278" w:lineRule="auto"/>
        <w:jc w:val="both"/>
        <w:rPr>
          <w:rFonts w:eastAsia="Aptos"/>
          <w:kern w:val="2"/>
          <w14:ligatures w14:val="standardContextual"/>
        </w:rPr>
      </w:pPr>
      <w:r w:rsidRPr="00CD0966">
        <w:rPr>
          <w:rFonts w:eastAsia="Aptos"/>
          <w:kern w:val="2"/>
          <w14:ligatures w14:val="standardContextual"/>
        </w:rPr>
        <w:t xml:space="preserve">N68°02'20"E 126.64 FEET, (15) THENCE N74°05'49"E 34.20 FEET TO THE BEGINNING OF A CURVE, (16) SAID CURVE TURNING TO THE LEFT THROUGH A CENTRAL ANGLE OF </w:t>
      </w:r>
      <w:r w:rsidRPr="00CD0966">
        <w:rPr>
          <w:rFonts w:eastAsia="Aptos"/>
          <w:kern w:val="2"/>
          <w14:ligatures w14:val="standardContextual"/>
        </w:rPr>
        <w:lastRenderedPageBreak/>
        <w:t>16°18'36", HAVING A RADIUS OF 135.00 FEET AND WHOSE LONG CHORD BEARS N66°01'00"E 38.30 FEET TO THE BEGINNING OF A CURVE, (17) SAID CURVE TURNING TO THE LEFT THROUGH A CENTRAL ANGLE OF 15°33'56", HAVING A RADIUS OF 288.00 FEET AND WHOSE LONG CHORD BEARS N50°04'46"E 78.00 FEET, (18) THENCE N42°13'21"E 72.34 FEET, (19) THENCE N47°38'32"E 31.86 FEET, (20) THENCE N75°20'07”E 28.74 FEET, (21) THENCE N81°25'42"E 33.64 FEET, (22) THENCE S80°29'21"E 34.72 FEET TO THE NORTH/SOUTH QUARTER SECTION LINE OF SAID SECTION 27; THENCE N01°02’39"E 280.59 FEET ALONG SAID QUARTER SECTION LINE; THENCE S88°59'23"E 1117.50 FEET; THENCE S01°01'44"W 199.84 FEET; THENCE S88°59'23"E 425.00 FEET; THENCE S01°01'44'W 954.76 FEET TO THE SOUTH LINE OF THE NORTHWEST QUARTER OF THE NORTHEAST QUARTER OF SAID SECTION 27; THENCE N88'59’06"W 1542.81 FEET ALONG SAID NORTHEAST CENTER 1116TH LINE TO A ROSENBERG REBAR AND CAP MONUMENTING THE CENTER NORTH 1116TH CORNER OF SAID SECTION 27; THENCE S01°03'33'W 559.17 FEET ALONG SAID NORTH/SOUTH QUARTER SECTION LINE TO A FOUND ½" REBAR; THENCE S60°04'14'W 760.71 FEET TO A ROSENBERG REBAR AND CAP; THENCE N00°54'20"E 15.25 FEET TO A ROSENBERG REBAR AND CAP; THENCE S61°05'34"W 400.04 FEET TO A ROSENBERG REBAR AND CAP; THENCE S01°01'23"W 184.57 FEET TO A ROSENBERG REBAR AND CAP; THENCE N88°58'18"W 980.90 FEET TO THE POINT OF BEGINNING.</w:t>
      </w:r>
    </w:p>
    <w:p w14:paraId="4BF758B1" w14:textId="77777777" w:rsidR="00C00CD1" w:rsidRDefault="00C00CD1" w:rsidP="00C00CD1">
      <w:pPr>
        <w:spacing w:after="160" w:line="278" w:lineRule="auto"/>
        <w:jc w:val="both"/>
        <w:rPr>
          <w:rFonts w:eastAsia="Aptos"/>
          <w:kern w:val="2"/>
          <w14:ligatures w14:val="standardContextual"/>
        </w:rPr>
      </w:pPr>
      <w:r w:rsidRPr="00CD0966">
        <w:rPr>
          <w:rFonts w:eastAsia="Aptos"/>
          <w:kern w:val="2"/>
          <w14:ligatures w14:val="standardContextual"/>
        </w:rPr>
        <w:t>CONTAINING 102.80 ACRES MORE OR LESS.</w:t>
      </w:r>
    </w:p>
    <w:p w14:paraId="6B125FC8" w14:textId="77777777" w:rsidR="00C00CD1" w:rsidRPr="00CD0966" w:rsidRDefault="00C00CD1" w:rsidP="00C00CD1">
      <w:pPr>
        <w:spacing w:after="160" w:line="278" w:lineRule="auto"/>
        <w:jc w:val="both"/>
        <w:rPr>
          <w:rFonts w:eastAsia="Aptos"/>
          <w:b/>
          <w:bCs/>
          <w:kern w:val="2"/>
          <w14:ligatures w14:val="standardContextual"/>
        </w:rPr>
      </w:pPr>
      <w:r w:rsidRPr="00CD0966">
        <w:rPr>
          <w:rFonts w:eastAsia="Aptos"/>
          <w:b/>
          <w:bCs/>
          <w:kern w:val="2"/>
          <w:u w:val="single"/>
          <w14:ligatures w14:val="standardContextual"/>
        </w:rPr>
        <w:t xml:space="preserve">Annexation </w:t>
      </w:r>
      <w:r>
        <w:rPr>
          <w:rFonts w:eastAsia="Aptos"/>
          <w:b/>
          <w:bCs/>
          <w:kern w:val="2"/>
          <w:u w:val="single"/>
          <w14:ligatures w14:val="standardContextual"/>
        </w:rPr>
        <w:t>No. 1</w:t>
      </w:r>
      <w:r w:rsidRPr="00CD0966">
        <w:rPr>
          <w:rFonts w:eastAsia="Aptos"/>
          <w:b/>
          <w:bCs/>
          <w:kern w:val="2"/>
          <w14:ligatures w14:val="standardContextual"/>
        </w:rPr>
        <w:t>:</w:t>
      </w:r>
    </w:p>
    <w:p w14:paraId="3AF1618F"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t>A PARCEL OF LAND LOCATED IN THE SE 1/4 OF SECTION 21, THE W 1/2 OF SECTION 27, AND THE E 1/2 OF SECTION 28, TOWNSHIP 42 SOUTH, RANGE 12 WEST OF THE SALT LAKE BASE AND MERIDIAN, WASHINGTON COUNTY, UTAH AND BEING MORE PARTICULARLY DESCRIBED AS FOLLOWS:</w:t>
      </w:r>
    </w:p>
    <w:p w14:paraId="593885FC"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t>BEGINNING AT THE NORTH QUARTER CORNER OF SAID SECTION 28 MARKED BY A 2.5 INCH 1909 GLO BRASS CAP, WHENCE THE SOUTH QUARTER CORNER OF SAID SECTION 28, MARKED BY A 2.5 INCH 1909 GLO BRASS CAP BEARS SOUTH 00'02'37" EAST A DISTANCE OF 5277.69 FEET, SAID LINE FORMING THE BASIS OF BEARINGS FOR THIS DESCRIPTION;</w:t>
      </w:r>
    </w:p>
    <w:p w14:paraId="687908FC"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t>THENCE NORTH 00'04'35" WEST ALONG THE WESTERLY LINE OF THE SAID SOUTHEAST QUARTER OF SECTION 21 A DISTANCE OF 1317.32 FEET TO THE EAST-WEST CENTERLINE OF SAID SOUTHEAST QUARTER AND A NO. 5 REBAR WITH PLASTIC CAP STAMPED "PLS334569";</w:t>
      </w:r>
    </w:p>
    <w:p w14:paraId="065A8FBB"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t>THENCE NORTH 89'58'23" EAST ALONG SAID EAST-WEST CENTERLINE A DISTANCE OF 2637.26 FEET TO THE EASTERLY LINE OF SAID SECTION 21 AND A NO. 4 REBAR WITH PLASTIC CAP STAMPED "B&amp;C LS4490";</w:t>
      </w:r>
    </w:p>
    <w:p w14:paraId="5B48A6CA"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lastRenderedPageBreak/>
        <w:t>THENCE SOUTH 00'03'23" EAST ALONG SAID EASTERLY LINE A DISTANCE OF 1317.94 FEET TO THE SECTION CORNER COMMON TO SECTIONS 21, 22, 27 AND 28, MARKED BY 2.5 INCH 1909 G.LO. BRASS CAP;</w:t>
      </w:r>
    </w:p>
    <w:p w14:paraId="0D337385"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t>THENCE NORTH 89'55'04" EAST ALONG THE NORTHERLY LINE OF SAID SECTION 27 A DISTANCE OF 1320.19 FEET TO THE EASTERLY LINE OF THE NORTHWEST QUARTER OF THE NORTHWEST QUARTER OF SAID SECTION 27 AND A NO. 4 REBAR WITH PLASTIC CAP ILLEGIBLE;</w:t>
      </w:r>
    </w:p>
    <w:p w14:paraId="09E36A85"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t>THENCE SOUTH 00'04'17" EAST ALONG SAID EASTERLY LINE A DISTANCE OF 1319.48 FEET TO THE SOUTHERLY LINE OF SAID NORTHWEST QUARTER OF THE NORTHWEST QUARTER AND A NO. 4 REBAR WITH PLASTIC CAP STAMPED ''PRATT ENG BET 4804865";</w:t>
      </w:r>
    </w:p>
    <w:p w14:paraId="747A2271"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t>THENCE SOUTH 89'54'47" WEST ALONG SAID SOUTHERLY LINE A DISTANCE OF 659.92 FEET TO THE EASTERLY LINE OF THE WEST HALF OF THE SOUTHWEST QUARTER OF THE NORTHWEST QUARTER OF SAID SECTION 27 AND A NO. 4 REBAR WITH PLASTIC CAP STAMPED "ROSENBERG";</w:t>
      </w:r>
    </w:p>
    <w:p w14:paraId="0C8836C0"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t>THENCE SOUTH 00'04'51" EAST ALONG SAID EASTERLY LINE A DISTANCE OF 1319.51 FEET TO THE SOUTHERLY LINE OF SAID NORTHWEST QUARTER OF SECTION 27 AND A NO. 5 REBAR WITH PLASTIC CAP STAMPED "ROSENBERG";</w:t>
      </w:r>
    </w:p>
    <w:p w14:paraId="60A9143A"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t>THENCE NORTH 89'54'46" EAST ALONG SAID SOUTHERLY LINE A DISTANCE OF 420.93 FEET TO NORTHWEST CORNER OF A PARCEL DESCRIBED IN ENTRY NO. 20110014293 AND A MAG NAIL SET IN THE CONCRETE PATH; THENCE SOUTH 00'04'41" EAST A DISTANCE OF 2639.07 FEET TO THE SOUTHERLY LINE OF SAID SECTION 27 AND A NO. 4 REBAR WITH CAP STAMPED "CORNERPOINT";</w:t>
      </w:r>
    </w:p>
    <w:p w14:paraId="5179E2EA"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t>THENCE SOUTH 89'53'26" WEST ALONG SAID SOUTHERLY LINE A DISTANCE OF 1080.43 FEET TO THE SECTION CORNER COMMON TO SECTIONS 27, 28, 33 AND 34, MARKED BY A 1909 GLO BRASS CAP;</w:t>
      </w:r>
    </w:p>
    <w:p w14:paraId="4C030FC9"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t>THENCE NORTH 89'59'32" WEST ALONG THE SOUTHERLY LINE OF THE SOUTHEAST QUARTER OF SAID SECTION 28 A DISTANCE OF 2640.65 FEET TO THE SOUTH QUARTER CORNER OF SAID SECTION 28, MARKED BY A 1909 GLO BRASS CAP;</w:t>
      </w:r>
    </w:p>
    <w:p w14:paraId="2C8177A0" w14:textId="77777777" w:rsidR="00C00CD1" w:rsidRPr="00772842" w:rsidRDefault="00C00CD1" w:rsidP="00C00CD1">
      <w:pPr>
        <w:spacing w:after="160" w:line="278" w:lineRule="auto"/>
        <w:jc w:val="both"/>
        <w:rPr>
          <w:rFonts w:eastAsia="Aptos"/>
          <w:kern w:val="2"/>
          <w14:ligatures w14:val="standardContextual"/>
        </w:rPr>
      </w:pPr>
      <w:r w:rsidRPr="00772842">
        <w:rPr>
          <w:rFonts w:eastAsia="Aptos"/>
          <w:kern w:val="2"/>
          <w14:ligatures w14:val="standardContextual"/>
        </w:rPr>
        <w:t>THENCE NORTH 00'02'37" WEST ALONG SAID WESTERLY LINE A DISTANCE OF 5277.69 FEET THE POINT OF BEGINNING.</w:t>
      </w:r>
    </w:p>
    <w:p w14:paraId="7DD6F449" w14:textId="77777777" w:rsidR="00C00CD1" w:rsidRPr="00772842" w:rsidRDefault="00C00CD1" w:rsidP="00C00CD1">
      <w:pPr>
        <w:spacing w:after="160" w:line="278" w:lineRule="auto"/>
        <w:jc w:val="both"/>
        <w:rPr>
          <w:rFonts w:eastAsia="Aptos"/>
          <w:kern w:val="2"/>
          <w14:ligatures w14:val="standardContextual"/>
        </w:rPr>
      </w:pPr>
      <w:r>
        <w:rPr>
          <w:rFonts w:eastAsia="Aptos"/>
          <w:kern w:val="2"/>
          <w14:ligatures w14:val="standardContextual"/>
        </w:rPr>
        <w:t xml:space="preserve">LESS AND EXCEPTING </w:t>
      </w:r>
      <w:r w:rsidRPr="00E16A80">
        <w:rPr>
          <w:rFonts w:eastAsia="Aptos"/>
          <w:kern w:val="2"/>
          <w14:ligatures w14:val="standardContextual"/>
        </w:rPr>
        <w:t>S: 27 T: 42S R: 12W BEG N0*00'42" E ALG C/S/L OF SEC 27, T42S R12W 2420.06 FT &amp; S89*57'50" W 652.43 FT FM S1/4 COR SD SEC 27, TH S89*57'50" W 346.55 FT; TH N0*00'27" E 403.07 FT; TH N60*02'46" E 400.00 FT; TH S0*00'27" W 602.57 FT TO POB. ALSO: 0.77 AC REMAINDER PARCEL BTW ACCT 0842001 &amp; ACCT 0736127 FM 05/16/07 SEG.  </w:t>
      </w:r>
    </w:p>
    <w:p w14:paraId="3A669971" w14:textId="77777777" w:rsidR="00C00CD1" w:rsidRDefault="00C00CD1" w:rsidP="00C00CD1">
      <w:pPr>
        <w:jc w:val="both"/>
        <w:rPr>
          <w:rFonts w:eastAsia="Aptos"/>
          <w:kern w:val="2"/>
          <w14:ligatures w14:val="standardContextual"/>
        </w:rPr>
      </w:pPr>
      <w:r w:rsidRPr="00772842">
        <w:rPr>
          <w:rFonts w:eastAsia="Aptos"/>
          <w:kern w:val="2"/>
          <w14:ligatures w14:val="standardContextual"/>
        </w:rPr>
        <w:t xml:space="preserve">SAID PARCEL CONTAINS </w:t>
      </w:r>
      <w:r w:rsidRPr="00F03328">
        <w:rPr>
          <w:rFonts w:eastAsia="Aptos"/>
          <w:kern w:val="2"/>
          <w14:ligatures w14:val="standardContextual"/>
        </w:rPr>
        <w:t>22,659,11</w:t>
      </w:r>
      <w:r>
        <w:rPr>
          <w:rFonts w:eastAsia="Aptos"/>
          <w:kern w:val="2"/>
          <w14:ligatures w14:val="standardContextual"/>
        </w:rPr>
        <w:t>2</w:t>
      </w:r>
      <w:r w:rsidRPr="00772842">
        <w:rPr>
          <w:rFonts w:eastAsia="Aptos"/>
          <w:kern w:val="2"/>
          <w14:ligatures w14:val="standardContextual"/>
        </w:rPr>
        <w:t xml:space="preserve"> SQUARE FEET OR 52</w:t>
      </w:r>
      <w:r>
        <w:rPr>
          <w:rFonts w:eastAsia="Aptos"/>
          <w:kern w:val="2"/>
          <w14:ligatures w14:val="standardContextual"/>
        </w:rPr>
        <w:t>0</w:t>
      </w:r>
      <w:r w:rsidRPr="00772842">
        <w:rPr>
          <w:rFonts w:eastAsia="Aptos"/>
          <w:kern w:val="2"/>
          <w14:ligatures w14:val="standardContextual"/>
        </w:rPr>
        <w:t>.</w:t>
      </w:r>
      <w:r>
        <w:rPr>
          <w:rFonts w:eastAsia="Aptos"/>
          <w:kern w:val="2"/>
          <w14:ligatures w14:val="standardContextual"/>
        </w:rPr>
        <w:t>18</w:t>
      </w:r>
      <w:r w:rsidRPr="00772842">
        <w:rPr>
          <w:rFonts w:eastAsia="Aptos"/>
          <w:kern w:val="2"/>
          <w14:ligatures w14:val="standardContextual"/>
        </w:rPr>
        <w:t>2 ACRES.</w:t>
      </w:r>
    </w:p>
    <w:p w14:paraId="0D1966E2" w14:textId="77777777" w:rsidR="00C00CD1" w:rsidRDefault="00C00CD1" w:rsidP="00C00CD1">
      <w:pPr>
        <w:jc w:val="both"/>
      </w:pPr>
    </w:p>
    <w:p w14:paraId="228CB5FC" w14:textId="77777777" w:rsidR="00C00CD1" w:rsidRPr="00CD0966" w:rsidRDefault="00C00CD1" w:rsidP="00C00CD1">
      <w:pPr>
        <w:spacing w:after="160" w:line="278" w:lineRule="auto"/>
        <w:jc w:val="both"/>
        <w:rPr>
          <w:rFonts w:eastAsia="Aptos"/>
          <w:b/>
          <w:bCs/>
          <w:kern w:val="2"/>
          <w14:ligatures w14:val="standardContextual"/>
        </w:rPr>
      </w:pPr>
      <w:r w:rsidRPr="00CD0966">
        <w:rPr>
          <w:rFonts w:eastAsia="Aptos"/>
          <w:b/>
          <w:bCs/>
          <w:kern w:val="2"/>
          <w:u w:val="single"/>
          <w14:ligatures w14:val="standardContextual"/>
        </w:rPr>
        <w:lastRenderedPageBreak/>
        <w:t xml:space="preserve">Annexation </w:t>
      </w:r>
      <w:r>
        <w:rPr>
          <w:rFonts w:eastAsia="Aptos"/>
          <w:b/>
          <w:bCs/>
          <w:kern w:val="2"/>
          <w:u w:val="single"/>
          <w14:ligatures w14:val="standardContextual"/>
        </w:rPr>
        <w:t>No. 2</w:t>
      </w:r>
      <w:r w:rsidRPr="00CD0966">
        <w:rPr>
          <w:rFonts w:eastAsia="Aptos"/>
          <w:b/>
          <w:bCs/>
          <w:kern w:val="2"/>
          <w14:ligatures w14:val="standardContextual"/>
        </w:rPr>
        <w:t>:</w:t>
      </w:r>
    </w:p>
    <w:p w14:paraId="0B2E3BC6" w14:textId="77777777" w:rsidR="00C00CD1" w:rsidRPr="00F911E7" w:rsidRDefault="00C00CD1" w:rsidP="00C00CD1">
      <w:r w:rsidRPr="00F911E7">
        <w:t xml:space="preserve">A PARCEL OF LAND LOCATED IN THE WEST HALF OF SECTION 27, TOWNSHIP 42 SOUTH, RANGE 12 WEST OF THE SALT LAKE BASE AND MERIDIAN, WASHINGTON COUNTY, UTAH AND BEING MORE PARTICULARLY DESCRIBED AS FOLLOWS: </w:t>
      </w:r>
    </w:p>
    <w:p w14:paraId="07B7C964" w14:textId="77777777" w:rsidR="00C00CD1" w:rsidRPr="00F911E7" w:rsidRDefault="00C00CD1" w:rsidP="00C00CD1">
      <w:r w:rsidRPr="00F911E7">
        <w:t xml:space="preserve">BEGINNING AT THE SOUTH QUARTER CORNER OF SAID SECTION 27 MARKED BY AN IRON PIPE, WHENCE THE SOUTHWEST CORNER OF SAID SECTION 27, MARKED BY A 2.5 INCH 1909 GLO BRASS CAP BEARS SOUTH 89°53'26" WEST A DISTANCE OF 2638.12 FEET, SAID LINE FORMING THE BASIS OF BEARINGS FOR THIS DESCRIPTION; </w:t>
      </w:r>
    </w:p>
    <w:p w14:paraId="30B5A61F" w14:textId="77777777" w:rsidR="00C00CD1" w:rsidRPr="00F911E7" w:rsidRDefault="00C00CD1" w:rsidP="00C00CD1">
      <w:r w:rsidRPr="00F911E7">
        <w:t xml:space="preserve">THENCE SOUTH 89°53'26" WEST ALONG THE SOUTHERLY LINE OF THE SOUTHWEST QUARTER OF SAID SECTION 27 A DISTANCE OF 1557.69 FEET TO A NO. 4 REBAR WITH PLASTIC CAP STAMPED "CORNERPOINT"; </w:t>
      </w:r>
    </w:p>
    <w:p w14:paraId="43B2ADDB" w14:textId="77777777" w:rsidR="00C00CD1" w:rsidRPr="00F911E7" w:rsidRDefault="00C00CD1" w:rsidP="00C00CD1">
      <w:r w:rsidRPr="00F911E7">
        <w:t xml:space="preserve">THENCE NORTH 00°04'41" WEST ALONG THE LINE COMMON TO PARCELS AV-2194-D-OR1 AND AV-2194-C A DISTANCE OF 2639.07 FEET TO THE NORTHERLY LINE OF SAID SOUTHWEST QUARTER, MARKED BY A MAG NAIL IN CONCRETE; </w:t>
      </w:r>
    </w:p>
    <w:p w14:paraId="38C4860C" w14:textId="77777777" w:rsidR="00C00CD1" w:rsidRPr="00F911E7" w:rsidRDefault="00C00CD1" w:rsidP="00C00CD1">
      <w:r w:rsidRPr="00F911E7">
        <w:t xml:space="preserve">THENCE NORTH 89°54'46" EAST ALONG SAID NORTHERLY LINE A DISTANCE OF 560.03 FEET TO THE LINE COMMON TO PARCELS AV-2-2-27-432-OR2 AND AV-2194-A A DISTANCE OF 560.03 FEET; </w:t>
      </w:r>
    </w:p>
    <w:p w14:paraId="66574BE1" w14:textId="77777777" w:rsidR="00C00CD1" w:rsidRPr="00F911E7" w:rsidRDefault="00C00CD1" w:rsidP="00C00CD1">
      <w:r w:rsidRPr="00F911E7">
        <w:t>THENCE ALONG SAID COMMON LINE THE FOLLOWING THREE (3) COURSES:</w:t>
      </w:r>
    </w:p>
    <w:p w14:paraId="3E06E88E" w14:textId="77777777" w:rsidR="00C00CD1" w:rsidRPr="00F911E7" w:rsidRDefault="00C00CD1" w:rsidP="00C00CD1">
      <w:r w:rsidRPr="00F911E7">
        <w:t>1.</w:t>
      </w:r>
      <w:r w:rsidRPr="00F911E7">
        <w:tab/>
        <w:t>NORTH 00°05'35" WEST A DISTANCE OF 184.53 FEET;</w:t>
      </w:r>
    </w:p>
    <w:p w14:paraId="2A14660E" w14:textId="77777777" w:rsidR="00C00CD1" w:rsidRPr="00F911E7" w:rsidRDefault="00C00CD1" w:rsidP="00C00CD1">
      <w:r w:rsidRPr="00F911E7">
        <w:t>2.</w:t>
      </w:r>
      <w:r w:rsidRPr="00F911E7">
        <w:tab/>
        <w:t>THENCE NORTH 59°58'36" EAST A DISTANCE OF 400.04 FEET;</w:t>
      </w:r>
    </w:p>
    <w:p w14:paraId="6B9BF216" w14:textId="77777777" w:rsidR="00C00CD1" w:rsidRPr="00F911E7" w:rsidRDefault="00C00CD1" w:rsidP="00C00CD1">
      <w:r w:rsidRPr="00F911E7">
        <w:t>3.</w:t>
      </w:r>
      <w:r w:rsidRPr="00F911E7">
        <w:tab/>
        <w:t>THENCE SOUTH 00°12'38" EAST A DISTANCE OF 15.25 FEET TO THE LINE COMMON TO PARCELS AV-2-2-27-432-OR2 AND AV-2194-B-OR1;</w:t>
      </w:r>
    </w:p>
    <w:p w14:paraId="58A32F60" w14:textId="77777777" w:rsidR="00C00CD1" w:rsidRPr="00F911E7" w:rsidRDefault="00C00CD1" w:rsidP="00C00CD1">
      <w:r w:rsidRPr="00F911E7">
        <w:t xml:space="preserve">THENCE NORTH 58°57'16" EAST ALONG SAID COMMON LINE A DISTANCE OF 760.45 FEET TO THE NORTH-SOUTH CENTERLINE OF SAID SECTION 27 AND A NO. 4 REBAR; </w:t>
      </w:r>
    </w:p>
    <w:p w14:paraId="075D599C" w14:textId="77777777" w:rsidR="00C00CD1" w:rsidRPr="00F911E7" w:rsidRDefault="00C00CD1" w:rsidP="00C00CD1">
      <w:r w:rsidRPr="00F911E7">
        <w:t xml:space="preserve">THENCE SOUTH 00°03'39" EAST ALONG SAID CENTERLINE A DISTANCE OF 3398.57 FEET TO THE POINT OF BEGINNING. </w:t>
      </w:r>
    </w:p>
    <w:p w14:paraId="23436015" w14:textId="77777777" w:rsidR="00C00CD1" w:rsidRDefault="00C00CD1" w:rsidP="00C00CD1"/>
    <w:p w14:paraId="6AC9D81F" w14:textId="77777777" w:rsidR="00C00CD1" w:rsidRDefault="00C00CD1" w:rsidP="00C00CD1">
      <w:r w:rsidRPr="00F911E7">
        <w:t>SAID PARCEL CONTAINS 4,577,992 SQUARE FEET OR 105.096 ACRES.</w:t>
      </w:r>
    </w:p>
    <w:p w14:paraId="5C751CF0" w14:textId="77777777" w:rsidR="00C00CD1" w:rsidRDefault="00C00CD1" w:rsidP="00C00CD1"/>
    <w:p w14:paraId="13E410D0" w14:textId="77777777" w:rsidR="00C00CD1" w:rsidRPr="00F911E7" w:rsidRDefault="00C00CD1" w:rsidP="00C00CD1">
      <w:r>
        <w:t>PARCEL NOS. AV-2194-A, AV-2194-B-OR1, AV-2194-D-OR1</w:t>
      </w:r>
    </w:p>
    <w:p w14:paraId="08CB09B4" w14:textId="278A5BAF" w:rsidR="00772842" w:rsidRPr="00772842" w:rsidRDefault="00772842" w:rsidP="0029143B">
      <w:pPr>
        <w:jc w:val="both"/>
        <w:rPr>
          <w:rFonts w:eastAsia="Aptos"/>
          <w:kern w:val="2"/>
          <w14:ligatures w14:val="standardContextual"/>
        </w:rPr>
      </w:pPr>
    </w:p>
    <w:p w14:paraId="0EDE88CC" w14:textId="77777777" w:rsidR="00500906" w:rsidRPr="00500906" w:rsidRDefault="00500906" w:rsidP="00500906">
      <w:pPr>
        <w:jc w:val="both"/>
        <w:rPr>
          <w:b/>
          <w:bCs/>
        </w:rPr>
      </w:pPr>
    </w:p>
    <w:bookmarkEnd w:id="30"/>
    <w:bookmarkEnd w:id="31"/>
    <w:bookmarkEnd w:id="32"/>
    <w:bookmarkEnd w:id="33"/>
    <w:bookmarkEnd w:id="34"/>
    <w:sectPr w:rsidR="00500906" w:rsidRPr="00500906" w:rsidSect="00B611FC">
      <w:footerReference w:type="default" r:id="rId17"/>
      <w:footerReference w:type="first" r:id="rId18"/>
      <w:pgSz w:w="12240" w:h="15840" w:code="1"/>
      <w:pgMar w:top="1008"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734D" w14:textId="77777777" w:rsidR="009112BC" w:rsidRDefault="009112BC">
      <w:r>
        <w:separator/>
      </w:r>
    </w:p>
  </w:endnote>
  <w:endnote w:type="continuationSeparator" w:id="0">
    <w:p w14:paraId="144E4CBE" w14:textId="77777777" w:rsidR="009112BC" w:rsidRDefault="009112BC">
      <w:r>
        <w:continuationSeparator/>
      </w:r>
    </w:p>
  </w:endnote>
  <w:endnote w:type="continuationNotice" w:id="1">
    <w:p w14:paraId="0CCD5EA9" w14:textId="77777777" w:rsidR="009112BC" w:rsidRDefault="00911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D59F" w14:textId="77777777" w:rsidR="00433CE3" w:rsidRDefault="00433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2DB9" w14:textId="3B677756" w:rsidR="00BC1E62" w:rsidRPr="00B611FC" w:rsidRDefault="00BC1E62" w:rsidP="00B955F8">
    <w:pPr>
      <w:pStyle w:val="Footer"/>
      <w:tabs>
        <w:tab w:val="clear" w:pos="9360"/>
        <w:tab w:val="right" w:pos="8640"/>
      </w:tabs>
      <w:rPr>
        <w:rStyle w:val="DocID"/>
        <w:rFonts w:ascii="Times New Roman" w:hAnsi="Times New Roman"/>
        <w:noProof/>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00CD1">
      <w:rPr>
        <w:rFonts w:ascii="Arial" w:hAnsi="Arial" w:cs="Arial"/>
        <w:sz w:val="16"/>
      </w:rPr>
      <w:t>4917-0923-6130, v. 4</w:t>
    </w:r>
    <w:r>
      <w:rPr>
        <w:rFonts w:ascii="Arial" w:hAnsi="Arial" w:cs="Arial"/>
        <w:sz w:val="16"/>
      </w:rPr>
      <w:fldChar w:fldCharType="end"/>
    </w:r>
    <w:r>
      <w:rPr>
        <w:rStyle w:val="DocID"/>
      </w:rPr>
      <w:tab/>
    </w:r>
    <w:r w:rsidRPr="00B611FC">
      <w:rPr>
        <w:rStyle w:val="DocID"/>
        <w:rFonts w:ascii="Times New Roman" w:hAnsi="Times New Roman"/>
        <w:sz w:val="24"/>
      </w:rPr>
      <w:fldChar w:fldCharType="begin"/>
    </w:r>
    <w:r w:rsidRPr="00B611FC">
      <w:rPr>
        <w:rStyle w:val="DocID"/>
        <w:rFonts w:ascii="Times New Roman" w:hAnsi="Times New Roman"/>
        <w:sz w:val="24"/>
      </w:rPr>
      <w:instrText xml:space="preserve"> PAGE   \* MERGEFORMAT </w:instrText>
    </w:r>
    <w:r w:rsidRPr="00B611FC">
      <w:rPr>
        <w:rStyle w:val="DocID"/>
        <w:rFonts w:ascii="Times New Roman" w:hAnsi="Times New Roman"/>
        <w:sz w:val="24"/>
      </w:rPr>
      <w:fldChar w:fldCharType="separate"/>
    </w:r>
    <w:r w:rsidRPr="00B611FC">
      <w:rPr>
        <w:rStyle w:val="DocID"/>
        <w:rFonts w:ascii="Times New Roman" w:hAnsi="Times New Roman"/>
        <w:noProof/>
        <w:sz w:val="24"/>
      </w:rPr>
      <w:t>15</w:t>
    </w:r>
    <w:r w:rsidRPr="00B611FC">
      <w:rPr>
        <w:rStyle w:val="DocID"/>
        <w:rFonts w:ascii="Times New Roman" w:hAnsi="Times New Roman"/>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ECC1" w14:textId="2AA1ED98" w:rsidR="00BC1E62" w:rsidRPr="006A5200" w:rsidRDefault="006A5200" w:rsidP="00AF1958">
    <w:pPr>
      <w:pStyle w:val="Footer"/>
      <w:tabs>
        <w:tab w:val="clear" w:pos="4680"/>
        <w:tab w:val="clear" w:pos="9360"/>
        <w:tab w:val="center" w:pos="4320"/>
        <w:tab w:val="right" w:pos="864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854C38">
      <w:rPr>
        <w:rFonts w:ascii="Arial" w:hAnsi="Arial" w:cs="Arial"/>
        <w:sz w:val="16"/>
      </w:rPr>
      <w:t>4887-8354-5495, v. 5</w:t>
    </w:r>
    <w:r>
      <w:rP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0A88" w14:textId="56233368" w:rsidR="00BC1E62" w:rsidRDefault="00BC1E62" w:rsidP="00B955F8">
    <w:pPr>
      <w:tabs>
        <w:tab w:val="center" w:pos="4320"/>
      </w:tabs>
      <w:jc w:val="center"/>
    </w:pPr>
    <w:r>
      <w:t>S-1</w:t>
    </w:r>
  </w:p>
  <w:p w14:paraId="1A07F83F" w14:textId="5D143925" w:rsidR="00BC1E62" w:rsidRDefault="00BC1E62" w:rsidP="00B955F8">
    <w:pPr>
      <w:tabs>
        <w:tab w:val="center" w:pos="4320"/>
      </w:tabs>
      <w:jc w:val="center"/>
    </w:pPr>
    <w:r>
      <w:t>ASSESSMENT ORDINANCE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EA08" w14:textId="3B505EB5" w:rsidR="00BC1E62" w:rsidRDefault="00BC1E62" w:rsidP="00022DD7">
    <w:pPr>
      <w:tabs>
        <w:tab w:val="center" w:pos="4680"/>
      </w:tabs>
      <w:jc w:val="center"/>
    </w:pPr>
    <w:r>
      <w:t>S-2</w:t>
    </w:r>
  </w:p>
  <w:p w14:paraId="06250203" w14:textId="77777777" w:rsidR="00BC1E62" w:rsidRDefault="00BC1E62" w:rsidP="00022DD7">
    <w:pPr>
      <w:tabs>
        <w:tab w:val="center" w:pos="4320"/>
      </w:tabs>
      <w:jc w:val="center"/>
    </w:pPr>
    <w:r>
      <w:t>ASSESSMENT ORDINANCE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F9B0" w14:textId="14C5D85B" w:rsidR="00433CE3" w:rsidRPr="00433CE3" w:rsidRDefault="00433CE3" w:rsidP="00B955F8">
    <w:pPr>
      <w:pStyle w:val="Footer"/>
      <w:tabs>
        <w:tab w:val="clear" w:pos="9360"/>
        <w:tab w:val="right" w:pos="8640"/>
      </w:tabs>
      <w:rPr>
        <w:rStyle w:val="DocID"/>
        <w:rFonts w:ascii="Times New Roman" w:hAnsi="Times New Roman"/>
        <w:noProof/>
        <w:sz w:val="22"/>
        <w:szCs w:val="22"/>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00CD1">
      <w:rPr>
        <w:rFonts w:ascii="Arial" w:hAnsi="Arial" w:cs="Arial"/>
        <w:sz w:val="16"/>
      </w:rPr>
      <w:t>4917-0923-6130, v. 4</w:t>
    </w:r>
    <w:r>
      <w:rPr>
        <w:rFonts w:ascii="Arial" w:hAnsi="Arial" w:cs="Arial"/>
        <w:sz w:val="16"/>
      </w:rPr>
      <w:fldChar w:fldCharType="end"/>
    </w:r>
    <w:r>
      <w:rPr>
        <w:rStyle w:val="DocID"/>
      </w:rPr>
      <w:tab/>
    </w:r>
    <w:r w:rsidRPr="00433CE3">
      <w:rPr>
        <w:rStyle w:val="DocID"/>
        <w:rFonts w:ascii="Times New Roman" w:hAnsi="Times New Roman"/>
        <w:sz w:val="22"/>
        <w:szCs w:val="22"/>
      </w:rPr>
      <w:t>A-</w:t>
    </w:r>
    <w:r w:rsidRPr="00433CE3">
      <w:rPr>
        <w:rStyle w:val="DocID"/>
        <w:rFonts w:ascii="Times New Roman" w:hAnsi="Times New Roman"/>
        <w:sz w:val="22"/>
        <w:szCs w:val="22"/>
      </w:rPr>
      <w:fldChar w:fldCharType="begin"/>
    </w:r>
    <w:r w:rsidRPr="00433CE3">
      <w:rPr>
        <w:rStyle w:val="DocID"/>
        <w:rFonts w:ascii="Times New Roman" w:hAnsi="Times New Roman"/>
        <w:sz w:val="22"/>
        <w:szCs w:val="22"/>
      </w:rPr>
      <w:instrText xml:space="preserve"> PAGE   \* MERGEFORMAT </w:instrText>
    </w:r>
    <w:r w:rsidRPr="00433CE3">
      <w:rPr>
        <w:rStyle w:val="DocID"/>
        <w:rFonts w:ascii="Times New Roman" w:hAnsi="Times New Roman"/>
        <w:sz w:val="22"/>
        <w:szCs w:val="22"/>
      </w:rPr>
      <w:fldChar w:fldCharType="separate"/>
    </w:r>
    <w:r w:rsidRPr="00433CE3">
      <w:rPr>
        <w:rStyle w:val="DocID"/>
        <w:rFonts w:ascii="Times New Roman" w:hAnsi="Times New Roman"/>
        <w:noProof/>
        <w:sz w:val="22"/>
        <w:szCs w:val="22"/>
      </w:rPr>
      <w:t>15</w:t>
    </w:r>
    <w:r w:rsidRPr="00433CE3">
      <w:rPr>
        <w:rStyle w:val="DocID"/>
        <w:rFonts w:ascii="Times New Roman" w:hAnsi="Times New Roman"/>
        <w:noProof/>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E87A" w14:textId="24AAA17C" w:rsidR="00A2303B" w:rsidRPr="00B611FC" w:rsidRDefault="00B611FC" w:rsidP="00A2303B">
    <w:pPr>
      <w:pStyle w:val="Footer"/>
      <w:tabs>
        <w:tab w:val="clear" w:pos="9360"/>
        <w:tab w:val="right" w:pos="8640"/>
      </w:tabs>
    </w:pPr>
    <w:r>
      <w:rPr>
        <w:sz w:val="22"/>
        <w:szCs w:val="22"/>
      </w:rPr>
      <w:tab/>
    </w:r>
    <w:r w:rsidRPr="00B611FC">
      <w:t>A-1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E2E3" w14:textId="77777777" w:rsidR="009112BC" w:rsidRDefault="009112BC">
      <w:r>
        <w:separator/>
      </w:r>
    </w:p>
  </w:footnote>
  <w:footnote w:type="continuationSeparator" w:id="0">
    <w:p w14:paraId="1F73DB7E" w14:textId="77777777" w:rsidR="009112BC" w:rsidRDefault="009112BC">
      <w:r>
        <w:continuationSeparator/>
      </w:r>
    </w:p>
  </w:footnote>
  <w:footnote w:type="continuationNotice" w:id="1">
    <w:p w14:paraId="46591127" w14:textId="77777777" w:rsidR="009112BC" w:rsidRDefault="00911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0815" w14:textId="77777777" w:rsidR="00433CE3" w:rsidRDefault="00433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FC8C" w14:textId="77777777" w:rsidR="00433CE3" w:rsidRDefault="00433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00FA" w14:textId="77777777" w:rsidR="00433CE3" w:rsidRDefault="00433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D658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6417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6832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6E97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2065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1EAD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C4A3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5497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A047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9C61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C2543"/>
    <w:multiLevelType w:val="multilevel"/>
    <w:tmpl w:val="E014F3CC"/>
    <w:lvl w:ilvl="0">
      <w:start w:val="1"/>
      <w:numFmt w:val="decimal"/>
      <w:lvlText w:val="Section %1."/>
      <w:lvlJc w:val="left"/>
      <w:pPr>
        <w:tabs>
          <w:tab w:val="num" w:pos="360"/>
        </w:tabs>
        <w:ind w:left="360" w:hanging="360"/>
      </w:pPr>
    </w:lvl>
    <w:lvl w:ilvl="1">
      <w:start w:val="1"/>
      <w:numFmt w:val="decimal"/>
      <w:pStyle w:val="Heading24Body"/>
      <w:suff w:val="space"/>
      <w:lvlText w:val="Section %1.%2."/>
      <w:lvlJc w:val="left"/>
      <w:pPr>
        <w:tabs>
          <w:tab w:val="num" w:pos="1440"/>
        </w:tabs>
        <w:ind w:left="0" w:firstLine="720"/>
      </w:pPr>
      <w:rPr>
        <w:b w:val="0"/>
        <w:i w:val="0"/>
        <w:caps w:val="0"/>
        <w:sz w:val="24"/>
        <w:u w:val="none"/>
      </w:rPr>
    </w:lvl>
    <w:lvl w:ilvl="2">
      <w:start w:val="1"/>
      <w:numFmt w:val="lowerLetter"/>
      <w:pStyle w:val="Heading32Body"/>
      <w:lvlText w:val="(%3)"/>
      <w:lvlJc w:val="left"/>
      <w:pPr>
        <w:tabs>
          <w:tab w:val="num" w:pos="2160"/>
        </w:tabs>
        <w:ind w:left="720" w:firstLine="720"/>
      </w:pPr>
      <w:rPr>
        <w:b w:val="0"/>
        <w:i w:val="0"/>
        <w:caps w:val="0"/>
        <w:sz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4"/>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2704DC"/>
    <w:multiLevelType w:val="multilevel"/>
    <w:tmpl w:val="E522DC20"/>
    <w:name w:val="General Numbering (1a)"/>
    <w:lvl w:ilvl="0">
      <w:start w:val="1"/>
      <w:numFmt w:val="decimal"/>
      <w:lvlText w:val="Section %1."/>
      <w:lvlJc w:val="left"/>
      <w:pPr>
        <w:tabs>
          <w:tab w:val="num" w:pos="1800"/>
        </w:tabs>
        <w:ind w:left="0" w:firstLine="720"/>
      </w:pPr>
      <w:rPr>
        <w:rFonts w:hint="default"/>
        <w:caps w:val="0"/>
        <w:color w:val="auto"/>
        <w:u w:val="none"/>
      </w:rPr>
    </w:lvl>
    <w:lvl w:ilvl="1">
      <w:start w:val="1"/>
      <w:numFmt w:val="lowerLetter"/>
      <w:lvlText w:val="(%2)"/>
      <w:lvlJc w:val="left"/>
      <w:pPr>
        <w:tabs>
          <w:tab w:val="num" w:pos="1800"/>
        </w:tabs>
        <w:ind w:left="720" w:firstLine="720"/>
      </w:pPr>
      <w:rPr>
        <w:rFonts w:hint="default"/>
        <w:caps w:val="0"/>
        <w:color w:val="auto"/>
        <w:u w:val="none"/>
      </w:rPr>
    </w:lvl>
    <w:lvl w:ilvl="2">
      <w:start w:val="1"/>
      <w:numFmt w:val="lowerRoman"/>
      <w:lvlText w:val="(%3)"/>
      <w:lvlJc w:val="left"/>
      <w:pPr>
        <w:tabs>
          <w:tab w:val="num" w:pos="2880"/>
        </w:tabs>
        <w:ind w:left="1440" w:firstLine="720"/>
      </w:pPr>
      <w:rPr>
        <w:rFonts w:hint="default"/>
        <w:caps w:val="0"/>
        <w:color w:val="auto"/>
        <w:u w:val="none"/>
      </w:rPr>
    </w:lvl>
    <w:lvl w:ilvl="3">
      <w:start w:val="1"/>
      <w:numFmt w:val="decimal"/>
      <w:lvlText w:val="(%4)"/>
      <w:lvlJc w:val="left"/>
      <w:pPr>
        <w:tabs>
          <w:tab w:val="num" w:pos="3600"/>
        </w:tabs>
        <w:ind w:left="3600" w:hanging="720"/>
      </w:pPr>
      <w:rPr>
        <w:rFonts w:hint="default"/>
        <w:caps w:val="0"/>
        <w:color w:val="auto"/>
        <w:u w:val="none"/>
      </w:rPr>
    </w:lvl>
    <w:lvl w:ilvl="4">
      <w:start w:val="1"/>
      <w:numFmt w:val="lowerLetter"/>
      <w:lvlText w:val="%5."/>
      <w:lvlJc w:val="left"/>
      <w:pPr>
        <w:tabs>
          <w:tab w:val="num" w:pos="4320"/>
        </w:tabs>
        <w:ind w:left="4320" w:hanging="720"/>
      </w:pPr>
      <w:rPr>
        <w:rFonts w:hint="default"/>
        <w:caps w:val="0"/>
        <w:color w:val="auto"/>
        <w:u w:val="none"/>
      </w:rPr>
    </w:lvl>
    <w:lvl w:ilvl="5">
      <w:start w:val="1"/>
      <w:numFmt w:val="lowerRoman"/>
      <w:lvlText w:val="%6."/>
      <w:lvlJc w:val="left"/>
      <w:pPr>
        <w:tabs>
          <w:tab w:val="num" w:pos="5040"/>
        </w:tabs>
        <w:ind w:left="5040" w:hanging="720"/>
      </w:pPr>
      <w:rPr>
        <w:rFonts w:hint="default"/>
        <w:caps w:val="0"/>
        <w:color w:val="auto"/>
        <w:u w:val="none"/>
      </w:rPr>
    </w:lvl>
    <w:lvl w:ilvl="6">
      <w:start w:val="1"/>
      <w:numFmt w:val="decimal"/>
      <w:lvlText w:val="%7)"/>
      <w:lvlJc w:val="left"/>
      <w:pPr>
        <w:tabs>
          <w:tab w:val="num" w:pos="5760"/>
        </w:tabs>
        <w:ind w:left="5760" w:hanging="720"/>
      </w:pPr>
      <w:rPr>
        <w:rFonts w:hint="default"/>
        <w:caps w:val="0"/>
        <w:color w:val="auto"/>
        <w:u w:val="none"/>
      </w:rPr>
    </w:lvl>
    <w:lvl w:ilvl="7">
      <w:start w:val="1"/>
      <w:numFmt w:val="lowerLetter"/>
      <w:lvlText w:val="%8)"/>
      <w:lvlJc w:val="left"/>
      <w:pPr>
        <w:tabs>
          <w:tab w:val="num" w:pos="6480"/>
        </w:tabs>
        <w:ind w:left="6480" w:hanging="720"/>
      </w:pPr>
      <w:rPr>
        <w:rFonts w:hint="default"/>
        <w:caps w:val="0"/>
        <w:color w:val="auto"/>
        <w:u w:val="none"/>
      </w:rPr>
    </w:lvl>
    <w:lvl w:ilvl="8">
      <w:start w:val="1"/>
      <w:numFmt w:val="lowerRoman"/>
      <w:lvlText w:val="%9)"/>
      <w:lvlJc w:val="left"/>
      <w:pPr>
        <w:tabs>
          <w:tab w:val="num" w:pos="7200"/>
        </w:tabs>
        <w:ind w:left="7200" w:hanging="720"/>
      </w:pPr>
      <w:rPr>
        <w:rFonts w:hint="default"/>
        <w:caps w:val="0"/>
        <w:color w:val="auto"/>
        <w:u w:val="none"/>
      </w:rPr>
    </w:lvl>
  </w:abstractNum>
  <w:abstractNum w:abstractNumId="12" w15:restartNumberingAfterBreak="0">
    <w:nsid w:val="0CE97E5B"/>
    <w:multiLevelType w:val="hybridMultilevel"/>
    <w:tmpl w:val="6D722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F6A127D"/>
    <w:multiLevelType w:val="hybridMultilevel"/>
    <w:tmpl w:val="DB027412"/>
    <w:lvl w:ilvl="0" w:tplc="6A9663D4">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637C21"/>
    <w:multiLevelType w:val="multilevel"/>
    <w:tmpl w:val="D2F82180"/>
    <w:name w:val="BSAI Scheme 4"/>
    <w:lvl w:ilvl="0">
      <w:start w:val="1"/>
      <w:numFmt w:val="decimal"/>
      <w:pStyle w:val="Heading1"/>
      <w:lvlText w:val="Section %1."/>
      <w:lvlJc w:val="left"/>
      <w:pPr>
        <w:tabs>
          <w:tab w:val="num" w:pos="1800"/>
        </w:tabs>
        <w:ind w:left="0" w:firstLine="720"/>
      </w:pPr>
      <w:rPr>
        <w:rFonts w:hint="default"/>
        <w:caps w:val="0"/>
        <w:color w:val="auto"/>
        <w:u w:val="none"/>
      </w:rPr>
    </w:lvl>
    <w:lvl w:ilvl="1">
      <w:start w:val="1"/>
      <w:numFmt w:val="lowerLetter"/>
      <w:pStyle w:val="Heading2"/>
      <w:lvlText w:val="(%2)"/>
      <w:lvlJc w:val="left"/>
      <w:pPr>
        <w:tabs>
          <w:tab w:val="num" w:pos="1800"/>
        </w:tabs>
        <w:ind w:left="720" w:firstLine="720"/>
      </w:pPr>
      <w:rPr>
        <w:rFonts w:hint="default"/>
        <w:caps w:val="0"/>
        <w:color w:val="auto"/>
        <w:u w:val="none"/>
      </w:rPr>
    </w:lvl>
    <w:lvl w:ilvl="2">
      <w:start w:val="1"/>
      <w:numFmt w:val="lowerRoman"/>
      <w:pStyle w:val="Heading3"/>
      <w:lvlText w:val="(%3)"/>
      <w:lvlJc w:val="left"/>
      <w:pPr>
        <w:tabs>
          <w:tab w:val="num" w:pos="2880"/>
        </w:tabs>
        <w:ind w:left="1440" w:firstLine="720"/>
      </w:pPr>
      <w:rPr>
        <w:rFonts w:hint="default"/>
        <w:caps w:val="0"/>
        <w:color w:val="auto"/>
        <w:u w:val="none"/>
      </w:rPr>
    </w:lvl>
    <w:lvl w:ilvl="3">
      <w:start w:val="1"/>
      <w:numFmt w:val="decimal"/>
      <w:pStyle w:val="Heading4"/>
      <w:lvlText w:val="(%4)"/>
      <w:lvlJc w:val="left"/>
      <w:pPr>
        <w:tabs>
          <w:tab w:val="num" w:pos="4320"/>
        </w:tabs>
        <w:ind w:left="4320" w:hanging="720"/>
      </w:pPr>
      <w:rPr>
        <w:rFonts w:hint="default"/>
        <w:caps w:val="0"/>
        <w:color w:val="auto"/>
        <w:u w:val="none"/>
      </w:rPr>
    </w:lvl>
    <w:lvl w:ilvl="4">
      <w:start w:val="1"/>
      <w:numFmt w:val="lowerLetter"/>
      <w:pStyle w:val="Heading5"/>
      <w:lvlText w:val="%5."/>
      <w:lvlJc w:val="left"/>
      <w:pPr>
        <w:tabs>
          <w:tab w:val="num" w:pos="5040"/>
        </w:tabs>
        <w:ind w:left="5040" w:hanging="720"/>
      </w:pPr>
      <w:rPr>
        <w:rFonts w:hint="default"/>
        <w:caps w:val="0"/>
        <w:color w:val="auto"/>
        <w:u w:val="none"/>
      </w:rPr>
    </w:lvl>
    <w:lvl w:ilvl="5">
      <w:start w:val="1"/>
      <w:numFmt w:val="lowerRoman"/>
      <w:pStyle w:val="Heading6"/>
      <w:lvlText w:val="%6."/>
      <w:lvlJc w:val="left"/>
      <w:pPr>
        <w:tabs>
          <w:tab w:val="num" w:pos="5760"/>
        </w:tabs>
        <w:ind w:left="5760" w:hanging="720"/>
      </w:pPr>
      <w:rPr>
        <w:rFonts w:hint="default"/>
        <w:caps w:val="0"/>
        <w:color w:val="auto"/>
        <w:u w:val="none"/>
      </w:rPr>
    </w:lvl>
    <w:lvl w:ilvl="6">
      <w:start w:val="1"/>
      <w:numFmt w:val="decimal"/>
      <w:pStyle w:val="Heading7"/>
      <w:lvlText w:val="%7)"/>
      <w:lvlJc w:val="left"/>
      <w:pPr>
        <w:tabs>
          <w:tab w:val="num" w:pos="6480"/>
        </w:tabs>
        <w:ind w:left="6480" w:hanging="720"/>
      </w:pPr>
      <w:rPr>
        <w:rFonts w:hint="default"/>
        <w:caps w:val="0"/>
        <w:color w:val="auto"/>
        <w:u w:val="none"/>
      </w:rPr>
    </w:lvl>
    <w:lvl w:ilvl="7">
      <w:start w:val="1"/>
      <w:numFmt w:val="lowerLetter"/>
      <w:pStyle w:val="Heading8"/>
      <w:lvlText w:val="%8)"/>
      <w:lvlJc w:val="left"/>
      <w:pPr>
        <w:tabs>
          <w:tab w:val="num" w:pos="7200"/>
        </w:tabs>
        <w:ind w:left="7200" w:hanging="720"/>
      </w:pPr>
      <w:rPr>
        <w:rFonts w:hint="default"/>
        <w:caps w:val="0"/>
        <w:color w:val="auto"/>
        <w:u w:val="none"/>
      </w:rPr>
    </w:lvl>
    <w:lvl w:ilvl="8">
      <w:start w:val="1"/>
      <w:numFmt w:val="lowerRoman"/>
      <w:pStyle w:val="Heading9"/>
      <w:lvlText w:val="%9)"/>
      <w:lvlJc w:val="left"/>
      <w:pPr>
        <w:tabs>
          <w:tab w:val="num" w:pos="7920"/>
        </w:tabs>
        <w:ind w:left="7920" w:hanging="720"/>
      </w:pPr>
      <w:rPr>
        <w:rFonts w:hint="default"/>
        <w:caps w:val="0"/>
        <w:color w:val="auto"/>
        <w:u w:val="none"/>
      </w:rPr>
    </w:lvl>
  </w:abstractNum>
  <w:abstractNum w:abstractNumId="15" w15:restartNumberingAfterBreak="0">
    <w:nsid w:val="19C5433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00721B"/>
    <w:multiLevelType w:val="hybridMultilevel"/>
    <w:tmpl w:val="E26C0C2E"/>
    <w:lvl w:ilvl="0" w:tplc="E1DC6488">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D9421D"/>
    <w:multiLevelType w:val="multilevel"/>
    <w:tmpl w:val="F5BCC148"/>
    <w:lvl w:ilvl="0">
      <w:start w:val="1"/>
      <w:numFmt w:val="decimal"/>
      <w:lvlText w:val="Section %1."/>
      <w:lvlJc w:val="left"/>
      <w:pPr>
        <w:tabs>
          <w:tab w:val="num" w:pos="1800"/>
        </w:tabs>
        <w:ind w:left="0" w:firstLine="720"/>
      </w:pPr>
      <w:rPr>
        <w:rFonts w:hint="default"/>
        <w:caps w:val="0"/>
        <w:color w:val="auto"/>
        <w:u w:val="none"/>
      </w:rPr>
    </w:lvl>
    <w:lvl w:ilvl="1">
      <w:start w:val="1"/>
      <w:numFmt w:val="lowerLetter"/>
      <w:lvlText w:val="(%2)"/>
      <w:lvlJc w:val="left"/>
      <w:pPr>
        <w:tabs>
          <w:tab w:val="num" w:pos="1800"/>
        </w:tabs>
        <w:ind w:left="720" w:firstLine="720"/>
      </w:pPr>
      <w:rPr>
        <w:rFonts w:hint="default"/>
        <w:caps w:val="0"/>
        <w:color w:val="auto"/>
        <w:u w:val="none"/>
      </w:rPr>
    </w:lvl>
    <w:lvl w:ilvl="2">
      <w:start w:val="1"/>
      <w:numFmt w:val="lowerRoman"/>
      <w:lvlText w:val="(%3)"/>
      <w:lvlJc w:val="left"/>
      <w:pPr>
        <w:tabs>
          <w:tab w:val="num" w:pos="2880"/>
        </w:tabs>
        <w:ind w:left="1440" w:firstLine="720"/>
      </w:pPr>
      <w:rPr>
        <w:rFonts w:hint="default"/>
        <w:caps w:val="0"/>
        <w:color w:val="auto"/>
        <w:u w:val="none"/>
      </w:rPr>
    </w:lvl>
    <w:lvl w:ilvl="3">
      <w:start w:val="1"/>
      <w:numFmt w:val="decimal"/>
      <w:lvlText w:val="(%4)"/>
      <w:lvlJc w:val="left"/>
      <w:pPr>
        <w:tabs>
          <w:tab w:val="num" w:pos="3240"/>
        </w:tabs>
        <w:ind w:left="2160" w:firstLine="720"/>
      </w:pPr>
      <w:rPr>
        <w:rFonts w:hint="default"/>
        <w:caps w:val="0"/>
        <w:color w:val="auto"/>
        <w:u w:val="none"/>
      </w:rPr>
    </w:lvl>
    <w:lvl w:ilvl="4">
      <w:start w:val="1"/>
      <w:numFmt w:val="lowerLetter"/>
      <w:lvlText w:val="%5."/>
      <w:lvlJc w:val="left"/>
      <w:pPr>
        <w:tabs>
          <w:tab w:val="num" w:pos="5040"/>
        </w:tabs>
        <w:ind w:left="0" w:firstLine="4320"/>
      </w:pPr>
      <w:rPr>
        <w:rFonts w:hint="default"/>
        <w:caps w:val="0"/>
        <w:color w:val="auto"/>
        <w:u w:val="none"/>
      </w:rPr>
    </w:lvl>
    <w:lvl w:ilvl="5">
      <w:start w:val="1"/>
      <w:numFmt w:val="lowerRoman"/>
      <w:lvlText w:val="%6."/>
      <w:lvlJc w:val="left"/>
      <w:pPr>
        <w:tabs>
          <w:tab w:val="num" w:pos="5760"/>
        </w:tabs>
        <w:ind w:left="0" w:firstLine="5040"/>
      </w:pPr>
      <w:rPr>
        <w:rFonts w:hint="default"/>
        <w:caps w:val="0"/>
        <w:color w:val="auto"/>
        <w:u w:val="none"/>
      </w:rPr>
    </w:lvl>
    <w:lvl w:ilvl="6">
      <w:start w:val="1"/>
      <w:numFmt w:val="decimal"/>
      <w:lvlText w:val="%7)"/>
      <w:lvlJc w:val="left"/>
      <w:pPr>
        <w:tabs>
          <w:tab w:val="num" w:pos="6480"/>
        </w:tabs>
        <w:ind w:left="0" w:firstLine="5760"/>
      </w:pPr>
      <w:rPr>
        <w:rFonts w:hint="default"/>
        <w:caps w:val="0"/>
        <w:color w:val="auto"/>
        <w:u w:val="none"/>
      </w:rPr>
    </w:lvl>
    <w:lvl w:ilvl="7">
      <w:start w:val="1"/>
      <w:numFmt w:val="lowerLetter"/>
      <w:lvlText w:val="%8)"/>
      <w:lvlJc w:val="left"/>
      <w:pPr>
        <w:tabs>
          <w:tab w:val="num" w:pos="7200"/>
        </w:tabs>
        <w:ind w:left="0" w:firstLine="6480"/>
      </w:pPr>
      <w:rPr>
        <w:rFonts w:hint="default"/>
        <w:caps w:val="0"/>
        <w:color w:val="auto"/>
        <w:u w:val="none"/>
      </w:rPr>
    </w:lvl>
    <w:lvl w:ilvl="8">
      <w:start w:val="1"/>
      <w:numFmt w:val="lowerRoman"/>
      <w:lvlText w:val="%9)"/>
      <w:lvlJc w:val="left"/>
      <w:pPr>
        <w:tabs>
          <w:tab w:val="num" w:pos="7920"/>
        </w:tabs>
        <w:ind w:left="0" w:firstLine="7200"/>
      </w:pPr>
      <w:rPr>
        <w:rFonts w:hint="default"/>
        <w:caps w:val="0"/>
        <w:color w:val="auto"/>
        <w:u w:val="none"/>
      </w:rPr>
    </w:lvl>
  </w:abstractNum>
  <w:abstractNum w:abstractNumId="20" w15:restartNumberingAfterBreak="0">
    <w:nsid w:val="5A5E1535"/>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B995963"/>
    <w:multiLevelType w:val="hybridMultilevel"/>
    <w:tmpl w:val="230A818A"/>
    <w:lvl w:ilvl="0" w:tplc="C71E5206">
      <w:start w:val="1"/>
      <w:numFmt w:val="upperLetter"/>
      <w:lvlText w:val="(%1)"/>
      <w:lvlJc w:val="left"/>
      <w:pPr>
        <w:ind w:left="4755" w:hanging="435"/>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2" w15:restartNumberingAfterBreak="0">
    <w:nsid w:val="5C270681"/>
    <w:multiLevelType w:val="multilevel"/>
    <w:tmpl w:val="69F68A04"/>
    <w:lvl w:ilvl="0">
      <w:start w:val="1"/>
      <w:numFmt w:val="decimal"/>
      <w:lvlText w:val="Section %1."/>
      <w:lvlJc w:val="left"/>
      <w:pPr>
        <w:tabs>
          <w:tab w:val="num" w:pos="1800"/>
        </w:tabs>
        <w:ind w:left="0" w:firstLine="720"/>
      </w:pPr>
      <w:rPr>
        <w:rFonts w:hint="default"/>
      </w:rPr>
    </w:lvl>
    <w:lvl w:ilvl="1">
      <w:start w:val="1"/>
      <w:numFmt w:val="lowerLetter"/>
      <w:lvlText w:val="(%2)"/>
      <w:lvlJc w:val="left"/>
      <w:pPr>
        <w:tabs>
          <w:tab w:val="num" w:pos="1800"/>
        </w:tabs>
        <w:ind w:left="720" w:firstLine="720"/>
      </w:pPr>
      <w:rPr>
        <w:rFonts w:hint="default"/>
      </w:rPr>
    </w:lvl>
    <w:lvl w:ilvl="2">
      <w:start w:val="1"/>
      <w:numFmt w:val="lowerRoman"/>
      <w:lvlText w:val="%3."/>
      <w:lvlJc w:val="left"/>
      <w:pPr>
        <w:tabs>
          <w:tab w:val="num" w:pos="2880"/>
        </w:tabs>
        <w:ind w:left="1440" w:firstLine="720"/>
      </w:pPr>
      <w:rPr>
        <w:rFonts w:hint="default"/>
      </w:rPr>
    </w:lvl>
    <w:lvl w:ilvl="3">
      <w:start w:val="1"/>
      <w:numFmt w:val="decimal"/>
      <w:lvlText w:val="(%4)"/>
      <w:lvlJc w:val="left"/>
      <w:pPr>
        <w:tabs>
          <w:tab w:val="num" w:pos="3240"/>
        </w:tabs>
        <w:ind w:left="2160" w:firstLine="720"/>
      </w:pPr>
      <w:rPr>
        <w:rFonts w:hint="default"/>
      </w:rPr>
    </w:lvl>
    <w:lvl w:ilvl="4">
      <w:start w:val="1"/>
      <w:numFmt w:val="lowerLetter"/>
      <w:lvlText w:val="(%5)"/>
      <w:lvlJc w:val="left"/>
      <w:pPr>
        <w:tabs>
          <w:tab w:val="num" w:pos="3960"/>
        </w:tabs>
        <w:ind w:left="2880" w:firstLine="720"/>
      </w:pPr>
      <w:rPr>
        <w:rFonts w:hint="default"/>
      </w:rPr>
    </w:lvl>
    <w:lvl w:ilvl="5">
      <w:start w:val="1"/>
      <w:numFmt w:val="lowerRoman"/>
      <w:lvlText w:val="(%6)"/>
      <w:lvlJc w:val="left"/>
      <w:pPr>
        <w:tabs>
          <w:tab w:val="num" w:pos="5040"/>
        </w:tabs>
        <w:ind w:left="3600" w:firstLine="720"/>
      </w:pPr>
      <w:rPr>
        <w:rFonts w:hint="default"/>
      </w:rPr>
    </w:lvl>
    <w:lvl w:ilvl="6">
      <w:start w:val="1"/>
      <w:numFmt w:val="decimal"/>
      <w:lvlText w:val="%7)"/>
      <w:lvlJc w:val="left"/>
      <w:pPr>
        <w:tabs>
          <w:tab w:val="num" w:pos="5400"/>
        </w:tabs>
        <w:ind w:left="2880" w:firstLine="2160"/>
      </w:pPr>
      <w:rPr>
        <w:rFonts w:hint="default"/>
      </w:rPr>
    </w:lvl>
    <w:lvl w:ilvl="7">
      <w:start w:val="1"/>
      <w:numFmt w:val="lowerLetter"/>
      <w:lvlText w:val="%8)"/>
      <w:lvlJc w:val="left"/>
      <w:pPr>
        <w:tabs>
          <w:tab w:val="num" w:pos="6120"/>
        </w:tabs>
        <w:ind w:left="3600" w:firstLine="2160"/>
      </w:pPr>
      <w:rPr>
        <w:rFonts w:hint="default"/>
      </w:rPr>
    </w:lvl>
    <w:lvl w:ilvl="8">
      <w:start w:val="1"/>
      <w:numFmt w:val="lowerRoman"/>
      <w:lvlText w:val="%9)"/>
      <w:lvlJc w:val="left"/>
      <w:pPr>
        <w:tabs>
          <w:tab w:val="num" w:pos="7200"/>
        </w:tabs>
        <w:ind w:left="4320" w:firstLine="2160"/>
      </w:pPr>
      <w:rPr>
        <w:rFonts w:hint="default"/>
      </w:rPr>
    </w:lvl>
  </w:abstractNum>
  <w:num w:numId="1" w16cid:durableId="830026835">
    <w:abstractNumId w:val="18"/>
  </w:num>
  <w:num w:numId="2" w16cid:durableId="120154974">
    <w:abstractNumId w:val="13"/>
  </w:num>
  <w:num w:numId="3" w16cid:durableId="1973555843">
    <w:abstractNumId w:val="14"/>
  </w:num>
  <w:num w:numId="4" w16cid:durableId="1434932446">
    <w:abstractNumId w:val="6"/>
  </w:num>
  <w:num w:numId="5" w16cid:durableId="1982997125">
    <w:abstractNumId w:val="9"/>
  </w:num>
  <w:num w:numId="6" w16cid:durableId="194345308">
    <w:abstractNumId w:val="7"/>
  </w:num>
  <w:num w:numId="7" w16cid:durableId="1449934396">
    <w:abstractNumId w:val="5"/>
  </w:num>
  <w:num w:numId="8" w16cid:durableId="940335167">
    <w:abstractNumId w:val="4"/>
  </w:num>
  <w:num w:numId="9" w16cid:durableId="948589361">
    <w:abstractNumId w:val="8"/>
  </w:num>
  <w:num w:numId="10" w16cid:durableId="1345476575">
    <w:abstractNumId w:val="3"/>
  </w:num>
  <w:num w:numId="11" w16cid:durableId="1512988603">
    <w:abstractNumId w:val="2"/>
  </w:num>
  <w:num w:numId="12" w16cid:durableId="214466370">
    <w:abstractNumId w:val="1"/>
  </w:num>
  <w:num w:numId="13" w16cid:durableId="16977894">
    <w:abstractNumId w:val="0"/>
  </w:num>
  <w:num w:numId="14" w16cid:durableId="526677599">
    <w:abstractNumId w:val="17"/>
  </w:num>
  <w:num w:numId="15" w16cid:durableId="529806195">
    <w:abstractNumId w:val="18"/>
  </w:num>
  <w:num w:numId="16" w16cid:durableId="404571421">
    <w:abstractNumId w:val="13"/>
  </w:num>
  <w:num w:numId="17" w16cid:durableId="1238052874">
    <w:abstractNumId w:val="16"/>
  </w:num>
  <w:num w:numId="18" w16cid:durableId="96145605">
    <w:abstractNumId w:val="14"/>
  </w:num>
  <w:num w:numId="19" w16cid:durableId="18874497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621190">
    <w:abstractNumId w:val="10"/>
  </w:num>
  <w:num w:numId="21" w16cid:durableId="126054459">
    <w:abstractNumId w:val="14"/>
  </w:num>
  <w:num w:numId="22" w16cid:durableId="259223463">
    <w:abstractNumId w:val="14"/>
  </w:num>
  <w:num w:numId="23" w16cid:durableId="999650367">
    <w:abstractNumId w:val="14"/>
  </w:num>
  <w:num w:numId="24" w16cid:durableId="1918663683">
    <w:abstractNumId w:val="14"/>
  </w:num>
  <w:num w:numId="25" w16cid:durableId="176703096">
    <w:abstractNumId w:val="14"/>
  </w:num>
  <w:num w:numId="26" w16cid:durableId="1578711769">
    <w:abstractNumId w:val="14"/>
  </w:num>
  <w:num w:numId="27" w16cid:durableId="324289236">
    <w:abstractNumId w:val="14"/>
  </w:num>
  <w:num w:numId="28" w16cid:durableId="28989635">
    <w:abstractNumId w:val="14"/>
  </w:num>
  <w:num w:numId="29" w16cid:durableId="239759870">
    <w:abstractNumId w:val="14"/>
  </w:num>
  <w:num w:numId="30" w16cid:durableId="1078290658">
    <w:abstractNumId w:val="14"/>
  </w:num>
  <w:num w:numId="31" w16cid:durableId="727801836">
    <w:abstractNumId w:val="14"/>
  </w:num>
  <w:num w:numId="32" w16cid:durableId="1468930641">
    <w:abstractNumId w:val="14"/>
  </w:num>
  <w:num w:numId="33" w16cid:durableId="741566245">
    <w:abstractNumId w:val="14"/>
  </w:num>
  <w:num w:numId="34" w16cid:durableId="1284773743">
    <w:abstractNumId w:val="21"/>
  </w:num>
  <w:num w:numId="35" w16cid:durableId="53681819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clickAndTypeStyle w:val="Double"/>
  <w:drawingGridHorizontalSpacing w:val="120"/>
  <w:drawingGridVerticalSpacing w:val="163"/>
  <w:displayHorizontalDrawingGridEvery w:val="0"/>
  <w:displayVerticalDrawingGridEvery w:val="2"/>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917-0923-6130, v. 4"/>
    <w:docVar w:name="ndGeneratedStampLocation" w:val="ExceptFirst"/>
  </w:docVars>
  <w:rsids>
    <w:rsidRoot w:val="00B222FA"/>
    <w:rsid w:val="00000B2F"/>
    <w:rsid w:val="00002BE4"/>
    <w:rsid w:val="000036E0"/>
    <w:rsid w:val="00004250"/>
    <w:rsid w:val="0000463D"/>
    <w:rsid w:val="00006981"/>
    <w:rsid w:val="00006C45"/>
    <w:rsid w:val="00007E38"/>
    <w:rsid w:val="000100A6"/>
    <w:rsid w:val="0001315C"/>
    <w:rsid w:val="0001352D"/>
    <w:rsid w:val="000140C9"/>
    <w:rsid w:val="00015C5F"/>
    <w:rsid w:val="00017679"/>
    <w:rsid w:val="00017EA5"/>
    <w:rsid w:val="00021597"/>
    <w:rsid w:val="00021E53"/>
    <w:rsid w:val="0002206A"/>
    <w:rsid w:val="00022DD7"/>
    <w:rsid w:val="00025C08"/>
    <w:rsid w:val="00027332"/>
    <w:rsid w:val="00027E09"/>
    <w:rsid w:val="00027F10"/>
    <w:rsid w:val="0003044D"/>
    <w:rsid w:val="00030760"/>
    <w:rsid w:val="00031714"/>
    <w:rsid w:val="0003364D"/>
    <w:rsid w:val="00033B5C"/>
    <w:rsid w:val="0003432B"/>
    <w:rsid w:val="00034BE8"/>
    <w:rsid w:val="00036AF2"/>
    <w:rsid w:val="0003798D"/>
    <w:rsid w:val="00037D8F"/>
    <w:rsid w:val="00040E16"/>
    <w:rsid w:val="00042048"/>
    <w:rsid w:val="0004402D"/>
    <w:rsid w:val="00045906"/>
    <w:rsid w:val="0005171E"/>
    <w:rsid w:val="000521FB"/>
    <w:rsid w:val="00054D71"/>
    <w:rsid w:val="00056CB2"/>
    <w:rsid w:val="000616F2"/>
    <w:rsid w:val="0006221A"/>
    <w:rsid w:val="000622E2"/>
    <w:rsid w:val="0006385C"/>
    <w:rsid w:val="00063A38"/>
    <w:rsid w:val="00064C9C"/>
    <w:rsid w:val="00065034"/>
    <w:rsid w:val="00065A94"/>
    <w:rsid w:val="00070E32"/>
    <w:rsid w:val="000712D1"/>
    <w:rsid w:val="000767FC"/>
    <w:rsid w:val="000805FE"/>
    <w:rsid w:val="00080D7F"/>
    <w:rsid w:val="0008332B"/>
    <w:rsid w:val="00083A13"/>
    <w:rsid w:val="000856D5"/>
    <w:rsid w:val="00085A42"/>
    <w:rsid w:val="00085DAF"/>
    <w:rsid w:val="000871CA"/>
    <w:rsid w:val="00087E80"/>
    <w:rsid w:val="00090452"/>
    <w:rsid w:val="00091304"/>
    <w:rsid w:val="00093C06"/>
    <w:rsid w:val="000A1D3B"/>
    <w:rsid w:val="000A2566"/>
    <w:rsid w:val="000A3F8C"/>
    <w:rsid w:val="000A52F9"/>
    <w:rsid w:val="000A5C50"/>
    <w:rsid w:val="000A7C88"/>
    <w:rsid w:val="000B1378"/>
    <w:rsid w:val="000B1689"/>
    <w:rsid w:val="000B6BF4"/>
    <w:rsid w:val="000B7777"/>
    <w:rsid w:val="000C006D"/>
    <w:rsid w:val="000C07E9"/>
    <w:rsid w:val="000C0C3F"/>
    <w:rsid w:val="000C3A3E"/>
    <w:rsid w:val="000C4976"/>
    <w:rsid w:val="000C5237"/>
    <w:rsid w:val="000C58BF"/>
    <w:rsid w:val="000D49ED"/>
    <w:rsid w:val="000D7B6D"/>
    <w:rsid w:val="000E1C0E"/>
    <w:rsid w:val="000E1E21"/>
    <w:rsid w:val="000E2354"/>
    <w:rsid w:val="000E4703"/>
    <w:rsid w:val="000E50B2"/>
    <w:rsid w:val="000E5CBB"/>
    <w:rsid w:val="000E68B6"/>
    <w:rsid w:val="000E6BD6"/>
    <w:rsid w:val="000F0B76"/>
    <w:rsid w:val="000F15F9"/>
    <w:rsid w:val="000F1865"/>
    <w:rsid w:val="000F21ED"/>
    <w:rsid w:val="000F4008"/>
    <w:rsid w:val="000F7370"/>
    <w:rsid w:val="000F7C51"/>
    <w:rsid w:val="00100487"/>
    <w:rsid w:val="001005AC"/>
    <w:rsid w:val="00102249"/>
    <w:rsid w:val="00103418"/>
    <w:rsid w:val="00103694"/>
    <w:rsid w:val="00103C19"/>
    <w:rsid w:val="00103C3D"/>
    <w:rsid w:val="001040A1"/>
    <w:rsid w:val="00104BDD"/>
    <w:rsid w:val="00104DAA"/>
    <w:rsid w:val="0010581E"/>
    <w:rsid w:val="00106876"/>
    <w:rsid w:val="001078D2"/>
    <w:rsid w:val="00107DC9"/>
    <w:rsid w:val="00110794"/>
    <w:rsid w:val="001119F9"/>
    <w:rsid w:val="001127EC"/>
    <w:rsid w:val="00115606"/>
    <w:rsid w:val="001172FB"/>
    <w:rsid w:val="00120410"/>
    <w:rsid w:val="0012095E"/>
    <w:rsid w:val="001212BB"/>
    <w:rsid w:val="00122B0D"/>
    <w:rsid w:val="00123345"/>
    <w:rsid w:val="00124287"/>
    <w:rsid w:val="00124CCD"/>
    <w:rsid w:val="00124F72"/>
    <w:rsid w:val="001257B2"/>
    <w:rsid w:val="0012586B"/>
    <w:rsid w:val="001258F5"/>
    <w:rsid w:val="00125C6B"/>
    <w:rsid w:val="0012627B"/>
    <w:rsid w:val="0012799B"/>
    <w:rsid w:val="00130C24"/>
    <w:rsid w:val="001310C2"/>
    <w:rsid w:val="00132AEF"/>
    <w:rsid w:val="001338EB"/>
    <w:rsid w:val="00133C8F"/>
    <w:rsid w:val="001340C1"/>
    <w:rsid w:val="00135124"/>
    <w:rsid w:val="00135A3D"/>
    <w:rsid w:val="00135EF0"/>
    <w:rsid w:val="00140272"/>
    <w:rsid w:val="00142B1C"/>
    <w:rsid w:val="00146A55"/>
    <w:rsid w:val="001476AF"/>
    <w:rsid w:val="001500B2"/>
    <w:rsid w:val="00151467"/>
    <w:rsid w:val="00151E97"/>
    <w:rsid w:val="001524DE"/>
    <w:rsid w:val="0015398B"/>
    <w:rsid w:val="00156F04"/>
    <w:rsid w:val="00160EF0"/>
    <w:rsid w:val="00162563"/>
    <w:rsid w:val="001627E7"/>
    <w:rsid w:val="00162DE1"/>
    <w:rsid w:val="00164119"/>
    <w:rsid w:val="00164F09"/>
    <w:rsid w:val="001665E6"/>
    <w:rsid w:val="00170604"/>
    <w:rsid w:val="00170D49"/>
    <w:rsid w:val="00171F89"/>
    <w:rsid w:val="00172161"/>
    <w:rsid w:val="0017453B"/>
    <w:rsid w:val="00175397"/>
    <w:rsid w:val="00175BA1"/>
    <w:rsid w:val="00176148"/>
    <w:rsid w:val="00176A0E"/>
    <w:rsid w:val="001772C8"/>
    <w:rsid w:val="001807B4"/>
    <w:rsid w:val="001820CE"/>
    <w:rsid w:val="001823BA"/>
    <w:rsid w:val="001827E1"/>
    <w:rsid w:val="00184802"/>
    <w:rsid w:val="00184C98"/>
    <w:rsid w:val="00186ABB"/>
    <w:rsid w:val="00193985"/>
    <w:rsid w:val="00193AD1"/>
    <w:rsid w:val="00193E29"/>
    <w:rsid w:val="00194CC9"/>
    <w:rsid w:val="00194EBA"/>
    <w:rsid w:val="00194EBF"/>
    <w:rsid w:val="00194F5D"/>
    <w:rsid w:val="00195688"/>
    <w:rsid w:val="00196145"/>
    <w:rsid w:val="001A4D11"/>
    <w:rsid w:val="001A5927"/>
    <w:rsid w:val="001A5D9B"/>
    <w:rsid w:val="001A7DEC"/>
    <w:rsid w:val="001B1F2D"/>
    <w:rsid w:val="001B6F12"/>
    <w:rsid w:val="001C1527"/>
    <w:rsid w:val="001C15EE"/>
    <w:rsid w:val="001C300A"/>
    <w:rsid w:val="001C5DB2"/>
    <w:rsid w:val="001C6821"/>
    <w:rsid w:val="001C68E5"/>
    <w:rsid w:val="001D12C5"/>
    <w:rsid w:val="001D18F3"/>
    <w:rsid w:val="001D2FEB"/>
    <w:rsid w:val="001D3022"/>
    <w:rsid w:val="001D3EF0"/>
    <w:rsid w:val="001D40D7"/>
    <w:rsid w:val="001D50CD"/>
    <w:rsid w:val="001D5A17"/>
    <w:rsid w:val="001D5DC3"/>
    <w:rsid w:val="001D7988"/>
    <w:rsid w:val="001E1761"/>
    <w:rsid w:val="001E5386"/>
    <w:rsid w:val="001E684E"/>
    <w:rsid w:val="001F26D0"/>
    <w:rsid w:val="001F49E9"/>
    <w:rsid w:val="001F79C9"/>
    <w:rsid w:val="001F7BF2"/>
    <w:rsid w:val="00200713"/>
    <w:rsid w:val="00201FA8"/>
    <w:rsid w:val="0020688D"/>
    <w:rsid w:val="002071B6"/>
    <w:rsid w:val="002108B0"/>
    <w:rsid w:val="00211843"/>
    <w:rsid w:val="00212509"/>
    <w:rsid w:val="002141BB"/>
    <w:rsid w:val="00216568"/>
    <w:rsid w:val="00217FDF"/>
    <w:rsid w:val="0022034E"/>
    <w:rsid w:val="00225C56"/>
    <w:rsid w:val="002264B1"/>
    <w:rsid w:val="00235845"/>
    <w:rsid w:val="00235B7A"/>
    <w:rsid w:val="002361B1"/>
    <w:rsid w:val="00237614"/>
    <w:rsid w:val="00243182"/>
    <w:rsid w:val="00243458"/>
    <w:rsid w:val="00246223"/>
    <w:rsid w:val="0024725E"/>
    <w:rsid w:val="00247A4F"/>
    <w:rsid w:val="002512AC"/>
    <w:rsid w:val="00251ECD"/>
    <w:rsid w:val="00252864"/>
    <w:rsid w:val="00252D36"/>
    <w:rsid w:val="00253AF9"/>
    <w:rsid w:val="002540AF"/>
    <w:rsid w:val="00255846"/>
    <w:rsid w:val="00260406"/>
    <w:rsid w:val="00260EBE"/>
    <w:rsid w:val="00261FB1"/>
    <w:rsid w:val="00263F73"/>
    <w:rsid w:val="00264458"/>
    <w:rsid w:val="0026560B"/>
    <w:rsid w:val="0026644B"/>
    <w:rsid w:val="00266BA9"/>
    <w:rsid w:val="00266D8F"/>
    <w:rsid w:val="002749B0"/>
    <w:rsid w:val="00277942"/>
    <w:rsid w:val="002807AF"/>
    <w:rsid w:val="00281524"/>
    <w:rsid w:val="002816A4"/>
    <w:rsid w:val="00281BEA"/>
    <w:rsid w:val="0028363C"/>
    <w:rsid w:val="0028551A"/>
    <w:rsid w:val="00285C81"/>
    <w:rsid w:val="0029045E"/>
    <w:rsid w:val="002908E7"/>
    <w:rsid w:val="0029143B"/>
    <w:rsid w:val="002914F8"/>
    <w:rsid w:val="002931D0"/>
    <w:rsid w:val="002950B7"/>
    <w:rsid w:val="002953FC"/>
    <w:rsid w:val="0029546C"/>
    <w:rsid w:val="00296F12"/>
    <w:rsid w:val="002A56BC"/>
    <w:rsid w:val="002B0C74"/>
    <w:rsid w:val="002B102E"/>
    <w:rsid w:val="002B1A2C"/>
    <w:rsid w:val="002B46DD"/>
    <w:rsid w:val="002C0DA2"/>
    <w:rsid w:val="002C26E1"/>
    <w:rsid w:val="002C2AC1"/>
    <w:rsid w:val="002C2B00"/>
    <w:rsid w:val="002C6965"/>
    <w:rsid w:val="002C7886"/>
    <w:rsid w:val="002C7E92"/>
    <w:rsid w:val="002D2120"/>
    <w:rsid w:val="002D6C03"/>
    <w:rsid w:val="002D70A7"/>
    <w:rsid w:val="002E0159"/>
    <w:rsid w:val="002E1831"/>
    <w:rsid w:val="002E1922"/>
    <w:rsid w:val="002E1FDF"/>
    <w:rsid w:val="002E34B3"/>
    <w:rsid w:val="002E47AD"/>
    <w:rsid w:val="002E4DF4"/>
    <w:rsid w:val="002E536B"/>
    <w:rsid w:val="002F66AE"/>
    <w:rsid w:val="002F721F"/>
    <w:rsid w:val="00300669"/>
    <w:rsid w:val="00301A59"/>
    <w:rsid w:val="00302B46"/>
    <w:rsid w:val="00303B3E"/>
    <w:rsid w:val="0030475D"/>
    <w:rsid w:val="00304EBB"/>
    <w:rsid w:val="0030558F"/>
    <w:rsid w:val="0030737D"/>
    <w:rsid w:val="00310D34"/>
    <w:rsid w:val="00310FF4"/>
    <w:rsid w:val="00314421"/>
    <w:rsid w:val="00316372"/>
    <w:rsid w:val="00316AFD"/>
    <w:rsid w:val="00321BB3"/>
    <w:rsid w:val="00322DD9"/>
    <w:rsid w:val="00327762"/>
    <w:rsid w:val="00330522"/>
    <w:rsid w:val="0033253A"/>
    <w:rsid w:val="00333492"/>
    <w:rsid w:val="0033372A"/>
    <w:rsid w:val="00335DBC"/>
    <w:rsid w:val="00342423"/>
    <w:rsid w:val="00343F7C"/>
    <w:rsid w:val="00345D58"/>
    <w:rsid w:val="003473E5"/>
    <w:rsid w:val="00347F22"/>
    <w:rsid w:val="0035085C"/>
    <w:rsid w:val="00350FDB"/>
    <w:rsid w:val="00351695"/>
    <w:rsid w:val="00351B13"/>
    <w:rsid w:val="00354B27"/>
    <w:rsid w:val="0035541D"/>
    <w:rsid w:val="003564AA"/>
    <w:rsid w:val="00356B93"/>
    <w:rsid w:val="003601FB"/>
    <w:rsid w:val="00361B9C"/>
    <w:rsid w:val="00361EB1"/>
    <w:rsid w:val="003627D4"/>
    <w:rsid w:val="00362B14"/>
    <w:rsid w:val="00362DFC"/>
    <w:rsid w:val="00363AE6"/>
    <w:rsid w:val="00363AF2"/>
    <w:rsid w:val="00364A82"/>
    <w:rsid w:val="003651B6"/>
    <w:rsid w:val="003718BE"/>
    <w:rsid w:val="003734EF"/>
    <w:rsid w:val="00374B69"/>
    <w:rsid w:val="003751CC"/>
    <w:rsid w:val="00376EF6"/>
    <w:rsid w:val="00380087"/>
    <w:rsid w:val="00380EAD"/>
    <w:rsid w:val="0038246E"/>
    <w:rsid w:val="003870F1"/>
    <w:rsid w:val="00390F5C"/>
    <w:rsid w:val="003928FA"/>
    <w:rsid w:val="00393500"/>
    <w:rsid w:val="00393E64"/>
    <w:rsid w:val="00394422"/>
    <w:rsid w:val="00394EF3"/>
    <w:rsid w:val="00395481"/>
    <w:rsid w:val="003A00E6"/>
    <w:rsid w:val="003A0680"/>
    <w:rsid w:val="003A0C93"/>
    <w:rsid w:val="003A111E"/>
    <w:rsid w:val="003A112B"/>
    <w:rsid w:val="003A3AAC"/>
    <w:rsid w:val="003A3F20"/>
    <w:rsid w:val="003A415A"/>
    <w:rsid w:val="003A4183"/>
    <w:rsid w:val="003A48D8"/>
    <w:rsid w:val="003A49D7"/>
    <w:rsid w:val="003A602F"/>
    <w:rsid w:val="003A649A"/>
    <w:rsid w:val="003A72D0"/>
    <w:rsid w:val="003A7619"/>
    <w:rsid w:val="003B0800"/>
    <w:rsid w:val="003B0EC6"/>
    <w:rsid w:val="003B1455"/>
    <w:rsid w:val="003B1728"/>
    <w:rsid w:val="003B2E9A"/>
    <w:rsid w:val="003B411C"/>
    <w:rsid w:val="003B4415"/>
    <w:rsid w:val="003B5E50"/>
    <w:rsid w:val="003B6FAA"/>
    <w:rsid w:val="003C02EC"/>
    <w:rsid w:val="003C0C52"/>
    <w:rsid w:val="003C2ABD"/>
    <w:rsid w:val="003C3D2A"/>
    <w:rsid w:val="003C507C"/>
    <w:rsid w:val="003D0DFE"/>
    <w:rsid w:val="003D151F"/>
    <w:rsid w:val="003D1F93"/>
    <w:rsid w:val="003D29F2"/>
    <w:rsid w:val="003D2E38"/>
    <w:rsid w:val="003D350A"/>
    <w:rsid w:val="003D38A8"/>
    <w:rsid w:val="003D39B6"/>
    <w:rsid w:val="003D524A"/>
    <w:rsid w:val="003D58B4"/>
    <w:rsid w:val="003D687D"/>
    <w:rsid w:val="003D78A4"/>
    <w:rsid w:val="003D7A8D"/>
    <w:rsid w:val="003E146F"/>
    <w:rsid w:val="003E26AC"/>
    <w:rsid w:val="003E5722"/>
    <w:rsid w:val="003E670B"/>
    <w:rsid w:val="003E7699"/>
    <w:rsid w:val="003F1C0F"/>
    <w:rsid w:val="003F429D"/>
    <w:rsid w:val="003F7182"/>
    <w:rsid w:val="00400224"/>
    <w:rsid w:val="00403DC2"/>
    <w:rsid w:val="004044DE"/>
    <w:rsid w:val="004078CA"/>
    <w:rsid w:val="004139EC"/>
    <w:rsid w:val="0041442C"/>
    <w:rsid w:val="004161F0"/>
    <w:rsid w:val="00422684"/>
    <w:rsid w:val="00422CE8"/>
    <w:rsid w:val="00423044"/>
    <w:rsid w:val="0042355A"/>
    <w:rsid w:val="0042551B"/>
    <w:rsid w:val="004259C6"/>
    <w:rsid w:val="00425F04"/>
    <w:rsid w:val="0043326F"/>
    <w:rsid w:val="00433B7F"/>
    <w:rsid w:val="00433CE3"/>
    <w:rsid w:val="00436E04"/>
    <w:rsid w:val="00437118"/>
    <w:rsid w:val="00437D55"/>
    <w:rsid w:val="00445228"/>
    <w:rsid w:val="00446934"/>
    <w:rsid w:val="00446AD7"/>
    <w:rsid w:val="00446B86"/>
    <w:rsid w:val="0045082A"/>
    <w:rsid w:val="00452345"/>
    <w:rsid w:val="00455851"/>
    <w:rsid w:val="00456DAC"/>
    <w:rsid w:val="004576EB"/>
    <w:rsid w:val="00457C88"/>
    <w:rsid w:val="00461430"/>
    <w:rsid w:val="0046242B"/>
    <w:rsid w:val="004627FB"/>
    <w:rsid w:val="00463CE9"/>
    <w:rsid w:val="00465A95"/>
    <w:rsid w:val="00466A17"/>
    <w:rsid w:val="00466A22"/>
    <w:rsid w:val="00467C15"/>
    <w:rsid w:val="0047035F"/>
    <w:rsid w:val="00472028"/>
    <w:rsid w:val="004729AE"/>
    <w:rsid w:val="00472A85"/>
    <w:rsid w:val="00477AA1"/>
    <w:rsid w:val="004810A1"/>
    <w:rsid w:val="0048457B"/>
    <w:rsid w:val="004854F4"/>
    <w:rsid w:val="004859E9"/>
    <w:rsid w:val="00486860"/>
    <w:rsid w:val="00486F09"/>
    <w:rsid w:val="00487082"/>
    <w:rsid w:val="00487212"/>
    <w:rsid w:val="00490D21"/>
    <w:rsid w:val="00490E05"/>
    <w:rsid w:val="00491109"/>
    <w:rsid w:val="004952BE"/>
    <w:rsid w:val="004967E2"/>
    <w:rsid w:val="00497567"/>
    <w:rsid w:val="0049785E"/>
    <w:rsid w:val="004A03B8"/>
    <w:rsid w:val="004A0BC8"/>
    <w:rsid w:val="004A1C37"/>
    <w:rsid w:val="004A206E"/>
    <w:rsid w:val="004A419C"/>
    <w:rsid w:val="004A43CE"/>
    <w:rsid w:val="004A51EE"/>
    <w:rsid w:val="004A6DC4"/>
    <w:rsid w:val="004A726C"/>
    <w:rsid w:val="004A74E6"/>
    <w:rsid w:val="004A799A"/>
    <w:rsid w:val="004A7D4A"/>
    <w:rsid w:val="004B06E6"/>
    <w:rsid w:val="004B1757"/>
    <w:rsid w:val="004B37AC"/>
    <w:rsid w:val="004B4E23"/>
    <w:rsid w:val="004B7BE8"/>
    <w:rsid w:val="004C0D16"/>
    <w:rsid w:val="004C16C2"/>
    <w:rsid w:val="004C4752"/>
    <w:rsid w:val="004C4EA8"/>
    <w:rsid w:val="004C5FFF"/>
    <w:rsid w:val="004C669A"/>
    <w:rsid w:val="004C6D11"/>
    <w:rsid w:val="004C7489"/>
    <w:rsid w:val="004D36E1"/>
    <w:rsid w:val="004D40C7"/>
    <w:rsid w:val="004D4AF1"/>
    <w:rsid w:val="004E4625"/>
    <w:rsid w:val="004E46D6"/>
    <w:rsid w:val="004E5437"/>
    <w:rsid w:val="004E7326"/>
    <w:rsid w:val="004F170F"/>
    <w:rsid w:val="004F2545"/>
    <w:rsid w:val="004F365B"/>
    <w:rsid w:val="004F4559"/>
    <w:rsid w:val="004F6095"/>
    <w:rsid w:val="00500906"/>
    <w:rsid w:val="00504BD9"/>
    <w:rsid w:val="00505A98"/>
    <w:rsid w:val="00505D50"/>
    <w:rsid w:val="005067D7"/>
    <w:rsid w:val="00507661"/>
    <w:rsid w:val="00507AF7"/>
    <w:rsid w:val="00507FD5"/>
    <w:rsid w:val="0051188F"/>
    <w:rsid w:val="00511B74"/>
    <w:rsid w:val="005130AF"/>
    <w:rsid w:val="00515AC6"/>
    <w:rsid w:val="0051662E"/>
    <w:rsid w:val="0052090B"/>
    <w:rsid w:val="00520DBA"/>
    <w:rsid w:val="0052221B"/>
    <w:rsid w:val="00522B18"/>
    <w:rsid w:val="00526081"/>
    <w:rsid w:val="005268B9"/>
    <w:rsid w:val="0052727E"/>
    <w:rsid w:val="0053132E"/>
    <w:rsid w:val="0053289C"/>
    <w:rsid w:val="00534B2A"/>
    <w:rsid w:val="00534EF8"/>
    <w:rsid w:val="00534FB0"/>
    <w:rsid w:val="005408C9"/>
    <w:rsid w:val="00540B14"/>
    <w:rsid w:val="00542924"/>
    <w:rsid w:val="0054553E"/>
    <w:rsid w:val="005513D4"/>
    <w:rsid w:val="005525ED"/>
    <w:rsid w:val="005527F9"/>
    <w:rsid w:val="00557DCC"/>
    <w:rsid w:val="00562066"/>
    <w:rsid w:val="0056432E"/>
    <w:rsid w:val="005672A8"/>
    <w:rsid w:val="00570009"/>
    <w:rsid w:val="00570FD0"/>
    <w:rsid w:val="005717A5"/>
    <w:rsid w:val="00572AAE"/>
    <w:rsid w:val="00573C59"/>
    <w:rsid w:val="005745F0"/>
    <w:rsid w:val="005769C1"/>
    <w:rsid w:val="00577CA0"/>
    <w:rsid w:val="00581659"/>
    <w:rsid w:val="00581717"/>
    <w:rsid w:val="00582D12"/>
    <w:rsid w:val="00582D78"/>
    <w:rsid w:val="00584DA3"/>
    <w:rsid w:val="00591801"/>
    <w:rsid w:val="00592332"/>
    <w:rsid w:val="005955FC"/>
    <w:rsid w:val="00595752"/>
    <w:rsid w:val="00595E6A"/>
    <w:rsid w:val="005965B0"/>
    <w:rsid w:val="005A2CD9"/>
    <w:rsid w:val="005A604E"/>
    <w:rsid w:val="005A626E"/>
    <w:rsid w:val="005A64ED"/>
    <w:rsid w:val="005B1F77"/>
    <w:rsid w:val="005B2D1F"/>
    <w:rsid w:val="005B40AB"/>
    <w:rsid w:val="005B5F16"/>
    <w:rsid w:val="005C0347"/>
    <w:rsid w:val="005C181C"/>
    <w:rsid w:val="005C3792"/>
    <w:rsid w:val="005D144B"/>
    <w:rsid w:val="005D3443"/>
    <w:rsid w:val="005D6C15"/>
    <w:rsid w:val="005D6D91"/>
    <w:rsid w:val="005E01A8"/>
    <w:rsid w:val="005E1DC4"/>
    <w:rsid w:val="005E7FD6"/>
    <w:rsid w:val="005F0D56"/>
    <w:rsid w:val="005F306B"/>
    <w:rsid w:val="005F36C0"/>
    <w:rsid w:val="005F3700"/>
    <w:rsid w:val="005F4A60"/>
    <w:rsid w:val="005F4C52"/>
    <w:rsid w:val="005F59B6"/>
    <w:rsid w:val="005F6897"/>
    <w:rsid w:val="005F72BF"/>
    <w:rsid w:val="005F74D6"/>
    <w:rsid w:val="0060008B"/>
    <w:rsid w:val="00600531"/>
    <w:rsid w:val="006010DE"/>
    <w:rsid w:val="00602143"/>
    <w:rsid w:val="00607C58"/>
    <w:rsid w:val="00612FAB"/>
    <w:rsid w:val="00613B95"/>
    <w:rsid w:val="00614956"/>
    <w:rsid w:val="006166BC"/>
    <w:rsid w:val="00617CC4"/>
    <w:rsid w:val="00621108"/>
    <w:rsid w:val="006214F5"/>
    <w:rsid w:val="006220B5"/>
    <w:rsid w:val="00627AB7"/>
    <w:rsid w:val="00631D86"/>
    <w:rsid w:val="0063592C"/>
    <w:rsid w:val="00637594"/>
    <w:rsid w:val="006379F3"/>
    <w:rsid w:val="00640119"/>
    <w:rsid w:val="0064068B"/>
    <w:rsid w:val="0064140F"/>
    <w:rsid w:val="0064561E"/>
    <w:rsid w:val="006504AF"/>
    <w:rsid w:val="00651682"/>
    <w:rsid w:val="00651D24"/>
    <w:rsid w:val="006542F6"/>
    <w:rsid w:val="006546B9"/>
    <w:rsid w:val="00654BE9"/>
    <w:rsid w:val="00655826"/>
    <w:rsid w:val="00655ED1"/>
    <w:rsid w:val="00657169"/>
    <w:rsid w:val="00661B9B"/>
    <w:rsid w:val="006642E3"/>
    <w:rsid w:val="006646AD"/>
    <w:rsid w:val="0066580D"/>
    <w:rsid w:val="00670028"/>
    <w:rsid w:val="00674455"/>
    <w:rsid w:val="00676BC6"/>
    <w:rsid w:val="00681129"/>
    <w:rsid w:val="0068189F"/>
    <w:rsid w:val="00681BC9"/>
    <w:rsid w:val="00681D71"/>
    <w:rsid w:val="00682106"/>
    <w:rsid w:val="00687FF1"/>
    <w:rsid w:val="00690182"/>
    <w:rsid w:val="006912CD"/>
    <w:rsid w:val="0069475A"/>
    <w:rsid w:val="006955E1"/>
    <w:rsid w:val="006960E0"/>
    <w:rsid w:val="006A1404"/>
    <w:rsid w:val="006A3525"/>
    <w:rsid w:val="006A5200"/>
    <w:rsid w:val="006A5F11"/>
    <w:rsid w:val="006B1BFB"/>
    <w:rsid w:val="006B2135"/>
    <w:rsid w:val="006B7E2A"/>
    <w:rsid w:val="006C0A8B"/>
    <w:rsid w:val="006C1B1C"/>
    <w:rsid w:val="006C1C47"/>
    <w:rsid w:val="006C2C76"/>
    <w:rsid w:val="006C3C02"/>
    <w:rsid w:val="006C498F"/>
    <w:rsid w:val="006C60E5"/>
    <w:rsid w:val="006C6ABB"/>
    <w:rsid w:val="006C7B43"/>
    <w:rsid w:val="006C7FB8"/>
    <w:rsid w:val="006D0805"/>
    <w:rsid w:val="006D2D40"/>
    <w:rsid w:val="006D31EA"/>
    <w:rsid w:val="006D356B"/>
    <w:rsid w:val="006D3944"/>
    <w:rsid w:val="006D41E9"/>
    <w:rsid w:val="006D4DAC"/>
    <w:rsid w:val="006D6989"/>
    <w:rsid w:val="006D7564"/>
    <w:rsid w:val="006D7D93"/>
    <w:rsid w:val="006E0964"/>
    <w:rsid w:val="006E1261"/>
    <w:rsid w:val="006E252B"/>
    <w:rsid w:val="006E59C8"/>
    <w:rsid w:val="006F1355"/>
    <w:rsid w:val="006F1C7D"/>
    <w:rsid w:val="006F31A8"/>
    <w:rsid w:val="006F58E9"/>
    <w:rsid w:val="006F5E6A"/>
    <w:rsid w:val="0070544D"/>
    <w:rsid w:val="0071123E"/>
    <w:rsid w:val="00714D6F"/>
    <w:rsid w:val="007155C2"/>
    <w:rsid w:val="00716940"/>
    <w:rsid w:val="00717DB5"/>
    <w:rsid w:val="007202B7"/>
    <w:rsid w:val="00720A23"/>
    <w:rsid w:val="007219D6"/>
    <w:rsid w:val="00722299"/>
    <w:rsid w:val="00723F01"/>
    <w:rsid w:val="007307E0"/>
    <w:rsid w:val="007317FC"/>
    <w:rsid w:val="00731CF0"/>
    <w:rsid w:val="007373B5"/>
    <w:rsid w:val="00737C64"/>
    <w:rsid w:val="0074119C"/>
    <w:rsid w:val="00741AC4"/>
    <w:rsid w:val="007433B7"/>
    <w:rsid w:val="0074378E"/>
    <w:rsid w:val="00744640"/>
    <w:rsid w:val="007451AD"/>
    <w:rsid w:val="00747C43"/>
    <w:rsid w:val="0075004E"/>
    <w:rsid w:val="0075051A"/>
    <w:rsid w:val="0075164C"/>
    <w:rsid w:val="007533B8"/>
    <w:rsid w:val="00753F62"/>
    <w:rsid w:val="0075465C"/>
    <w:rsid w:val="00754734"/>
    <w:rsid w:val="00755188"/>
    <w:rsid w:val="00755848"/>
    <w:rsid w:val="00755F03"/>
    <w:rsid w:val="00756092"/>
    <w:rsid w:val="007566B0"/>
    <w:rsid w:val="00757BD2"/>
    <w:rsid w:val="00762A8E"/>
    <w:rsid w:val="007642A5"/>
    <w:rsid w:val="007645B3"/>
    <w:rsid w:val="00766FF1"/>
    <w:rsid w:val="0076751A"/>
    <w:rsid w:val="00770B33"/>
    <w:rsid w:val="00772842"/>
    <w:rsid w:val="007770F9"/>
    <w:rsid w:val="0078044C"/>
    <w:rsid w:val="0078110B"/>
    <w:rsid w:val="00781396"/>
    <w:rsid w:val="007814AD"/>
    <w:rsid w:val="00782E94"/>
    <w:rsid w:val="007835F1"/>
    <w:rsid w:val="00783CF4"/>
    <w:rsid w:val="00787F33"/>
    <w:rsid w:val="0079178C"/>
    <w:rsid w:val="00791952"/>
    <w:rsid w:val="00791D5D"/>
    <w:rsid w:val="00793818"/>
    <w:rsid w:val="00793A91"/>
    <w:rsid w:val="007942F0"/>
    <w:rsid w:val="00795258"/>
    <w:rsid w:val="007A052D"/>
    <w:rsid w:val="007A39AE"/>
    <w:rsid w:val="007A3C52"/>
    <w:rsid w:val="007A4A86"/>
    <w:rsid w:val="007A548F"/>
    <w:rsid w:val="007A6350"/>
    <w:rsid w:val="007A7C2B"/>
    <w:rsid w:val="007B140D"/>
    <w:rsid w:val="007B2F11"/>
    <w:rsid w:val="007B30F1"/>
    <w:rsid w:val="007B38AD"/>
    <w:rsid w:val="007B493D"/>
    <w:rsid w:val="007B7983"/>
    <w:rsid w:val="007C07A6"/>
    <w:rsid w:val="007C264E"/>
    <w:rsid w:val="007C425A"/>
    <w:rsid w:val="007C5154"/>
    <w:rsid w:val="007C5F7D"/>
    <w:rsid w:val="007C7316"/>
    <w:rsid w:val="007D1057"/>
    <w:rsid w:val="007D1305"/>
    <w:rsid w:val="007D2126"/>
    <w:rsid w:val="007D2873"/>
    <w:rsid w:val="007D2DC5"/>
    <w:rsid w:val="007D3036"/>
    <w:rsid w:val="007D4DF0"/>
    <w:rsid w:val="007D5DF0"/>
    <w:rsid w:val="007D6301"/>
    <w:rsid w:val="007E7B11"/>
    <w:rsid w:val="007F184C"/>
    <w:rsid w:val="007F2106"/>
    <w:rsid w:val="007F253A"/>
    <w:rsid w:val="007F393E"/>
    <w:rsid w:val="007F43C1"/>
    <w:rsid w:val="007F5C10"/>
    <w:rsid w:val="007F5D3C"/>
    <w:rsid w:val="00802BA5"/>
    <w:rsid w:val="00802D19"/>
    <w:rsid w:val="00805E5B"/>
    <w:rsid w:val="00805F42"/>
    <w:rsid w:val="00807840"/>
    <w:rsid w:val="0080795A"/>
    <w:rsid w:val="00813192"/>
    <w:rsid w:val="00816471"/>
    <w:rsid w:val="00822B22"/>
    <w:rsid w:val="0082319E"/>
    <w:rsid w:val="00824004"/>
    <w:rsid w:val="00833988"/>
    <w:rsid w:val="00833B8C"/>
    <w:rsid w:val="008342B4"/>
    <w:rsid w:val="0083475D"/>
    <w:rsid w:val="00834856"/>
    <w:rsid w:val="00840C20"/>
    <w:rsid w:val="00847887"/>
    <w:rsid w:val="00847D96"/>
    <w:rsid w:val="00853EC6"/>
    <w:rsid w:val="00854C38"/>
    <w:rsid w:val="008554C0"/>
    <w:rsid w:val="00856455"/>
    <w:rsid w:val="0086333F"/>
    <w:rsid w:val="00863554"/>
    <w:rsid w:val="00864E07"/>
    <w:rsid w:val="0086656A"/>
    <w:rsid w:val="00866C12"/>
    <w:rsid w:val="008701C6"/>
    <w:rsid w:val="00874EE9"/>
    <w:rsid w:val="00882E8F"/>
    <w:rsid w:val="00886248"/>
    <w:rsid w:val="0088729F"/>
    <w:rsid w:val="00887A49"/>
    <w:rsid w:val="0089084C"/>
    <w:rsid w:val="00891168"/>
    <w:rsid w:val="00891ADB"/>
    <w:rsid w:val="00892D16"/>
    <w:rsid w:val="0089489E"/>
    <w:rsid w:val="00894DDA"/>
    <w:rsid w:val="00896B0B"/>
    <w:rsid w:val="008974FB"/>
    <w:rsid w:val="0089779C"/>
    <w:rsid w:val="008A374B"/>
    <w:rsid w:val="008A3790"/>
    <w:rsid w:val="008A3CF3"/>
    <w:rsid w:val="008A59FF"/>
    <w:rsid w:val="008A7C2F"/>
    <w:rsid w:val="008A7C97"/>
    <w:rsid w:val="008B1973"/>
    <w:rsid w:val="008B31B5"/>
    <w:rsid w:val="008B4355"/>
    <w:rsid w:val="008B743B"/>
    <w:rsid w:val="008C1020"/>
    <w:rsid w:val="008C10E6"/>
    <w:rsid w:val="008C1384"/>
    <w:rsid w:val="008C2558"/>
    <w:rsid w:val="008C379C"/>
    <w:rsid w:val="008C4346"/>
    <w:rsid w:val="008C6726"/>
    <w:rsid w:val="008D0228"/>
    <w:rsid w:val="008D0526"/>
    <w:rsid w:val="008D2CB7"/>
    <w:rsid w:val="008D4017"/>
    <w:rsid w:val="008D4664"/>
    <w:rsid w:val="008D570B"/>
    <w:rsid w:val="008D6A24"/>
    <w:rsid w:val="008D7407"/>
    <w:rsid w:val="008D7A0D"/>
    <w:rsid w:val="008E13E7"/>
    <w:rsid w:val="008E20BB"/>
    <w:rsid w:val="008E3138"/>
    <w:rsid w:val="008E3C33"/>
    <w:rsid w:val="008E4A23"/>
    <w:rsid w:val="008E6779"/>
    <w:rsid w:val="008E6E7B"/>
    <w:rsid w:val="008E73B0"/>
    <w:rsid w:val="008E7B0A"/>
    <w:rsid w:val="008F1050"/>
    <w:rsid w:val="008F2CDD"/>
    <w:rsid w:val="008F3C5A"/>
    <w:rsid w:val="008F4417"/>
    <w:rsid w:val="008F5A82"/>
    <w:rsid w:val="008F6CB4"/>
    <w:rsid w:val="008F7792"/>
    <w:rsid w:val="008F7A92"/>
    <w:rsid w:val="00901457"/>
    <w:rsid w:val="009022E6"/>
    <w:rsid w:val="0090359B"/>
    <w:rsid w:val="00904523"/>
    <w:rsid w:val="00905E73"/>
    <w:rsid w:val="00905E8C"/>
    <w:rsid w:val="00906BF2"/>
    <w:rsid w:val="00906CEF"/>
    <w:rsid w:val="0090722B"/>
    <w:rsid w:val="009112BC"/>
    <w:rsid w:val="00915948"/>
    <w:rsid w:val="00921272"/>
    <w:rsid w:val="009249C6"/>
    <w:rsid w:val="00925BEF"/>
    <w:rsid w:val="009266C9"/>
    <w:rsid w:val="00927D00"/>
    <w:rsid w:val="00930321"/>
    <w:rsid w:val="00930894"/>
    <w:rsid w:val="00930E32"/>
    <w:rsid w:val="00931A1B"/>
    <w:rsid w:val="00932811"/>
    <w:rsid w:val="00932AD3"/>
    <w:rsid w:val="00933452"/>
    <w:rsid w:val="009342C7"/>
    <w:rsid w:val="009344AA"/>
    <w:rsid w:val="00936D79"/>
    <w:rsid w:val="0093713C"/>
    <w:rsid w:val="00940353"/>
    <w:rsid w:val="009408F4"/>
    <w:rsid w:val="009419AF"/>
    <w:rsid w:val="00943B32"/>
    <w:rsid w:val="00945708"/>
    <w:rsid w:val="0094687F"/>
    <w:rsid w:val="009472AD"/>
    <w:rsid w:val="009475BC"/>
    <w:rsid w:val="0095205F"/>
    <w:rsid w:val="0095258D"/>
    <w:rsid w:val="0095350F"/>
    <w:rsid w:val="009543A0"/>
    <w:rsid w:val="00954F1D"/>
    <w:rsid w:val="00956405"/>
    <w:rsid w:val="00957130"/>
    <w:rsid w:val="00960A65"/>
    <w:rsid w:val="00965BA6"/>
    <w:rsid w:val="00970977"/>
    <w:rsid w:val="00971A85"/>
    <w:rsid w:val="00971BB8"/>
    <w:rsid w:val="009743BE"/>
    <w:rsid w:val="00974904"/>
    <w:rsid w:val="00974C3F"/>
    <w:rsid w:val="00977326"/>
    <w:rsid w:val="00977EEB"/>
    <w:rsid w:val="0098089A"/>
    <w:rsid w:val="00980F10"/>
    <w:rsid w:val="0098133A"/>
    <w:rsid w:val="0098183C"/>
    <w:rsid w:val="00981A8D"/>
    <w:rsid w:val="00981CCD"/>
    <w:rsid w:val="009834B1"/>
    <w:rsid w:val="0098400A"/>
    <w:rsid w:val="00984B37"/>
    <w:rsid w:val="00986902"/>
    <w:rsid w:val="00987462"/>
    <w:rsid w:val="00987E3E"/>
    <w:rsid w:val="00990962"/>
    <w:rsid w:val="0099216B"/>
    <w:rsid w:val="009928C0"/>
    <w:rsid w:val="009945AA"/>
    <w:rsid w:val="0099460F"/>
    <w:rsid w:val="00997903"/>
    <w:rsid w:val="009A577F"/>
    <w:rsid w:val="009A74E3"/>
    <w:rsid w:val="009A75E1"/>
    <w:rsid w:val="009B126A"/>
    <w:rsid w:val="009B2190"/>
    <w:rsid w:val="009B2218"/>
    <w:rsid w:val="009B5372"/>
    <w:rsid w:val="009B6988"/>
    <w:rsid w:val="009B6A26"/>
    <w:rsid w:val="009B7E26"/>
    <w:rsid w:val="009C012A"/>
    <w:rsid w:val="009C02A7"/>
    <w:rsid w:val="009C5FFE"/>
    <w:rsid w:val="009D0072"/>
    <w:rsid w:val="009D0253"/>
    <w:rsid w:val="009D7349"/>
    <w:rsid w:val="009D7EAD"/>
    <w:rsid w:val="009E025C"/>
    <w:rsid w:val="009E049B"/>
    <w:rsid w:val="009E3432"/>
    <w:rsid w:val="009E34A4"/>
    <w:rsid w:val="009E3572"/>
    <w:rsid w:val="009E3C57"/>
    <w:rsid w:val="009E5C0D"/>
    <w:rsid w:val="009E5F74"/>
    <w:rsid w:val="009E7239"/>
    <w:rsid w:val="009E7C5B"/>
    <w:rsid w:val="009F00A8"/>
    <w:rsid w:val="009F1A28"/>
    <w:rsid w:val="009F34B5"/>
    <w:rsid w:val="009F356C"/>
    <w:rsid w:val="009F529A"/>
    <w:rsid w:val="009F54B8"/>
    <w:rsid w:val="009F712D"/>
    <w:rsid w:val="00A003BD"/>
    <w:rsid w:val="00A00515"/>
    <w:rsid w:val="00A0112D"/>
    <w:rsid w:val="00A02EA1"/>
    <w:rsid w:val="00A03FFA"/>
    <w:rsid w:val="00A0493B"/>
    <w:rsid w:val="00A0587E"/>
    <w:rsid w:val="00A131AB"/>
    <w:rsid w:val="00A1455B"/>
    <w:rsid w:val="00A14639"/>
    <w:rsid w:val="00A1599B"/>
    <w:rsid w:val="00A17449"/>
    <w:rsid w:val="00A20ED3"/>
    <w:rsid w:val="00A2303B"/>
    <w:rsid w:val="00A253DA"/>
    <w:rsid w:val="00A2714A"/>
    <w:rsid w:val="00A31970"/>
    <w:rsid w:val="00A331AA"/>
    <w:rsid w:val="00A348AD"/>
    <w:rsid w:val="00A377C7"/>
    <w:rsid w:val="00A40182"/>
    <w:rsid w:val="00A40DA8"/>
    <w:rsid w:val="00A41FF9"/>
    <w:rsid w:val="00A4230E"/>
    <w:rsid w:val="00A439B4"/>
    <w:rsid w:val="00A441C7"/>
    <w:rsid w:val="00A45AF3"/>
    <w:rsid w:val="00A465F3"/>
    <w:rsid w:val="00A51315"/>
    <w:rsid w:val="00A525AB"/>
    <w:rsid w:val="00A5367A"/>
    <w:rsid w:val="00A557B3"/>
    <w:rsid w:val="00A60B72"/>
    <w:rsid w:val="00A60D17"/>
    <w:rsid w:val="00A630A6"/>
    <w:rsid w:val="00A6476C"/>
    <w:rsid w:val="00A64EB0"/>
    <w:rsid w:val="00A65862"/>
    <w:rsid w:val="00A66700"/>
    <w:rsid w:val="00A67EE4"/>
    <w:rsid w:val="00A67FD3"/>
    <w:rsid w:val="00A70139"/>
    <w:rsid w:val="00A70B3B"/>
    <w:rsid w:val="00A71716"/>
    <w:rsid w:val="00A7619C"/>
    <w:rsid w:val="00A7756B"/>
    <w:rsid w:val="00A81A9B"/>
    <w:rsid w:val="00A8210A"/>
    <w:rsid w:val="00A829D6"/>
    <w:rsid w:val="00A8331B"/>
    <w:rsid w:val="00A837F9"/>
    <w:rsid w:val="00A84312"/>
    <w:rsid w:val="00A8436A"/>
    <w:rsid w:val="00A86012"/>
    <w:rsid w:val="00A87FBB"/>
    <w:rsid w:val="00A9195E"/>
    <w:rsid w:val="00A93204"/>
    <w:rsid w:val="00A94549"/>
    <w:rsid w:val="00AA097A"/>
    <w:rsid w:val="00AA159F"/>
    <w:rsid w:val="00AB08E3"/>
    <w:rsid w:val="00AB3064"/>
    <w:rsid w:val="00AB63DE"/>
    <w:rsid w:val="00AB73FC"/>
    <w:rsid w:val="00AC0170"/>
    <w:rsid w:val="00AC0B93"/>
    <w:rsid w:val="00AC1794"/>
    <w:rsid w:val="00AC3982"/>
    <w:rsid w:val="00AC5B94"/>
    <w:rsid w:val="00AC6270"/>
    <w:rsid w:val="00AC6324"/>
    <w:rsid w:val="00AC67E1"/>
    <w:rsid w:val="00AC7067"/>
    <w:rsid w:val="00AD1058"/>
    <w:rsid w:val="00AD114A"/>
    <w:rsid w:val="00AD309C"/>
    <w:rsid w:val="00AD48EC"/>
    <w:rsid w:val="00AD4928"/>
    <w:rsid w:val="00AD504D"/>
    <w:rsid w:val="00AD5AA1"/>
    <w:rsid w:val="00AD661F"/>
    <w:rsid w:val="00AD7347"/>
    <w:rsid w:val="00AD7C46"/>
    <w:rsid w:val="00AE336B"/>
    <w:rsid w:val="00AE33A1"/>
    <w:rsid w:val="00AE5373"/>
    <w:rsid w:val="00AE58B1"/>
    <w:rsid w:val="00AE5C15"/>
    <w:rsid w:val="00AE6D02"/>
    <w:rsid w:val="00AE7016"/>
    <w:rsid w:val="00AE77E9"/>
    <w:rsid w:val="00AE7BD4"/>
    <w:rsid w:val="00AF1302"/>
    <w:rsid w:val="00AF1958"/>
    <w:rsid w:val="00AF3684"/>
    <w:rsid w:val="00AF4BC9"/>
    <w:rsid w:val="00AF5A03"/>
    <w:rsid w:val="00AF6BBE"/>
    <w:rsid w:val="00B04057"/>
    <w:rsid w:val="00B044B0"/>
    <w:rsid w:val="00B04711"/>
    <w:rsid w:val="00B0509C"/>
    <w:rsid w:val="00B07D6F"/>
    <w:rsid w:val="00B102DC"/>
    <w:rsid w:val="00B11F70"/>
    <w:rsid w:val="00B12796"/>
    <w:rsid w:val="00B14FB4"/>
    <w:rsid w:val="00B17123"/>
    <w:rsid w:val="00B207AE"/>
    <w:rsid w:val="00B222FA"/>
    <w:rsid w:val="00B2350F"/>
    <w:rsid w:val="00B24B6F"/>
    <w:rsid w:val="00B266CB"/>
    <w:rsid w:val="00B3180D"/>
    <w:rsid w:val="00B3200D"/>
    <w:rsid w:val="00B342FE"/>
    <w:rsid w:val="00B35BD9"/>
    <w:rsid w:val="00B36A55"/>
    <w:rsid w:val="00B36CA1"/>
    <w:rsid w:val="00B36EBA"/>
    <w:rsid w:val="00B40A6B"/>
    <w:rsid w:val="00B433A9"/>
    <w:rsid w:val="00B43B54"/>
    <w:rsid w:val="00B45203"/>
    <w:rsid w:val="00B477FA"/>
    <w:rsid w:val="00B500CB"/>
    <w:rsid w:val="00B5032F"/>
    <w:rsid w:val="00B514E6"/>
    <w:rsid w:val="00B52114"/>
    <w:rsid w:val="00B5212A"/>
    <w:rsid w:val="00B556DC"/>
    <w:rsid w:val="00B55D28"/>
    <w:rsid w:val="00B611FC"/>
    <w:rsid w:val="00B61313"/>
    <w:rsid w:val="00B622FC"/>
    <w:rsid w:val="00B6309E"/>
    <w:rsid w:val="00B6341E"/>
    <w:rsid w:val="00B64CA8"/>
    <w:rsid w:val="00B67BFA"/>
    <w:rsid w:val="00B739D7"/>
    <w:rsid w:val="00B73CB3"/>
    <w:rsid w:val="00B73CBE"/>
    <w:rsid w:val="00B76294"/>
    <w:rsid w:val="00B77F5E"/>
    <w:rsid w:val="00B827C8"/>
    <w:rsid w:val="00B83B19"/>
    <w:rsid w:val="00B87CB5"/>
    <w:rsid w:val="00B907D3"/>
    <w:rsid w:val="00B91884"/>
    <w:rsid w:val="00B9323D"/>
    <w:rsid w:val="00B95235"/>
    <w:rsid w:val="00B955F8"/>
    <w:rsid w:val="00B9654B"/>
    <w:rsid w:val="00BA0852"/>
    <w:rsid w:val="00BA0A60"/>
    <w:rsid w:val="00BA0F89"/>
    <w:rsid w:val="00BA3C05"/>
    <w:rsid w:val="00BA576A"/>
    <w:rsid w:val="00BB3846"/>
    <w:rsid w:val="00BB57FD"/>
    <w:rsid w:val="00BB6694"/>
    <w:rsid w:val="00BC02E6"/>
    <w:rsid w:val="00BC0681"/>
    <w:rsid w:val="00BC19AF"/>
    <w:rsid w:val="00BC1E62"/>
    <w:rsid w:val="00BC258B"/>
    <w:rsid w:val="00BC2A03"/>
    <w:rsid w:val="00BC30A9"/>
    <w:rsid w:val="00BC30DD"/>
    <w:rsid w:val="00BC31A0"/>
    <w:rsid w:val="00BC33B9"/>
    <w:rsid w:val="00BC408F"/>
    <w:rsid w:val="00BC4971"/>
    <w:rsid w:val="00BC6BE9"/>
    <w:rsid w:val="00BD194A"/>
    <w:rsid w:val="00BD2060"/>
    <w:rsid w:val="00BD4163"/>
    <w:rsid w:val="00BD4236"/>
    <w:rsid w:val="00BD6F0F"/>
    <w:rsid w:val="00BE0D67"/>
    <w:rsid w:val="00BE4290"/>
    <w:rsid w:val="00BE573A"/>
    <w:rsid w:val="00BE5EA8"/>
    <w:rsid w:val="00BF1718"/>
    <w:rsid w:val="00BF25EE"/>
    <w:rsid w:val="00BF2C30"/>
    <w:rsid w:val="00BF3845"/>
    <w:rsid w:val="00BF4102"/>
    <w:rsid w:val="00BF4BFD"/>
    <w:rsid w:val="00BF699A"/>
    <w:rsid w:val="00BF6BCB"/>
    <w:rsid w:val="00BF7176"/>
    <w:rsid w:val="00C00747"/>
    <w:rsid w:val="00C00CD1"/>
    <w:rsid w:val="00C030AE"/>
    <w:rsid w:val="00C03227"/>
    <w:rsid w:val="00C03405"/>
    <w:rsid w:val="00C036F2"/>
    <w:rsid w:val="00C03C62"/>
    <w:rsid w:val="00C045E6"/>
    <w:rsid w:val="00C04714"/>
    <w:rsid w:val="00C05F1C"/>
    <w:rsid w:val="00C07336"/>
    <w:rsid w:val="00C0788A"/>
    <w:rsid w:val="00C12B8D"/>
    <w:rsid w:val="00C149A5"/>
    <w:rsid w:val="00C1538E"/>
    <w:rsid w:val="00C169D9"/>
    <w:rsid w:val="00C16B6B"/>
    <w:rsid w:val="00C171C8"/>
    <w:rsid w:val="00C175CB"/>
    <w:rsid w:val="00C1766A"/>
    <w:rsid w:val="00C246FF"/>
    <w:rsid w:val="00C24AF7"/>
    <w:rsid w:val="00C260D3"/>
    <w:rsid w:val="00C277FC"/>
    <w:rsid w:val="00C30B99"/>
    <w:rsid w:val="00C321EA"/>
    <w:rsid w:val="00C323AC"/>
    <w:rsid w:val="00C32BE4"/>
    <w:rsid w:val="00C347AE"/>
    <w:rsid w:val="00C3702C"/>
    <w:rsid w:val="00C409B6"/>
    <w:rsid w:val="00C41AFB"/>
    <w:rsid w:val="00C432AB"/>
    <w:rsid w:val="00C443AD"/>
    <w:rsid w:val="00C45B1E"/>
    <w:rsid w:val="00C4655B"/>
    <w:rsid w:val="00C46BA9"/>
    <w:rsid w:val="00C52842"/>
    <w:rsid w:val="00C52E94"/>
    <w:rsid w:val="00C539EB"/>
    <w:rsid w:val="00C56195"/>
    <w:rsid w:val="00C613BC"/>
    <w:rsid w:val="00C631FB"/>
    <w:rsid w:val="00C65880"/>
    <w:rsid w:val="00C661DA"/>
    <w:rsid w:val="00C700FA"/>
    <w:rsid w:val="00C7159E"/>
    <w:rsid w:val="00C74EC5"/>
    <w:rsid w:val="00C764FA"/>
    <w:rsid w:val="00C77CAB"/>
    <w:rsid w:val="00C85AE2"/>
    <w:rsid w:val="00C85D1E"/>
    <w:rsid w:val="00C92047"/>
    <w:rsid w:val="00C92627"/>
    <w:rsid w:val="00C92F29"/>
    <w:rsid w:val="00C97666"/>
    <w:rsid w:val="00CA1325"/>
    <w:rsid w:val="00CA1512"/>
    <w:rsid w:val="00CA35A7"/>
    <w:rsid w:val="00CA4F89"/>
    <w:rsid w:val="00CA53E2"/>
    <w:rsid w:val="00CA6189"/>
    <w:rsid w:val="00CA7F19"/>
    <w:rsid w:val="00CA7FD3"/>
    <w:rsid w:val="00CB0651"/>
    <w:rsid w:val="00CB08D4"/>
    <w:rsid w:val="00CB27C3"/>
    <w:rsid w:val="00CB586E"/>
    <w:rsid w:val="00CB6637"/>
    <w:rsid w:val="00CC0FE0"/>
    <w:rsid w:val="00CC19AC"/>
    <w:rsid w:val="00CC2ACC"/>
    <w:rsid w:val="00CC324B"/>
    <w:rsid w:val="00CC75B7"/>
    <w:rsid w:val="00CD009C"/>
    <w:rsid w:val="00CD0966"/>
    <w:rsid w:val="00CD20A3"/>
    <w:rsid w:val="00CD3647"/>
    <w:rsid w:val="00CD3F29"/>
    <w:rsid w:val="00CD63E3"/>
    <w:rsid w:val="00CD6893"/>
    <w:rsid w:val="00CD753D"/>
    <w:rsid w:val="00CE032F"/>
    <w:rsid w:val="00CE07CB"/>
    <w:rsid w:val="00CE0DFE"/>
    <w:rsid w:val="00CE1054"/>
    <w:rsid w:val="00CE3457"/>
    <w:rsid w:val="00CE3F7A"/>
    <w:rsid w:val="00CE4AED"/>
    <w:rsid w:val="00CE5847"/>
    <w:rsid w:val="00CF2E00"/>
    <w:rsid w:val="00CF2E0D"/>
    <w:rsid w:val="00CF3CFF"/>
    <w:rsid w:val="00CF4305"/>
    <w:rsid w:val="00CF5C74"/>
    <w:rsid w:val="00CF5DFA"/>
    <w:rsid w:val="00D00094"/>
    <w:rsid w:val="00D00B72"/>
    <w:rsid w:val="00D0122C"/>
    <w:rsid w:val="00D017F6"/>
    <w:rsid w:val="00D01A85"/>
    <w:rsid w:val="00D02371"/>
    <w:rsid w:val="00D02CE2"/>
    <w:rsid w:val="00D06C0B"/>
    <w:rsid w:val="00D112F0"/>
    <w:rsid w:val="00D11D6A"/>
    <w:rsid w:val="00D14518"/>
    <w:rsid w:val="00D151E0"/>
    <w:rsid w:val="00D179B5"/>
    <w:rsid w:val="00D17C1F"/>
    <w:rsid w:val="00D20C25"/>
    <w:rsid w:val="00D22FAA"/>
    <w:rsid w:val="00D24348"/>
    <w:rsid w:val="00D268FB"/>
    <w:rsid w:val="00D32575"/>
    <w:rsid w:val="00D32B18"/>
    <w:rsid w:val="00D3479B"/>
    <w:rsid w:val="00D36789"/>
    <w:rsid w:val="00D37648"/>
    <w:rsid w:val="00D409FE"/>
    <w:rsid w:val="00D40A5F"/>
    <w:rsid w:val="00D40CC3"/>
    <w:rsid w:val="00D44FC8"/>
    <w:rsid w:val="00D454B7"/>
    <w:rsid w:val="00D47950"/>
    <w:rsid w:val="00D47BF4"/>
    <w:rsid w:val="00D50144"/>
    <w:rsid w:val="00D51462"/>
    <w:rsid w:val="00D5147F"/>
    <w:rsid w:val="00D525F3"/>
    <w:rsid w:val="00D52778"/>
    <w:rsid w:val="00D54FB5"/>
    <w:rsid w:val="00D55F40"/>
    <w:rsid w:val="00D5603D"/>
    <w:rsid w:val="00D56CC0"/>
    <w:rsid w:val="00D57BB2"/>
    <w:rsid w:val="00D6127A"/>
    <w:rsid w:val="00D63EE5"/>
    <w:rsid w:val="00D6418E"/>
    <w:rsid w:val="00D64F4E"/>
    <w:rsid w:val="00D65109"/>
    <w:rsid w:val="00D665CA"/>
    <w:rsid w:val="00D66697"/>
    <w:rsid w:val="00D7020E"/>
    <w:rsid w:val="00D72FE0"/>
    <w:rsid w:val="00D752B4"/>
    <w:rsid w:val="00D752C2"/>
    <w:rsid w:val="00D7685F"/>
    <w:rsid w:val="00D768BB"/>
    <w:rsid w:val="00D7758D"/>
    <w:rsid w:val="00D80893"/>
    <w:rsid w:val="00D81E1C"/>
    <w:rsid w:val="00D81FF3"/>
    <w:rsid w:val="00D82955"/>
    <w:rsid w:val="00D83604"/>
    <w:rsid w:val="00D845AA"/>
    <w:rsid w:val="00D85C4A"/>
    <w:rsid w:val="00D860CD"/>
    <w:rsid w:val="00D87531"/>
    <w:rsid w:val="00D906F7"/>
    <w:rsid w:val="00D907BD"/>
    <w:rsid w:val="00D90ADC"/>
    <w:rsid w:val="00D9197A"/>
    <w:rsid w:val="00D9204D"/>
    <w:rsid w:val="00D95A6C"/>
    <w:rsid w:val="00D965CC"/>
    <w:rsid w:val="00D97233"/>
    <w:rsid w:val="00D973EB"/>
    <w:rsid w:val="00D9799C"/>
    <w:rsid w:val="00D97D00"/>
    <w:rsid w:val="00DA32B0"/>
    <w:rsid w:val="00DA34AF"/>
    <w:rsid w:val="00DA3AC7"/>
    <w:rsid w:val="00DA6C87"/>
    <w:rsid w:val="00DA7B15"/>
    <w:rsid w:val="00DB0133"/>
    <w:rsid w:val="00DB1493"/>
    <w:rsid w:val="00DB2FE4"/>
    <w:rsid w:val="00DB6623"/>
    <w:rsid w:val="00DB71DD"/>
    <w:rsid w:val="00DB7C2E"/>
    <w:rsid w:val="00DC029A"/>
    <w:rsid w:val="00DC1197"/>
    <w:rsid w:val="00DC120D"/>
    <w:rsid w:val="00DC1C19"/>
    <w:rsid w:val="00DD03FF"/>
    <w:rsid w:val="00DD1FDF"/>
    <w:rsid w:val="00DD2EF8"/>
    <w:rsid w:val="00DD3C3D"/>
    <w:rsid w:val="00DD46A0"/>
    <w:rsid w:val="00DD66F2"/>
    <w:rsid w:val="00DE4C8E"/>
    <w:rsid w:val="00DE4D2F"/>
    <w:rsid w:val="00DE5753"/>
    <w:rsid w:val="00DE6083"/>
    <w:rsid w:val="00DF0C9F"/>
    <w:rsid w:val="00DF2A9F"/>
    <w:rsid w:val="00DF4228"/>
    <w:rsid w:val="00DF4685"/>
    <w:rsid w:val="00DF4EE9"/>
    <w:rsid w:val="00DF5CE2"/>
    <w:rsid w:val="00DF6480"/>
    <w:rsid w:val="00DF7028"/>
    <w:rsid w:val="00DF73C5"/>
    <w:rsid w:val="00DF7900"/>
    <w:rsid w:val="00E00F15"/>
    <w:rsid w:val="00E0220F"/>
    <w:rsid w:val="00E04391"/>
    <w:rsid w:val="00E05069"/>
    <w:rsid w:val="00E05424"/>
    <w:rsid w:val="00E07869"/>
    <w:rsid w:val="00E108E5"/>
    <w:rsid w:val="00E10997"/>
    <w:rsid w:val="00E1162A"/>
    <w:rsid w:val="00E11B98"/>
    <w:rsid w:val="00E163B6"/>
    <w:rsid w:val="00E1714A"/>
    <w:rsid w:val="00E176C8"/>
    <w:rsid w:val="00E209D5"/>
    <w:rsid w:val="00E21D26"/>
    <w:rsid w:val="00E22545"/>
    <w:rsid w:val="00E229AA"/>
    <w:rsid w:val="00E25765"/>
    <w:rsid w:val="00E271FA"/>
    <w:rsid w:val="00E272DA"/>
    <w:rsid w:val="00E27ABD"/>
    <w:rsid w:val="00E30F63"/>
    <w:rsid w:val="00E31BA5"/>
    <w:rsid w:val="00E331AC"/>
    <w:rsid w:val="00E33C36"/>
    <w:rsid w:val="00E33F44"/>
    <w:rsid w:val="00E34C6D"/>
    <w:rsid w:val="00E353D8"/>
    <w:rsid w:val="00E35922"/>
    <w:rsid w:val="00E359C4"/>
    <w:rsid w:val="00E4001D"/>
    <w:rsid w:val="00E4214C"/>
    <w:rsid w:val="00E42A4B"/>
    <w:rsid w:val="00E42E0B"/>
    <w:rsid w:val="00E4546E"/>
    <w:rsid w:val="00E45483"/>
    <w:rsid w:val="00E45CBA"/>
    <w:rsid w:val="00E45E40"/>
    <w:rsid w:val="00E465BC"/>
    <w:rsid w:val="00E50692"/>
    <w:rsid w:val="00E510A7"/>
    <w:rsid w:val="00E5184A"/>
    <w:rsid w:val="00E51BCB"/>
    <w:rsid w:val="00E522EE"/>
    <w:rsid w:val="00E532D8"/>
    <w:rsid w:val="00E5456E"/>
    <w:rsid w:val="00E54C4A"/>
    <w:rsid w:val="00E56F0C"/>
    <w:rsid w:val="00E607A6"/>
    <w:rsid w:val="00E60A8C"/>
    <w:rsid w:val="00E6237B"/>
    <w:rsid w:val="00E624D6"/>
    <w:rsid w:val="00E62CE9"/>
    <w:rsid w:val="00E6677B"/>
    <w:rsid w:val="00E678D4"/>
    <w:rsid w:val="00E72780"/>
    <w:rsid w:val="00E72D6F"/>
    <w:rsid w:val="00E73442"/>
    <w:rsid w:val="00E73DAB"/>
    <w:rsid w:val="00E76147"/>
    <w:rsid w:val="00E80836"/>
    <w:rsid w:val="00E8099F"/>
    <w:rsid w:val="00E81FBD"/>
    <w:rsid w:val="00E8249F"/>
    <w:rsid w:val="00E92B51"/>
    <w:rsid w:val="00E94241"/>
    <w:rsid w:val="00E94890"/>
    <w:rsid w:val="00E948B5"/>
    <w:rsid w:val="00E96187"/>
    <w:rsid w:val="00E96211"/>
    <w:rsid w:val="00E979BA"/>
    <w:rsid w:val="00EA0373"/>
    <w:rsid w:val="00EA3022"/>
    <w:rsid w:val="00EA3DD1"/>
    <w:rsid w:val="00EA6B2A"/>
    <w:rsid w:val="00EA6D4D"/>
    <w:rsid w:val="00EB0D53"/>
    <w:rsid w:val="00EB143A"/>
    <w:rsid w:val="00EB287F"/>
    <w:rsid w:val="00EB372F"/>
    <w:rsid w:val="00EB5435"/>
    <w:rsid w:val="00EB6A91"/>
    <w:rsid w:val="00EB7DF3"/>
    <w:rsid w:val="00EC06B0"/>
    <w:rsid w:val="00EC348D"/>
    <w:rsid w:val="00EC5A0B"/>
    <w:rsid w:val="00ED410E"/>
    <w:rsid w:val="00ED4E24"/>
    <w:rsid w:val="00ED5BA0"/>
    <w:rsid w:val="00ED6D68"/>
    <w:rsid w:val="00EE0799"/>
    <w:rsid w:val="00EE4006"/>
    <w:rsid w:val="00EE5754"/>
    <w:rsid w:val="00EF0AFF"/>
    <w:rsid w:val="00EF1E33"/>
    <w:rsid w:val="00EF1E72"/>
    <w:rsid w:val="00EF3294"/>
    <w:rsid w:val="00EF4CB0"/>
    <w:rsid w:val="00EF64A3"/>
    <w:rsid w:val="00EF6883"/>
    <w:rsid w:val="00EF6B1F"/>
    <w:rsid w:val="00EF74D9"/>
    <w:rsid w:val="00EF7C87"/>
    <w:rsid w:val="00F003B0"/>
    <w:rsid w:val="00F02B06"/>
    <w:rsid w:val="00F02D0A"/>
    <w:rsid w:val="00F02F56"/>
    <w:rsid w:val="00F033C7"/>
    <w:rsid w:val="00F04DB2"/>
    <w:rsid w:val="00F073AF"/>
    <w:rsid w:val="00F07DB4"/>
    <w:rsid w:val="00F102BA"/>
    <w:rsid w:val="00F104FD"/>
    <w:rsid w:val="00F12FD0"/>
    <w:rsid w:val="00F13334"/>
    <w:rsid w:val="00F142AF"/>
    <w:rsid w:val="00F1586A"/>
    <w:rsid w:val="00F15876"/>
    <w:rsid w:val="00F23EFD"/>
    <w:rsid w:val="00F23FE5"/>
    <w:rsid w:val="00F24C42"/>
    <w:rsid w:val="00F24D14"/>
    <w:rsid w:val="00F26E4E"/>
    <w:rsid w:val="00F27EC0"/>
    <w:rsid w:val="00F32E13"/>
    <w:rsid w:val="00F34318"/>
    <w:rsid w:val="00F34628"/>
    <w:rsid w:val="00F3601C"/>
    <w:rsid w:val="00F3648A"/>
    <w:rsid w:val="00F3648E"/>
    <w:rsid w:val="00F36574"/>
    <w:rsid w:val="00F41901"/>
    <w:rsid w:val="00F4312B"/>
    <w:rsid w:val="00F45293"/>
    <w:rsid w:val="00F516D0"/>
    <w:rsid w:val="00F53477"/>
    <w:rsid w:val="00F53562"/>
    <w:rsid w:val="00F57708"/>
    <w:rsid w:val="00F63978"/>
    <w:rsid w:val="00F64E73"/>
    <w:rsid w:val="00F65646"/>
    <w:rsid w:val="00F6688C"/>
    <w:rsid w:val="00F6763B"/>
    <w:rsid w:val="00F70606"/>
    <w:rsid w:val="00F71391"/>
    <w:rsid w:val="00F72B25"/>
    <w:rsid w:val="00F74195"/>
    <w:rsid w:val="00F76F8A"/>
    <w:rsid w:val="00F82395"/>
    <w:rsid w:val="00F84E8C"/>
    <w:rsid w:val="00F85429"/>
    <w:rsid w:val="00F855ED"/>
    <w:rsid w:val="00F875D8"/>
    <w:rsid w:val="00F91B87"/>
    <w:rsid w:val="00F94378"/>
    <w:rsid w:val="00F94E8B"/>
    <w:rsid w:val="00FA1319"/>
    <w:rsid w:val="00FA2AB7"/>
    <w:rsid w:val="00FA4819"/>
    <w:rsid w:val="00FA5C7E"/>
    <w:rsid w:val="00FA6B1D"/>
    <w:rsid w:val="00FA7C53"/>
    <w:rsid w:val="00FB3747"/>
    <w:rsid w:val="00FB43BB"/>
    <w:rsid w:val="00FB4DD8"/>
    <w:rsid w:val="00FB6501"/>
    <w:rsid w:val="00FB6B21"/>
    <w:rsid w:val="00FB6C54"/>
    <w:rsid w:val="00FC16D4"/>
    <w:rsid w:val="00FC2CEE"/>
    <w:rsid w:val="00FC4279"/>
    <w:rsid w:val="00FC44B9"/>
    <w:rsid w:val="00FC45E1"/>
    <w:rsid w:val="00FC4B21"/>
    <w:rsid w:val="00FC4C29"/>
    <w:rsid w:val="00FC566C"/>
    <w:rsid w:val="00FC6829"/>
    <w:rsid w:val="00FC6B7A"/>
    <w:rsid w:val="00FC7F50"/>
    <w:rsid w:val="00FD12D9"/>
    <w:rsid w:val="00FD3414"/>
    <w:rsid w:val="00FD46D8"/>
    <w:rsid w:val="00FD5D2E"/>
    <w:rsid w:val="00FE10A6"/>
    <w:rsid w:val="00FE26E0"/>
    <w:rsid w:val="00FE53AC"/>
    <w:rsid w:val="00FF1948"/>
    <w:rsid w:val="00FF42AD"/>
    <w:rsid w:val="00FF436F"/>
    <w:rsid w:val="00FF43B9"/>
    <w:rsid w:val="00FF5EE7"/>
    <w:rsid w:val="00FF62A6"/>
    <w:rsid w:val="00FF65DD"/>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DE096"/>
  <w15:docId w15:val="{11A2CBD6-BF34-4C45-ACBC-40AAB753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D46D8"/>
    <w:pPr>
      <w:keepNext/>
      <w:numPr>
        <w:numId w:val="3"/>
      </w:numPr>
      <w:tabs>
        <w:tab w:val="clear" w:pos="1800"/>
      </w:tabs>
      <w:spacing w:after="240"/>
      <w:jc w:val="both"/>
      <w:outlineLvl w:val="0"/>
    </w:pPr>
    <w:rPr>
      <w:rFonts w:cs="Arial"/>
      <w:bCs/>
      <w:szCs w:val="32"/>
    </w:rPr>
  </w:style>
  <w:style w:type="paragraph" w:styleId="Heading2">
    <w:name w:val="heading 2"/>
    <w:basedOn w:val="Normal"/>
    <w:next w:val="Normal"/>
    <w:qFormat/>
    <w:rsid w:val="00C045E6"/>
    <w:pPr>
      <w:numPr>
        <w:ilvl w:val="1"/>
        <w:numId w:val="3"/>
      </w:numPr>
      <w:tabs>
        <w:tab w:val="clear" w:pos="1800"/>
      </w:tabs>
      <w:spacing w:after="240"/>
      <w:jc w:val="both"/>
      <w:outlineLvl w:val="1"/>
    </w:pPr>
    <w:rPr>
      <w:rFonts w:cs="Arial"/>
      <w:bCs/>
      <w:iCs/>
      <w:szCs w:val="28"/>
    </w:rPr>
  </w:style>
  <w:style w:type="paragraph" w:styleId="Heading3">
    <w:name w:val="heading 3"/>
    <w:basedOn w:val="Normal"/>
    <w:next w:val="Normal"/>
    <w:qFormat/>
    <w:pPr>
      <w:numPr>
        <w:ilvl w:val="2"/>
        <w:numId w:val="3"/>
      </w:numPr>
      <w:spacing w:after="240"/>
      <w:outlineLvl w:val="2"/>
    </w:pPr>
    <w:rPr>
      <w:rFonts w:cs="Arial"/>
      <w:bCs/>
      <w:szCs w:val="26"/>
    </w:rPr>
  </w:style>
  <w:style w:type="paragraph" w:styleId="Heading4">
    <w:name w:val="heading 4"/>
    <w:basedOn w:val="Normal"/>
    <w:next w:val="Normal"/>
    <w:qFormat/>
    <w:pPr>
      <w:numPr>
        <w:ilvl w:val="3"/>
        <w:numId w:val="3"/>
      </w:numPr>
      <w:tabs>
        <w:tab w:val="clear" w:pos="4320"/>
      </w:tabs>
      <w:spacing w:after="240"/>
      <w:outlineLvl w:val="3"/>
    </w:pPr>
    <w:rPr>
      <w:bCs/>
      <w:szCs w:val="28"/>
    </w:rPr>
  </w:style>
  <w:style w:type="paragraph" w:styleId="Heading5">
    <w:name w:val="heading 5"/>
    <w:basedOn w:val="Normal"/>
    <w:next w:val="Normal"/>
    <w:qFormat/>
    <w:pPr>
      <w:numPr>
        <w:ilvl w:val="4"/>
        <w:numId w:val="3"/>
      </w:numPr>
      <w:tabs>
        <w:tab w:val="clear" w:pos="5040"/>
      </w:tabs>
      <w:spacing w:after="240"/>
      <w:outlineLvl w:val="4"/>
    </w:pPr>
    <w:rPr>
      <w:bCs/>
      <w:iCs/>
      <w:szCs w:val="26"/>
    </w:rPr>
  </w:style>
  <w:style w:type="paragraph" w:styleId="Heading6">
    <w:name w:val="heading 6"/>
    <w:basedOn w:val="Normal"/>
    <w:next w:val="Normal"/>
    <w:qFormat/>
    <w:pPr>
      <w:numPr>
        <w:ilvl w:val="5"/>
        <w:numId w:val="3"/>
      </w:numPr>
      <w:tabs>
        <w:tab w:val="clear" w:pos="5760"/>
      </w:tabs>
      <w:spacing w:after="240"/>
      <w:outlineLvl w:val="5"/>
    </w:pPr>
    <w:rPr>
      <w:bCs/>
      <w:szCs w:val="22"/>
    </w:rPr>
  </w:style>
  <w:style w:type="paragraph" w:styleId="Heading7">
    <w:name w:val="heading 7"/>
    <w:basedOn w:val="Normal"/>
    <w:next w:val="Normal"/>
    <w:qFormat/>
    <w:pPr>
      <w:numPr>
        <w:ilvl w:val="6"/>
        <w:numId w:val="3"/>
      </w:numPr>
      <w:tabs>
        <w:tab w:val="clear" w:pos="6480"/>
      </w:tabs>
      <w:spacing w:after="240"/>
      <w:outlineLvl w:val="6"/>
    </w:pPr>
  </w:style>
  <w:style w:type="paragraph" w:styleId="Heading8">
    <w:name w:val="heading 8"/>
    <w:basedOn w:val="Normal"/>
    <w:next w:val="Normal"/>
    <w:qFormat/>
    <w:pPr>
      <w:numPr>
        <w:ilvl w:val="7"/>
        <w:numId w:val="3"/>
      </w:numPr>
      <w:tabs>
        <w:tab w:val="clear" w:pos="7200"/>
      </w:tabs>
      <w:spacing w:after="240"/>
      <w:outlineLvl w:val="7"/>
    </w:pPr>
    <w:rPr>
      <w:iCs/>
    </w:rPr>
  </w:style>
  <w:style w:type="paragraph" w:styleId="Heading9">
    <w:name w:val="heading 9"/>
    <w:basedOn w:val="Normal"/>
    <w:next w:val="Normal"/>
    <w:qFormat/>
    <w:pPr>
      <w:numPr>
        <w:ilvl w:val="8"/>
        <w:numId w:val="3"/>
      </w:numPr>
      <w:tabs>
        <w:tab w:val="clear" w:pos="7920"/>
      </w:tabs>
      <w:spacing w:after="24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46D8"/>
    <w:rPr>
      <w:rFonts w:cs="Arial"/>
      <w:bCs/>
      <w:sz w:val="24"/>
      <w:szCs w:val="32"/>
    </w:rPr>
  </w:style>
  <w:style w:type="character" w:styleId="FootnoteReference">
    <w:name w:val="footnote reference"/>
    <w:semiHidden/>
  </w:style>
  <w:style w:type="paragraph" w:styleId="Header">
    <w:name w:val="header"/>
    <w:aliases w:val="h"/>
    <w:basedOn w:val="Normal"/>
    <w:link w:val="HeaderChar"/>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sid w:val="00C03C62"/>
    <w:rPr>
      <w:sz w:val="24"/>
      <w:szCs w:val="24"/>
    </w:rPr>
  </w:style>
  <w:style w:type="paragraph" w:customStyle="1" w:styleId="Heading1Body">
    <w:name w:val="Heading 1 Body"/>
    <w:basedOn w:val="Normal"/>
    <w:next w:val="Heading1"/>
    <w:pPr>
      <w:ind w:firstLine="720"/>
      <w:jc w:val="both"/>
    </w:pPr>
  </w:style>
  <w:style w:type="paragraph" w:customStyle="1" w:styleId="Heading3Body">
    <w:name w:val="Heading 3 Body"/>
    <w:basedOn w:val="Normal"/>
    <w:next w:val="Heading3"/>
    <w:pPr>
      <w:ind w:left="720" w:firstLine="720"/>
      <w:jc w:val="both"/>
    </w:pPr>
  </w:style>
  <w:style w:type="paragraph" w:customStyle="1" w:styleId="Heading4Body">
    <w:name w:val="Heading 4 Body"/>
    <w:basedOn w:val="Normal"/>
    <w:next w:val="Heading4"/>
    <w:pPr>
      <w:ind w:left="1440" w:firstLine="720"/>
      <w:jc w:val="both"/>
    </w:pPr>
  </w:style>
  <w:style w:type="paragraph" w:customStyle="1" w:styleId="BodyText15">
    <w:name w:val="* Body Text 1.5"/>
    <w:basedOn w:val="Normal"/>
    <w:pPr>
      <w:spacing w:line="360" w:lineRule="auto"/>
      <w:ind w:firstLine="1440"/>
    </w:pPr>
  </w:style>
  <w:style w:type="character" w:styleId="Emphasis">
    <w:name w:val="Emphasis"/>
    <w:basedOn w:val="DefaultParagraphFont"/>
    <w:rsid w:val="006C2C76"/>
    <w:rPr>
      <w:i/>
      <w:iCs/>
    </w:rPr>
  </w:style>
  <w:style w:type="paragraph" w:customStyle="1" w:styleId="BodyText5">
    <w:name w:val="* Body Text .5"/>
    <w:basedOn w:val="Normal"/>
    <w:link w:val="BodyText5Char"/>
    <w:autoRedefine/>
    <w:pPr>
      <w:spacing w:after="240"/>
      <w:ind w:firstLine="720"/>
      <w:jc w:val="both"/>
    </w:pPr>
  </w:style>
  <w:style w:type="character" w:customStyle="1" w:styleId="BodyText5Char">
    <w:name w:val="* Body Text .5 Char"/>
    <w:link w:val="BodyText5"/>
    <w:rPr>
      <w:sz w:val="24"/>
      <w:szCs w:val="24"/>
      <w:lang w:val="en-US" w:eastAsia="en-US" w:bidi="ar-SA"/>
    </w:r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spacing w:after="24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spacing w:after="240"/>
    </w:pPr>
  </w:style>
  <w:style w:type="paragraph" w:customStyle="1" w:styleId="TitleC">
    <w:name w:val="* Title C"/>
    <w:basedOn w:val="Normal"/>
    <w:pPr>
      <w:keepNext/>
      <w:spacing w:after="240"/>
      <w:jc w:val="center"/>
    </w:pPr>
    <w:rPr>
      <w:b/>
    </w:rPr>
  </w:style>
  <w:style w:type="paragraph" w:customStyle="1" w:styleId="TitleL">
    <w:name w:val="* Title L"/>
    <w:basedOn w:val="Normal"/>
    <w:pPr>
      <w:keepNext/>
      <w:spacing w:after="240"/>
    </w:pPr>
    <w:rPr>
      <w:b/>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rPr>
      <w:szCs w:val="20"/>
    </w:rPr>
  </w:style>
  <w:style w:type="character" w:customStyle="1" w:styleId="DocID">
    <w:name w:val="DocID"/>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aliases w:val="Signature Right"/>
    <w:basedOn w:val="Normal"/>
    <w:link w:val="SignatureChar"/>
    <w:qFormat/>
    <w:rsid w:val="003718BE"/>
    <w:pPr>
      <w:tabs>
        <w:tab w:val="right" w:pos="9360"/>
      </w:tabs>
      <w:ind w:left="4680"/>
      <w:jc w:val="both"/>
    </w:pPr>
    <w:rPr>
      <w:rFonts w:eastAsiaTheme="minorHAnsi" w:cstheme="minorBidi"/>
      <w:color w:val="000000" w:themeColor="text1"/>
    </w:rPr>
  </w:style>
  <w:style w:type="character" w:customStyle="1" w:styleId="SignatureChar">
    <w:name w:val="Signature Char"/>
    <w:aliases w:val="Signature Right Char"/>
    <w:basedOn w:val="DefaultParagraphFont"/>
    <w:link w:val="Signature"/>
    <w:rsid w:val="003718BE"/>
    <w:rPr>
      <w:rFonts w:eastAsiaTheme="minorHAnsi" w:cstheme="minorBidi"/>
      <w:color w:val="000000" w:themeColor="text1"/>
      <w:sz w:val="24"/>
      <w:szCs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
    <w:name w:val="Default Paragraph Font Para Char"/>
    <w:basedOn w:val="Normal"/>
    <w:pPr>
      <w:spacing w:after="160" w:line="240" w:lineRule="exact"/>
      <w:jc w:val="both"/>
    </w:pPr>
    <w:rPr>
      <w:rFonts w:ascii="Verdana" w:hAnsi="Verdana"/>
      <w:sz w:val="20"/>
      <w:szCs w:val="20"/>
    </w:rPr>
  </w:style>
  <w:style w:type="paragraph" w:customStyle="1" w:styleId="00BodyText5">
    <w:name w:val="00 Body Text .5"/>
    <w:basedOn w:val="Normal"/>
    <w:link w:val="00BodyText5Char"/>
    <w:qFormat/>
    <w:rsid w:val="006C2C76"/>
    <w:pPr>
      <w:spacing w:after="240"/>
      <w:ind w:firstLine="720"/>
      <w:jc w:val="both"/>
    </w:pPr>
  </w:style>
  <w:style w:type="paragraph" w:styleId="FootnoteText">
    <w:name w:val="footnote text"/>
    <w:basedOn w:val="Normal"/>
    <w:semiHidden/>
    <w:pPr>
      <w:spacing w:after="240"/>
      <w:ind w:left="720" w:hanging="720"/>
    </w:pPr>
    <w:rPr>
      <w:szCs w:val="20"/>
    </w:rPr>
  </w:style>
  <w:style w:type="paragraph" w:customStyle="1" w:styleId="00BulletList">
    <w:name w:val="00 Bullet List"/>
    <w:basedOn w:val="Normal"/>
    <w:pPr>
      <w:numPr>
        <w:numId w:val="15"/>
      </w:numPr>
      <w:tabs>
        <w:tab w:val="clear" w:pos="1440"/>
        <w:tab w:val="num" w:pos="360"/>
      </w:tabs>
      <w:spacing w:after="240"/>
      <w:ind w:left="0" w:firstLine="0"/>
    </w:pPr>
  </w:style>
  <w:style w:type="paragraph" w:customStyle="1" w:styleId="00BlockInd5">
    <w:name w:val="00 Block Ind .5"/>
    <w:basedOn w:val="Normal"/>
    <w:qFormat/>
    <w:pPr>
      <w:spacing w:after="240"/>
      <w:ind w:left="720" w:right="720"/>
    </w:pPr>
  </w:style>
  <w:style w:type="paragraph" w:customStyle="1" w:styleId="00BlockInd1">
    <w:name w:val="00 Block Ind 1"/>
    <w:basedOn w:val="Normal"/>
    <w:pPr>
      <w:spacing w:after="240"/>
      <w:ind w:left="1440" w:right="1440"/>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Center">
    <w:name w:val="00 Center"/>
    <w:basedOn w:val="Normal"/>
    <w:qFormat/>
    <w:pPr>
      <w:keepNext/>
      <w:spacing w:after="240"/>
      <w:jc w:val="center"/>
    </w:pPr>
  </w:style>
  <w:style w:type="paragraph" w:customStyle="1" w:styleId="00Double">
    <w:name w:val="00 Double"/>
    <w:basedOn w:val="Normal"/>
    <w:pPr>
      <w:spacing w:line="480" w:lineRule="auto"/>
    </w:pPr>
  </w:style>
  <w:style w:type="paragraph" w:customStyle="1" w:styleId="00HangingIndent">
    <w:name w:val="00 Hanging Indent"/>
    <w:basedOn w:val="Normal"/>
    <w:pPr>
      <w:spacing w:after="240"/>
      <w:ind w:left="2880" w:hanging="2160"/>
    </w:pPr>
  </w:style>
  <w:style w:type="paragraph" w:customStyle="1" w:styleId="00JBodyText1">
    <w:name w:val="00 J Body Text 1"/>
    <w:basedOn w:val="Normal"/>
    <w:pPr>
      <w:spacing w:after="240"/>
      <w:ind w:firstLine="1440"/>
      <w:jc w:val="both"/>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Normal">
    <w:name w:val="00 Normal"/>
    <w:basedOn w:val="Normal"/>
    <w:qFormat/>
    <w:pPr>
      <w:spacing w:after="240"/>
    </w:pPr>
  </w:style>
  <w:style w:type="paragraph" w:customStyle="1" w:styleId="00NumberList">
    <w:name w:val="00 Number List"/>
    <w:basedOn w:val="Normal"/>
    <w:pPr>
      <w:numPr>
        <w:numId w:val="16"/>
      </w:numPr>
      <w:tabs>
        <w:tab w:val="clear" w:pos="1080"/>
        <w:tab w:val="num" w:pos="360"/>
      </w:tabs>
      <w:spacing w:after="240"/>
      <w:ind w:firstLine="0"/>
    </w:pPr>
  </w:style>
  <w:style w:type="paragraph" w:customStyle="1" w:styleId="00PlainText">
    <w:name w:val="00 Plain Text"/>
    <w:basedOn w:val="Normal"/>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paragraph" w:styleId="ListBullet">
    <w:name w:val="List Bullet"/>
    <w:basedOn w:val="Normal"/>
    <w:pPr>
      <w:numPr>
        <w:numId w:val="5"/>
      </w:numPr>
    </w:pPr>
  </w:style>
  <w:style w:type="paragraph" w:styleId="ListBullet2">
    <w:name w:val="List Bullet 2"/>
    <w:basedOn w:val="Normal"/>
    <w:autoRedefine/>
    <w:pPr>
      <w:tabs>
        <w:tab w:val="num" w:pos="720"/>
      </w:tabs>
      <w:ind w:left="720" w:hanging="360"/>
    </w:pPr>
  </w:style>
  <w:style w:type="character" w:customStyle="1" w:styleId="DOCID0">
    <w:name w:val="DOCID"/>
    <w:rPr>
      <w:rFonts w:ascii="Arial" w:hAnsi="Arial" w:cs="Arial"/>
      <w:sz w:val="16"/>
      <w:szCs w:val="16"/>
    </w:rPr>
  </w:style>
  <w:style w:type="paragraph" w:customStyle="1" w:styleId="Heading24Body">
    <w:name w:val="Heading 24 Body"/>
    <w:basedOn w:val="Normal"/>
    <w:next w:val="Normal"/>
    <w:pPr>
      <w:numPr>
        <w:ilvl w:val="1"/>
        <w:numId w:val="20"/>
      </w:numPr>
      <w:tabs>
        <w:tab w:val="clear" w:pos="1440"/>
      </w:tabs>
      <w:ind w:left="1440"/>
      <w:jc w:val="both"/>
    </w:pPr>
  </w:style>
  <w:style w:type="paragraph" w:customStyle="1" w:styleId="Heading32Body">
    <w:name w:val="Heading 32 Body"/>
    <w:basedOn w:val="Normal"/>
    <w:next w:val="Normal"/>
    <w:pPr>
      <w:numPr>
        <w:ilvl w:val="2"/>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pPr>
  </w:style>
  <w:style w:type="paragraph" w:styleId="BalloonText">
    <w:name w:val="Balloon Text"/>
    <w:basedOn w:val="Normal"/>
    <w:link w:val="BalloonTextChar"/>
    <w:rsid w:val="004F2545"/>
    <w:rPr>
      <w:rFonts w:ascii="Tahoma" w:hAnsi="Tahoma" w:cs="Tahoma"/>
      <w:sz w:val="16"/>
      <w:szCs w:val="16"/>
    </w:rPr>
  </w:style>
  <w:style w:type="character" w:customStyle="1" w:styleId="BalloonTextChar">
    <w:name w:val="Balloon Text Char"/>
    <w:link w:val="BalloonText"/>
    <w:rsid w:val="004F2545"/>
    <w:rPr>
      <w:rFonts w:ascii="Tahoma" w:hAnsi="Tahoma" w:cs="Tahoma"/>
      <w:sz w:val="16"/>
      <w:szCs w:val="16"/>
    </w:rPr>
  </w:style>
  <w:style w:type="character" w:styleId="Hyperlink">
    <w:name w:val="Hyperlink"/>
    <w:uiPriority w:val="99"/>
    <w:rsid w:val="00D52778"/>
    <w:rPr>
      <w:color w:val="0000FF"/>
      <w:u w:val="single"/>
    </w:rPr>
  </w:style>
  <w:style w:type="paragraph" w:customStyle="1" w:styleId="Default">
    <w:name w:val="Default"/>
    <w:rsid w:val="00BE5EA8"/>
    <w:pPr>
      <w:autoSpaceDE w:val="0"/>
      <w:autoSpaceDN w:val="0"/>
      <w:adjustRightInd w:val="0"/>
    </w:pPr>
    <w:rPr>
      <w:color w:val="000000"/>
      <w:sz w:val="24"/>
      <w:szCs w:val="24"/>
    </w:rPr>
  </w:style>
  <w:style w:type="paragraph" w:styleId="BodyText">
    <w:name w:val="Body Text"/>
    <w:basedOn w:val="Normal"/>
    <w:link w:val="BodyTextChar"/>
    <w:unhideWhenUsed/>
    <w:rsid w:val="00BE5EA8"/>
    <w:pPr>
      <w:spacing w:after="120"/>
    </w:pPr>
  </w:style>
  <w:style w:type="character" w:customStyle="1" w:styleId="BodyTextChar">
    <w:name w:val="Body Text Char"/>
    <w:basedOn w:val="DefaultParagraphFont"/>
    <w:link w:val="BodyText"/>
    <w:rsid w:val="00BE5EA8"/>
    <w:rPr>
      <w:sz w:val="24"/>
      <w:szCs w:val="24"/>
    </w:rPr>
  </w:style>
  <w:style w:type="paragraph" w:styleId="Index8">
    <w:name w:val="index 8"/>
    <w:basedOn w:val="Normal"/>
    <w:next w:val="Normal"/>
    <w:autoRedefine/>
    <w:semiHidden/>
    <w:rsid w:val="005E7FD6"/>
    <w:pPr>
      <w:ind w:left="1920" w:hanging="240"/>
    </w:pPr>
  </w:style>
  <w:style w:type="character" w:styleId="CommentReference">
    <w:name w:val="annotation reference"/>
    <w:basedOn w:val="DefaultParagraphFont"/>
    <w:semiHidden/>
    <w:unhideWhenUsed/>
    <w:rsid w:val="00582D12"/>
    <w:rPr>
      <w:sz w:val="16"/>
      <w:szCs w:val="16"/>
    </w:rPr>
  </w:style>
  <w:style w:type="paragraph" w:styleId="CommentText">
    <w:name w:val="annotation text"/>
    <w:basedOn w:val="Normal"/>
    <w:link w:val="CommentTextChar"/>
    <w:unhideWhenUsed/>
    <w:rsid w:val="00582D12"/>
    <w:rPr>
      <w:sz w:val="20"/>
      <w:szCs w:val="20"/>
    </w:rPr>
  </w:style>
  <w:style w:type="character" w:customStyle="1" w:styleId="CommentTextChar">
    <w:name w:val="Comment Text Char"/>
    <w:basedOn w:val="DefaultParagraphFont"/>
    <w:link w:val="CommentText"/>
    <w:rsid w:val="00582D12"/>
  </w:style>
  <w:style w:type="paragraph" w:styleId="CommentSubject">
    <w:name w:val="annotation subject"/>
    <w:basedOn w:val="CommentText"/>
    <w:next w:val="CommentText"/>
    <w:link w:val="CommentSubjectChar"/>
    <w:semiHidden/>
    <w:unhideWhenUsed/>
    <w:rsid w:val="00582D12"/>
    <w:rPr>
      <w:b/>
      <w:bCs/>
    </w:rPr>
  </w:style>
  <w:style w:type="character" w:customStyle="1" w:styleId="CommentSubjectChar">
    <w:name w:val="Comment Subject Char"/>
    <w:basedOn w:val="CommentTextChar"/>
    <w:link w:val="CommentSubject"/>
    <w:semiHidden/>
    <w:rsid w:val="00582D12"/>
    <w:rPr>
      <w:b/>
      <w:bCs/>
    </w:rPr>
  </w:style>
  <w:style w:type="paragraph" w:customStyle="1" w:styleId="TableParagraph">
    <w:name w:val="Table Paragraph"/>
    <w:basedOn w:val="Normal"/>
    <w:uiPriority w:val="1"/>
    <w:qFormat/>
    <w:rsid w:val="009F1A28"/>
    <w:pPr>
      <w:widowControl w:val="0"/>
      <w:autoSpaceDE w:val="0"/>
      <w:autoSpaceDN w:val="0"/>
      <w:jc w:val="center"/>
    </w:pPr>
    <w:rPr>
      <w:rFonts w:ascii="Calibri" w:eastAsia="Calibri" w:hAnsi="Calibri" w:cs="Calibri"/>
      <w:sz w:val="22"/>
      <w:szCs w:val="22"/>
      <w:lang w:bidi="en-US"/>
    </w:rPr>
  </w:style>
  <w:style w:type="character" w:customStyle="1" w:styleId="HeaderChar">
    <w:name w:val="Header Char"/>
    <w:aliases w:val="h Char"/>
    <w:basedOn w:val="DefaultParagraphFont"/>
    <w:link w:val="Header"/>
    <w:rsid w:val="001B1F2D"/>
    <w:rPr>
      <w:sz w:val="24"/>
      <w:szCs w:val="24"/>
    </w:rPr>
  </w:style>
  <w:style w:type="character" w:styleId="UnresolvedMention">
    <w:name w:val="Unresolved Mention"/>
    <w:basedOn w:val="DefaultParagraphFont"/>
    <w:uiPriority w:val="99"/>
    <w:semiHidden/>
    <w:unhideWhenUsed/>
    <w:rsid w:val="0086656A"/>
    <w:rPr>
      <w:color w:val="605E5C"/>
      <w:shd w:val="clear" w:color="auto" w:fill="E1DFDD"/>
    </w:rPr>
  </w:style>
  <w:style w:type="paragraph" w:styleId="Revision">
    <w:name w:val="Revision"/>
    <w:hidden/>
    <w:uiPriority w:val="99"/>
    <w:semiHidden/>
    <w:rsid w:val="005B2D1F"/>
    <w:rPr>
      <w:sz w:val="24"/>
      <w:szCs w:val="24"/>
    </w:rPr>
  </w:style>
  <w:style w:type="character" w:customStyle="1" w:styleId="00BodyText5Char">
    <w:name w:val="00 Body Text .5 Char"/>
    <w:basedOn w:val="DefaultParagraphFont"/>
    <w:link w:val="00BodyText5"/>
    <w:rsid w:val="00D97D00"/>
    <w:rPr>
      <w:sz w:val="24"/>
      <w:szCs w:val="24"/>
    </w:rPr>
  </w:style>
  <w:style w:type="paragraph" w:styleId="ListParagraph">
    <w:name w:val="List Paragraph"/>
    <w:basedOn w:val="Normal"/>
    <w:uiPriority w:val="34"/>
    <w:qFormat/>
    <w:rsid w:val="00080D7F"/>
    <w:pPr>
      <w:ind w:left="720"/>
    </w:pPr>
  </w:style>
  <w:style w:type="character" w:styleId="FollowedHyperlink">
    <w:name w:val="FollowedHyperlink"/>
    <w:basedOn w:val="DefaultParagraphFont"/>
    <w:uiPriority w:val="99"/>
    <w:semiHidden/>
    <w:unhideWhenUsed/>
    <w:rsid w:val="005E01A8"/>
    <w:rPr>
      <w:color w:val="96607D"/>
      <w:u w:val="single"/>
    </w:rPr>
  </w:style>
  <w:style w:type="paragraph" w:customStyle="1" w:styleId="msonormal0">
    <w:name w:val="msonormal"/>
    <w:basedOn w:val="Normal"/>
    <w:rsid w:val="005E01A8"/>
    <w:pPr>
      <w:spacing w:before="100" w:beforeAutospacing="1" w:after="100" w:afterAutospacing="1"/>
    </w:pPr>
  </w:style>
  <w:style w:type="paragraph" w:customStyle="1" w:styleId="xl65">
    <w:name w:val="xl65"/>
    <w:basedOn w:val="Normal"/>
    <w:rsid w:val="005E01A8"/>
    <w:pPr>
      <w:spacing w:before="100" w:beforeAutospacing="1" w:after="100" w:afterAutospacing="1"/>
      <w:jc w:val="center"/>
    </w:pPr>
    <w:rPr>
      <w:b/>
      <w:bCs/>
    </w:rPr>
  </w:style>
  <w:style w:type="paragraph" w:customStyle="1" w:styleId="xl66">
    <w:name w:val="xl66"/>
    <w:basedOn w:val="Normal"/>
    <w:rsid w:val="005E01A8"/>
    <w:pPr>
      <w:spacing w:before="100" w:beforeAutospacing="1" w:after="100" w:afterAutospacing="1"/>
      <w:jc w:val="center"/>
    </w:pPr>
  </w:style>
  <w:style w:type="paragraph" w:customStyle="1" w:styleId="xl67">
    <w:name w:val="xl67"/>
    <w:basedOn w:val="Normal"/>
    <w:rsid w:val="005E01A8"/>
    <w:pPr>
      <w:spacing w:before="100" w:beforeAutospacing="1" w:after="100" w:afterAutospacing="1"/>
      <w:jc w:val="center"/>
    </w:pPr>
  </w:style>
  <w:style w:type="paragraph" w:customStyle="1" w:styleId="xl68">
    <w:name w:val="xl68"/>
    <w:basedOn w:val="Normal"/>
    <w:rsid w:val="005E01A8"/>
    <w:pPr>
      <w:spacing w:before="100" w:beforeAutospacing="1" w:after="100" w:afterAutospacing="1"/>
      <w:jc w:val="center"/>
    </w:pPr>
  </w:style>
  <w:style w:type="paragraph" w:customStyle="1" w:styleId="xl69">
    <w:name w:val="xl69"/>
    <w:basedOn w:val="Normal"/>
    <w:rsid w:val="005E01A8"/>
    <w:pPr>
      <w:spacing w:before="100" w:beforeAutospacing="1" w:after="100" w:afterAutospacing="1"/>
      <w:jc w:val="right"/>
    </w:pPr>
  </w:style>
  <w:style w:type="paragraph" w:customStyle="1" w:styleId="xl70">
    <w:name w:val="xl70"/>
    <w:basedOn w:val="Normal"/>
    <w:rsid w:val="00FA4819"/>
    <w:pPr>
      <w:spacing w:before="100" w:beforeAutospacing="1" w:after="100" w:afterAutospacing="1"/>
    </w:pPr>
  </w:style>
  <w:style w:type="paragraph" w:customStyle="1" w:styleId="SignatureLEFT">
    <w:name w:val="Signature LEFT"/>
    <w:basedOn w:val="Normal"/>
    <w:link w:val="SignatureLEFTChar"/>
    <w:qFormat/>
    <w:rsid w:val="003718BE"/>
    <w:pPr>
      <w:tabs>
        <w:tab w:val="right" w:pos="4680"/>
      </w:tabs>
      <w:ind w:right="4680"/>
      <w:jc w:val="both"/>
    </w:pPr>
    <w:rPr>
      <w:rFonts w:eastAsiaTheme="minorHAnsi" w:cstheme="minorBidi"/>
      <w:szCs w:val="20"/>
    </w:rPr>
  </w:style>
  <w:style w:type="character" w:customStyle="1" w:styleId="SignatureLEFTChar">
    <w:name w:val="Signature LEFT Char"/>
    <w:basedOn w:val="DefaultParagraphFont"/>
    <w:link w:val="SignatureLEFT"/>
    <w:rsid w:val="003718BE"/>
    <w:rPr>
      <w:rFonts w:eastAsia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116">
      <w:bodyDiv w:val="1"/>
      <w:marLeft w:val="0"/>
      <w:marRight w:val="0"/>
      <w:marTop w:val="0"/>
      <w:marBottom w:val="0"/>
      <w:divBdr>
        <w:top w:val="none" w:sz="0" w:space="0" w:color="auto"/>
        <w:left w:val="none" w:sz="0" w:space="0" w:color="auto"/>
        <w:bottom w:val="none" w:sz="0" w:space="0" w:color="auto"/>
        <w:right w:val="none" w:sz="0" w:space="0" w:color="auto"/>
      </w:divBdr>
    </w:div>
    <w:div w:id="53822049">
      <w:bodyDiv w:val="1"/>
      <w:marLeft w:val="0"/>
      <w:marRight w:val="0"/>
      <w:marTop w:val="0"/>
      <w:marBottom w:val="0"/>
      <w:divBdr>
        <w:top w:val="none" w:sz="0" w:space="0" w:color="auto"/>
        <w:left w:val="none" w:sz="0" w:space="0" w:color="auto"/>
        <w:bottom w:val="none" w:sz="0" w:space="0" w:color="auto"/>
        <w:right w:val="none" w:sz="0" w:space="0" w:color="auto"/>
      </w:divBdr>
    </w:div>
    <w:div w:id="74477897">
      <w:bodyDiv w:val="1"/>
      <w:marLeft w:val="0"/>
      <w:marRight w:val="0"/>
      <w:marTop w:val="0"/>
      <w:marBottom w:val="0"/>
      <w:divBdr>
        <w:top w:val="none" w:sz="0" w:space="0" w:color="auto"/>
        <w:left w:val="none" w:sz="0" w:space="0" w:color="auto"/>
        <w:bottom w:val="none" w:sz="0" w:space="0" w:color="auto"/>
        <w:right w:val="none" w:sz="0" w:space="0" w:color="auto"/>
      </w:divBdr>
    </w:div>
    <w:div w:id="110782201">
      <w:bodyDiv w:val="1"/>
      <w:marLeft w:val="0"/>
      <w:marRight w:val="0"/>
      <w:marTop w:val="0"/>
      <w:marBottom w:val="0"/>
      <w:divBdr>
        <w:top w:val="none" w:sz="0" w:space="0" w:color="auto"/>
        <w:left w:val="none" w:sz="0" w:space="0" w:color="auto"/>
        <w:bottom w:val="none" w:sz="0" w:space="0" w:color="auto"/>
        <w:right w:val="none" w:sz="0" w:space="0" w:color="auto"/>
      </w:divBdr>
    </w:div>
    <w:div w:id="121115318">
      <w:bodyDiv w:val="1"/>
      <w:marLeft w:val="0"/>
      <w:marRight w:val="0"/>
      <w:marTop w:val="0"/>
      <w:marBottom w:val="0"/>
      <w:divBdr>
        <w:top w:val="none" w:sz="0" w:space="0" w:color="auto"/>
        <w:left w:val="none" w:sz="0" w:space="0" w:color="auto"/>
        <w:bottom w:val="none" w:sz="0" w:space="0" w:color="auto"/>
        <w:right w:val="none" w:sz="0" w:space="0" w:color="auto"/>
      </w:divBdr>
    </w:div>
    <w:div w:id="222376513">
      <w:bodyDiv w:val="1"/>
      <w:marLeft w:val="0"/>
      <w:marRight w:val="0"/>
      <w:marTop w:val="0"/>
      <w:marBottom w:val="0"/>
      <w:divBdr>
        <w:top w:val="none" w:sz="0" w:space="0" w:color="auto"/>
        <w:left w:val="none" w:sz="0" w:space="0" w:color="auto"/>
        <w:bottom w:val="none" w:sz="0" w:space="0" w:color="auto"/>
        <w:right w:val="none" w:sz="0" w:space="0" w:color="auto"/>
      </w:divBdr>
    </w:div>
    <w:div w:id="278462497">
      <w:bodyDiv w:val="1"/>
      <w:marLeft w:val="0"/>
      <w:marRight w:val="0"/>
      <w:marTop w:val="0"/>
      <w:marBottom w:val="0"/>
      <w:divBdr>
        <w:top w:val="none" w:sz="0" w:space="0" w:color="auto"/>
        <w:left w:val="none" w:sz="0" w:space="0" w:color="auto"/>
        <w:bottom w:val="none" w:sz="0" w:space="0" w:color="auto"/>
        <w:right w:val="none" w:sz="0" w:space="0" w:color="auto"/>
      </w:divBdr>
    </w:div>
    <w:div w:id="282032062">
      <w:bodyDiv w:val="1"/>
      <w:marLeft w:val="0"/>
      <w:marRight w:val="0"/>
      <w:marTop w:val="0"/>
      <w:marBottom w:val="0"/>
      <w:divBdr>
        <w:top w:val="none" w:sz="0" w:space="0" w:color="auto"/>
        <w:left w:val="none" w:sz="0" w:space="0" w:color="auto"/>
        <w:bottom w:val="none" w:sz="0" w:space="0" w:color="auto"/>
        <w:right w:val="none" w:sz="0" w:space="0" w:color="auto"/>
      </w:divBdr>
    </w:div>
    <w:div w:id="297954245">
      <w:bodyDiv w:val="1"/>
      <w:marLeft w:val="0"/>
      <w:marRight w:val="0"/>
      <w:marTop w:val="0"/>
      <w:marBottom w:val="0"/>
      <w:divBdr>
        <w:top w:val="none" w:sz="0" w:space="0" w:color="auto"/>
        <w:left w:val="none" w:sz="0" w:space="0" w:color="auto"/>
        <w:bottom w:val="none" w:sz="0" w:space="0" w:color="auto"/>
        <w:right w:val="none" w:sz="0" w:space="0" w:color="auto"/>
      </w:divBdr>
    </w:div>
    <w:div w:id="339430246">
      <w:bodyDiv w:val="1"/>
      <w:marLeft w:val="0"/>
      <w:marRight w:val="0"/>
      <w:marTop w:val="0"/>
      <w:marBottom w:val="0"/>
      <w:divBdr>
        <w:top w:val="none" w:sz="0" w:space="0" w:color="auto"/>
        <w:left w:val="none" w:sz="0" w:space="0" w:color="auto"/>
        <w:bottom w:val="none" w:sz="0" w:space="0" w:color="auto"/>
        <w:right w:val="none" w:sz="0" w:space="0" w:color="auto"/>
      </w:divBdr>
    </w:div>
    <w:div w:id="349989776">
      <w:bodyDiv w:val="1"/>
      <w:marLeft w:val="0"/>
      <w:marRight w:val="0"/>
      <w:marTop w:val="0"/>
      <w:marBottom w:val="0"/>
      <w:divBdr>
        <w:top w:val="none" w:sz="0" w:space="0" w:color="auto"/>
        <w:left w:val="none" w:sz="0" w:space="0" w:color="auto"/>
        <w:bottom w:val="none" w:sz="0" w:space="0" w:color="auto"/>
        <w:right w:val="none" w:sz="0" w:space="0" w:color="auto"/>
      </w:divBdr>
    </w:div>
    <w:div w:id="409737679">
      <w:bodyDiv w:val="1"/>
      <w:marLeft w:val="0"/>
      <w:marRight w:val="0"/>
      <w:marTop w:val="0"/>
      <w:marBottom w:val="0"/>
      <w:divBdr>
        <w:top w:val="none" w:sz="0" w:space="0" w:color="auto"/>
        <w:left w:val="none" w:sz="0" w:space="0" w:color="auto"/>
        <w:bottom w:val="none" w:sz="0" w:space="0" w:color="auto"/>
        <w:right w:val="none" w:sz="0" w:space="0" w:color="auto"/>
      </w:divBdr>
    </w:div>
    <w:div w:id="434987074">
      <w:bodyDiv w:val="1"/>
      <w:marLeft w:val="0"/>
      <w:marRight w:val="0"/>
      <w:marTop w:val="0"/>
      <w:marBottom w:val="0"/>
      <w:divBdr>
        <w:top w:val="none" w:sz="0" w:space="0" w:color="auto"/>
        <w:left w:val="none" w:sz="0" w:space="0" w:color="auto"/>
        <w:bottom w:val="none" w:sz="0" w:space="0" w:color="auto"/>
        <w:right w:val="none" w:sz="0" w:space="0" w:color="auto"/>
      </w:divBdr>
    </w:div>
    <w:div w:id="444085207">
      <w:bodyDiv w:val="1"/>
      <w:marLeft w:val="0"/>
      <w:marRight w:val="0"/>
      <w:marTop w:val="0"/>
      <w:marBottom w:val="0"/>
      <w:divBdr>
        <w:top w:val="none" w:sz="0" w:space="0" w:color="auto"/>
        <w:left w:val="none" w:sz="0" w:space="0" w:color="auto"/>
        <w:bottom w:val="none" w:sz="0" w:space="0" w:color="auto"/>
        <w:right w:val="none" w:sz="0" w:space="0" w:color="auto"/>
      </w:divBdr>
    </w:div>
    <w:div w:id="488905017">
      <w:bodyDiv w:val="1"/>
      <w:marLeft w:val="0"/>
      <w:marRight w:val="0"/>
      <w:marTop w:val="0"/>
      <w:marBottom w:val="0"/>
      <w:divBdr>
        <w:top w:val="none" w:sz="0" w:space="0" w:color="auto"/>
        <w:left w:val="none" w:sz="0" w:space="0" w:color="auto"/>
        <w:bottom w:val="none" w:sz="0" w:space="0" w:color="auto"/>
        <w:right w:val="none" w:sz="0" w:space="0" w:color="auto"/>
      </w:divBdr>
    </w:div>
    <w:div w:id="516234671">
      <w:bodyDiv w:val="1"/>
      <w:marLeft w:val="0"/>
      <w:marRight w:val="0"/>
      <w:marTop w:val="0"/>
      <w:marBottom w:val="0"/>
      <w:divBdr>
        <w:top w:val="none" w:sz="0" w:space="0" w:color="auto"/>
        <w:left w:val="none" w:sz="0" w:space="0" w:color="auto"/>
        <w:bottom w:val="none" w:sz="0" w:space="0" w:color="auto"/>
        <w:right w:val="none" w:sz="0" w:space="0" w:color="auto"/>
      </w:divBdr>
    </w:div>
    <w:div w:id="523176741">
      <w:bodyDiv w:val="1"/>
      <w:marLeft w:val="0"/>
      <w:marRight w:val="0"/>
      <w:marTop w:val="0"/>
      <w:marBottom w:val="0"/>
      <w:divBdr>
        <w:top w:val="none" w:sz="0" w:space="0" w:color="auto"/>
        <w:left w:val="none" w:sz="0" w:space="0" w:color="auto"/>
        <w:bottom w:val="none" w:sz="0" w:space="0" w:color="auto"/>
        <w:right w:val="none" w:sz="0" w:space="0" w:color="auto"/>
      </w:divBdr>
    </w:div>
    <w:div w:id="534076780">
      <w:bodyDiv w:val="1"/>
      <w:marLeft w:val="0"/>
      <w:marRight w:val="0"/>
      <w:marTop w:val="0"/>
      <w:marBottom w:val="0"/>
      <w:divBdr>
        <w:top w:val="none" w:sz="0" w:space="0" w:color="auto"/>
        <w:left w:val="none" w:sz="0" w:space="0" w:color="auto"/>
        <w:bottom w:val="none" w:sz="0" w:space="0" w:color="auto"/>
        <w:right w:val="none" w:sz="0" w:space="0" w:color="auto"/>
      </w:divBdr>
    </w:div>
    <w:div w:id="616331926">
      <w:bodyDiv w:val="1"/>
      <w:marLeft w:val="0"/>
      <w:marRight w:val="0"/>
      <w:marTop w:val="0"/>
      <w:marBottom w:val="0"/>
      <w:divBdr>
        <w:top w:val="none" w:sz="0" w:space="0" w:color="auto"/>
        <w:left w:val="none" w:sz="0" w:space="0" w:color="auto"/>
        <w:bottom w:val="none" w:sz="0" w:space="0" w:color="auto"/>
        <w:right w:val="none" w:sz="0" w:space="0" w:color="auto"/>
      </w:divBdr>
    </w:div>
    <w:div w:id="625701288">
      <w:bodyDiv w:val="1"/>
      <w:marLeft w:val="0"/>
      <w:marRight w:val="0"/>
      <w:marTop w:val="0"/>
      <w:marBottom w:val="0"/>
      <w:divBdr>
        <w:top w:val="none" w:sz="0" w:space="0" w:color="auto"/>
        <w:left w:val="none" w:sz="0" w:space="0" w:color="auto"/>
        <w:bottom w:val="none" w:sz="0" w:space="0" w:color="auto"/>
        <w:right w:val="none" w:sz="0" w:space="0" w:color="auto"/>
      </w:divBdr>
    </w:div>
    <w:div w:id="634337049">
      <w:bodyDiv w:val="1"/>
      <w:marLeft w:val="0"/>
      <w:marRight w:val="0"/>
      <w:marTop w:val="0"/>
      <w:marBottom w:val="0"/>
      <w:divBdr>
        <w:top w:val="none" w:sz="0" w:space="0" w:color="auto"/>
        <w:left w:val="none" w:sz="0" w:space="0" w:color="auto"/>
        <w:bottom w:val="none" w:sz="0" w:space="0" w:color="auto"/>
        <w:right w:val="none" w:sz="0" w:space="0" w:color="auto"/>
      </w:divBdr>
    </w:div>
    <w:div w:id="667639685">
      <w:bodyDiv w:val="1"/>
      <w:marLeft w:val="0"/>
      <w:marRight w:val="0"/>
      <w:marTop w:val="0"/>
      <w:marBottom w:val="0"/>
      <w:divBdr>
        <w:top w:val="none" w:sz="0" w:space="0" w:color="auto"/>
        <w:left w:val="none" w:sz="0" w:space="0" w:color="auto"/>
        <w:bottom w:val="none" w:sz="0" w:space="0" w:color="auto"/>
        <w:right w:val="none" w:sz="0" w:space="0" w:color="auto"/>
      </w:divBdr>
    </w:div>
    <w:div w:id="680551013">
      <w:bodyDiv w:val="1"/>
      <w:marLeft w:val="0"/>
      <w:marRight w:val="0"/>
      <w:marTop w:val="0"/>
      <w:marBottom w:val="0"/>
      <w:divBdr>
        <w:top w:val="none" w:sz="0" w:space="0" w:color="auto"/>
        <w:left w:val="none" w:sz="0" w:space="0" w:color="auto"/>
        <w:bottom w:val="none" w:sz="0" w:space="0" w:color="auto"/>
        <w:right w:val="none" w:sz="0" w:space="0" w:color="auto"/>
      </w:divBdr>
    </w:div>
    <w:div w:id="741635006">
      <w:bodyDiv w:val="1"/>
      <w:marLeft w:val="0"/>
      <w:marRight w:val="0"/>
      <w:marTop w:val="0"/>
      <w:marBottom w:val="0"/>
      <w:divBdr>
        <w:top w:val="none" w:sz="0" w:space="0" w:color="auto"/>
        <w:left w:val="none" w:sz="0" w:space="0" w:color="auto"/>
        <w:bottom w:val="none" w:sz="0" w:space="0" w:color="auto"/>
        <w:right w:val="none" w:sz="0" w:space="0" w:color="auto"/>
      </w:divBdr>
    </w:div>
    <w:div w:id="798035570">
      <w:bodyDiv w:val="1"/>
      <w:marLeft w:val="0"/>
      <w:marRight w:val="0"/>
      <w:marTop w:val="0"/>
      <w:marBottom w:val="0"/>
      <w:divBdr>
        <w:top w:val="none" w:sz="0" w:space="0" w:color="auto"/>
        <w:left w:val="none" w:sz="0" w:space="0" w:color="auto"/>
        <w:bottom w:val="none" w:sz="0" w:space="0" w:color="auto"/>
        <w:right w:val="none" w:sz="0" w:space="0" w:color="auto"/>
      </w:divBdr>
    </w:div>
    <w:div w:id="868225939">
      <w:bodyDiv w:val="1"/>
      <w:marLeft w:val="0"/>
      <w:marRight w:val="0"/>
      <w:marTop w:val="0"/>
      <w:marBottom w:val="0"/>
      <w:divBdr>
        <w:top w:val="none" w:sz="0" w:space="0" w:color="auto"/>
        <w:left w:val="none" w:sz="0" w:space="0" w:color="auto"/>
        <w:bottom w:val="none" w:sz="0" w:space="0" w:color="auto"/>
        <w:right w:val="none" w:sz="0" w:space="0" w:color="auto"/>
      </w:divBdr>
    </w:div>
    <w:div w:id="889614856">
      <w:bodyDiv w:val="1"/>
      <w:marLeft w:val="0"/>
      <w:marRight w:val="0"/>
      <w:marTop w:val="0"/>
      <w:marBottom w:val="0"/>
      <w:divBdr>
        <w:top w:val="none" w:sz="0" w:space="0" w:color="auto"/>
        <w:left w:val="none" w:sz="0" w:space="0" w:color="auto"/>
        <w:bottom w:val="none" w:sz="0" w:space="0" w:color="auto"/>
        <w:right w:val="none" w:sz="0" w:space="0" w:color="auto"/>
      </w:divBdr>
    </w:div>
    <w:div w:id="973173658">
      <w:bodyDiv w:val="1"/>
      <w:marLeft w:val="0"/>
      <w:marRight w:val="0"/>
      <w:marTop w:val="0"/>
      <w:marBottom w:val="0"/>
      <w:divBdr>
        <w:top w:val="none" w:sz="0" w:space="0" w:color="auto"/>
        <w:left w:val="none" w:sz="0" w:space="0" w:color="auto"/>
        <w:bottom w:val="none" w:sz="0" w:space="0" w:color="auto"/>
        <w:right w:val="none" w:sz="0" w:space="0" w:color="auto"/>
      </w:divBdr>
    </w:div>
    <w:div w:id="987125783">
      <w:bodyDiv w:val="1"/>
      <w:marLeft w:val="0"/>
      <w:marRight w:val="0"/>
      <w:marTop w:val="0"/>
      <w:marBottom w:val="0"/>
      <w:divBdr>
        <w:top w:val="none" w:sz="0" w:space="0" w:color="auto"/>
        <w:left w:val="none" w:sz="0" w:space="0" w:color="auto"/>
        <w:bottom w:val="none" w:sz="0" w:space="0" w:color="auto"/>
        <w:right w:val="none" w:sz="0" w:space="0" w:color="auto"/>
      </w:divBdr>
    </w:div>
    <w:div w:id="1021080048">
      <w:bodyDiv w:val="1"/>
      <w:marLeft w:val="0"/>
      <w:marRight w:val="0"/>
      <w:marTop w:val="0"/>
      <w:marBottom w:val="0"/>
      <w:divBdr>
        <w:top w:val="none" w:sz="0" w:space="0" w:color="auto"/>
        <w:left w:val="none" w:sz="0" w:space="0" w:color="auto"/>
        <w:bottom w:val="none" w:sz="0" w:space="0" w:color="auto"/>
        <w:right w:val="none" w:sz="0" w:space="0" w:color="auto"/>
      </w:divBdr>
    </w:div>
    <w:div w:id="1101334180">
      <w:bodyDiv w:val="1"/>
      <w:marLeft w:val="0"/>
      <w:marRight w:val="0"/>
      <w:marTop w:val="0"/>
      <w:marBottom w:val="0"/>
      <w:divBdr>
        <w:top w:val="none" w:sz="0" w:space="0" w:color="auto"/>
        <w:left w:val="none" w:sz="0" w:space="0" w:color="auto"/>
        <w:bottom w:val="none" w:sz="0" w:space="0" w:color="auto"/>
        <w:right w:val="none" w:sz="0" w:space="0" w:color="auto"/>
      </w:divBdr>
    </w:div>
    <w:div w:id="1117337613">
      <w:bodyDiv w:val="1"/>
      <w:marLeft w:val="0"/>
      <w:marRight w:val="0"/>
      <w:marTop w:val="0"/>
      <w:marBottom w:val="0"/>
      <w:divBdr>
        <w:top w:val="none" w:sz="0" w:space="0" w:color="auto"/>
        <w:left w:val="none" w:sz="0" w:space="0" w:color="auto"/>
        <w:bottom w:val="none" w:sz="0" w:space="0" w:color="auto"/>
        <w:right w:val="none" w:sz="0" w:space="0" w:color="auto"/>
      </w:divBdr>
    </w:div>
    <w:div w:id="1117872444">
      <w:bodyDiv w:val="1"/>
      <w:marLeft w:val="0"/>
      <w:marRight w:val="0"/>
      <w:marTop w:val="0"/>
      <w:marBottom w:val="0"/>
      <w:divBdr>
        <w:top w:val="none" w:sz="0" w:space="0" w:color="auto"/>
        <w:left w:val="none" w:sz="0" w:space="0" w:color="auto"/>
        <w:bottom w:val="none" w:sz="0" w:space="0" w:color="auto"/>
        <w:right w:val="none" w:sz="0" w:space="0" w:color="auto"/>
      </w:divBdr>
    </w:div>
    <w:div w:id="1124008543">
      <w:bodyDiv w:val="1"/>
      <w:marLeft w:val="0"/>
      <w:marRight w:val="0"/>
      <w:marTop w:val="0"/>
      <w:marBottom w:val="0"/>
      <w:divBdr>
        <w:top w:val="none" w:sz="0" w:space="0" w:color="auto"/>
        <w:left w:val="none" w:sz="0" w:space="0" w:color="auto"/>
        <w:bottom w:val="none" w:sz="0" w:space="0" w:color="auto"/>
        <w:right w:val="none" w:sz="0" w:space="0" w:color="auto"/>
      </w:divBdr>
    </w:div>
    <w:div w:id="1152136284">
      <w:bodyDiv w:val="1"/>
      <w:marLeft w:val="0"/>
      <w:marRight w:val="0"/>
      <w:marTop w:val="0"/>
      <w:marBottom w:val="0"/>
      <w:divBdr>
        <w:top w:val="none" w:sz="0" w:space="0" w:color="auto"/>
        <w:left w:val="none" w:sz="0" w:space="0" w:color="auto"/>
        <w:bottom w:val="none" w:sz="0" w:space="0" w:color="auto"/>
        <w:right w:val="none" w:sz="0" w:space="0" w:color="auto"/>
      </w:divBdr>
    </w:div>
    <w:div w:id="1155805891">
      <w:bodyDiv w:val="1"/>
      <w:marLeft w:val="0"/>
      <w:marRight w:val="0"/>
      <w:marTop w:val="0"/>
      <w:marBottom w:val="0"/>
      <w:divBdr>
        <w:top w:val="none" w:sz="0" w:space="0" w:color="auto"/>
        <w:left w:val="none" w:sz="0" w:space="0" w:color="auto"/>
        <w:bottom w:val="none" w:sz="0" w:space="0" w:color="auto"/>
        <w:right w:val="none" w:sz="0" w:space="0" w:color="auto"/>
      </w:divBdr>
    </w:div>
    <w:div w:id="1186287857">
      <w:bodyDiv w:val="1"/>
      <w:marLeft w:val="0"/>
      <w:marRight w:val="0"/>
      <w:marTop w:val="0"/>
      <w:marBottom w:val="0"/>
      <w:divBdr>
        <w:top w:val="none" w:sz="0" w:space="0" w:color="auto"/>
        <w:left w:val="none" w:sz="0" w:space="0" w:color="auto"/>
        <w:bottom w:val="none" w:sz="0" w:space="0" w:color="auto"/>
        <w:right w:val="none" w:sz="0" w:space="0" w:color="auto"/>
      </w:divBdr>
    </w:div>
    <w:div w:id="1220433612">
      <w:bodyDiv w:val="1"/>
      <w:marLeft w:val="0"/>
      <w:marRight w:val="0"/>
      <w:marTop w:val="0"/>
      <w:marBottom w:val="0"/>
      <w:divBdr>
        <w:top w:val="none" w:sz="0" w:space="0" w:color="auto"/>
        <w:left w:val="none" w:sz="0" w:space="0" w:color="auto"/>
        <w:bottom w:val="none" w:sz="0" w:space="0" w:color="auto"/>
        <w:right w:val="none" w:sz="0" w:space="0" w:color="auto"/>
      </w:divBdr>
    </w:div>
    <w:div w:id="1283027831">
      <w:bodyDiv w:val="1"/>
      <w:marLeft w:val="0"/>
      <w:marRight w:val="0"/>
      <w:marTop w:val="0"/>
      <w:marBottom w:val="0"/>
      <w:divBdr>
        <w:top w:val="none" w:sz="0" w:space="0" w:color="auto"/>
        <w:left w:val="none" w:sz="0" w:space="0" w:color="auto"/>
        <w:bottom w:val="none" w:sz="0" w:space="0" w:color="auto"/>
        <w:right w:val="none" w:sz="0" w:space="0" w:color="auto"/>
      </w:divBdr>
    </w:div>
    <w:div w:id="1300262777">
      <w:bodyDiv w:val="1"/>
      <w:marLeft w:val="0"/>
      <w:marRight w:val="0"/>
      <w:marTop w:val="0"/>
      <w:marBottom w:val="0"/>
      <w:divBdr>
        <w:top w:val="none" w:sz="0" w:space="0" w:color="auto"/>
        <w:left w:val="none" w:sz="0" w:space="0" w:color="auto"/>
        <w:bottom w:val="none" w:sz="0" w:space="0" w:color="auto"/>
        <w:right w:val="none" w:sz="0" w:space="0" w:color="auto"/>
      </w:divBdr>
    </w:div>
    <w:div w:id="1307780052">
      <w:bodyDiv w:val="1"/>
      <w:marLeft w:val="0"/>
      <w:marRight w:val="0"/>
      <w:marTop w:val="0"/>
      <w:marBottom w:val="0"/>
      <w:divBdr>
        <w:top w:val="none" w:sz="0" w:space="0" w:color="auto"/>
        <w:left w:val="none" w:sz="0" w:space="0" w:color="auto"/>
        <w:bottom w:val="none" w:sz="0" w:space="0" w:color="auto"/>
        <w:right w:val="none" w:sz="0" w:space="0" w:color="auto"/>
      </w:divBdr>
    </w:div>
    <w:div w:id="1341006378">
      <w:bodyDiv w:val="1"/>
      <w:marLeft w:val="0"/>
      <w:marRight w:val="0"/>
      <w:marTop w:val="0"/>
      <w:marBottom w:val="0"/>
      <w:divBdr>
        <w:top w:val="none" w:sz="0" w:space="0" w:color="auto"/>
        <w:left w:val="none" w:sz="0" w:space="0" w:color="auto"/>
        <w:bottom w:val="none" w:sz="0" w:space="0" w:color="auto"/>
        <w:right w:val="none" w:sz="0" w:space="0" w:color="auto"/>
      </w:divBdr>
    </w:div>
    <w:div w:id="1356273235">
      <w:bodyDiv w:val="1"/>
      <w:marLeft w:val="0"/>
      <w:marRight w:val="0"/>
      <w:marTop w:val="0"/>
      <w:marBottom w:val="0"/>
      <w:divBdr>
        <w:top w:val="none" w:sz="0" w:space="0" w:color="auto"/>
        <w:left w:val="none" w:sz="0" w:space="0" w:color="auto"/>
        <w:bottom w:val="none" w:sz="0" w:space="0" w:color="auto"/>
        <w:right w:val="none" w:sz="0" w:space="0" w:color="auto"/>
      </w:divBdr>
    </w:div>
    <w:div w:id="1418866267">
      <w:bodyDiv w:val="1"/>
      <w:marLeft w:val="0"/>
      <w:marRight w:val="0"/>
      <w:marTop w:val="0"/>
      <w:marBottom w:val="0"/>
      <w:divBdr>
        <w:top w:val="none" w:sz="0" w:space="0" w:color="auto"/>
        <w:left w:val="none" w:sz="0" w:space="0" w:color="auto"/>
        <w:bottom w:val="none" w:sz="0" w:space="0" w:color="auto"/>
        <w:right w:val="none" w:sz="0" w:space="0" w:color="auto"/>
      </w:divBdr>
    </w:div>
    <w:div w:id="1428110652">
      <w:bodyDiv w:val="1"/>
      <w:marLeft w:val="0"/>
      <w:marRight w:val="0"/>
      <w:marTop w:val="0"/>
      <w:marBottom w:val="0"/>
      <w:divBdr>
        <w:top w:val="none" w:sz="0" w:space="0" w:color="auto"/>
        <w:left w:val="none" w:sz="0" w:space="0" w:color="auto"/>
        <w:bottom w:val="none" w:sz="0" w:space="0" w:color="auto"/>
        <w:right w:val="none" w:sz="0" w:space="0" w:color="auto"/>
      </w:divBdr>
    </w:div>
    <w:div w:id="1505432981">
      <w:bodyDiv w:val="1"/>
      <w:marLeft w:val="0"/>
      <w:marRight w:val="0"/>
      <w:marTop w:val="0"/>
      <w:marBottom w:val="0"/>
      <w:divBdr>
        <w:top w:val="none" w:sz="0" w:space="0" w:color="auto"/>
        <w:left w:val="none" w:sz="0" w:space="0" w:color="auto"/>
        <w:bottom w:val="none" w:sz="0" w:space="0" w:color="auto"/>
        <w:right w:val="none" w:sz="0" w:space="0" w:color="auto"/>
      </w:divBdr>
    </w:div>
    <w:div w:id="1509976607">
      <w:bodyDiv w:val="1"/>
      <w:marLeft w:val="0"/>
      <w:marRight w:val="0"/>
      <w:marTop w:val="0"/>
      <w:marBottom w:val="0"/>
      <w:divBdr>
        <w:top w:val="none" w:sz="0" w:space="0" w:color="auto"/>
        <w:left w:val="none" w:sz="0" w:space="0" w:color="auto"/>
        <w:bottom w:val="none" w:sz="0" w:space="0" w:color="auto"/>
        <w:right w:val="none" w:sz="0" w:space="0" w:color="auto"/>
      </w:divBdr>
    </w:div>
    <w:div w:id="1548645842">
      <w:bodyDiv w:val="1"/>
      <w:marLeft w:val="0"/>
      <w:marRight w:val="0"/>
      <w:marTop w:val="0"/>
      <w:marBottom w:val="0"/>
      <w:divBdr>
        <w:top w:val="none" w:sz="0" w:space="0" w:color="auto"/>
        <w:left w:val="none" w:sz="0" w:space="0" w:color="auto"/>
        <w:bottom w:val="none" w:sz="0" w:space="0" w:color="auto"/>
        <w:right w:val="none" w:sz="0" w:space="0" w:color="auto"/>
      </w:divBdr>
    </w:div>
    <w:div w:id="1569653515">
      <w:bodyDiv w:val="1"/>
      <w:marLeft w:val="0"/>
      <w:marRight w:val="0"/>
      <w:marTop w:val="0"/>
      <w:marBottom w:val="0"/>
      <w:divBdr>
        <w:top w:val="none" w:sz="0" w:space="0" w:color="auto"/>
        <w:left w:val="none" w:sz="0" w:space="0" w:color="auto"/>
        <w:bottom w:val="none" w:sz="0" w:space="0" w:color="auto"/>
        <w:right w:val="none" w:sz="0" w:space="0" w:color="auto"/>
      </w:divBdr>
    </w:div>
    <w:div w:id="1657105432">
      <w:bodyDiv w:val="1"/>
      <w:marLeft w:val="0"/>
      <w:marRight w:val="0"/>
      <w:marTop w:val="0"/>
      <w:marBottom w:val="0"/>
      <w:divBdr>
        <w:top w:val="none" w:sz="0" w:space="0" w:color="auto"/>
        <w:left w:val="none" w:sz="0" w:space="0" w:color="auto"/>
        <w:bottom w:val="none" w:sz="0" w:space="0" w:color="auto"/>
        <w:right w:val="none" w:sz="0" w:space="0" w:color="auto"/>
      </w:divBdr>
    </w:div>
    <w:div w:id="1716731960">
      <w:bodyDiv w:val="1"/>
      <w:marLeft w:val="0"/>
      <w:marRight w:val="0"/>
      <w:marTop w:val="0"/>
      <w:marBottom w:val="0"/>
      <w:divBdr>
        <w:top w:val="none" w:sz="0" w:space="0" w:color="auto"/>
        <w:left w:val="none" w:sz="0" w:space="0" w:color="auto"/>
        <w:bottom w:val="none" w:sz="0" w:space="0" w:color="auto"/>
        <w:right w:val="none" w:sz="0" w:space="0" w:color="auto"/>
      </w:divBdr>
    </w:div>
    <w:div w:id="1753819923">
      <w:bodyDiv w:val="1"/>
      <w:marLeft w:val="0"/>
      <w:marRight w:val="0"/>
      <w:marTop w:val="0"/>
      <w:marBottom w:val="0"/>
      <w:divBdr>
        <w:top w:val="none" w:sz="0" w:space="0" w:color="auto"/>
        <w:left w:val="none" w:sz="0" w:space="0" w:color="auto"/>
        <w:bottom w:val="none" w:sz="0" w:space="0" w:color="auto"/>
        <w:right w:val="none" w:sz="0" w:space="0" w:color="auto"/>
      </w:divBdr>
    </w:div>
    <w:div w:id="1807233709">
      <w:bodyDiv w:val="1"/>
      <w:marLeft w:val="0"/>
      <w:marRight w:val="0"/>
      <w:marTop w:val="0"/>
      <w:marBottom w:val="0"/>
      <w:divBdr>
        <w:top w:val="none" w:sz="0" w:space="0" w:color="auto"/>
        <w:left w:val="none" w:sz="0" w:space="0" w:color="auto"/>
        <w:bottom w:val="none" w:sz="0" w:space="0" w:color="auto"/>
        <w:right w:val="none" w:sz="0" w:space="0" w:color="auto"/>
      </w:divBdr>
    </w:div>
    <w:div w:id="1820226876">
      <w:bodyDiv w:val="1"/>
      <w:marLeft w:val="0"/>
      <w:marRight w:val="0"/>
      <w:marTop w:val="0"/>
      <w:marBottom w:val="0"/>
      <w:divBdr>
        <w:top w:val="none" w:sz="0" w:space="0" w:color="auto"/>
        <w:left w:val="none" w:sz="0" w:space="0" w:color="auto"/>
        <w:bottom w:val="none" w:sz="0" w:space="0" w:color="auto"/>
        <w:right w:val="none" w:sz="0" w:space="0" w:color="auto"/>
      </w:divBdr>
    </w:div>
    <w:div w:id="1864052890">
      <w:bodyDiv w:val="1"/>
      <w:marLeft w:val="0"/>
      <w:marRight w:val="0"/>
      <w:marTop w:val="0"/>
      <w:marBottom w:val="0"/>
      <w:divBdr>
        <w:top w:val="none" w:sz="0" w:space="0" w:color="auto"/>
        <w:left w:val="none" w:sz="0" w:space="0" w:color="auto"/>
        <w:bottom w:val="none" w:sz="0" w:space="0" w:color="auto"/>
        <w:right w:val="none" w:sz="0" w:space="0" w:color="auto"/>
      </w:divBdr>
    </w:div>
    <w:div w:id="1891574975">
      <w:bodyDiv w:val="1"/>
      <w:marLeft w:val="0"/>
      <w:marRight w:val="0"/>
      <w:marTop w:val="0"/>
      <w:marBottom w:val="0"/>
      <w:divBdr>
        <w:top w:val="none" w:sz="0" w:space="0" w:color="auto"/>
        <w:left w:val="none" w:sz="0" w:space="0" w:color="auto"/>
        <w:bottom w:val="none" w:sz="0" w:space="0" w:color="auto"/>
        <w:right w:val="none" w:sz="0" w:space="0" w:color="auto"/>
      </w:divBdr>
    </w:div>
    <w:div w:id="1895121768">
      <w:bodyDiv w:val="1"/>
      <w:marLeft w:val="0"/>
      <w:marRight w:val="0"/>
      <w:marTop w:val="0"/>
      <w:marBottom w:val="0"/>
      <w:divBdr>
        <w:top w:val="none" w:sz="0" w:space="0" w:color="auto"/>
        <w:left w:val="none" w:sz="0" w:space="0" w:color="auto"/>
        <w:bottom w:val="none" w:sz="0" w:space="0" w:color="auto"/>
        <w:right w:val="none" w:sz="0" w:space="0" w:color="auto"/>
      </w:divBdr>
    </w:div>
    <w:div w:id="1996031052">
      <w:bodyDiv w:val="1"/>
      <w:marLeft w:val="0"/>
      <w:marRight w:val="0"/>
      <w:marTop w:val="0"/>
      <w:marBottom w:val="0"/>
      <w:divBdr>
        <w:top w:val="none" w:sz="0" w:space="0" w:color="auto"/>
        <w:left w:val="none" w:sz="0" w:space="0" w:color="auto"/>
        <w:bottom w:val="none" w:sz="0" w:space="0" w:color="auto"/>
        <w:right w:val="none" w:sz="0" w:space="0" w:color="auto"/>
      </w:divBdr>
    </w:div>
    <w:div w:id="210174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330F-CCA0-4999-BB83-136B0909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7039</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Darci (G&amp;B)</dc:creator>
  <cp:keywords/>
  <dc:description/>
  <cp:lastModifiedBy>Wade, Aaron (G&amp;B)</cp:lastModifiedBy>
  <cp:revision>13</cp:revision>
  <cp:lastPrinted>2024-04-24T19:21:00Z</cp:lastPrinted>
  <dcterms:created xsi:type="dcterms:W3CDTF">2026-06-03T20:28:00Z</dcterms:created>
  <dcterms:modified xsi:type="dcterms:W3CDTF">2026-06-04T20:20:00Z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4917-0923-6130</vt:lpwstr>
  </property>
</Properties>
</file>