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98C5" w14:textId="77777777" w:rsidR="00B407E6" w:rsidRPr="006958EC" w:rsidRDefault="00E62D29" w:rsidP="006958EC">
      <w:pPr>
        <w:jc w:val="center"/>
        <w:rPr>
          <w:b/>
          <w:bCs/>
          <w:color w:val="70AD47" w:themeColor="accent6"/>
          <w:sz w:val="28"/>
          <w:szCs w:val="28"/>
        </w:rPr>
      </w:pPr>
      <w:r w:rsidRPr="006958EC">
        <w:rPr>
          <w:b/>
          <w:bCs/>
          <w:color w:val="70AD47" w:themeColor="accent6"/>
          <w:sz w:val="28"/>
          <w:szCs w:val="28"/>
        </w:rPr>
        <w:t>FIVE COUNTY ASSOCIATION OF GOVERNMENTS</w:t>
      </w:r>
    </w:p>
    <w:p w14:paraId="01878E1E" w14:textId="77777777" w:rsidR="00B407E6" w:rsidRDefault="00E62D29">
      <w:pPr>
        <w:spacing w:after="80"/>
        <w:jc w:val="center"/>
      </w:pPr>
      <w:r>
        <w:rPr>
          <w:b/>
          <w:bCs/>
          <w:sz w:val="26"/>
          <w:szCs w:val="26"/>
        </w:rPr>
        <w:t>Special Steering Committee Meeting</w:t>
      </w:r>
    </w:p>
    <w:p w14:paraId="4863D27D" w14:textId="77777777" w:rsidR="00B407E6" w:rsidRDefault="00E62D29">
      <w:pPr>
        <w:spacing w:after="200"/>
        <w:jc w:val="center"/>
      </w:pPr>
      <w:r>
        <w:rPr>
          <w:b/>
          <w:bCs/>
          <w:color w:val="666666"/>
          <w:sz w:val="24"/>
          <w:szCs w:val="24"/>
        </w:rPr>
        <w:t>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6"/>
        <w:gridCol w:w="5354"/>
      </w:tblGrid>
      <w:tr w:rsidR="00B407E6" w14:paraId="1AC13D10" w14:textId="77777777">
        <w:tc>
          <w:tcPr>
            <w:tcW w:w="40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8EEB17" w14:textId="77777777" w:rsidR="00B407E6" w:rsidRDefault="00E62D29">
            <w:r>
              <w:rPr>
                <w:b/>
                <w:bCs/>
                <w:sz w:val="20"/>
                <w:szCs w:val="20"/>
              </w:rPr>
              <w:t>Date:</w:t>
            </w:r>
          </w:p>
        </w:tc>
        <w:tc>
          <w:tcPr>
            <w:tcW w:w="53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DDA2F3" w14:textId="77777777" w:rsidR="00B407E6" w:rsidRDefault="00E62D29">
            <w:r>
              <w:rPr>
                <w:sz w:val="20"/>
                <w:szCs w:val="20"/>
              </w:rPr>
              <w:t>May 28, 2026</w:t>
            </w:r>
          </w:p>
        </w:tc>
      </w:tr>
      <w:tr w:rsidR="00B407E6" w14:paraId="4851A5EE" w14:textId="77777777">
        <w:tc>
          <w:tcPr>
            <w:tcW w:w="40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50612A" w14:textId="77777777" w:rsidR="00B407E6" w:rsidRDefault="00E62D29">
            <w:r>
              <w:rPr>
                <w:b/>
                <w:bCs/>
                <w:sz w:val="20"/>
                <w:szCs w:val="20"/>
              </w:rPr>
              <w:t>Time:</w:t>
            </w:r>
          </w:p>
        </w:tc>
        <w:tc>
          <w:tcPr>
            <w:tcW w:w="53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C2D45" w14:textId="77777777" w:rsidR="00B407E6" w:rsidRDefault="00E62D29">
            <w:r>
              <w:rPr>
                <w:sz w:val="20"/>
                <w:szCs w:val="20"/>
              </w:rPr>
              <w:t>11:07 AM</w:t>
            </w:r>
          </w:p>
        </w:tc>
      </w:tr>
      <w:tr w:rsidR="00B407E6" w14:paraId="0DA8558E" w14:textId="77777777">
        <w:tc>
          <w:tcPr>
            <w:tcW w:w="40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578196" w14:textId="77777777" w:rsidR="00B407E6" w:rsidRDefault="00E62D29">
            <w:r>
              <w:rPr>
                <w:b/>
                <w:bCs/>
                <w:sz w:val="20"/>
                <w:szCs w:val="20"/>
              </w:rPr>
              <w:t>Location:</w:t>
            </w:r>
          </w:p>
        </w:tc>
        <w:tc>
          <w:tcPr>
            <w:tcW w:w="53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13476F" w14:textId="77777777" w:rsidR="00B407E6" w:rsidRDefault="00E62D29">
            <w:r>
              <w:rPr>
                <w:sz w:val="20"/>
                <w:szCs w:val="20"/>
              </w:rPr>
              <w:t>Iron County, Utah (hybrid meeting)</w:t>
            </w:r>
          </w:p>
        </w:tc>
      </w:tr>
      <w:tr w:rsidR="00B407E6" w14:paraId="2AE9965A" w14:textId="77777777">
        <w:tc>
          <w:tcPr>
            <w:tcW w:w="400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E6CF1A" w14:textId="77777777" w:rsidR="00B407E6" w:rsidRDefault="00E62D29">
            <w:r>
              <w:rPr>
                <w:b/>
                <w:bCs/>
                <w:sz w:val="20"/>
                <w:szCs w:val="20"/>
              </w:rPr>
              <w:t>Called to Order by:</w:t>
            </w:r>
          </w:p>
        </w:tc>
        <w:tc>
          <w:tcPr>
            <w:tcW w:w="535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A3D9DB" w14:textId="4A1083FF" w:rsidR="00B407E6" w:rsidRDefault="00E62D29">
            <w:r>
              <w:rPr>
                <w:sz w:val="20"/>
                <w:szCs w:val="20"/>
              </w:rPr>
              <w:t>Vice Chair Commissioner Jerry Taylor presiding in person</w:t>
            </w:r>
          </w:p>
        </w:tc>
      </w:tr>
    </w:tbl>
    <w:p w14:paraId="5E39D4D5" w14:textId="77777777" w:rsidR="00B407E6" w:rsidRDefault="00B407E6">
      <w:pPr>
        <w:spacing w:before="160"/>
      </w:pPr>
    </w:p>
    <w:p w14:paraId="6BA6DCEC" w14:textId="77777777" w:rsidR="00B407E6" w:rsidRDefault="00E62D29">
      <w:pPr>
        <w:pBdr>
          <w:bottom w:val="single" w:sz="6" w:space="1" w:color="2E7D32"/>
        </w:pBdr>
        <w:spacing w:before="320" w:after="120"/>
      </w:pPr>
      <w:r>
        <w:rPr>
          <w:b/>
          <w:bCs/>
          <w:color w:val="2E7D32"/>
          <w:sz w:val="28"/>
          <w:szCs w:val="28"/>
        </w:rPr>
        <w:t>1.  Call to Order and Attendance</w:t>
      </w:r>
    </w:p>
    <w:p w14:paraId="7B763900" w14:textId="77777777" w:rsidR="00B407E6" w:rsidRDefault="00E62D29">
      <w:pPr>
        <w:spacing w:before="60" w:after="60"/>
      </w:pPr>
      <w:r>
        <w:t>The Special Steering Committee meeting was called to order at 11:07 AM on May 28, 2026. Vice Chair Commissioner Jerry Taylor presided in person. Chair Commissioner Wade Hollingshead participated remotely. A quorum was confirmed prior to commencing business.</w:t>
      </w:r>
    </w:p>
    <w:p w14:paraId="0175AB2B" w14:textId="77777777" w:rsidR="00B407E6" w:rsidRDefault="00B407E6">
      <w:pPr>
        <w:spacing w:before="60"/>
      </w:pPr>
    </w:p>
    <w:p w14:paraId="45CEF3E2" w14:textId="2F2E1D6E" w:rsidR="006958EC" w:rsidRDefault="006958EC" w:rsidP="006958EC">
      <w:pPr>
        <w:spacing w:before="160" w:after="60"/>
      </w:pPr>
      <w:r>
        <w:rPr>
          <w:b/>
          <w:bCs/>
          <w:color w:val="333333"/>
        </w:rPr>
        <w:t>Members / Representatives Present</w:t>
      </w:r>
      <w:r w:rsidR="003B1F54">
        <w:rPr>
          <w:b/>
          <w:bCs/>
          <w:color w:val="333333"/>
        </w:rPr>
        <w:t xml:space="preserve">, </w:t>
      </w:r>
      <w:r>
        <w:rPr>
          <w:b/>
          <w:bCs/>
          <w:color w:val="333333"/>
        </w:rPr>
        <w:t>In Person</w:t>
      </w:r>
    </w:p>
    <w:p w14:paraId="2F6F107A" w14:textId="77777777" w:rsidR="006958EC" w:rsidRDefault="006958EC" w:rsidP="006958EC">
      <w:pPr>
        <w:pStyle w:val="ListParagraph"/>
        <w:numPr>
          <w:ilvl w:val="0"/>
          <w:numId w:val="3"/>
        </w:numPr>
        <w:spacing w:after="60"/>
      </w:pPr>
      <w:r>
        <w:t>Darin Bushman, Executive Director, Five County AOG</w:t>
      </w:r>
    </w:p>
    <w:p w14:paraId="52D7D6F6" w14:textId="77777777" w:rsidR="006958EC" w:rsidRDefault="006958EC" w:rsidP="006958EC">
      <w:pPr>
        <w:pStyle w:val="ListParagraph"/>
        <w:numPr>
          <w:ilvl w:val="0"/>
          <w:numId w:val="3"/>
        </w:numPr>
        <w:spacing w:after="60"/>
      </w:pPr>
      <w:r>
        <w:t>Jen Wong, HR Director, Five County AOG</w:t>
      </w:r>
    </w:p>
    <w:p w14:paraId="3D5E6F83" w14:textId="77777777" w:rsidR="006958EC" w:rsidRDefault="006958EC" w:rsidP="006958EC">
      <w:pPr>
        <w:pStyle w:val="ListParagraph"/>
        <w:numPr>
          <w:ilvl w:val="0"/>
          <w:numId w:val="3"/>
        </w:numPr>
        <w:spacing w:after="60"/>
      </w:pPr>
      <w:r>
        <w:t>Carrie Schonlaw, Deputy Director, Five County AOG</w:t>
      </w:r>
    </w:p>
    <w:p w14:paraId="6AE8CDC1" w14:textId="77777777" w:rsidR="006958EC" w:rsidRDefault="006958EC" w:rsidP="006958EC">
      <w:pPr>
        <w:pStyle w:val="ListParagraph"/>
        <w:numPr>
          <w:ilvl w:val="0"/>
          <w:numId w:val="3"/>
        </w:numPr>
        <w:spacing w:after="60"/>
      </w:pPr>
      <w:r>
        <w:t>Stephanie Hill, Iron County School Board</w:t>
      </w:r>
    </w:p>
    <w:p w14:paraId="002A44CD" w14:textId="1FDEFFCA" w:rsidR="006958EC" w:rsidRDefault="006958EC" w:rsidP="006958EC">
      <w:pPr>
        <w:pStyle w:val="ListParagraph"/>
        <w:numPr>
          <w:ilvl w:val="0"/>
          <w:numId w:val="3"/>
        </w:numPr>
        <w:spacing w:after="60"/>
      </w:pPr>
      <w:r>
        <w:t>Mayor Nolan Davis, Mayor</w:t>
      </w:r>
      <w:r>
        <w:t>,</w:t>
      </w:r>
      <w:r>
        <w:t xml:space="preserve"> </w:t>
      </w:r>
      <w:r>
        <w:t>Milford</w:t>
      </w:r>
    </w:p>
    <w:p w14:paraId="709E1E4C" w14:textId="77777777" w:rsidR="006958EC" w:rsidRDefault="006958EC" w:rsidP="006958EC">
      <w:pPr>
        <w:pStyle w:val="ListParagraph"/>
        <w:numPr>
          <w:ilvl w:val="0"/>
          <w:numId w:val="3"/>
        </w:numPr>
        <w:spacing w:after="60"/>
      </w:pPr>
      <w:r>
        <w:t>Celeste Meyers, Kane County Commissioner</w:t>
      </w:r>
    </w:p>
    <w:p w14:paraId="7CFD41CB" w14:textId="77777777" w:rsidR="006958EC" w:rsidRDefault="006958EC" w:rsidP="006958EC">
      <w:pPr>
        <w:pStyle w:val="ListParagraph"/>
        <w:numPr>
          <w:ilvl w:val="0"/>
          <w:numId w:val="3"/>
        </w:numPr>
        <w:spacing w:after="60"/>
      </w:pPr>
      <w:r>
        <w:t>Jerry Taylor, Garfield County Commissioner, Vice Chair</w:t>
      </w:r>
    </w:p>
    <w:p w14:paraId="1AD1FE76" w14:textId="77777777" w:rsidR="006958EC" w:rsidRDefault="006958EC" w:rsidP="006958EC">
      <w:pPr>
        <w:pStyle w:val="ListParagraph"/>
        <w:numPr>
          <w:ilvl w:val="0"/>
          <w:numId w:val="3"/>
        </w:numPr>
        <w:spacing w:after="60"/>
      </w:pPr>
      <w:r>
        <w:t>Jean Krause, Mayor, Virgin</w:t>
      </w:r>
    </w:p>
    <w:p w14:paraId="051BB622" w14:textId="77777777" w:rsidR="006958EC" w:rsidRDefault="006958EC" w:rsidP="006958EC">
      <w:pPr>
        <w:pStyle w:val="ListParagraph"/>
        <w:numPr>
          <w:ilvl w:val="0"/>
          <w:numId w:val="3"/>
        </w:numPr>
        <w:spacing w:after="60"/>
      </w:pPr>
      <w:r>
        <w:t>Mollie Halterman, Mayor, Parowan</w:t>
      </w:r>
    </w:p>
    <w:p w14:paraId="1326F1D9" w14:textId="77777777" w:rsidR="006958EC" w:rsidRDefault="006958EC" w:rsidP="006958EC">
      <w:pPr>
        <w:pStyle w:val="ListParagraph"/>
        <w:numPr>
          <w:ilvl w:val="0"/>
          <w:numId w:val="3"/>
        </w:numPr>
        <w:spacing w:after="60"/>
      </w:pPr>
      <w:r>
        <w:t>Paul Cozzens, Iron County Commissioner</w:t>
      </w:r>
    </w:p>
    <w:p w14:paraId="5818CDD9" w14:textId="77777777" w:rsidR="006958EC" w:rsidRDefault="006958EC" w:rsidP="006958EC">
      <w:pPr>
        <w:spacing w:after="80"/>
      </w:pPr>
    </w:p>
    <w:p w14:paraId="4A9DEAA1" w14:textId="77777777" w:rsidR="006958EC" w:rsidRDefault="006958EC" w:rsidP="006958EC">
      <w:pPr>
        <w:spacing w:before="160" w:after="60"/>
      </w:pPr>
      <w:r>
        <w:rPr>
          <w:b/>
          <w:bCs/>
          <w:color w:val="333333"/>
        </w:rPr>
        <w:t>Members / Representatives Participating Remotely</w:t>
      </w:r>
    </w:p>
    <w:p w14:paraId="273EF270" w14:textId="77777777" w:rsidR="006958EC" w:rsidRDefault="006958EC" w:rsidP="006958EC">
      <w:pPr>
        <w:pStyle w:val="ListParagraph"/>
        <w:numPr>
          <w:ilvl w:val="0"/>
          <w:numId w:val="3"/>
        </w:numPr>
        <w:spacing w:after="60"/>
      </w:pPr>
      <w:r>
        <w:t>Wade Hollingshead, Beaver County Commissioner, Chair</w:t>
      </w:r>
    </w:p>
    <w:p w14:paraId="34E78542" w14:textId="77777777" w:rsidR="006958EC" w:rsidRDefault="006958EC" w:rsidP="006958EC">
      <w:pPr>
        <w:pStyle w:val="ListParagraph"/>
        <w:numPr>
          <w:ilvl w:val="0"/>
          <w:numId w:val="3"/>
        </w:numPr>
        <w:spacing w:after="60"/>
      </w:pPr>
      <w:r>
        <w:t>Gil Almquist, Washington County Commissioner</w:t>
      </w:r>
    </w:p>
    <w:p w14:paraId="30F01543" w14:textId="77777777" w:rsidR="006958EC" w:rsidRDefault="006958EC" w:rsidP="006958EC">
      <w:pPr>
        <w:pStyle w:val="ListParagraph"/>
        <w:numPr>
          <w:ilvl w:val="0"/>
          <w:numId w:val="3"/>
        </w:numPr>
        <w:spacing w:after="60"/>
      </w:pPr>
      <w:r>
        <w:t>Taylor Glover, Kane County School District</w:t>
      </w:r>
    </w:p>
    <w:p w14:paraId="056C6E7B" w14:textId="77777777" w:rsidR="006958EC" w:rsidRDefault="006958EC" w:rsidP="006958EC">
      <w:pPr>
        <w:pStyle w:val="ListParagraph"/>
        <w:numPr>
          <w:ilvl w:val="0"/>
          <w:numId w:val="3"/>
        </w:numPr>
        <w:spacing w:after="60"/>
      </w:pPr>
      <w:r>
        <w:t>Ray Spencer, Mayor, Orderville</w:t>
      </w:r>
    </w:p>
    <w:p w14:paraId="2BD70E92" w14:textId="77777777" w:rsidR="006958EC" w:rsidRDefault="006958EC" w:rsidP="006958EC">
      <w:pPr>
        <w:pStyle w:val="ListParagraph"/>
        <w:numPr>
          <w:ilvl w:val="0"/>
          <w:numId w:val="3"/>
        </w:numPr>
        <w:spacing w:after="60"/>
      </w:pPr>
      <w:r>
        <w:t>Burke Staheli, Washington County School District</w:t>
      </w:r>
      <w:r w:rsidRPr="00B91C38">
        <w:t xml:space="preserve"> </w:t>
      </w:r>
      <w:r>
        <w:t xml:space="preserve">Allison </w:t>
      </w:r>
    </w:p>
    <w:p w14:paraId="7456BF1E" w14:textId="77777777" w:rsidR="006958EC" w:rsidRDefault="006958EC" w:rsidP="006958EC">
      <w:pPr>
        <w:pStyle w:val="ListParagraph"/>
        <w:numPr>
          <w:ilvl w:val="0"/>
          <w:numId w:val="3"/>
        </w:numPr>
        <w:spacing w:after="60"/>
      </w:pPr>
      <w:r>
        <w:t>McCoy, CFO, Five County AOG</w:t>
      </w:r>
    </w:p>
    <w:p w14:paraId="5764F73B" w14:textId="77777777" w:rsidR="00B407E6" w:rsidRDefault="00B407E6">
      <w:pPr>
        <w:spacing w:before="60"/>
      </w:pPr>
    </w:p>
    <w:p w14:paraId="1F5AA303" w14:textId="77777777" w:rsidR="00B407E6" w:rsidRDefault="00E62D29">
      <w:pPr>
        <w:spacing w:before="60" w:after="60"/>
      </w:pPr>
      <w:r>
        <w:t>The attendees recited the Pledge of Allegiance.</w:t>
      </w:r>
    </w:p>
    <w:p w14:paraId="732C77F0" w14:textId="071546E9" w:rsidR="00B407E6" w:rsidRDefault="00E62D29">
      <w:pPr>
        <w:pBdr>
          <w:bottom w:val="single" w:sz="6" w:space="1" w:color="2E7D32"/>
        </w:pBdr>
        <w:spacing w:before="320" w:after="120"/>
      </w:pPr>
      <w:r>
        <w:rPr>
          <w:b/>
          <w:bCs/>
          <w:color w:val="2E7D32"/>
          <w:sz w:val="28"/>
          <w:szCs w:val="28"/>
        </w:rPr>
        <w:t>2</w:t>
      </w:r>
      <w:proofErr w:type="gramStart"/>
      <w:r>
        <w:rPr>
          <w:b/>
          <w:bCs/>
          <w:color w:val="2E7D32"/>
          <w:sz w:val="28"/>
          <w:szCs w:val="28"/>
        </w:rPr>
        <w:t>.  Approval</w:t>
      </w:r>
      <w:proofErr w:type="gramEnd"/>
      <w:r>
        <w:rPr>
          <w:b/>
          <w:bCs/>
          <w:color w:val="2E7D32"/>
          <w:sz w:val="28"/>
          <w:szCs w:val="28"/>
        </w:rPr>
        <w:t xml:space="preserve"> of Minutes</w:t>
      </w:r>
      <w:r w:rsidR="003B1F54">
        <w:rPr>
          <w:b/>
          <w:bCs/>
          <w:color w:val="2E7D32"/>
          <w:sz w:val="28"/>
          <w:szCs w:val="28"/>
        </w:rPr>
        <w:t xml:space="preserve">, </w:t>
      </w:r>
      <w:r>
        <w:rPr>
          <w:b/>
          <w:bCs/>
          <w:color w:val="2E7D32"/>
          <w:sz w:val="28"/>
          <w:szCs w:val="28"/>
        </w:rPr>
        <w:t>May 13, 2026</w:t>
      </w:r>
    </w:p>
    <w:p w14:paraId="0C0227D4" w14:textId="3E7A45C1" w:rsidR="00B407E6" w:rsidRDefault="00E62D29">
      <w:pPr>
        <w:spacing w:before="60" w:after="60"/>
      </w:pPr>
      <w:r>
        <w:t>Minutes from the May 13, 2026 Steering Committee meeting were presented for approval. A motion was made to approve the minutes with the correction that Congresswoman Malloy's last name contains only one "l."</w:t>
      </w:r>
      <w:r w:rsidR="006958EC">
        <w:t xml:space="preserve">  Also noted was that Commissioner Cozzens was in the meeting and Mayor Halterman’s name is spelled with an “</w:t>
      </w:r>
      <w:proofErr w:type="spellStart"/>
      <w:r w:rsidR="006958EC">
        <w:t>ie</w:t>
      </w:r>
      <w:proofErr w:type="spellEnd"/>
      <w:r w:rsidR="006958EC">
        <w:t>” not a “y”.</w:t>
      </w:r>
    </w:p>
    <w:p w14:paraId="49BEAA62" w14:textId="77777777" w:rsidR="00B407E6" w:rsidRDefault="00B407E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B407E6" w14:paraId="0EE7AFB8"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29B5E8C" w14:textId="77777777" w:rsidR="00B407E6" w:rsidRDefault="00E62D29">
            <w:r>
              <w:rPr>
                <w:b/>
                <w:bCs/>
                <w:sz w:val="20"/>
                <w:szCs w:val="20"/>
              </w:rPr>
              <w:t>Motion:</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86FEBF" w14:textId="77777777" w:rsidR="00B407E6" w:rsidRDefault="00E62D29">
            <w:r>
              <w:rPr>
                <w:sz w:val="20"/>
                <w:szCs w:val="20"/>
              </w:rPr>
              <w:t>Approve the minutes of the May 13, 2026 Steering Committee meeting as presented, with the correction that Congresswoman Malloy's last name contains only one "l."</w:t>
            </w:r>
          </w:p>
        </w:tc>
      </w:tr>
      <w:tr w:rsidR="00B407E6" w14:paraId="58326DC2"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694CE083" w14:textId="77777777" w:rsidR="00B407E6" w:rsidRDefault="00E62D29">
            <w:r>
              <w:rPr>
                <w:b/>
                <w:bCs/>
                <w:sz w:val="20"/>
                <w:szCs w:val="20"/>
              </w:rPr>
              <w:t>Moved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DE40C" w14:textId="235C942F" w:rsidR="00B407E6" w:rsidRDefault="003B1F54">
            <w:r>
              <w:t xml:space="preserve">Commissioner </w:t>
            </w:r>
            <w:proofErr w:type="spellStart"/>
            <w:r>
              <w:t>Meyeres</w:t>
            </w:r>
            <w:proofErr w:type="spellEnd"/>
          </w:p>
        </w:tc>
      </w:tr>
      <w:tr w:rsidR="00B407E6" w14:paraId="772E74EF"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1A99DAB" w14:textId="77777777" w:rsidR="00B407E6" w:rsidRDefault="00E62D29">
            <w:r>
              <w:rPr>
                <w:b/>
                <w:bCs/>
                <w:sz w:val="20"/>
                <w:szCs w:val="20"/>
              </w:rPr>
              <w:t>Seconded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27C12" w14:textId="3136D1E3" w:rsidR="00B407E6" w:rsidRDefault="003B1F54">
            <w:r>
              <w:t>Mayor Halterman</w:t>
            </w:r>
          </w:p>
        </w:tc>
      </w:tr>
      <w:tr w:rsidR="00B407E6" w14:paraId="208745E3"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C48F015" w14:textId="77777777" w:rsidR="00B407E6" w:rsidRDefault="00E62D29">
            <w:r>
              <w:rPr>
                <w:b/>
                <w:bCs/>
                <w:sz w:val="20"/>
                <w:szCs w:val="20"/>
              </w:rPr>
              <w:t>Vote: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2F3EC1" w14:textId="77777777" w:rsidR="00B407E6" w:rsidRDefault="00E62D29">
            <w:r>
              <w:rPr>
                <w:sz w:val="20"/>
                <w:szCs w:val="20"/>
              </w:rPr>
              <w:t>Approved unanimously</w:t>
            </w:r>
          </w:p>
        </w:tc>
      </w:tr>
    </w:tbl>
    <w:p w14:paraId="0090CBCB" w14:textId="77777777" w:rsidR="00B407E6" w:rsidRDefault="00E62D29">
      <w:pPr>
        <w:pBdr>
          <w:bottom w:val="single" w:sz="6" w:space="1" w:color="2E7D32"/>
        </w:pBdr>
        <w:spacing w:before="320" w:after="120"/>
      </w:pPr>
      <w:r>
        <w:rPr>
          <w:b/>
          <w:bCs/>
          <w:color w:val="2E7D32"/>
          <w:sz w:val="28"/>
          <w:szCs w:val="28"/>
        </w:rPr>
        <w:t>3.  Financial Stability and Regional Participation Funding Model</w:t>
      </w:r>
    </w:p>
    <w:p w14:paraId="4DE6D24F" w14:textId="77777777" w:rsidR="00B407E6" w:rsidRDefault="00E62D29">
      <w:pPr>
        <w:spacing w:before="60" w:after="60"/>
      </w:pPr>
      <w:r>
        <w:t>Executive Director Bushman presented the financial model developed through two Finance Committee working group sessions. The purpose of this special meeting was to bring the model to the Steering Committee for approval and to authorize staff to begin formal outreach to cities and school districts.</w:t>
      </w:r>
    </w:p>
    <w:p w14:paraId="2B1EF6F2" w14:textId="77777777" w:rsidR="00B407E6" w:rsidRDefault="00B407E6">
      <w:pPr>
        <w:spacing w:before="60"/>
      </w:pPr>
    </w:p>
    <w:p w14:paraId="5DF4637A" w14:textId="77777777" w:rsidR="00B407E6" w:rsidRDefault="00E62D29">
      <w:pPr>
        <w:spacing w:before="200" w:after="60"/>
      </w:pPr>
      <w:r>
        <w:rPr>
          <w:b/>
          <w:bCs/>
          <w:color w:val="333333"/>
        </w:rPr>
        <w:t>Current Financial Condition</w:t>
      </w:r>
    </w:p>
    <w:p w14:paraId="039916B1" w14:textId="0CAB3088" w:rsidR="00B407E6" w:rsidRDefault="00E62D29">
      <w:pPr>
        <w:pStyle w:val="ListParagraph"/>
        <w:numPr>
          <w:ilvl w:val="0"/>
          <w:numId w:val="2"/>
        </w:numPr>
        <w:spacing w:before="40" w:after="40"/>
      </w:pPr>
      <w:r>
        <w:t>Since 2019, AOG revenues have grown by approximately $4.1 million. This growth represents grants flowing through the AOG directly to member communities</w:t>
      </w:r>
      <w:r w:rsidR="003B1F54">
        <w:t xml:space="preserve">, </w:t>
      </w:r>
      <w:r>
        <w:t>not AOG overhead</w:t>
      </w:r>
      <w:r w:rsidR="003B1F54">
        <w:t xml:space="preserve">, </w:t>
      </w:r>
      <w:r>
        <w:t>while local participation contributions have grown by only $20,000 over the same period. Commissioner Almquist recommended that future presentations to mayors and school boards clearly label this revenue as "grants distributed to communities" and the $20,000 figure as required match for those grants.</w:t>
      </w:r>
    </w:p>
    <w:p w14:paraId="23082FD6" w14:textId="77777777" w:rsidR="00B407E6" w:rsidRDefault="00E62D29">
      <w:pPr>
        <w:pStyle w:val="ListParagraph"/>
        <w:numPr>
          <w:ilvl w:val="0"/>
          <w:numId w:val="2"/>
        </w:numPr>
        <w:spacing w:before="40" w:after="40"/>
      </w:pPr>
      <w:r>
        <w:t>Current annual local contributions total $160,000, provided exclusively by the five member counties. This represents less than 2% of approximately $14 million in annual services delivered.</w:t>
      </w:r>
    </w:p>
    <w:p w14:paraId="0C1FECAD" w14:textId="77777777" w:rsidR="00B407E6" w:rsidRDefault="00E62D29">
      <w:pPr>
        <w:pStyle w:val="ListParagraph"/>
        <w:numPr>
          <w:ilvl w:val="0"/>
          <w:numId w:val="2"/>
        </w:numPr>
        <w:spacing w:before="40" w:after="40"/>
      </w:pPr>
      <w:r>
        <w:t>Current operating reserves are approximately $332,000 (approximately 2.6% of revenues). FCAOG has drawn on its $350,000 line of credit with State Bank of Southern Utah three times in the past year, including to meet payroll and operating obligations.</w:t>
      </w:r>
    </w:p>
    <w:p w14:paraId="3FC76AB6" w14:textId="77777777" w:rsidR="00B407E6" w:rsidRDefault="00E62D29">
      <w:pPr>
        <w:pStyle w:val="ListParagraph"/>
        <w:numPr>
          <w:ilvl w:val="0"/>
          <w:numId w:val="2"/>
        </w:numPr>
        <w:spacing w:before="40" w:after="40"/>
      </w:pPr>
      <w:r>
        <w:t>GFOA recommends a minimum reserve of 15% of revenues (approximately $1.9 million); the ideal target is approximately 25%. The AOG is approximately $1.8 million short of the minimum recommendation.</w:t>
      </w:r>
    </w:p>
    <w:p w14:paraId="605594FE" w14:textId="77777777" w:rsidR="00B407E6" w:rsidRDefault="00E62D29">
      <w:pPr>
        <w:spacing w:before="200" w:after="60"/>
      </w:pPr>
      <w:r>
        <w:rPr>
          <w:b/>
          <w:bCs/>
          <w:color w:val="333333"/>
        </w:rPr>
        <w:t>Proposed Regional Participation Funding Model</w:t>
      </w:r>
    </w:p>
    <w:p w14:paraId="4E41BC0C" w14:textId="77777777" w:rsidR="00B407E6" w:rsidRDefault="00E62D29">
      <w:pPr>
        <w:pStyle w:val="ListParagraph"/>
        <w:numPr>
          <w:ilvl w:val="0"/>
          <w:numId w:val="2"/>
        </w:numPr>
        <w:spacing w:before="40" w:after="40"/>
      </w:pPr>
      <w:r>
        <w:t>The AOG's founding bylaws and articles of incorporation (now 52 years old) contemplate that counties, cities, and school districts would all share in funding the organization. In practice, only the five member counties have ever contributed.</w:t>
      </w:r>
    </w:p>
    <w:p w14:paraId="4AD80827" w14:textId="77777777" w:rsidR="00B407E6" w:rsidRDefault="00E62D29">
      <w:pPr>
        <w:pStyle w:val="ListParagraph"/>
        <w:numPr>
          <w:ilvl w:val="0"/>
          <w:numId w:val="2"/>
        </w:numPr>
        <w:spacing w:before="40" w:after="40"/>
      </w:pPr>
      <w:r>
        <w:t>The proposal expands the contributor base from 5 county payers to approximately 48 payers (counties, cities, and school districts), raising an additional $400,000 annually above current contributions for a total of $560,000.</w:t>
      </w:r>
    </w:p>
    <w:p w14:paraId="5CBD9A4E" w14:textId="77777777" w:rsidR="00B407E6" w:rsidRDefault="00E62D29">
      <w:pPr>
        <w:pStyle w:val="ListParagraph"/>
        <w:numPr>
          <w:ilvl w:val="0"/>
          <w:numId w:val="2"/>
        </w:numPr>
        <w:spacing w:before="40" w:after="40"/>
      </w:pPr>
      <w:r>
        <w:t>Finance Committee proposed distribution: 60% counties, 25% cities and towns, 15% school districts.</w:t>
      </w:r>
    </w:p>
    <w:p w14:paraId="70D58FE1" w14:textId="77777777" w:rsidR="00B407E6" w:rsidRDefault="00E62D29">
      <w:pPr>
        <w:spacing w:before="200" w:after="60"/>
      </w:pPr>
      <w:r>
        <w:rPr>
          <w:b/>
          <w:bCs/>
          <w:color w:val="333333"/>
        </w:rPr>
        <w:t>County Distribution (additional above current contributions)</w:t>
      </w:r>
    </w:p>
    <w:p w14:paraId="4BFD9A02" w14:textId="77777777" w:rsidR="00B407E6" w:rsidRDefault="00E62D29">
      <w:pPr>
        <w:pStyle w:val="ListParagraph"/>
        <w:numPr>
          <w:ilvl w:val="0"/>
          <w:numId w:val="2"/>
        </w:numPr>
        <w:spacing w:before="40" w:after="40"/>
      </w:pPr>
      <w:r>
        <w:t>Beaver County: +$4,000</w:t>
      </w:r>
    </w:p>
    <w:p w14:paraId="5B0A0E86" w14:textId="77777777" w:rsidR="00B407E6" w:rsidRDefault="00E62D29">
      <w:pPr>
        <w:pStyle w:val="ListParagraph"/>
        <w:numPr>
          <w:ilvl w:val="0"/>
          <w:numId w:val="2"/>
        </w:numPr>
        <w:spacing w:before="40" w:after="40"/>
      </w:pPr>
      <w:r>
        <w:t>Garfield County: +$3,000</w:t>
      </w:r>
    </w:p>
    <w:p w14:paraId="2BDC15AE" w14:textId="77777777" w:rsidR="00B407E6" w:rsidRDefault="00E62D29">
      <w:pPr>
        <w:pStyle w:val="ListParagraph"/>
        <w:numPr>
          <w:ilvl w:val="0"/>
          <w:numId w:val="2"/>
        </w:numPr>
        <w:spacing w:before="40" w:after="40"/>
      </w:pPr>
      <w:r>
        <w:t>Iron County: +$40,000</w:t>
      </w:r>
    </w:p>
    <w:p w14:paraId="35387660" w14:textId="77777777" w:rsidR="00B407E6" w:rsidRDefault="00E62D29">
      <w:pPr>
        <w:pStyle w:val="ListParagraph"/>
        <w:numPr>
          <w:ilvl w:val="0"/>
          <w:numId w:val="2"/>
        </w:numPr>
        <w:spacing w:before="40" w:after="40"/>
      </w:pPr>
      <w:r>
        <w:t>Kane County: +$5,000</w:t>
      </w:r>
    </w:p>
    <w:p w14:paraId="52220343" w14:textId="77777777" w:rsidR="00B407E6" w:rsidRDefault="00E62D29">
      <w:pPr>
        <w:pStyle w:val="ListParagraph"/>
        <w:numPr>
          <w:ilvl w:val="0"/>
          <w:numId w:val="2"/>
        </w:numPr>
        <w:spacing w:before="40" w:after="40"/>
      </w:pPr>
      <w:r>
        <w:t>Washington County: +$122,000</w:t>
      </w:r>
    </w:p>
    <w:p w14:paraId="7DE3F8A1" w14:textId="77777777" w:rsidR="00B407E6" w:rsidRDefault="00E62D29">
      <w:pPr>
        <w:spacing w:before="60" w:after="60"/>
      </w:pPr>
      <w:r>
        <w:lastRenderedPageBreak/>
        <w:t>Per-capita rates vary significantly by county. Garfield County's rate is $4.27 per capita compared to Washington County's $0.93 per capita.</w:t>
      </w:r>
    </w:p>
    <w:p w14:paraId="2DC629C8" w14:textId="77777777" w:rsidR="00B407E6" w:rsidRDefault="00E62D29">
      <w:pPr>
        <w:spacing w:before="200" w:after="60"/>
      </w:pPr>
      <w:r>
        <w:rPr>
          <w:b/>
          <w:bCs/>
          <w:color w:val="333333"/>
        </w:rPr>
        <w:t>City and Town Distribution</w:t>
      </w:r>
    </w:p>
    <w:p w14:paraId="263DA9B6" w14:textId="77777777" w:rsidR="00B407E6" w:rsidRDefault="00E62D29">
      <w:pPr>
        <w:pStyle w:val="ListParagraph"/>
        <w:numPr>
          <w:ilvl w:val="0"/>
          <w:numId w:val="2"/>
        </w:numPr>
        <w:spacing w:before="40" w:after="40"/>
      </w:pPr>
      <w:r>
        <w:t>Cities and towns under 5,000 population: $1,500 flat base rate.</w:t>
      </w:r>
    </w:p>
    <w:p w14:paraId="26A46C9B" w14:textId="77777777" w:rsidR="00B407E6" w:rsidRDefault="00E62D29">
      <w:pPr>
        <w:pStyle w:val="ListParagraph"/>
        <w:numPr>
          <w:ilvl w:val="0"/>
          <w:numId w:val="2"/>
        </w:numPr>
        <w:spacing w:before="40" w:after="40"/>
      </w:pPr>
      <w:r>
        <w:t>Cities and towns over 5,000 population: $7,500 base rate plus a per-capita rate, capped at $0.31 per person.</w:t>
      </w:r>
    </w:p>
    <w:p w14:paraId="0CE746B6" w14:textId="77777777" w:rsidR="00B407E6" w:rsidRDefault="00E62D29">
      <w:pPr>
        <w:pStyle w:val="ListParagraph"/>
        <w:numPr>
          <w:ilvl w:val="0"/>
          <w:numId w:val="2"/>
        </w:numPr>
        <w:spacing w:before="40" w:after="40"/>
      </w:pPr>
      <w:r>
        <w:t>Larger cities paying an additional per-capita amount above their base: St. George (+$33,000), Cedar City (+$12,000), Washington (+$10,600), La Verkin (+$2,300), Parowan (+$1,669), and Beaver (+$1,900).</w:t>
      </w:r>
    </w:p>
    <w:p w14:paraId="1F9063C6" w14:textId="77777777" w:rsidR="00B407E6" w:rsidRDefault="00E62D29">
      <w:pPr>
        <w:spacing w:before="200" w:after="60"/>
      </w:pPr>
      <w:r>
        <w:rPr>
          <w:b/>
          <w:bCs/>
          <w:color w:val="333333"/>
        </w:rPr>
        <w:t>School District Distribution</w:t>
      </w:r>
    </w:p>
    <w:p w14:paraId="01506A7E" w14:textId="77777777" w:rsidR="00B407E6" w:rsidRDefault="00E62D29">
      <w:pPr>
        <w:pStyle w:val="ListParagraph"/>
        <w:numPr>
          <w:ilvl w:val="0"/>
          <w:numId w:val="2"/>
        </w:numPr>
        <w:spacing w:before="40" w:after="40"/>
      </w:pPr>
      <w:r>
        <w:t>Each school district pays a base rate plus a per-student rate. Per-student rates: Beaver County ($340/student), Garfield County ($292/student), Kane County ($351/student), Iron County and Washington County ($1.36/student).</w:t>
      </w:r>
    </w:p>
    <w:p w14:paraId="051202CC" w14:textId="77777777" w:rsidR="00B407E6" w:rsidRDefault="00E62D29">
      <w:pPr>
        <w:spacing w:before="200" w:after="60"/>
      </w:pPr>
      <w:r>
        <w:rPr>
          <w:b/>
          <w:bCs/>
          <w:color w:val="333333"/>
        </w:rPr>
        <w:t>Reserve and Fleet Targets</w:t>
      </w:r>
    </w:p>
    <w:p w14:paraId="1F02073B" w14:textId="77777777" w:rsidR="00B407E6" w:rsidRDefault="00E62D29">
      <w:pPr>
        <w:pStyle w:val="ListParagraph"/>
        <w:numPr>
          <w:ilvl w:val="0"/>
          <w:numId w:val="2"/>
        </w:numPr>
        <w:spacing w:before="40" w:after="40"/>
      </w:pPr>
      <w:r>
        <w:t>Initial revenue would prioritize fleet replacement. The current 19-vehicle fleet has an estimated total value of approximately $70,000 and requires immediate attention.</w:t>
      </w:r>
    </w:p>
    <w:p w14:paraId="2BDC2D79" w14:textId="77777777" w:rsidR="00B407E6" w:rsidRDefault="00E62D29">
      <w:pPr>
        <w:pStyle w:val="ListParagraph"/>
        <w:numPr>
          <w:ilvl w:val="0"/>
          <w:numId w:val="2"/>
        </w:numPr>
        <w:spacing w:before="40" w:after="40"/>
      </w:pPr>
      <w:r>
        <w:t>$200,000 to $250,000 annually would be directed toward building an operating reserve. Five-year target: $1,000,000. Eight-year target: $2,100,000.</w:t>
      </w:r>
    </w:p>
    <w:p w14:paraId="38C936A3" w14:textId="77777777" w:rsidR="00B407E6" w:rsidRDefault="00E62D29">
      <w:pPr>
        <w:spacing w:before="200" w:after="60"/>
      </w:pPr>
      <w:r>
        <w:rPr>
          <w:b/>
          <w:bCs/>
          <w:color w:val="333333"/>
        </w:rPr>
        <w:t>Hardship Appeal Process</w:t>
      </w:r>
    </w:p>
    <w:p w14:paraId="1A41EBD6" w14:textId="77777777" w:rsidR="00B407E6" w:rsidRDefault="00E62D29">
      <w:pPr>
        <w:pStyle w:val="ListParagraph"/>
        <w:numPr>
          <w:ilvl w:val="0"/>
          <w:numId w:val="2"/>
        </w:numPr>
        <w:spacing w:before="40" w:after="40"/>
      </w:pPr>
      <w:r>
        <w:t>Per the Finance Committee recommendation, a member municipality or school district may appeal its assessment to the county commission of the county in which it is located. The county commission has sole authority to grant or deny the appeal. If granted, the county shall pay the appealing member's assessment to the AOG within the original assessment due date for that year. The AOG has no role in evaluating hardship appeals.</w:t>
      </w:r>
    </w:p>
    <w:p w14:paraId="6E014004" w14:textId="77777777" w:rsidR="00B407E6" w:rsidRDefault="00E62D29">
      <w:pPr>
        <w:spacing w:before="200" w:after="60"/>
      </w:pPr>
      <w:r>
        <w:rPr>
          <w:b/>
          <w:bCs/>
          <w:color w:val="333333"/>
        </w:rPr>
        <w:t>Discussion</w:t>
      </w:r>
    </w:p>
    <w:p w14:paraId="4101BA09" w14:textId="77777777" w:rsidR="00B407E6" w:rsidRDefault="00E62D29">
      <w:pPr>
        <w:pStyle w:val="ListParagraph"/>
        <w:numPr>
          <w:ilvl w:val="0"/>
          <w:numId w:val="2"/>
        </w:numPr>
        <w:spacing w:before="40" w:after="40"/>
      </w:pPr>
      <w:r>
        <w:t>Commissioner Almquist recommended preparing a one-page document for each participating entity showing services provided to that community by the AOG and the estimated cost if the entity provided those services independently.</w:t>
      </w:r>
    </w:p>
    <w:p w14:paraId="7A4ACA5A" w14:textId="77777777" w:rsidR="00B407E6" w:rsidRDefault="00E62D29">
      <w:pPr>
        <w:pStyle w:val="ListParagraph"/>
        <w:numPr>
          <w:ilvl w:val="0"/>
          <w:numId w:val="2"/>
        </w:numPr>
        <w:spacing w:before="40" w:after="40"/>
      </w:pPr>
      <w:r>
        <w:t>Burke Staheli (Washington County School District) confirmed per-pupil enrollment as the appropriate school district distribution metric. He also requested that outreach materials cite the bylaw language authorizing the multi-entity assessment structure.</w:t>
      </w:r>
    </w:p>
    <w:p w14:paraId="2241CBCB" w14:textId="77777777" w:rsidR="00B407E6" w:rsidRDefault="00E62D29">
      <w:pPr>
        <w:pStyle w:val="ListParagraph"/>
        <w:numPr>
          <w:ilvl w:val="0"/>
          <w:numId w:val="2"/>
        </w:numPr>
        <w:spacing w:before="40" w:after="40"/>
      </w:pPr>
      <w:r>
        <w:t>Commissioner Hollingshead (remote, Beaver County) reported having already spoken with Beaver County's cities and school district, who are generally supportive of the model.</w:t>
      </w:r>
    </w:p>
    <w:p w14:paraId="5133F034" w14:textId="1E049625" w:rsidR="00B407E6" w:rsidRDefault="003B1F54">
      <w:pPr>
        <w:pStyle w:val="ListParagraph"/>
        <w:numPr>
          <w:ilvl w:val="0"/>
          <w:numId w:val="2"/>
        </w:numPr>
        <w:spacing w:before="40" w:after="40"/>
      </w:pPr>
      <w:r>
        <w:t>Paul Cozzens,</w:t>
      </w:r>
      <w:r w:rsidR="00E62D29">
        <w:t xml:space="preserve"> Iron County commissioner</w:t>
      </w:r>
      <w:r>
        <w:t>,</w:t>
      </w:r>
      <w:r w:rsidR="00E62D29">
        <w:t xml:space="preserve"> suggested Director Bushman attend county commission meetings with steering committee members and invite all mayors at once, rather than </w:t>
      </w:r>
      <w:proofErr w:type="gramStart"/>
      <w:r w:rsidR="00E62D29">
        <w:t>holding</w:t>
      </w:r>
      <w:proofErr w:type="gramEnd"/>
      <w:r w:rsidR="00E62D29">
        <w:t xml:space="preserve"> separate meetings for each entity.</w:t>
      </w:r>
    </w:p>
    <w:p w14:paraId="5092E357" w14:textId="79A64780" w:rsidR="00B407E6" w:rsidRDefault="00E62D29">
      <w:pPr>
        <w:pStyle w:val="ListParagraph"/>
        <w:numPr>
          <w:ilvl w:val="0"/>
          <w:numId w:val="2"/>
        </w:numPr>
        <w:spacing w:before="40" w:after="40"/>
      </w:pPr>
      <w:r>
        <w:t>Director Bushman noted that the AOG weekly briefing is currently distributed to steering committee members and all mayors</w:t>
      </w:r>
      <w:r w:rsidR="003B1F54">
        <w:t>,</w:t>
      </w:r>
      <w:r>
        <w:t xml:space="preserve"> but not to school districts. Expanding distribution to school district representatives was identified as a next step.</w:t>
      </w:r>
    </w:p>
    <w:p w14:paraId="2E286263" w14:textId="77777777" w:rsidR="00B407E6" w:rsidRDefault="00E62D29">
      <w:pPr>
        <w:pStyle w:val="ListParagraph"/>
        <w:numPr>
          <w:ilvl w:val="0"/>
          <w:numId w:val="2"/>
        </w:numPr>
        <w:spacing w:before="40" w:after="40"/>
      </w:pPr>
      <w:r>
        <w:t>The committee confirmed that billing timing may differ by entity type to accommodate varying fiscal and calendar year cycles.</w:t>
      </w:r>
    </w:p>
    <w:p w14:paraId="5E534B60" w14:textId="77777777" w:rsidR="00B407E6" w:rsidRDefault="00B407E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B407E6" w14:paraId="018330E3"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3C7F92CB" w14:textId="77777777" w:rsidR="00B407E6" w:rsidRDefault="00E62D29">
            <w:r>
              <w:rPr>
                <w:b/>
                <w:bCs/>
                <w:sz w:val="20"/>
                <w:szCs w:val="20"/>
              </w:rPr>
              <w:t>Motion:</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2F4553" w14:textId="77777777" w:rsidR="00B407E6" w:rsidRDefault="00E62D29">
            <w:r>
              <w:rPr>
                <w:sz w:val="20"/>
                <w:szCs w:val="20"/>
              </w:rPr>
              <w:t>Approve the Regional Participation Funding Model as presented and direct staff to begin formal conversations with cities and school districts.</w:t>
            </w:r>
          </w:p>
        </w:tc>
      </w:tr>
      <w:tr w:rsidR="00B407E6" w14:paraId="26A66C1C"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0F71CA1" w14:textId="77777777" w:rsidR="00B407E6" w:rsidRDefault="00E62D29">
            <w:r>
              <w:rPr>
                <w:b/>
                <w:bCs/>
                <w:sz w:val="20"/>
                <w:szCs w:val="20"/>
              </w:rPr>
              <w:t>Moved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120DC1" w14:textId="5CA84370" w:rsidR="00B407E6" w:rsidRDefault="003B1F54">
            <w:r>
              <w:rPr>
                <w:sz w:val="20"/>
                <w:szCs w:val="20"/>
              </w:rPr>
              <w:t>Commissioner Hollingshead</w:t>
            </w:r>
          </w:p>
        </w:tc>
      </w:tr>
      <w:tr w:rsidR="00B407E6" w14:paraId="091C566E"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598E38CD" w14:textId="77777777" w:rsidR="00B407E6" w:rsidRDefault="00E62D29">
            <w:r>
              <w:rPr>
                <w:b/>
                <w:bCs/>
                <w:sz w:val="20"/>
                <w:szCs w:val="20"/>
              </w:rPr>
              <w:lastRenderedPageBreak/>
              <w:t>Seconded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25E704" w14:textId="2518C961" w:rsidR="00B407E6" w:rsidRDefault="003B1F54">
            <w:r>
              <w:t xml:space="preserve">Commissioner </w:t>
            </w:r>
            <w:proofErr w:type="spellStart"/>
            <w:r>
              <w:t>Meyeres</w:t>
            </w:r>
            <w:proofErr w:type="spellEnd"/>
          </w:p>
        </w:tc>
      </w:tr>
      <w:tr w:rsidR="00B407E6" w14:paraId="0EE9C5C7"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1F2C6280" w14:textId="77777777" w:rsidR="00B407E6" w:rsidRDefault="00E62D29">
            <w:r>
              <w:rPr>
                <w:b/>
                <w:bCs/>
                <w:sz w:val="20"/>
                <w:szCs w:val="20"/>
              </w:rPr>
              <w:t>Vote: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CB863F" w14:textId="77777777" w:rsidR="00B407E6" w:rsidRDefault="00E62D29">
            <w:r>
              <w:rPr>
                <w:sz w:val="20"/>
                <w:szCs w:val="20"/>
              </w:rPr>
              <w:t>Approved unanimously. Remote ayes by name: Commissioner Almquist, Taylor Glover, Commissioner Hollingshead, Mayor Spencer, Burke Staheli.</w:t>
            </w:r>
          </w:p>
        </w:tc>
      </w:tr>
    </w:tbl>
    <w:p w14:paraId="3955212F" w14:textId="0470DEDD" w:rsidR="00B407E6" w:rsidRDefault="00E62D29">
      <w:pPr>
        <w:pBdr>
          <w:bottom w:val="single" w:sz="6" w:space="1" w:color="2E7D32"/>
        </w:pBdr>
        <w:spacing w:before="320" w:after="120"/>
      </w:pPr>
      <w:r>
        <w:rPr>
          <w:b/>
          <w:bCs/>
          <w:color w:val="2E7D32"/>
          <w:sz w:val="28"/>
          <w:szCs w:val="28"/>
        </w:rPr>
        <w:t>4</w:t>
      </w:r>
      <w:proofErr w:type="gramStart"/>
      <w:r>
        <w:rPr>
          <w:b/>
          <w:bCs/>
          <w:color w:val="2E7D32"/>
          <w:sz w:val="28"/>
          <w:szCs w:val="28"/>
        </w:rPr>
        <w:t>.  Review</w:t>
      </w:r>
      <w:proofErr w:type="gramEnd"/>
      <w:r>
        <w:rPr>
          <w:b/>
          <w:bCs/>
          <w:color w:val="2E7D32"/>
          <w:sz w:val="28"/>
          <w:szCs w:val="28"/>
        </w:rPr>
        <w:t xml:space="preserve"> of Proposed Amendments</w:t>
      </w:r>
      <w:r w:rsidR="003B1F54">
        <w:rPr>
          <w:b/>
          <w:bCs/>
          <w:color w:val="2E7D32"/>
          <w:sz w:val="28"/>
          <w:szCs w:val="28"/>
        </w:rPr>
        <w:t xml:space="preserve">, </w:t>
      </w:r>
      <w:r>
        <w:rPr>
          <w:b/>
          <w:bCs/>
          <w:color w:val="2E7D32"/>
          <w:sz w:val="28"/>
          <w:szCs w:val="28"/>
        </w:rPr>
        <w:t>Articles of Incorporation and Bylaws</w:t>
      </w:r>
    </w:p>
    <w:p w14:paraId="11E6E344" w14:textId="77777777" w:rsidR="00B407E6" w:rsidRDefault="00E62D29">
      <w:pPr>
        <w:spacing w:before="60" w:after="60"/>
      </w:pPr>
      <w:r>
        <w:t>Director Bushman presented proposed amendments to the Articles of Incorporation and Bylaws necessary to implement the Regional Participation Funding Model and correct existing inaccuracies.</w:t>
      </w:r>
    </w:p>
    <w:p w14:paraId="61A95D5A" w14:textId="77777777" w:rsidR="00B407E6" w:rsidRDefault="00B407E6">
      <w:pPr>
        <w:spacing w:before="60"/>
      </w:pPr>
    </w:p>
    <w:p w14:paraId="396F21A2" w14:textId="77777777" w:rsidR="00B407E6" w:rsidRDefault="00E62D29">
      <w:pPr>
        <w:spacing w:before="200" w:after="60"/>
      </w:pPr>
      <w:r>
        <w:rPr>
          <w:b/>
          <w:bCs/>
          <w:color w:val="333333"/>
        </w:rPr>
        <w:t>Key Points</w:t>
      </w:r>
    </w:p>
    <w:p w14:paraId="776A18D1" w14:textId="77777777" w:rsidR="00B407E6" w:rsidRDefault="00E62D29">
      <w:pPr>
        <w:pStyle w:val="ListParagraph"/>
        <w:numPr>
          <w:ilvl w:val="0"/>
          <w:numId w:val="2"/>
        </w:numPr>
        <w:spacing w:before="40" w:after="40"/>
      </w:pPr>
      <w:r>
        <w:t>The Articles of Incorporation require a two-thirds member vote to amend. The Bylaws require a simple majority. Neither document has been formally amended since the organization's inception.</w:t>
      </w:r>
    </w:p>
    <w:p w14:paraId="3C470961" w14:textId="77777777" w:rsidR="00B407E6" w:rsidRDefault="00E62D29">
      <w:pPr>
        <w:pStyle w:val="ListParagraph"/>
        <w:numPr>
          <w:ilvl w:val="0"/>
          <w:numId w:val="2"/>
        </w:numPr>
        <w:spacing w:before="40" w:after="40"/>
      </w:pPr>
      <w:r>
        <w:t>A 30-day written notice to all member entities is required before any vote on amendments.</w:t>
      </w:r>
    </w:p>
    <w:p w14:paraId="0C3FA708" w14:textId="77777777" w:rsidR="00B407E6" w:rsidRDefault="00E62D29">
      <w:pPr>
        <w:pStyle w:val="ListParagraph"/>
        <w:numPr>
          <w:ilvl w:val="0"/>
          <w:numId w:val="2"/>
        </w:numPr>
        <w:spacing w:before="40" w:after="40"/>
      </w:pPr>
      <w:r>
        <w:t>The bylaws currently state that the AOG operates on a calendar year. The AOG operates on a fiscal year (July 1 - June 30) in practice. The proposed amendment corrects this inaccuracy.</w:t>
      </w:r>
    </w:p>
    <w:p w14:paraId="00F79AC1" w14:textId="39CF4BB8" w:rsidR="00B407E6" w:rsidRDefault="00E62D29">
      <w:pPr>
        <w:spacing w:before="200" w:after="60"/>
      </w:pPr>
      <w:r>
        <w:rPr>
          <w:b/>
          <w:bCs/>
          <w:color w:val="333333"/>
        </w:rPr>
        <w:t>Proposed Amendment</w:t>
      </w:r>
      <w:r w:rsidR="003B1F54">
        <w:rPr>
          <w:b/>
          <w:bCs/>
          <w:color w:val="333333"/>
        </w:rPr>
        <w:t xml:space="preserve">, </w:t>
      </w:r>
      <w:r>
        <w:rPr>
          <w:b/>
          <w:bCs/>
          <w:color w:val="333333"/>
        </w:rPr>
        <w:t>Articles of Incorporation, Article II-F</w:t>
      </w:r>
    </w:p>
    <w:p w14:paraId="35F87E1C" w14:textId="77777777" w:rsidR="00B407E6" w:rsidRDefault="00E62D29">
      <w:pPr>
        <w:spacing w:before="60" w:after="60"/>
      </w:pPr>
      <w:r>
        <w:t>The Steering Committee shall have the authority to levy assessments on member counties, member municipalities, and member school districts for funds to operate the Association. The Steering Committee shall adopt an annual assessment schedule, and the Association shall invoice each member entity directly in accordance with that schedule. A member municipality or school district may appeal to the county commission of the county in which it is located. The county commission shall have sole authority to grant o</w:t>
      </w:r>
      <w:r>
        <w:t>r deny the appeal. If granted, the county shall pay the appealing member's assessment to the Association within the original assessment due date for that year. Absent a county-granted hardship appeal, each member entity remains directly responsible to the Association for its full assessment. The Association shall have no role in evaluating or deciding hardship appeals.</w:t>
      </w:r>
    </w:p>
    <w:p w14:paraId="190AC128" w14:textId="5CD9A06A" w:rsidR="00B407E6" w:rsidRDefault="00E62D29">
      <w:pPr>
        <w:spacing w:before="200" w:after="60"/>
      </w:pPr>
      <w:r>
        <w:rPr>
          <w:b/>
          <w:bCs/>
          <w:color w:val="333333"/>
        </w:rPr>
        <w:t>Proposed Amendment</w:t>
      </w:r>
      <w:r w:rsidR="003B1F54">
        <w:rPr>
          <w:b/>
          <w:bCs/>
          <w:color w:val="333333"/>
        </w:rPr>
        <w:t xml:space="preserve">, </w:t>
      </w:r>
      <w:r>
        <w:rPr>
          <w:b/>
          <w:bCs/>
          <w:color w:val="333333"/>
        </w:rPr>
        <w:t>Bylaws</w:t>
      </w:r>
    </w:p>
    <w:p w14:paraId="4CA0D753" w14:textId="77777777" w:rsidR="00B407E6" w:rsidRDefault="00E62D29">
      <w:pPr>
        <w:spacing w:before="60" w:after="60"/>
      </w:pPr>
      <w:r>
        <w:t>Mirrors the Articles amendment: after adoption of the annual budget, the Steering Committee shall adopt an annual assessment schedule allocating the budget among member counties, member municipalities, and member school districts. The Executive Director shall invoice each member entity directly. Hardship appeal provisions are identical to those in the Articles amendment.</w:t>
      </w:r>
    </w:p>
    <w:p w14:paraId="5171630B" w14:textId="77777777" w:rsidR="00B407E6" w:rsidRDefault="00E62D29">
      <w:pPr>
        <w:spacing w:before="200" w:after="60"/>
      </w:pPr>
      <w:r>
        <w:rPr>
          <w:b/>
          <w:bCs/>
          <w:color w:val="333333"/>
        </w:rPr>
        <w:t>Discussion</w:t>
      </w:r>
    </w:p>
    <w:p w14:paraId="05F17950" w14:textId="37BDF97E" w:rsidR="00B407E6" w:rsidRDefault="00E62D29">
      <w:pPr>
        <w:pStyle w:val="ListParagraph"/>
        <w:numPr>
          <w:ilvl w:val="0"/>
          <w:numId w:val="2"/>
        </w:numPr>
        <w:spacing w:before="40" w:after="40"/>
      </w:pPr>
      <w:r>
        <w:t xml:space="preserve">The committee agreed not to embed specific distribution percentages (60/25/15) in the bylaws, so future adjustments can be made by </w:t>
      </w:r>
      <w:r w:rsidR="003B1F54">
        <w:t xml:space="preserve">the </w:t>
      </w:r>
      <w:r>
        <w:t>Steering Committee</w:t>
      </w:r>
      <w:r w:rsidR="003B1F54">
        <w:t>, voting</w:t>
      </w:r>
      <w:r>
        <w:t xml:space="preserve"> on the annual assessment schedule without requiring a bylaws amendment.</w:t>
      </w:r>
    </w:p>
    <w:p w14:paraId="1BC79D26" w14:textId="2199C573" w:rsidR="00B407E6" w:rsidRDefault="00E62D29">
      <w:pPr>
        <w:pStyle w:val="ListParagraph"/>
        <w:numPr>
          <w:ilvl w:val="0"/>
          <w:numId w:val="2"/>
        </w:numPr>
        <w:spacing w:before="40" w:after="40"/>
      </w:pPr>
      <w:r>
        <w:t xml:space="preserve">The committee confirmed no change to </w:t>
      </w:r>
      <w:r w:rsidR="003B1F54">
        <w:t xml:space="preserve">the </w:t>
      </w:r>
      <w:r>
        <w:t>current Steering Committee board composition: one mayor representative per county will continue to represent all mayors in that county on the Steering Committee.</w:t>
      </w:r>
    </w:p>
    <w:p w14:paraId="53E47F4A" w14:textId="77777777" w:rsidR="00B407E6" w:rsidRDefault="00E62D29">
      <w:pPr>
        <w:pStyle w:val="ListParagraph"/>
        <w:numPr>
          <w:ilvl w:val="0"/>
          <w:numId w:val="2"/>
        </w:numPr>
        <w:spacing w:before="40" w:after="40"/>
      </w:pPr>
      <w:r>
        <w:t>Commissioner Almquist suggested adding the phrase "for that year" to the hardship appeal provision to clarify that any county-granted hardship applies only to the assessment year in which the appeal was filed. Director Bushman confirmed this language would be included.</w:t>
      </w:r>
    </w:p>
    <w:p w14:paraId="7FF41478" w14:textId="77777777" w:rsidR="00B407E6" w:rsidRDefault="00E62D29">
      <w:pPr>
        <w:spacing w:before="200" w:after="60"/>
      </w:pPr>
      <w:r>
        <w:rPr>
          <w:b/>
          <w:bCs/>
          <w:color w:val="333333"/>
        </w:rPr>
        <w:t>Recommended Process</w:t>
      </w:r>
    </w:p>
    <w:p w14:paraId="51C23096" w14:textId="77777777" w:rsidR="00B407E6" w:rsidRDefault="00E62D29">
      <w:pPr>
        <w:pStyle w:val="ListParagraph"/>
        <w:numPr>
          <w:ilvl w:val="0"/>
          <w:numId w:val="2"/>
        </w:numPr>
        <w:spacing w:before="40" w:after="40"/>
      </w:pPr>
      <w:r>
        <w:t>Director Bushman will prepare outreach materials tailored for presentation to mayors and school district boards.</w:t>
      </w:r>
    </w:p>
    <w:p w14:paraId="21CEC109" w14:textId="77777777" w:rsidR="00B407E6" w:rsidRDefault="00E62D29">
      <w:pPr>
        <w:pStyle w:val="ListParagraph"/>
        <w:numPr>
          <w:ilvl w:val="0"/>
          <w:numId w:val="2"/>
        </w:numPr>
        <w:spacing w:before="40" w:after="40"/>
      </w:pPr>
      <w:r>
        <w:t>Steering committee members will join Director Bushman at county commission meetings and city/school district sessions to present the model.</w:t>
      </w:r>
    </w:p>
    <w:p w14:paraId="13D0483E" w14:textId="77777777" w:rsidR="00B407E6" w:rsidRDefault="00E62D29">
      <w:pPr>
        <w:pStyle w:val="ListParagraph"/>
        <w:numPr>
          <w:ilvl w:val="0"/>
          <w:numId w:val="2"/>
        </w:numPr>
        <w:spacing w:before="40" w:after="40"/>
      </w:pPr>
      <w:r>
        <w:lastRenderedPageBreak/>
        <w:t>Following outreach, Director Bushman will send a formal 30-day written notice to all member entities of the intent to amend the Articles and Bylaws.</w:t>
      </w:r>
    </w:p>
    <w:p w14:paraId="3870416C" w14:textId="77777777" w:rsidR="00B407E6" w:rsidRDefault="00E62D29">
      <w:pPr>
        <w:pStyle w:val="ListParagraph"/>
        <w:numPr>
          <w:ilvl w:val="0"/>
          <w:numId w:val="2"/>
        </w:numPr>
        <w:spacing w:before="40" w:after="40"/>
      </w:pPr>
      <w:r>
        <w:t>After the 30-day notice period, the Steering Committee will take a formal vote on the amendments.</w:t>
      </w:r>
    </w:p>
    <w:p w14:paraId="458AB057" w14:textId="77777777" w:rsidR="00B407E6" w:rsidRDefault="00B407E6">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B407E6" w14:paraId="0D213DE7"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749BC6DB" w14:textId="77777777" w:rsidR="00B407E6" w:rsidRDefault="00E62D29">
            <w:r>
              <w:rPr>
                <w:b/>
                <w:bCs/>
                <w:sz w:val="20"/>
                <w:szCs w:val="20"/>
              </w:rPr>
              <w:t>Motion:</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8A3D1" w14:textId="77777777" w:rsidR="00B407E6" w:rsidRDefault="00E62D29">
            <w:r>
              <w:rPr>
                <w:sz w:val="20"/>
                <w:szCs w:val="20"/>
              </w:rPr>
              <w:t>Authorize Director Bushman to incorporate the proposed amendment language into a formal notification letter to be sent to all member cities, counties, and school districts.</w:t>
            </w:r>
          </w:p>
        </w:tc>
      </w:tr>
      <w:tr w:rsidR="00B407E6" w14:paraId="6DDF25AA"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4F508A81" w14:textId="77777777" w:rsidR="00B407E6" w:rsidRDefault="00E62D29">
            <w:r>
              <w:rPr>
                <w:b/>
                <w:bCs/>
                <w:sz w:val="20"/>
                <w:szCs w:val="20"/>
              </w:rPr>
              <w:t>Moved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DE4A8E" w14:textId="7A103D26" w:rsidR="00B407E6" w:rsidRDefault="003B1F54">
            <w:r>
              <w:t>Mayor Halterman</w:t>
            </w:r>
          </w:p>
        </w:tc>
      </w:tr>
      <w:tr w:rsidR="00B407E6" w14:paraId="084A8145"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4B4E32B" w14:textId="77777777" w:rsidR="00B407E6" w:rsidRDefault="00E62D29">
            <w:r>
              <w:rPr>
                <w:b/>
                <w:bCs/>
                <w:sz w:val="20"/>
                <w:szCs w:val="20"/>
              </w:rPr>
              <w:t>Seconded by:</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BBE90" w14:textId="53C1D7D4" w:rsidR="00B407E6" w:rsidRDefault="003B1F54">
            <w:r>
              <w:t>Commissioner Cozzens</w:t>
            </w:r>
          </w:p>
        </w:tc>
      </w:tr>
      <w:tr w:rsidR="00B407E6" w14:paraId="7BAFCBD8" w14:textId="77777777">
        <w:tc>
          <w:tcPr>
            <w:tcW w:w="1800" w:type="dxa"/>
            <w:tcBorders>
              <w:top w:val="single" w:sz="1" w:space="0" w:color="CCCCCC"/>
              <w:left w:val="single" w:sz="1" w:space="0" w:color="CCCCCC"/>
              <w:bottom w:val="single" w:sz="1" w:space="0" w:color="CCCCCC"/>
              <w:right w:val="single" w:sz="1" w:space="0" w:color="CCCCCC"/>
            </w:tcBorders>
            <w:shd w:val="clear" w:color="auto" w:fill="E8F5E9"/>
            <w:tcMar>
              <w:top w:w="80" w:type="dxa"/>
              <w:left w:w="120" w:type="dxa"/>
              <w:bottom w:w="80" w:type="dxa"/>
              <w:right w:w="120" w:type="dxa"/>
            </w:tcMar>
          </w:tcPr>
          <w:p w14:paraId="2D4DD736" w14:textId="77777777" w:rsidR="00B407E6" w:rsidRDefault="00E62D29">
            <w:r>
              <w:rPr>
                <w:b/>
                <w:bCs/>
                <w:sz w:val="20"/>
                <w:szCs w:val="20"/>
              </w:rPr>
              <w:t>Vote:</w:t>
            </w:r>
          </w:p>
        </w:tc>
        <w:tc>
          <w:tcPr>
            <w:tcW w:w="7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45ED5D" w14:textId="77777777" w:rsidR="00B407E6" w:rsidRDefault="00E62D29">
            <w:r>
              <w:rPr>
                <w:sz w:val="20"/>
                <w:szCs w:val="20"/>
              </w:rPr>
              <w:t>Approved unanimously.</w:t>
            </w:r>
          </w:p>
        </w:tc>
      </w:tr>
    </w:tbl>
    <w:p w14:paraId="08F02AD4" w14:textId="4C40F6B3" w:rsidR="00B407E6" w:rsidRDefault="00B907AB">
      <w:pPr>
        <w:pBdr>
          <w:bottom w:val="single" w:sz="6" w:space="1" w:color="2E7D32"/>
        </w:pBdr>
        <w:spacing w:before="320" w:after="120"/>
      </w:pPr>
      <w:r>
        <w:rPr>
          <w:b/>
          <w:bCs/>
          <w:color w:val="2E7D32"/>
          <w:sz w:val="28"/>
          <w:szCs w:val="28"/>
        </w:rPr>
        <w:t>5</w:t>
      </w:r>
      <w:proofErr w:type="gramStart"/>
      <w:r w:rsidR="00E62D29">
        <w:rPr>
          <w:b/>
          <w:bCs/>
          <w:color w:val="2E7D32"/>
          <w:sz w:val="28"/>
          <w:szCs w:val="28"/>
        </w:rPr>
        <w:t>.  Adjournment</w:t>
      </w:r>
      <w:proofErr w:type="gramEnd"/>
    </w:p>
    <w:p w14:paraId="00A7C6EF" w14:textId="77777777" w:rsidR="00B407E6" w:rsidRDefault="00E62D29">
      <w:pPr>
        <w:spacing w:before="60" w:after="60"/>
      </w:pPr>
      <w:r>
        <w:t>There being no further business, the Special Steering Committee meeting was adjourned.</w:t>
      </w:r>
    </w:p>
    <w:sectPr w:rsidR="00B407E6">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FD80" w14:textId="77777777" w:rsidR="00E62D29" w:rsidRDefault="00E62D29" w:rsidP="00BA083D">
      <w:r>
        <w:separator/>
      </w:r>
    </w:p>
  </w:endnote>
  <w:endnote w:type="continuationSeparator" w:id="0">
    <w:p w14:paraId="181F1346" w14:textId="77777777" w:rsidR="00E62D29" w:rsidRDefault="00E62D29" w:rsidP="00BA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ED4D" w14:textId="77777777" w:rsidR="00B907AB" w:rsidRDefault="00B9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6BA3" w14:textId="77777777" w:rsidR="00B907AB" w:rsidRDefault="00B9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7C33" w14:textId="77777777" w:rsidR="00B907AB" w:rsidRDefault="00B9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8B654" w14:textId="77777777" w:rsidR="00E62D29" w:rsidRDefault="00E62D29" w:rsidP="00BA083D">
      <w:r>
        <w:separator/>
      </w:r>
    </w:p>
  </w:footnote>
  <w:footnote w:type="continuationSeparator" w:id="0">
    <w:p w14:paraId="72E08816" w14:textId="77777777" w:rsidR="00E62D29" w:rsidRDefault="00E62D29" w:rsidP="00BA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0F22" w14:textId="77777777" w:rsidR="00B907AB" w:rsidRDefault="00B90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419081"/>
      <w:docPartObj>
        <w:docPartGallery w:val="Watermarks"/>
        <w:docPartUnique/>
      </w:docPartObj>
    </w:sdtPr>
    <w:sdtContent>
      <w:p w14:paraId="3489B941" w14:textId="00197614" w:rsidR="00B907AB" w:rsidRDefault="00B907AB">
        <w:pPr>
          <w:pStyle w:val="Header"/>
        </w:pPr>
        <w:r>
          <w:rPr>
            <w:noProof/>
          </w:rPr>
          <w:pict w14:anchorId="04456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D5BB" w14:textId="77777777" w:rsidR="00B907AB" w:rsidRDefault="00B90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874"/>
    <w:multiLevelType w:val="hybridMultilevel"/>
    <w:tmpl w:val="ADC878C4"/>
    <w:lvl w:ilvl="0" w:tplc="657A7872">
      <w:start w:val="1"/>
      <w:numFmt w:val="bullet"/>
      <w:lvlText w:val="●"/>
      <w:lvlJc w:val="left"/>
      <w:pPr>
        <w:ind w:left="720" w:hanging="360"/>
      </w:pPr>
    </w:lvl>
    <w:lvl w:ilvl="1" w:tplc="484E28B2">
      <w:start w:val="1"/>
      <w:numFmt w:val="bullet"/>
      <w:lvlText w:val="○"/>
      <w:lvlJc w:val="left"/>
      <w:pPr>
        <w:ind w:left="1440" w:hanging="360"/>
      </w:pPr>
    </w:lvl>
    <w:lvl w:ilvl="2" w:tplc="B424738C">
      <w:start w:val="1"/>
      <w:numFmt w:val="bullet"/>
      <w:lvlText w:val="■"/>
      <w:lvlJc w:val="left"/>
      <w:pPr>
        <w:ind w:left="2160" w:hanging="360"/>
      </w:pPr>
    </w:lvl>
    <w:lvl w:ilvl="3" w:tplc="53CA0038">
      <w:start w:val="1"/>
      <w:numFmt w:val="bullet"/>
      <w:lvlText w:val="●"/>
      <w:lvlJc w:val="left"/>
      <w:pPr>
        <w:ind w:left="2880" w:hanging="360"/>
      </w:pPr>
    </w:lvl>
    <w:lvl w:ilvl="4" w:tplc="CCB6EDC4">
      <w:start w:val="1"/>
      <w:numFmt w:val="bullet"/>
      <w:lvlText w:val="○"/>
      <w:lvlJc w:val="left"/>
      <w:pPr>
        <w:ind w:left="3600" w:hanging="360"/>
      </w:pPr>
    </w:lvl>
    <w:lvl w:ilvl="5" w:tplc="3EE07ED0">
      <w:start w:val="1"/>
      <w:numFmt w:val="bullet"/>
      <w:lvlText w:val="■"/>
      <w:lvlJc w:val="left"/>
      <w:pPr>
        <w:ind w:left="4320" w:hanging="360"/>
      </w:pPr>
    </w:lvl>
    <w:lvl w:ilvl="6" w:tplc="714E307C">
      <w:start w:val="1"/>
      <w:numFmt w:val="bullet"/>
      <w:lvlText w:val="●"/>
      <w:lvlJc w:val="left"/>
      <w:pPr>
        <w:ind w:left="5040" w:hanging="360"/>
      </w:pPr>
    </w:lvl>
    <w:lvl w:ilvl="7" w:tplc="920A0AFA">
      <w:start w:val="1"/>
      <w:numFmt w:val="bullet"/>
      <w:lvlText w:val="●"/>
      <w:lvlJc w:val="left"/>
      <w:pPr>
        <w:ind w:left="5760" w:hanging="360"/>
      </w:pPr>
    </w:lvl>
    <w:lvl w:ilvl="8" w:tplc="640A5C58">
      <w:start w:val="1"/>
      <w:numFmt w:val="bullet"/>
      <w:lvlText w:val="●"/>
      <w:lvlJc w:val="left"/>
      <w:pPr>
        <w:ind w:left="6480" w:hanging="360"/>
      </w:pPr>
    </w:lvl>
  </w:abstractNum>
  <w:abstractNum w:abstractNumId="1" w15:restartNumberingAfterBreak="0">
    <w:nsid w:val="16237C4A"/>
    <w:multiLevelType w:val="hybridMultilevel"/>
    <w:tmpl w:val="D818D292"/>
    <w:lvl w:ilvl="0" w:tplc="DB782122">
      <w:start w:val="1"/>
      <w:numFmt w:val="bullet"/>
      <w:lvlText w:val="•"/>
      <w:lvlJc w:val="left"/>
      <w:pPr>
        <w:ind w:left="720" w:hanging="360"/>
      </w:pPr>
    </w:lvl>
    <w:lvl w:ilvl="1" w:tplc="6324BA04">
      <w:numFmt w:val="decimal"/>
      <w:lvlText w:val=""/>
      <w:lvlJc w:val="left"/>
    </w:lvl>
    <w:lvl w:ilvl="2" w:tplc="D48825B0">
      <w:numFmt w:val="decimal"/>
      <w:lvlText w:val=""/>
      <w:lvlJc w:val="left"/>
    </w:lvl>
    <w:lvl w:ilvl="3" w:tplc="42FAF096">
      <w:numFmt w:val="decimal"/>
      <w:lvlText w:val=""/>
      <w:lvlJc w:val="left"/>
    </w:lvl>
    <w:lvl w:ilvl="4" w:tplc="5CD82974">
      <w:numFmt w:val="decimal"/>
      <w:lvlText w:val=""/>
      <w:lvlJc w:val="left"/>
    </w:lvl>
    <w:lvl w:ilvl="5" w:tplc="B4023356">
      <w:numFmt w:val="decimal"/>
      <w:lvlText w:val=""/>
      <w:lvlJc w:val="left"/>
    </w:lvl>
    <w:lvl w:ilvl="6" w:tplc="F016306E">
      <w:numFmt w:val="decimal"/>
      <w:lvlText w:val=""/>
      <w:lvlJc w:val="left"/>
    </w:lvl>
    <w:lvl w:ilvl="7" w:tplc="54D26456">
      <w:numFmt w:val="decimal"/>
      <w:lvlText w:val=""/>
      <w:lvlJc w:val="left"/>
    </w:lvl>
    <w:lvl w:ilvl="8" w:tplc="8FB0D02A">
      <w:numFmt w:val="decimal"/>
      <w:lvlText w:val=""/>
      <w:lvlJc w:val="left"/>
    </w:lvl>
  </w:abstractNum>
  <w:abstractNum w:abstractNumId="2" w15:restartNumberingAfterBreak="0">
    <w:nsid w:val="3FA02C89"/>
    <w:multiLevelType w:val="hybridMultilevel"/>
    <w:tmpl w:val="8264988A"/>
    <w:lvl w:ilvl="0" w:tplc="7B1C64AE">
      <w:start w:val="1"/>
      <w:numFmt w:val="bullet"/>
      <w:lvlText w:val="o"/>
      <w:lvlJc w:val="left"/>
      <w:pPr>
        <w:ind w:left="720" w:hanging="360"/>
      </w:pPr>
    </w:lvl>
    <w:lvl w:ilvl="1" w:tplc="C464A57E">
      <w:numFmt w:val="decimal"/>
      <w:lvlText w:val=""/>
      <w:lvlJc w:val="left"/>
    </w:lvl>
    <w:lvl w:ilvl="2" w:tplc="86BC3A64">
      <w:numFmt w:val="decimal"/>
      <w:lvlText w:val=""/>
      <w:lvlJc w:val="left"/>
    </w:lvl>
    <w:lvl w:ilvl="3" w:tplc="6B728B32">
      <w:numFmt w:val="decimal"/>
      <w:lvlText w:val=""/>
      <w:lvlJc w:val="left"/>
    </w:lvl>
    <w:lvl w:ilvl="4" w:tplc="8EBC3A9E">
      <w:numFmt w:val="decimal"/>
      <w:lvlText w:val=""/>
      <w:lvlJc w:val="left"/>
    </w:lvl>
    <w:lvl w:ilvl="5" w:tplc="0C22E926">
      <w:numFmt w:val="decimal"/>
      <w:lvlText w:val=""/>
      <w:lvlJc w:val="left"/>
    </w:lvl>
    <w:lvl w:ilvl="6" w:tplc="1C4A8E14">
      <w:numFmt w:val="decimal"/>
      <w:lvlText w:val=""/>
      <w:lvlJc w:val="left"/>
    </w:lvl>
    <w:lvl w:ilvl="7" w:tplc="F73A36E8">
      <w:numFmt w:val="decimal"/>
      <w:lvlText w:val=""/>
      <w:lvlJc w:val="left"/>
    </w:lvl>
    <w:lvl w:ilvl="8" w:tplc="CA92D7E6">
      <w:numFmt w:val="decimal"/>
      <w:lvlText w:val=""/>
      <w:lvlJc w:val="left"/>
    </w:lvl>
  </w:abstractNum>
  <w:num w:numId="1" w16cid:durableId="921989643">
    <w:abstractNumId w:val="0"/>
    <w:lvlOverride w:ilvl="0">
      <w:startOverride w:val="1"/>
    </w:lvlOverride>
  </w:num>
  <w:num w:numId="2" w16cid:durableId="2002655304">
    <w:abstractNumId w:val="1"/>
    <w:lvlOverride w:ilvl="0">
      <w:startOverride w:val="1"/>
    </w:lvlOverride>
  </w:num>
  <w:num w:numId="3" w16cid:durableId="19004360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09"/>
    <w:rsid w:val="001903DB"/>
    <w:rsid w:val="003A1C3D"/>
    <w:rsid w:val="003B1F54"/>
    <w:rsid w:val="004143A3"/>
    <w:rsid w:val="00446E09"/>
    <w:rsid w:val="00477D62"/>
    <w:rsid w:val="00564295"/>
    <w:rsid w:val="0058159C"/>
    <w:rsid w:val="006958EC"/>
    <w:rsid w:val="00B407E6"/>
    <w:rsid w:val="00B907AB"/>
    <w:rsid w:val="00BA083D"/>
    <w:rsid w:val="00C31F1E"/>
    <w:rsid w:val="00D74F9B"/>
    <w:rsid w:val="00DB09A3"/>
    <w:rsid w:val="00E25B3F"/>
    <w:rsid w:val="00E62D29"/>
    <w:rsid w:val="00ED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B214E"/>
  <w15:docId w15:val="{62FCE238-D755-45EB-B65F-52A6011F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A083D"/>
    <w:pPr>
      <w:tabs>
        <w:tab w:val="center" w:pos="4680"/>
        <w:tab w:val="right" w:pos="9360"/>
      </w:tabs>
    </w:pPr>
  </w:style>
  <w:style w:type="character" w:customStyle="1" w:styleId="HeaderChar">
    <w:name w:val="Header Char"/>
    <w:basedOn w:val="DefaultParagraphFont"/>
    <w:link w:val="Header"/>
    <w:uiPriority w:val="99"/>
    <w:rsid w:val="00BA083D"/>
  </w:style>
  <w:style w:type="paragraph" w:styleId="Footer">
    <w:name w:val="footer"/>
    <w:basedOn w:val="Normal"/>
    <w:link w:val="FooterChar"/>
    <w:uiPriority w:val="99"/>
    <w:unhideWhenUsed/>
    <w:rsid w:val="00BA083D"/>
    <w:pPr>
      <w:tabs>
        <w:tab w:val="center" w:pos="4680"/>
        <w:tab w:val="right" w:pos="9360"/>
      </w:tabs>
    </w:pPr>
  </w:style>
  <w:style w:type="character" w:customStyle="1" w:styleId="FooterChar">
    <w:name w:val="Footer Char"/>
    <w:basedOn w:val="DefaultParagraphFont"/>
    <w:link w:val="Footer"/>
    <w:uiPriority w:val="99"/>
    <w:rsid w:val="00BA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2100ee-8289-413f-a311-5eb65113da22">
      <Terms xmlns="http://schemas.microsoft.com/office/infopath/2007/PartnerControls"/>
    </lcf76f155ced4ddcb4097134ff3c332f>
    <TaxCatchAll xmlns="61926586-a16f-46cc-8c83-162b8c3f96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F91573764BD428C1B8A3CB5C8C1D0" ma:contentTypeVersion="14" ma:contentTypeDescription="Create a new document." ma:contentTypeScope="" ma:versionID="4deec27d8425ad3bc6d2b8da079104ea">
  <xsd:schema xmlns:xsd="http://www.w3.org/2001/XMLSchema" xmlns:xs="http://www.w3.org/2001/XMLSchema" xmlns:p="http://schemas.microsoft.com/office/2006/metadata/properties" xmlns:ns2="c92100ee-8289-413f-a311-5eb65113da22" xmlns:ns3="61926586-a16f-46cc-8c83-162b8c3f961c" targetNamespace="http://schemas.microsoft.com/office/2006/metadata/properties" ma:root="true" ma:fieldsID="f382329a67a298d8c9f6cfba68199d57" ns2:_="" ns3:_="">
    <xsd:import namespace="c92100ee-8289-413f-a311-5eb65113da22"/>
    <xsd:import namespace="61926586-a16f-46cc-8c83-162b8c3f9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00ee-8289-413f-a311-5eb65113d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7cefff-b912-4535-bddc-235febf7e7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26586-a16f-46cc-8c83-162b8c3f9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c94937-70d8-4102-a946-fd9e65c1a726}" ma:internalName="TaxCatchAll" ma:showField="CatchAllData" ma:web="61926586-a16f-46cc-8c83-162b8c3f9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33CEC-1C6F-452E-B904-8FDEBB056B1A}">
  <ds:schemaRefs>
    <ds:schemaRef ds:uri="http://schemas.microsoft.com/sharepoint/v3/contenttype/forms"/>
  </ds:schemaRefs>
</ds:datastoreItem>
</file>

<file path=customXml/itemProps2.xml><?xml version="1.0" encoding="utf-8"?>
<ds:datastoreItem xmlns:ds="http://schemas.openxmlformats.org/officeDocument/2006/customXml" ds:itemID="{0618E9B9-D023-4632-A9E3-FADCB543EDDC}">
  <ds:schemaRefs>
    <ds:schemaRef ds:uri="http://schemas.microsoft.com/office/2006/metadata/properties"/>
    <ds:schemaRef ds:uri="http://schemas.microsoft.com/office/infopath/2007/PartnerControls"/>
    <ds:schemaRef ds:uri="c92100ee-8289-413f-a311-5eb65113da22"/>
    <ds:schemaRef ds:uri="61926586-a16f-46cc-8c83-162b8c3f961c"/>
  </ds:schemaRefs>
</ds:datastoreItem>
</file>

<file path=customXml/itemProps3.xml><?xml version="1.0" encoding="utf-8"?>
<ds:datastoreItem xmlns:ds="http://schemas.openxmlformats.org/officeDocument/2006/customXml" ds:itemID="{340F7B3A-9B54-4B54-B639-BEDDCDDBF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00ee-8289-413f-a311-5eb65113da22"/>
    <ds:schemaRef ds:uri="61926586-a16f-46cc-8c83-162b8c3f9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9537</Characters>
  <Application>Microsoft Office Word</Application>
  <DocSecurity>0</DocSecurity>
  <Lines>216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Darin Bushman</cp:lastModifiedBy>
  <cp:revision>2</cp:revision>
  <dcterms:created xsi:type="dcterms:W3CDTF">2026-05-29T15:17:00Z</dcterms:created>
  <dcterms:modified xsi:type="dcterms:W3CDTF">2026-05-29T15:17:00Z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9c5ca4d7-e07b-4268-a548-29622a671cb7</vt:lpwstr>
  </property>
  <property fmtid="{D5CDD505-2E9C-101B-9397-08002B2CF9AE}" pid="3" name="ContentTypeId">
    <vt:lpwstr>0x010100E21F91573764BD428C1B8A3CB5C8C1D0</vt:lpwstr>
  </property>
  <property fmtid="{D5CDD505-2E9C-101B-9397-08002B2CF9AE}" pid="4" name="MediaServiceImageTags">
    <vt:lpwstr/>
  </property>
</Properties>
</file>