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72571" w14:textId="77777777" w:rsidR="00AE62F9" w:rsidRDefault="008F7DD1" w:rsidP="008F7DD1">
      <w:pPr>
        <w:spacing w:after="0"/>
        <w:jc w:val="center"/>
      </w:pPr>
      <w:r>
        <w:t>CITY OF OREM</w:t>
      </w:r>
    </w:p>
    <w:p w14:paraId="7CD435FD" w14:textId="77777777" w:rsidR="008F7DD1" w:rsidRDefault="008F7DD1" w:rsidP="008F7DD1">
      <w:pPr>
        <w:spacing w:after="0"/>
        <w:jc w:val="center"/>
      </w:pPr>
      <w:r>
        <w:t>NOTICE OF</w:t>
      </w:r>
    </w:p>
    <w:p w14:paraId="74283839" w14:textId="77777777" w:rsidR="008F7DD1" w:rsidRDefault="008F7DD1" w:rsidP="008F7DD1">
      <w:pPr>
        <w:spacing w:after="0"/>
        <w:jc w:val="center"/>
      </w:pPr>
      <w:r>
        <w:t>CITY COUNCIL</w:t>
      </w:r>
    </w:p>
    <w:p w14:paraId="4601D2BA" w14:textId="10D8155C" w:rsidR="008F7DD1" w:rsidRDefault="00572B7E" w:rsidP="008F7DD1">
      <w:pPr>
        <w:spacing w:after="0"/>
        <w:jc w:val="center"/>
      </w:pPr>
      <w:r>
        <w:t>ENTERPRISE FUND TRANSFER</w:t>
      </w:r>
      <w:r w:rsidR="001750C1">
        <w:t>S</w:t>
      </w:r>
      <w:r w:rsidR="008F7DD1">
        <w:t xml:space="preserve"> PUBLIC HEARING</w:t>
      </w:r>
    </w:p>
    <w:p w14:paraId="4EFDF253" w14:textId="77777777" w:rsidR="008F7DD1" w:rsidRDefault="008F7DD1" w:rsidP="008F7DD1">
      <w:pPr>
        <w:spacing w:after="0"/>
        <w:jc w:val="center"/>
      </w:pPr>
    </w:p>
    <w:p w14:paraId="1F60E67F" w14:textId="7CB5F03E" w:rsidR="008F7DD1" w:rsidRDefault="008F7DD1" w:rsidP="00FA2117">
      <w:pPr>
        <w:spacing w:after="0"/>
        <w:jc w:val="both"/>
      </w:pPr>
      <w:r>
        <w:t>The Orem City Council will hold a Pub</w:t>
      </w:r>
      <w:r w:rsidR="00760E1E">
        <w:t>l</w:t>
      </w:r>
      <w:r>
        <w:t xml:space="preserve">ic Hearing on Tuesday, </w:t>
      </w:r>
      <w:r w:rsidR="00DD16C4">
        <w:t>June</w:t>
      </w:r>
      <w:r>
        <w:t xml:space="preserve"> </w:t>
      </w:r>
      <w:r w:rsidR="0032385F">
        <w:t>9</w:t>
      </w:r>
      <w:r>
        <w:t>, 20</w:t>
      </w:r>
      <w:r w:rsidR="00DD16C4">
        <w:t>2</w:t>
      </w:r>
      <w:r w:rsidR="0032385F">
        <w:t>6,</w:t>
      </w:r>
      <w:r>
        <w:t xml:space="preserve"> at 6:00 p.m. in the Orem City Council Chambers, 56 North State Street, Orem, to consider the </w:t>
      </w:r>
      <w:r w:rsidR="00572B7E">
        <w:t xml:space="preserve">proposed transfer of funds from the enterprise funds to the </w:t>
      </w:r>
      <w:r w:rsidR="00423995">
        <w:t>General F</w:t>
      </w:r>
      <w:r w:rsidR="00572B7E">
        <w:t>und</w:t>
      </w:r>
      <w:r w:rsidR="0074588D">
        <w:t xml:space="preserve"> as part of the FY 202</w:t>
      </w:r>
      <w:r w:rsidR="0032385F">
        <w:t>6</w:t>
      </w:r>
      <w:r w:rsidR="0074588D">
        <w:t>-202</w:t>
      </w:r>
      <w:r w:rsidR="0032385F">
        <w:t>7</w:t>
      </w:r>
      <w:r w:rsidR="0074588D">
        <w:t xml:space="preserve"> budget</w:t>
      </w:r>
      <w:r w:rsidR="00572B7E">
        <w:t xml:space="preserve">. </w:t>
      </w:r>
    </w:p>
    <w:p w14:paraId="1384E32D" w14:textId="6C0BE899" w:rsidR="00572B7E" w:rsidRDefault="00572B7E" w:rsidP="00FA2117">
      <w:pPr>
        <w:spacing w:after="0"/>
        <w:jc w:val="both"/>
      </w:pPr>
    </w:p>
    <w:p w14:paraId="56F414A3" w14:textId="49B72294" w:rsidR="00572B7E" w:rsidRDefault="00572B7E" w:rsidP="00423995">
      <w:pPr>
        <w:spacing w:after="0"/>
        <w:jc w:val="both"/>
        <w:rPr>
          <w:sz w:val="24"/>
        </w:rPr>
      </w:pPr>
      <w:r>
        <w:rPr>
          <w:sz w:val="24"/>
        </w:rPr>
        <w:t xml:space="preserve">The State Auditor requires cities </w:t>
      </w:r>
      <w:r w:rsidR="00570A33">
        <w:rPr>
          <w:sz w:val="24"/>
        </w:rPr>
        <w:t xml:space="preserve">to </w:t>
      </w:r>
      <w:r>
        <w:rPr>
          <w:sz w:val="24"/>
        </w:rPr>
        <w:t>pay the retail rate for their own us</w:t>
      </w:r>
      <w:r w:rsidR="00423995">
        <w:rPr>
          <w:sz w:val="24"/>
        </w:rPr>
        <w:t>e</w:t>
      </w:r>
      <w:r>
        <w:rPr>
          <w:sz w:val="24"/>
        </w:rPr>
        <w:t xml:space="preserve"> of city owned utilities. The City of Orem uses water, sewer, storm water and street lighting to supply its own properties. These properties are primarily parks but also include </w:t>
      </w:r>
      <w:r w:rsidR="00423995">
        <w:rPr>
          <w:sz w:val="24"/>
        </w:rPr>
        <w:t>the C</w:t>
      </w:r>
      <w:r>
        <w:rPr>
          <w:sz w:val="24"/>
        </w:rPr>
        <w:t xml:space="preserve">emetery, City Hall, Police </w:t>
      </w:r>
      <w:r w:rsidR="00423995">
        <w:rPr>
          <w:sz w:val="24"/>
        </w:rPr>
        <w:t xml:space="preserve">Station, Fire </w:t>
      </w:r>
      <w:r>
        <w:rPr>
          <w:sz w:val="24"/>
        </w:rPr>
        <w:t>Station</w:t>
      </w:r>
      <w:r w:rsidR="00423995">
        <w:rPr>
          <w:sz w:val="24"/>
        </w:rPr>
        <w:t>s,</w:t>
      </w:r>
      <w:r>
        <w:rPr>
          <w:sz w:val="24"/>
        </w:rPr>
        <w:t xml:space="preserve"> and other city properties. </w:t>
      </w:r>
    </w:p>
    <w:p w14:paraId="63972DF2" w14:textId="77777777" w:rsidR="00423995" w:rsidRDefault="00423995" w:rsidP="00423995">
      <w:pPr>
        <w:spacing w:after="0"/>
        <w:jc w:val="both"/>
        <w:rPr>
          <w:sz w:val="24"/>
        </w:rPr>
      </w:pPr>
    </w:p>
    <w:p w14:paraId="63DC11A5" w14:textId="1A70C6FC" w:rsidR="00572B7E" w:rsidRDefault="00572B7E" w:rsidP="00423995">
      <w:pPr>
        <w:spacing w:after="0"/>
        <w:jc w:val="both"/>
        <w:rPr>
          <w:sz w:val="24"/>
        </w:rPr>
      </w:pPr>
      <w:r>
        <w:rPr>
          <w:sz w:val="24"/>
        </w:rPr>
        <w:t xml:space="preserve">The City has long built the cost of supplying these properties into the utility rates. The reasoning behind this decision is that taxpayers and the utility rate payers are almost always the same people. Therefore, the simplest way to cover these costs is to include them in the respective utility rates.  </w:t>
      </w:r>
    </w:p>
    <w:p w14:paraId="39CA7FD2" w14:textId="77777777" w:rsidR="00423995" w:rsidRDefault="00423995" w:rsidP="00423995">
      <w:pPr>
        <w:spacing w:after="0"/>
        <w:jc w:val="both"/>
        <w:rPr>
          <w:sz w:val="24"/>
        </w:rPr>
      </w:pPr>
    </w:p>
    <w:p w14:paraId="6EC46D78" w14:textId="370CB4EA" w:rsidR="00572B7E" w:rsidRPr="00B878C0" w:rsidRDefault="00572B7E" w:rsidP="00572B7E">
      <w:pPr>
        <w:jc w:val="both"/>
        <w:rPr>
          <w:sz w:val="24"/>
        </w:rPr>
      </w:pPr>
      <w:r>
        <w:rPr>
          <w:sz w:val="24"/>
        </w:rPr>
        <w:t xml:space="preserve">The amount proposed to be transferred </w:t>
      </w:r>
      <w:r w:rsidR="00423995">
        <w:rPr>
          <w:sz w:val="24"/>
        </w:rPr>
        <w:t>from each fund is as follows</w:t>
      </w:r>
      <w:r>
        <w:rPr>
          <w:sz w:val="24"/>
        </w:rPr>
        <w:t>:</w:t>
      </w:r>
    </w:p>
    <w:p w14:paraId="00A87900" w14:textId="77777777" w:rsidR="00572B7E" w:rsidRDefault="00572B7E" w:rsidP="00572B7E">
      <w:pPr>
        <w:jc w:val="both"/>
        <w:rPr>
          <w:sz w:val="24"/>
        </w:rPr>
      </w:pPr>
    </w:p>
    <w:tbl>
      <w:tblPr>
        <w:tblStyle w:val="TableGrid"/>
        <w:tblW w:w="0" w:type="auto"/>
        <w:tblLayout w:type="fixed"/>
        <w:tblLook w:val="04A0" w:firstRow="1" w:lastRow="0" w:firstColumn="1" w:lastColumn="0" w:noHBand="0" w:noVBand="1"/>
      </w:tblPr>
      <w:tblGrid>
        <w:gridCol w:w="2444"/>
        <w:gridCol w:w="2445"/>
        <w:gridCol w:w="2445"/>
      </w:tblGrid>
      <w:tr w:rsidR="00572B7E" w14:paraId="03F38B91" w14:textId="77777777" w:rsidTr="00AA0054">
        <w:tc>
          <w:tcPr>
            <w:tcW w:w="2444" w:type="dxa"/>
          </w:tcPr>
          <w:p w14:paraId="5A36B7C3" w14:textId="77777777" w:rsidR="00572B7E" w:rsidRPr="00570A33" w:rsidRDefault="00572B7E" w:rsidP="00AA0054">
            <w:pPr>
              <w:jc w:val="both"/>
              <w:rPr>
                <w:b/>
                <w:sz w:val="24"/>
              </w:rPr>
            </w:pPr>
            <w:r w:rsidRPr="00570A33">
              <w:rPr>
                <w:b/>
                <w:sz w:val="24"/>
              </w:rPr>
              <w:t>Transfer From</w:t>
            </w:r>
          </w:p>
        </w:tc>
        <w:tc>
          <w:tcPr>
            <w:tcW w:w="2445" w:type="dxa"/>
          </w:tcPr>
          <w:p w14:paraId="0034879D" w14:textId="77777777" w:rsidR="00572B7E" w:rsidRPr="00570A33" w:rsidRDefault="00572B7E" w:rsidP="00AA0054">
            <w:pPr>
              <w:jc w:val="center"/>
              <w:rPr>
                <w:b/>
                <w:sz w:val="24"/>
              </w:rPr>
            </w:pPr>
            <w:r w:rsidRPr="00570A33">
              <w:rPr>
                <w:b/>
                <w:sz w:val="24"/>
              </w:rPr>
              <w:t>Amount</w:t>
            </w:r>
          </w:p>
        </w:tc>
        <w:tc>
          <w:tcPr>
            <w:tcW w:w="2445" w:type="dxa"/>
          </w:tcPr>
          <w:p w14:paraId="7A4353D2" w14:textId="77777777" w:rsidR="00572B7E" w:rsidRPr="00570A33" w:rsidRDefault="00572B7E" w:rsidP="00AA0054">
            <w:pPr>
              <w:jc w:val="center"/>
              <w:rPr>
                <w:b/>
                <w:sz w:val="24"/>
              </w:rPr>
            </w:pPr>
            <w:r w:rsidRPr="00570A33">
              <w:rPr>
                <w:b/>
                <w:sz w:val="24"/>
              </w:rPr>
              <w:t>% of Total Fund Expenditures</w:t>
            </w:r>
          </w:p>
        </w:tc>
      </w:tr>
      <w:tr w:rsidR="00572B7E" w14:paraId="778DE58B" w14:textId="77777777" w:rsidTr="00AA0054">
        <w:tc>
          <w:tcPr>
            <w:tcW w:w="2444" w:type="dxa"/>
          </w:tcPr>
          <w:p w14:paraId="313DE74F" w14:textId="77777777" w:rsidR="00572B7E" w:rsidRDefault="00572B7E" w:rsidP="00AA0054">
            <w:pPr>
              <w:jc w:val="both"/>
              <w:rPr>
                <w:sz w:val="24"/>
              </w:rPr>
            </w:pPr>
            <w:r>
              <w:rPr>
                <w:sz w:val="24"/>
              </w:rPr>
              <w:t>Water Fund</w:t>
            </w:r>
          </w:p>
        </w:tc>
        <w:tc>
          <w:tcPr>
            <w:tcW w:w="2445" w:type="dxa"/>
          </w:tcPr>
          <w:p w14:paraId="2EDF8CEE" w14:textId="77777777" w:rsidR="00572B7E" w:rsidRDefault="00572B7E" w:rsidP="00AA0054">
            <w:pPr>
              <w:jc w:val="center"/>
              <w:rPr>
                <w:sz w:val="24"/>
              </w:rPr>
            </w:pPr>
            <w:r>
              <w:rPr>
                <w:sz w:val="24"/>
              </w:rPr>
              <w:t>$900,000</w:t>
            </w:r>
          </w:p>
        </w:tc>
        <w:tc>
          <w:tcPr>
            <w:tcW w:w="2445" w:type="dxa"/>
          </w:tcPr>
          <w:p w14:paraId="512E4806" w14:textId="7F29FF55" w:rsidR="00572B7E" w:rsidRDefault="0032385F" w:rsidP="00BD56A0">
            <w:pPr>
              <w:jc w:val="center"/>
              <w:rPr>
                <w:sz w:val="24"/>
              </w:rPr>
            </w:pPr>
            <w:r>
              <w:rPr>
                <w:sz w:val="24"/>
              </w:rPr>
              <w:t>3</w:t>
            </w:r>
            <w:r w:rsidR="00572B7E">
              <w:rPr>
                <w:sz w:val="24"/>
              </w:rPr>
              <w:t>.</w:t>
            </w:r>
            <w:r>
              <w:rPr>
                <w:sz w:val="24"/>
              </w:rPr>
              <w:t>7</w:t>
            </w:r>
            <w:r w:rsidR="00B860A7">
              <w:rPr>
                <w:sz w:val="24"/>
              </w:rPr>
              <w:t>1</w:t>
            </w:r>
            <w:r w:rsidR="00572B7E">
              <w:rPr>
                <w:sz w:val="24"/>
              </w:rPr>
              <w:t>%</w:t>
            </w:r>
          </w:p>
        </w:tc>
      </w:tr>
      <w:tr w:rsidR="00572B7E" w14:paraId="6233647E" w14:textId="77777777" w:rsidTr="00AA0054">
        <w:tc>
          <w:tcPr>
            <w:tcW w:w="2444" w:type="dxa"/>
          </w:tcPr>
          <w:p w14:paraId="19ABFDC2" w14:textId="77777777" w:rsidR="00572B7E" w:rsidRDefault="00572B7E" w:rsidP="00AA0054">
            <w:pPr>
              <w:jc w:val="both"/>
              <w:rPr>
                <w:sz w:val="24"/>
              </w:rPr>
            </w:pPr>
            <w:r>
              <w:rPr>
                <w:sz w:val="24"/>
              </w:rPr>
              <w:t>Sewer</w:t>
            </w:r>
          </w:p>
        </w:tc>
        <w:tc>
          <w:tcPr>
            <w:tcW w:w="2445" w:type="dxa"/>
          </w:tcPr>
          <w:p w14:paraId="7632C37B" w14:textId="77777777" w:rsidR="00572B7E" w:rsidRDefault="00572B7E" w:rsidP="00AA0054">
            <w:pPr>
              <w:jc w:val="center"/>
              <w:rPr>
                <w:sz w:val="24"/>
              </w:rPr>
            </w:pPr>
            <w:r>
              <w:rPr>
                <w:sz w:val="24"/>
              </w:rPr>
              <w:t>$16,000</w:t>
            </w:r>
          </w:p>
        </w:tc>
        <w:tc>
          <w:tcPr>
            <w:tcW w:w="2445" w:type="dxa"/>
          </w:tcPr>
          <w:p w14:paraId="148234E1" w14:textId="60660F5B" w:rsidR="00572B7E" w:rsidRDefault="00572B7E" w:rsidP="00AA0054">
            <w:pPr>
              <w:jc w:val="center"/>
              <w:rPr>
                <w:sz w:val="24"/>
              </w:rPr>
            </w:pPr>
            <w:r>
              <w:rPr>
                <w:sz w:val="24"/>
              </w:rPr>
              <w:t>0.</w:t>
            </w:r>
            <w:r w:rsidR="00B860A7">
              <w:rPr>
                <w:sz w:val="24"/>
              </w:rPr>
              <w:t>0</w:t>
            </w:r>
            <w:r w:rsidR="0032385F">
              <w:rPr>
                <w:sz w:val="24"/>
              </w:rPr>
              <w:t>8</w:t>
            </w:r>
            <w:r>
              <w:rPr>
                <w:sz w:val="24"/>
              </w:rPr>
              <w:t>%</w:t>
            </w:r>
          </w:p>
        </w:tc>
      </w:tr>
      <w:tr w:rsidR="00572B7E" w14:paraId="75E60864" w14:textId="77777777" w:rsidTr="00AA0054">
        <w:tc>
          <w:tcPr>
            <w:tcW w:w="2444" w:type="dxa"/>
          </w:tcPr>
          <w:p w14:paraId="68A31DEC" w14:textId="77777777" w:rsidR="00572B7E" w:rsidRDefault="00572B7E" w:rsidP="00AA0054">
            <w:pPr>
              <w:jc w:val="both"/>
              <w:rPr>
                <w:sz w:val="24"/>
              </w:rPr>
            </w:pPr>
            <w:r>
              <w:rPr>
                <w:sz w:val="24"/>
              </w:rPr>
              <w:t>Storm Water</w:t>
            </w:r>
          </w:p>
        </w:tc>
        <w:tc>
          <w:tcPr>
            <w:tcW w:w="2445" w:type="dxa"/>
          </w:tcPr>
          <w:p w14:paraId="54BFD301" w14:textId="48D81F24" w:rsidR="00572B7E" w:rsidRDefault="00572B7E" w:rsidP="00423995">
            <w:pPr>
              <w:jc w:val="center"/>
              <w:rPr>
                <w:sz w:val="24"/>
              </w:rPr>
            </w:pPr>
            <w:r>
              <w:rPr>
                <w:sz w:val="24"/>
              </w:rPr>
              <w:t>$1</w:t>
            </w:r>
            <w:r w:rsidR="00423995">
              <w:rPr>
                <w:sz w:val="24"/>
              </w:rPr>
              <w:t>41</w:t>
            </w:r>
            <w:r>
              <w:rPr>
                <w:sz w:val="24"/>
              </w:rPr>
              <w:t>,000</w:t>
            </w:r>
          </w:p>
        </w:tc>
        <w:tc>
          <w:tcPr>
            <w:tcW w:w="2445" w:type="dxa"/>
          </w:tcPr>
          <w:p w14:paraId="5E0EB942" w14:textId="24582B84" w:rsidR="00572B7E" w:rsidRDefault="0032385F" w:rsidP="00194699">
            <w:pPr>
              <w:jc w:val="center"/>
              <w:rPr>
                <w:sz w:val="24"/>
              </w:rPr>
            </w:pPr>
            <w:r>
              <w:rPr>
                <w:sz w:val="24"/>
              </w:rPr>
              <w:t>1</w:t>
            </w:r>
            <w:r w:rsidR="00572B7E">
              <w:rPr>
                <w:sz w:val="24"/>
              </w:rPr>
              <w:t>.</w:t>
            </w:r>
            <w:r>
              <w:rPr>
                <w:sz w:val="24"/>
              </w:rPr>
              <w:t>75</w:t>
            </w:r>
            <w:r w:rsidR="00572B7E">
              <w:rPr>
                <w:sz w:val="24"/>
              </w:rPr>
              <w:t>%</w:t>
            </w:r>
          </w:p>
        </w:tc>
      </w:tr>
      <w:tr w:rsidR="00572B7E" w14:paraId="11E0C088" w14:textId="77777777" w:rsidTr="00AA0054">
        <w:tc>
          <w:tcPr>
            <w:tcW w:w="2444" w:type="dxa"/>
          </w:tcPr>
          <w:p w14:paraId="14DCE85B" w14:textId="77777777" w:rsidR="00572B7E" w:rsidRDefault="00572B7E" w:rsidP="00AA0054">
            <w:pPr>
              <w:jc w:val="both"/>
              <w:rPr>
                <w:sz w:val="24"/>
              </w:rPr>
            </w:pPr>
            <w:r>
              <w:rPr>
                <w:sz w:val="24"/>
              </w:rPr>
              <w:t>Street Lighting</w:t>
            </w:r>
          </w:p>
        </w:tc>
        <w:tc>
          <w:tcPr>
            <w:tcW w:w="2445" w:type="dxa"/>
          </w:tcPr>
          <w:p w14:paraId="79CAA0A1" w14:textId="77777777" w:rsidR="00572B7E" w:rsidRDefault="00572B7E" w:rsidP="00AA0054">
            <w:pPr>
              <w:jc w:val="center"/>
              <w:rPr>
                <w:sz w:val="24"/>
              </w:rPr>
            </w:pPr>
            <w:r>
              <w:rPr>
                <w:sz w:val="24"/>
              </w:rPr>
              <w:t>$15,000</w:t>
            </w:r>
          </w:p>
        </w:tc>
        <w:tc>
          <w:tcPr>
            <w:tcW w:w="2445" w:type="dxa"/>
          </w:tcPr>
          <w:p w14:paraId="6D813BD1" w14:textId="04243946" w:rsidR="00572B7E" w:rsidRDefault="0032385F" w:rsidP="00DD16C4">
            <w:pPr>
              <w:jc w:val="center"/>
              <w:rPr>
                <w:sz w:val="24"/>
              </w:rPr>
            </w:pPr>
            <w:r>
              <w:rPr>
                <w:sz w:val="24"/>
              </w:rPr>
              <w:t>0</w:t>
            </w:r>
            <w:r w:rsidR="00572B7E">
              <w:rPr>
                <w:sz w:val="24"/>
              </w:rPr>
              <w:t>.</w:t>
            </w:r>
            <w:r>
              <w:rPr>
                <w:sz w:val="24"/>
              </w:rPr>
              <w:t>89</w:t>
            </w:r>
            <w:r w:rsidR="00572B7E">
              <w:rPr>
                <w:sz w:val="24"/>
              </w:rPr>
              <w:t>%</w:t>
            </w:r>
          </w:p>
        </w:tc>
      </w:tr>
      <w:tr w:rsidR="00572B7E" w14:paraId="417196A2" w14:textId="77777777" w:rsidTr="00AA0054">
        <w:tc>
          <w:tcPr>
            <w:tcW w:w="2444" w:type="dxa"/>
          </w:tcPr>
          <w:p w14:paraId="7646E1C4" w14:textId="77777777" w:rsidR="00572B7E" w:rsidRPr="00570A33" w:rsidRDefault="00572B7E" w:rsidP="00AA0054">
            <w:pPr>
              <w:jc w:val="both"/>
              <w:rPr>
                <w:b/>
                <w:sz w:val="24"/>
              </w:rPr>
            </w:pPr>
            <w:r w:rsidRPr="00570A33">
              <w:rPr>
                <w:b/>
                <w:sz w:val="24"/>
              </w:rPr>
              <w:t>Total</w:t>
            </w:r>
          </w:p>
        </w:tc>
        <w:tc>
          <w:tcPr>
            <w:tcW w:w="2445" w:type="dxa"/>
          </w:tcPr>
          <w:p w14:paraId="18501D88" w14:textId="50856BE8" w:rsidR="00572B7E" w:rsidRPr="00570A33" w:rsidRDefault="00572B7E" w:rsidP="00B225C2">
            <w:pPr>
              <w:jc w:val="center"/>
              <w:rPr>
                <w:b/>
                <w:sz w:val="24"/>
              </w:rPr>
            </w:pPr>
            <w:r w:rsidRPr="00570A33">
              <w:rPr>
                <w:b/>
                <w:sz w:val="24"/>
              </w:rPr>
              <w:t>$1,0</w:t>
            </w:r>
            <w:r w:rsidR="00B225C2" w:rsidRPr="00570A33">
              <w:rPr>
                <w:b/>
                <w:sz w:val="24"/>
              </w:rPr>
              <w:t>72</w:t>
            </w:r>
            <w:r w:rsidRPr="00570A33">
              <w:rPr>
                <w:b/>
                <w:sz w:val="24"/>
              </w:rPr>
              <w:t>,000</w:t>
            </w:r>
          </w:p>
        </w:tc>
        <w:tc>
          <w:tcPr>
            <w:tcW w:w="2445" w:type="dxa"/>
          </w:tcPr>
          <w:p w14:paraId="5489B1AA" w14:textId="77777777" w:rsidR="00572B7E" w:rsidRDefault="00572B7E" w:rsidP="00AA0054">
            <w:pPr>
              <w:jc w:val="center"/>
              <w:rPr>
                <w:sz w:val="24"/>
              </w:rPr>
            </w:pPr>
          </w:p>
        </w:tc>
      </w:tr>
    </w:tbl>
    <w:p w14:paraId="3DAC9074" w14:textId="77777777" w:rsidR="00572B7E" w:rsidRDefault="00572B7E" w:rsidP="00572B7E">
      <w:pPr>
        <w:jc w:val="both"/>
        <w:rPr>
          <w:sz w:val="24"/>
        </w:rPr>
      </w:pPr>
    </w:p>
    <w:p w14:paraId="45DB2651" w14:textId="77777777" w:rsidR="00760E1E" w:rsidRDefault="00760E1E" w:rsidP="008F7DD1">
      <w:pPr>
        <w:spacing w:after="0"/>
      </w:pPr>
      <w:r>
        <w:t>THE PUBLIC IS INVITED TO PARTICIPATE IN ALL CITY COUNCIL MEETINGS.</w:t>
      </w:r>
    </w:p>
    <w:p w14:paraId="0359C965" w14:textId="042821BF" w:rsidR="00760E1E" w:rsidRDefault="00760E1E" w:rsidP="00FA2117">
      <w:pPr>
        <w:spacing w:after="0"/>
        <w:jc w:val="both"/>
      </w:pPr>
      <w:r>
        <w:t>If you need a special accommodation to participate in the City Council Meetings, please call the City Recorder’s office</w:t>
      </w:r>
      <w:r w:rsidR="00423995">
        <w:t xml:space="preserve"> at (801) 229-7074.</w:t>
      </w:r>
    </w:p>
    <w:sectPr w:rsidR="00760E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06B03"/>
    <w:multiLevelType w:val="hybridMultilevel"/>
    <w:tmpl w:val="A15605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9906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DD1"/>
    <w:rsid w:val="00042D7F"/>
    <w:rsid w:val="001750C1"/>
    <w:rsid w:val="00194699"/>
    <w:rsid w:val="0032385F"/>
    <w:rsid w:val="003D0F86"/>
    <w:rsid w:val="00423995"/>
    <w:rsid w:val="00442641"/>
    <w:rsid w:val="00501DFA"/>
    <w:rsid w:val="00570A33"/>
    <w:rsid w:val="00572B7E"/>
    <w:rsid w:val="00585133"/>
    <w:rsid w:val="0061402B"/>
    <w:rsid w:val="0074588D"/>
    <w:rsid w:val="00760E1E"/>
    <w:rsid w:val="00881503"/>
    <w:rsid w:val="008F7DD1"/>
    <w:rsid w:val="00A9165A"/>
    <w:rsid w:val="00AE62F9"/>
    <w:rsid w:val="00B225C2"/>
    <w:rsid w:val="00B860A7"/>
    <w:rsid w:val="00BD56A0"/>
    <w:rsid w:val="00D60139"/>
    <w:rsid w:val="00DD16C4"/>
    <w:rsid w:val="00DF1F62"/>
    <w:rsid w:val="00E8493E"/>
    <w:rsid w:val="00FA2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B0B24"/>
  <w15:docId w15:val="{84227B72-4588-4723-BE87-7A167D5D1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F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8F7DD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572B7E"/>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Manning</dc:creator>
  <cp:lastModifiedBy>Brandon C. Nelson</cp:lastModifiedBy>
  <cp:revision>5</cp:revision>
  <cp:lastPrinted>2019-05-17T19:27:00Z</cp:lastPrinted>
  <dcterms:created xsi:type="dcterms:W3CDTF">2025-05-29T21:07:00Z</dcterms:created>
  <dcterms:modified xsi:type="dcterms:W3CDTF">2026-05-21T14:49:00Z</dcterms:modified>
</cp:coreProperties>
</file>