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44ED3" w14:textId="2F455B05" w:rsidR="00BE573D" w:rsidRDefault="00BE573D">
      <w:pPr>
        <w:spacing w:after="160" w:line="259" w:lineRule="auto"/>
      </w:pPr>
    </w:p>
    <w:p w14:paraId="2D0D9AD9" w14:textId="3BFC10C9" w:rsidR="00B0557C" w:rsidRDefault="00B0557C" w:rsidP="00B0557C">
      <w:pPr>
        <w:pStyle w:val="TitleC"/>
      </w:pPr>
      <w:r>
        <w:t xml:space="preserve">RESOLUTION NO. </w:t>
      </w:r>
      <w:r w:rsidR="00743A22">
        <w:t>202</w:t>
      </w:r>
      <w:r w:rsidR="00E139D0">
        <w:t>6</w:t>
      </w:r>
      <w:r w:rsidR="0064681C">
        <w:t>-0</w:t>
      </w:r>
      <w:r w:rsidR="00E139D0">
        <w:t>1</w:t>
      </w:r>
    </w:p>
    <w:p w14:paraId="7DFA47C0" w14:textId="0366C895" w:rsidR="00B0557C" w:rsidRDefault="00B0557C" w:rsidP="00B0557C">
      <w:pPr>
        <w:pStyle w:val="BlockInd5"/>
        <w:jc w:val="both"/>
      </w:pPr>
      <w:bookmarkStart w:id="0" w:name="_Hlk81574409"/>
      <w:r w:rsidRPr="00BF4A7F">
        <w:t xml:space="preserve">A RESOLUTION OF </w:t>
      </w:r>
      <w:r>
        <w:t xml:space="preserve">THE </w:t>
      </w:r>
      <w:r w:rsidR="0087508B">
        <w:t xml:space="preserve">BOARD OF TRUSTEES </w:t>
      </w:r>
      <w:r>
        <w:t>(THE “</w:t>
      </w:r>
      <w:r w:rsidR="0087508B">
        <w:t>BOARD</w:t>
      </w:r>
      <w:r>
        <w:t xml:space="preserve">”) </w:t>
      </w:r>
      <w:r w:rsidR="0087508B">
        <w:t xml:space="preserve">OF </w:t>
      </w:r>
      <w:r w:rsidR="00300829">
        <w:t>OLYMPIA</w:t>
      </w:r>
      <w:r w:rsidR="008F69CB">
        <w:t xml:space="preserve"> PUBLIC INFRASTRUCTURE DISTRICT</w:t>
      </w:r>
      <w:r w:rsidR="0087508B">
        <w:t xml:space="preserve"> </w:t>
      </w:r>
      <w:r w:rsidR="008F32A3">
        <w:t xml:space="preserve">NO. </w:t>
      </w:r>
      <w:r w:rsidR="0064681C">
        <w:t>2</w:t>
      </w:r>
      <w:r w:rsidR="008F32A3">
        <w:t xml:space="preserve"> </w:t>
      </w:r>
      <w:r w:rsidR="0087508B">
        <w:t>(</w:t>
      </w:r>
      <w:r>
        <w:t>THE “</w:t>
      </w:r>
      <w:r w:rsidR="0087508B">
        <w:t>DISTRICT</w:t>
      </w:r>
      <w:r w:rsidRPr="00BF4A7F">
        <w:t>”)</w:t>
      </w:r>
      <w:r>
        <w:t xml:space="preserve"> </w:t>
      </w:r>
      <w:r w:rsidR="002A22A7">
        <w:t xml:space="preserve">TO </w:t>
      </w:r>
      <w:r w:rsidR="00733C8A">
        <w:t>CERTIFY A PETITION FOR ANNEXING</w:t>
      </w:r>
      <w:r w:rsidR="0087508B">
        <w:t xml:space="preserve"> APPROXIMATELY </w:t>
      </w:r>
      <w:r w:rsidR="00300829">
        <w:t>134.835</w:t>
      </w:r>
      <w:r w:rsidR="00F3658B">
        <w:t xml:space="preserve"> </w:t>
      </w:r>
      <w:r w:rsidR="0087508B">
        <w:t>ACRES</w:t>
      </w:r>
      <w:r w:rsidR="00733C8A">
        <w:t xml:space="preserve"> INTO THE DISTRICT</w:t>
      </w:r>
      <w:r>
        <w:t>;</w:t>
      </w:r>
      <w:r w:rsidR="00F3658B">
        <w:t xml:space="preserve"> </w:t>
      </w:r>
      <w:r w:rsidR="00300829">
        <w:t xml:space="preserve">A PETITION FOR WITHDRAWING APPROXIMATELY 0.071 ACRES FROM THE DISTRICT; </w:t>
      </w:r>
      <w:r w:rsidR="00F3658B">
        <w:t xml:space="preserve">AUTHORIZING </w:t>
      </w:r>
      <w:r w:rsidR="00B44C04">
        <w:t>THE</w:t>
      </w:r>
      <w:bookmarkEnd w:id="0"/>
      <w:r w:rsidR="002A4C97">
        <w:t xml:space="preserve"> PLAT</w:t>
      </w:r>
      <w:r w:rsidR="00300829">
        <w:t>S</w:t>
      </w:r>
      <w:r w:rsidR="002A4C97">
        <w:t xml:space="preserve"> AND OTHER DOCUMENTS IN CONNECTION THEREWITH; AUTHORIZING THE PUBLICATION OF NOTICE OF THIS RESOLUTION</w:t>
      </w:r>
      <w:r w:rsidR="00BE573D">
        <w:t xml:space="preserve">; </w:t>
      </w:r>
      <w:r>
        <w:t>AND RELATED MATTERS</w:t>
      </w:r>
    </w:p>
    <w:p w14:paraId="0CED1311" w14:textId="5ECDAA08" w:rsidR="00E54B32" w:rsidRDefault="002A4C97" w:rsidP="00651AB2">
      <w:pPr>
        <w:pStyle w:val="BodyText5"/>
      </w:pPr>
      <w:r w:rsidRPr="001D5CF1">
        <w:t>WHEREAS, a petition (the “</w:t>
      </w:r>
      <w:r w:rsidR="00300829">
        <w:t xml:space="preserve">Annexation </w:t>
      </w:r>
      <w:r w:rsidRPr="001D5CF1">
        <w:t xml:space="preserve">Petition”) </w:t>
      </w:r>
      <w:r w:rsidR="008F32A3">
        <w:t>is anticipated to be filed</w:t>
      </w:r>
      <w:r w:rsidRPr="001D5CF1">
        <w:t xml:space="preserve"> with</w:t>
      </w:r>
      <w:r>
        <w:t xml:space="preserve"> the District requesting and consenting to the annexation of approximately </w:t>
      </w:r>
      <w:r w:rsidR="00E139D0">
        <w:t>105.096</w:t>
      </w:r>
      <w:r>
        <w:t xml:space="preserve"> acres pursuant to Utah Code §17D-4-201(3)(a) of </w:t>
      </w:r>
      <w:r w:rsidRPr="001D5CF1">
        <w:t>the Public Infrastructure District Act, Title 17</w:t>
      </w:r>
      <w:r>
        <w:t>D</w:t>
      </w:r>
      <w:r w:rsidRPr="001D5CF1">
        <w:t xml:space="preserve">, Chapter </w:t>
      </w:r>
      <w:r>
        <w:t>4</w:t>
      </w:r>
      <w:r w:rsidRPr="001D5CF1">
        <w:t xml:space="preserve"> </w:t>
      </w:r>
      <w:r>
        <w:t xml:space="preserve">of the </w:t>
      </w:r>
      <w:r w:rsidRPr="001D5CF1">
        <w:t xml:space="preserve">Utah Code (the “PID Act”) and relevant portions of the Limited Purpose Local Government Entities - </w:t>
      </w:r>
      <w:r>
        <w:t>Special</w:t>
      </w:r>
      <w:r w:rsidRPr="001D5CF1">
        <w:t xml:space="preserve"> Districts, Title 17B (together with the PID Act, the “Act”); and</w:t>
      </w:r>
    </w:p>
    <w:p w14:paraId="5EFE3B0D" w14:textId="380064CB" w:rsidR="00300829" w:rsidRDefault="00300829" w:rsidP="00651AB2">
      <w:pPr>
        <w:pStyle w:val="BodyText5"/>
      </w:pPr>
      <w:proofErr w:type="gramStart"/>
      <w:r w:rsidRPr="001D5CF1">
        <w:t>WHEREAS,</w:t>
      </w:r>
      <w:proofErr w:type="gramEnd"/>
      <w:r w:rsidRPr="001D5CF1">
        <w:t xml:space="preserve"> a petition (the “</w:t>
      </w:r>
      <w:r>
        <w:t>Withdrawal</w:t>
      </w:r>
      <w:r>
        <w:t xml:space="preserve"> </w:t>
      </w:r>
      <w:r w:rsidRPr="001D5CF1">
        <w:t xml:space="preserve">Petition”) </w:t>
      </w:r>
      <w:r>
        <w:t>is anticipated to be filed</w:t>
      </w:r>
      <w:r w:rsidRPr="001D5CF1">
        <w:t xml:space="preserve"> with</w:t>
      </w:r>
      <w:r>
        <w:t xml:space="preserve"> the </w:t>
      </w:r>
      <w:proofErr w:type="gramStart"/>
      <w:r>
        <w:t>District</w:t>
      </w:r>
      <w:proofErr w:type="gramEnd"/>
      <w:r>
        <w:t xml:space="preserve"> requesting and consenting to the </w:t>
      </w:r>
      <w:r>
        <w:t>withdrawal</w:t>
      </w:r>
      <w:r>
        <w:t xml:space="preserve"> of approximately 105.096 acres pursuant to Utah Code §17D-4-201(</w:t>
      </w:r>
      <w:r>
        <w:t>4</w:t>
      </w:r>
      <w:r>
        <w:t xml:space="preserve">)(a) of </w:t>
      </w:r>
      <w:r w:rsidRPr="001D5CF1">
        <w:t xml:space="preserve">the </w:t>
      </w:r>
      <w:r>
        <w:t>Act</w:t>
      </w:r>
      <w:r w:rsidRPr="001D5CF1">
        <w:t>; and</w:t>
      </w:r>
    </w:p>
    <w:p w14:paraId="491E7F2D" w14:textId="4655443C" w:rsidR="00E54B32" w:rsidRDefault="00B0557C" w:rsidP="00651AB2">
      <w:pPr>
        <w:pStyle w:val="BodyText5"/>
      </w:pPr>
      <w:proofErr w:type="gramStart"/>
      <w:r>
        <w:t>WHEREAS,</w:t>
      </w:r>
      <w:proofErr w:type="gramEnd"/>
      <w:r w:rsidR="00E54B32">
        <w:t xml:space="preserve"> </w:t>
      </w:r>
      <w:r w:rsidR="00300829">
        <w:t>each</w:t>
      </w:r>
      <w:r w:rsidR="00E54B32">
        <w:t xml:space="preserve"> Petition </w:t>
      </w:r>
      <w:r w:rsidR="008F32A3">
        <w:t>is anticipated to contain</w:t>
      </w:r>
      <w:r w:rsidR="00E54B32">
        <w:t xml:space="preserve"> the consenting signatures of 100% of the surface property owners </w:t>
      </w:r>
      <w:r w:rsidR="00300829">
        <w:t xml:space="preserve">thereto </w:t>
      </w:r>
      <w:r w:rsidR="00E54B32">
        <w:t>(hereafter the “Property Owners”) within the area proposed to be annexed</w:t>
      </w:r>
      <w:r w:rsidR="00300829">
        <w:t xml:space="preserve"> and to be withdrawn</w:t>
      </w:r>
      <w:r w:rsidR="00E54B32">
        <w:t>; and</w:t>
      </w:r>
    </w:p>
    <w:p w14:paraId="76944E00" w14:textId="5BDE6855" w:rsidR="00E54B32" w:rsidRDefault="00E54B32" w:rsidP="00651AB2">
      <w:pPr>
        <w:pStyle w:val="BodyText5"/>
      </w:pPr>
      <w:proofErr w:type="gramStart"/>
      <w:r>
        <w:t>WHEREAS,</w:t>
      </w:r>
      <w:proofErr w:type="gramEnd"/>
      <w:r>
        <w:t xml:space="preserve"> there are no registered voters within the area to be annexed</w:t>
      </w:r>
      <w:r w:rsidR="00300829">
        <w:t xml:space="preserve"> or the area to be withdrawn</w:t>
      </w:r>
      <w:r>
        <w:t>;</w:t>
      </w:r>
    </w:p>
    <w:p w14:paraId="4751AB0A" w14:textId="531399B1" w:rsidR="00E54B32" w:rsidRDefault="00E54B32" w:rsidP="00651AB2">
      <w:pPr>
        <w:pStyle w:val="BodyText5"/>
      </w:pPr>
      <w:proofErr w:type="gramStart"/>
      <w:r>
        <w:t>WHEREAS,</w:t>
      </w:r>
      <w:proofErr w:type="gramEnd"/>
      <w:r>
        <w:t xml:space="preserve"> the area to be annexed under this resolution is particularly described in</w:t>
      </w:r>
      <w:r w:rsidR="00913784">
        <w:t xml:space="preserve"> the </w:t>
      </w:r>
      <w:r w:rsidR="00300829">
        <w:t xml:space="preserve">Annexation </w:t>
      </w:r>
      <w:r w:rsidR="00913784">
        <w:t>Petition attached as</w:t>
      </w:r>
      <w:r>
        <w:t xml:space="preserve"> </w:t>
      </w:r>
      <w:r w:rsidRPr="00E54B32">
        <w:rPr>
          <w:u w:val="single"/>
        </w:rPr>
        <w:t xml:space="preserve">Exhibit </w:t>
      </w:r>
      <w:r w:rsidR="00913784">
        <w:rPr>
          <w:u w:val="single"/>
        </w:rPr>
        <w:t>B</w:t>
      </w:r>
      <w:r>
        <w:t xml:space="preserve"> to this Resolution and is hereafter referred to as the “</w:t>
      </w:r>
      <w:r w:rsidR="00300829">
        <w:t xml:space="preserve">Annexation </w:t>
      </w:r>
      <w:r>
        <w:t>Property”</w:t>
      </w:r>
      <w:r w:rsidR="005C7108">
        <w:t>; and</w:t>
      </w:r>
    </w:p>
    <w:p w14:paraId="6E95C7C6" w14:textId="7075F090" w:rsidR="00300829" w:rsidRDefault="00300829" w:rsidP="00651AB2">
      <w:pPr>
        <w:pStyle w:val="BodyText5"/>
      </w:pPr>
      <w:proofErr w:type="gramStart"/>
      <w:r>
        <w:t>WHEREAS,</w:t>
      </w:r>
      <w:proofErr w:type="gramEnd"/>
      <w:r>
        <w:t xml:space="preserve"> the area to be annexed under this resolution is particularly described in the </w:t>
      </w:r>
      <w:r>
        <w:t xml:space="preserve">Withdrawal </w:t>
      </w:r>
      <w:r>
        <w:t xml:space="preserve">Petition attached as </w:t>
      </w:r>
      <w:r w:rsidRPr="00E54B32">
        <w:rPr>
          <w:u w:val="single"/>
        </w:rPr>
        <w:t xml:space="preserve">Exhibit </w:t>
      </w:r>
      <w:r>
        <w:rPr>
          <w:u w:val="single"/>
        </w:rPr>
        <w:t>C</w:t>
      </w:r>
      <w:r>
        <w:t xml:space="preserve"> to this Resolution and is hereafter referred to as the “</w:t>
      </w:r>
      <w:r>
        <w:t xml:space="preserve">Withdrawal </w:t>
      </w:r>
      <w:r>
        <w:t>Property”; and</w:t>
      </w:r>
    </w:p>
    <w:p w14:paraId="053CB62F" w14:textId="13142D17" w:rsidR="002A4C97" w:rsidRDefault="002A4C97" w:rsidP="00651AB2">
      <w:pPr>
        <w:pStyle w:val="BodyText5"/>
      </w:pPr>
      <w:r>
        <w:t xml:space="preserve">WHEREAS, with the filing of the </w:t>
      </w:r>
      <w:r w:rsidR="00300829">
        <w:t xml:space="preserve">Annexation </w:t>
      </w:r>
      <w:r>
        <w:t xml:space="preserve">Petition, the Act allows the </w:t>
      </w:r>
      <w:proofErr w:type="gramStart"/>
      <w:r>
        <w:t>District</w:t>
      </w:r>
      <w:proofErr w:type="gramEnd"/>
      <w:r>
        <w:t xml:space="preserve"> to annex the </w:t>
      </w:r>
      <w:r w:rsidR="00300829">
        <w:t xml:space="preserve">Annexation </w:t>
      </w:r>
      <w:r>
        <w:t xml:space="preserve">Property by adopting a resolution to annex the area, provided that the governing document of the </w:t>
      </w:r>
      <w:proofErr w:type="gramStart"/>
      <w:r>
        <w:t>District</w:t>
      </w:r>
      <w:proofErr w:type="gramEnd"/>
      <w:r>
        <w:t xml:space="preserve"> (hereafter the “Governing Document”) allows for the annexation; and</w:t>
      </w:r>
    </w:p>
    <w:p w14:paraId="797B3EAA" w14:textId="298BE365" w:rsidR="00300829" w:rsidRDefault="00300829" w:rsidP="00651AB2">
      <w:pPr>
        <w:pStyle w:val="BodyText5"/>
      </w:pPr>
      <w:r>
        <w:t xml:space="preserve">WHEREAS, with the filing of the </w:t>
      </w:r>
      <w:r>
        <w:t>Withdrawal</w:t>
      </w:r>
      <w:r>
        <w:t xml:space="preserve"> Petition, the Act allows the </w:t>
      </w:r>
      <w:proofErr w:type="gramStart"/>
      <w:r>
        <w:t>District</w:t>
      </w:r>
      <w:proofErr w:type="gramEnd"/>
      <w:r>
        <w:t xml:space="preserve"> to </w:t>
      </w:r>
      <w:r>
        <w:t>withdraw</w:t>
      </w:r>
      <w:r>
        <w:t xml:space="preserve"> the </w:t>
      </w:r>
      <w:r>
        <w:t xml:space="preserve">Withdrawal </w:t>
      </w:r>
      <w:r>
        <w:t xml:space="preserve">Property by adopting a resolution to annex the area, provided that the Governing Document allows for the </w:t>
      </w:r>
      <w:r>
        <w:t>withdrawal</w:t>
      </w:r>
      <w:r>
        <w:t>; and</w:t>
      </w:r>
    </w:p>
    <w:p w14:paraId="0525E758" w14:textId="78C7A2E9" w:rsidR="002A4C97" w:rsidRDefault="002A4C97" w:rsidP="00651AB2">
      <w:pPr>
        <w:pStyle w:val="BodyText5"/>
      </w:pPr>
      <w:proofErr w:type="gramStart"/>
      <w:r>
        <w:lastRenderedPageBreak/>
        <w:t>WHEREAS,</w:t>
      </w:r>
      <w:proofErr w:type="gramEnd"/>
      <w:r>
        <w:t xml:space="preserve"> the Governing Document defines an annexation area within which the </w:t>
      </w:r>
      <w:proofErr w:type="gramStart"/>
      <w:r>
        <w:t>District</w:t>
      </w:r>
      <w:proofErr w:type="gramEnd"/>
      <w:r>
        <w:t xml:space="preserve"> may annex </w:t>
      </w:r>
      <w:r w:rsidR="00300829">
        <w:t xml:space="preserve">and withdraw </w:t>
      </w:r>
      <w:r>
        <w:t xml:space="preserve">property without seeking further consent or approval from the </w:t>
      </w:r>
      <w:proofErr w:type="gramStart"/>
      <w:r>
        <w:t>District’s</w:t>
      </w:r>
      <w:proofErr w:type="gramEnd"/>
      <w:r>
        <w:t xml:space="preserve"> creating entity; and</w:t>
      </w:r>
    </w:p>
    <w:p w14:paraId="1A28CC46" w14:textId="33565AF7" w:rsidR="002A4C97" w:rsidRDefault="002A4C97" w:rsidP="00651AB2">
      <w:pPr>
        <w:pStyle w:val="BodyText5"/>
      </w:pPr>
      <w:proofErr w:type="gramStart"/>
      <w:r>
        <w:t>WHEREAS,</w:t>
      </w:r>
      <w:proofErr w:type="gramEnd"/>
      <w:r>
        <w:t xml:space="preserve"> the </w:t>
      </w:r>
      <w:r w:rsidR="00300829">
        <w:t xml:space="preserve">Annexation </w:t>
      </w:r>
      <w:r>
        <w:t xml:space="preserve">Property </w:t>
      </w:r>
      <w:r w:rsidR="00300829">
        <w:t>and the Withdrawal Property are</w:t>
      </w:r>
      <w:r>
        <w:t xml:space="preserve"> within the allowable future annexation area as defined in the Governing Document; and</w:t>
      </w:r>
    </w:p>
    <w:p w14:paraId="347AC093" w14:textId="671C3DDA" w:rsidR="00B0557C" w:rsidRPr="00CD0AA8" w:rsidRDefault="002A4C97" w:rsidP="00651AB2">
      <w:pPr>
        <w:pStyle w:val="BodyText5"/>
      </w:pPr>
      <w:r>
        <w:t>WHEREAS, pursuant to the requirements of the Act, there shall be signed, authenticated, and submitted to the Office of the Lieutenant Governor of the State of Utah</w:t>
      </w:r>
      <w:r w:rsidR="00300829">
        <w:t>,</w:t>
      </w:r>
      <w:r>
        <w:t xml:space="preserve"> Notice</w:t>
      </w:r>
      <w:r w:rsidR="00300829">
        <w:t>s</w:t>
      </w:r>
      <w:r>
        <w:t xml:space="preserve"> of </w:t>
      </w:r>
      <w:r w:rsidR="00A922BA">
        <w:t xml:space="preserve">Impending </w:t>
      </w:r>
      <w:r>
        <w:t xml:space="preserve">Boundary Action attached hereto as </w:t>
      </w:r>
      <w:r w:rsidRPr="00CD0AA8">
        <w:rPr>
          <w:u w:val="single"/>
        </w:rPr>
        <w:t xml:space="preserve">Exhibit </w:t>
      </w:r>
      <w:r w:rsidR="00300829">
        <w:rPr>
          <w:u w:val="single"/>
        </w:rPr>
        <w:t>D</w:t>
      </w:r>
      <w:r w:rsidR="00300829" w:rsidRPr="00300829">
        <w:t xml:space="preserve"> and </w:t>
      </w:r>
      <w:r w:rsidR="00300829">
        <w:rPr>
          <w:u w:val="single"/>
        </w:rPr>
        <w:t>Exhibit E</w:t>
      </w:r>
      <w:r w:rsidRPr="00CD0AA8">
        <w:t xml:space="preserve"> </w:t>
      </w:r>
      <w:r>
        <w:t>(the “Boundary Notice</w:t>
      </w:r>
      <w:r w:rsidR="00300829">
        <w:t>s</w:t>
      </w:r>
      <w:r>
        <w:t>”) and Final Local Entity Plat</w:t>
      </w:r>
      <w:r w:rsidR="00300829">
        <w:t>s</w:t>
      </w:r>
      <w:r>
        <w:t xml:space="preserve"> to be attached </w:t>
      </w:r>
      <w:r w:rsidR="00A922BA">
        <w:t xml:space="preserve">to </w:t>
      </w:r>
      <w:r w:rsidR="00300829">
        <w:t>each</w:t>
      </w:r>
      <w:r w:rsidR="00A922BA">
        <w:t xml:space="preserve"> Boundary Notice</w:t>
      </w:r>
      <w:r>
        <w:t xml:space="preserve"> upon finalization </w:t>
      </w:r>
      <w:r w:rsidRPr="00A922BA">
        <w:t xml:space="preserve">as </w:t>
      </w:r>
      <w:r w:rsidR="00A922BA" w:rsidRPr="00A922BA">
        <w:t xml:space="preserve">Exhibit B </w:t>
      </w:r>
      <w:r w:rsidR="00300829">
        <w:t xml:space="preserve">to each </w:t>
      </w:r>
      <w:r>
        <w:t>(</w:t>
      </w:r>
      <w:r w:rsidR="00300829">
        <w:t xml:space="preserve">respectively, </w:t>
      </w:r>
      <w:r>
        <w:t>the “Annexation Plat”</w:t>
      </w:r>
      <w:r w:rsidR="00300829">
        <w:t xml:space="preserve"> and the “Withdrawal Plat”</w:t>
      </w:r>
      <w:r>
        <w:t>)</w:t>
      </w:r>
      <w:r w:rsidRPr="00CD0AA8">
        <w:t>.</w:t>
      </w:r>
    </w:p>
    <w:p w14:paraId="643A8ECF" w14:textId="61999E77" w:rsidR="00B0557C" w:rsidRDefault="00B0557C" w:rsidP="00651AB2">
      <w:pPr>
        <w:pStyle w:val="BodyText5"/>
      </w:pPr>
      <w:r>
        <w:t xml:space="preserve">NOW, THEREFORE, BE IT RESOLVED BY THE </w:t>
      </w:r>
      <w:r w:rsidR="005C7108">
        <w:t>DISTRICT</w:t>
      </w:r>
      <w:r>
        <w:t>, AS FOLLOWS:</w:t>
      </w:r>
    </w:p>
    <w:p w14:paraId="798032F7" w14:textId="6AE1B1DB" w:rsidR="002A4C97" w:rsidRDefault="002A4C97" w:rsidP="002A4C97">
      <w:pPr>
        <w:pStyle w:val="Heading1"/>
        <w:tabs>
          <w:tab w:val="clear" w:pos="1080"/>
        </w:tabs>
      </w:pPr>
      <w:r>
        <w:t xml:space="preserve">Terms defined in the foregoing recitals shall have the same meaning when used herein.  All action heretofore taken (not inconsistent with the provisions of this Resolution) by the Board and by officers of the Board directed toward the annexation of the </w:t>
      </w:r>
      <w:r w:rsidR="00300829">
        <w:t xml:space="preserve">Annexation </w:t>
      </w:r>
      <w:r>
        <w:t xml:space="preserve">Property, </w:t>
      </w:r>
      <w:r w:rsidR="00300829">
        <w:t xml:space="preserve">and the withdrawal of the Withdrawal Property, </w:t>
      </w:r>
      <w:r>
        <w:t>are hereby ratified, approved and confirmed.</w:t>
      </w:r>
    </w:p>
    <w:p w14:paraId="463039EC" w14:textId="29764F4F" w:rsidR="002A4C97" w:rsidRDefault="002A4C97" w:rsidP="002A4C97">
      <w:pPr>
        <w:pStyle w:val="Heading1"/>
        <w:tabs>
          <w:tab w:val="clear" w:pos="1080"/>
        </w:tabs>
      </w:pPr>
      <w:r>
        <w:t xml:space="preserve">The </w:t>
      </w:r>
      <w:r w:rsidR="00300829">
        <w:t xml:space="preserve">Annexation </w:t>
      </w:r>
      <w:r>
        <w:t xml:space="preserve">Property, which is particularly described and shown on the Annexation Plat, is hereby annexed into the </w:t>
      </w:r>
      <w:proofErr w:type="gramStart"/>
      <w:r>
        <w:t>District</w:t>
      </w:r>
      <w:proofErr w:type="gramEnd"/>
      <w:r w:rsidR="0064681C">
        <w:t xml:space="preserve">, conditioned on receipt of the </w:t>
      </w:r>
      <w:r w:rsidR="00300829">
        <w:t xml:space="preserve">Annexation </w:t>
      </w:r>
      <w:r w:rsidR="0064681C">
        <w:t>Petition as described above</w:t>
      </w:r>
      <w:r>
        <w:t>.</w:t>
      </w:r>
    </w:p>
    <w:p w14:paraId="5D07DDCD" w14:textId="38B05C8A" w:rsidR="00300829" w:rsidRPr="00BE573D" w:rsidRDefault="00300829" w:rsidP="00300829">
      <w:pPr>
        <w:pStyle w:val="Heading1"/>
        <w:tabs>
          <w:tab w:val="clear" w:pos="1080"/>
        </w:tabs>
      </w:pPr>
      <w:r>
        <w:t xml:space="preserve">The </w:t>
      </w:r>
      <w:r>
        <w:t>Withdrawal</w:t>
      </w:r>
      <w:r>
        <w:t xml:space="preserve"> Property, which is particularly described and shown on the </w:t>
      </w:r>
      <w:r>
        <w:t>Withdrawal</w:t>
      </w:r>
      <w:r>
        <w:t xml:space="preserve"> Plat, is hereby </w:t>
      </w:r>
      <w:r>
        <w:t>withdrawn from</w:t>
      </w:r>
      <w:r>
        <w:t xml:space="preserve"> the </w:t>
      </w:r>
      <w:proofErr w:type="gramStart"/>
      <w:r>
        <w:t>District</w:t>
      </w:r>
      <w:proofErr w:type="gramEnd"/>
      <w:r>
        <w:t xml:space="preserve">, conditioned on receipt of the </w:t>
      </w:r>
      <w:r>
        <w:t>Withdrawal</w:t>
      </w:r>
      <w:r>
        <w:t xml:space="preserve"> Petition as described above.</w:t>
      </w:r>
    </w:p>
    <w:p w14:paraId="432AE6E1" w14:textId="77777777" w:rsidR="002A4C97" w:rsidRDefault="002A4C97" w:rsidP="002A4C97">
      <w:pPr>
        <w:pStyle w:val="Heading1"/>
        <w:tabs>
          <w:tab w:val="clear" w:pos="1080"/>
        </w:tabs>
      </w:pPr>
      <w:r>
        <w:t>Notice of this Resolution may be published in substantially the following form:</w:t>
      </w:r>
    </w:p>
    <w:p w14:paraId="5FE81EE7" w14:textId="2354D5F4" w:rsidR="002A4C97" w:rsidRDefault="002A4C97" w:rsidP="002A4C97">
      <w:pPr>
        <w:jc w:val="center"/>
      </w:pPr>
      <w:r>
        <w:t>NOTICE OF DISTRICT ANNEXATION</w:t>
      </w:r>
      <w:r w:rsidR="00300829">
        <w:t xml:space="preserve"> AND DISTRICT WITHDRAWAL</w:t>
      </w:r>
    </w:p>
    <w:p w14:paraId="66F66399" w14:textId="77777777" w:rsidR="002A4C97" w:rsidRDefault="002A4C97" w:rsidP="002A4C97"/>
    <w:p w14:paraId="1557E310" w14:textId="09AC171B" w:rsidR="002A4C97" w:rsidRPr="00B36B90" w:rsidRDefault="002A4C97" w:rsidP="002A4C97">
      <w:r>
        <w:t xml:space="preserve">NOTICE IS HEREBY GIVEN pursuant to Section 313, Chapter 1, Title 17B, Utah Code Annotated 1953, that on </w:t>
      </w:r>
      <w:r w:rsidR="00E139D0">
        <w:t xml:space="preserve">April </w:t>
      </w:r>
      <w:r w:rsidR="00300829">
        <w:t>30</w:t>
      </w:r>
      <w:r w:rsidR="00E139D0">
        <w:t>, 2026</w:t>
      </w:r>
      <w:r>
        <w:t xml:space="preserve">, the Board of Trustees (the “Board”) of </w:t>
      </w:r>
      <w:r w:rsidR="00300829">
        <w:t>Olympia</w:t>
      </w:r>
      <w:r>
        <w:t xml:space="preserve"> Public Infrastructure District </w:t>
      </w:r>
      <w:r w:rsidR="0064681C">
        <w:t>No. 2</w:t>
      </w:r>
      <w:r w:rsidR="008F32A3">
        <w:t xml:space="preserve"> </w:t>
      </w:r>
      <w:r>
        <w:t xml:space="preserve">(the “District”) adopted a resolution to annex the following </w:t>
      </w:r>
      <w:r w:rsidRPr="00B36B90">
        <w:t xml:space="preserve">particularly described property in </w:t>
      </w:r>
      <w:r w:rsidR="00622D5A">
        <w:t>Salt Lake</w:t>
      </w:r>
      <w:r w:rsidRPr="00B36B90">
        <w:t xml:space="preserve"> County, State of Utah:</w:t>
      </w:r>
    </w:p>
    <w:p w14:paraId="67AEA7AA" w14:textId="77777777" w:rsidR="002A4C97" w:rsidRPr="00B36B90" w:rsidRDefault="002A4C97" w:rsidP="00B36B90">
      <w:pPr>
        <w:ind w:left="720"/>
        <w:rPr>
          <w:sz w:val="22"/>
          <w:szCs w:val="22"/>
        </w:rPr>
      </w:pPr>
    </w:p>
    <w:p w14:paraId="5F668647" w14:textId="77777777" w:rsidR="00300829" w:rsidRPr="00622D5A" w:rsidRDefault="00300829" w:rsidP="00300829">
      <w:pPr>
        <w:ind w:left="720" w:right="720"/>
        <w:rPr>
          <w:b/>
          <w:bCs/>
          <w:u w:val="single"/>
        </w:rPr>
      </w:pPr>
      <w:r w:rsidRPr="00622D5A">
        <w:rPr>
          <w:b/>
          <w:bCs/>
          <w:u w:val="single"/>
        </w:rPr>
        <w:t>Addition Parcel A</w:t>
      </w:r>
    </w:p>
    <w:p w14:paraId="7B3A4901" w14:textId="77777777" w:rsidR="00300829" w:rsidRDefault="00300829" w:rsidP="00300829">
      <w:pPr>
        <w:ind w:left="720" w:right="720"/>
      </w:pPr>
      <w:r>
        <w:t xml:space="preserve">A parcel of land </w:t>
      </w:r>
      <w:proofErr w:type="gramStart"/>
      <w:r>
        <w:t>situate</w:t>
      </w:r>
      <w:proofErr w:type="gramEnd"/>
      <w:r>
        <w:t xml:space="preserve"> in the Southwest Quarter of Section 27, the Northeast Quarter of Section 33, and the Northwest Quarter of Section 34, Township 3 South, Range 2 West, Salt Lake Base and Meridian, being more particularly described as follows:</w:t>
      </w:r>
    </w:p>
    <w:p w14:paraId="060F9BD6" w14:textId="77777777" w:rsidR="00300829" w:rsidRDefault="00300829" w:rsidP="00300829">
      <w:pPr>
        <w:ind w:left="720" w:right="720"/>
      </w:pPr>
    </w:p>
    <w:p w14:paraId="1FDA0695" w14:textId="77777777" w:rsidR="00300829" w:rsidRDefault="00300829" w:rsidP="00300829">
      <w:pPr>
        <w:ind w:left="720" w:right="720"/>
      </w:pPr>
      <w:r>
        <w:t>Beginning at a point on the established boundary line per the Boundary Line Acknowledgment, recorded March 9, 2020 as Entry No. 13212816 in Book 10907 at Pages 6169-6202 in the Office of the Salt Lake County Recorder, said point being the East Quarter Corner of Section of 33, Township 3 South, Range 2 West, Salt Lake Base and Meridian; and running</w:t>
      </w:r>
    </w:p>
    <w:p w14:paraId="0A3B518E" w14:textId="77777777" w:rsidR="00300829" w:rsidRDefault="00300829" w:rsidP="00300829">
      <w:pPr>
        <w:ind w:left="720" w:right="720"/>
      </w:pPr>
      <w:r>
        <w:lastRenderedPageBreak/>
        <w:tab/>
        <w:t>thence North 89°38'29" West 607.98 feet;</w:t>
      </w:r>
    </w:p>
    <w:p w14:paraId="20B47CBE" w14:textId="77777777" w:rsidR="00300829" w:rsidRDefault="00300829" w:rsidP="00300829">
      <w:pPr>
        <w:ind w:left="720" w:right="720"/>
      </w:pPr>
      <w:r>
        <w:tab/>
        <w:t>thence North 0°12'54" West 31.15 feet;</w:t>
      </w:r>
    </w:p>
    <w:p w14:paraId="47225BCA" w14:textId="77777777" w:rsidR="00300829" w:rsidRDefault="00300829" w:rsidP="00300829">
      <w:pPr>
        <w:ind w:left="720" w:right="720"/>
      </w:pPr>
      <w:r>
        <w:tab/>
        <w:t xml:space="preserve">thence Northerly 438.90 feet along the arc of a </w:t>
      </w:r>
      <w:proofErr w:type="gramStart"/>
      <w:r>
        <w:t>1,954.00 foot</w:t>
      </w:r>
      <w:proofErr w:type="gramEnd"/>
      <w:r>
        <w:t xml:space="preserve"> radius curve to the right (center bears South 89°45'30" East and the chord bears North 6°40'35" East 437.97 feet with a central angle of 12°52'10");</w:t>
      </w:r>
    </w:p>
    <w:p w14:paraId="0C283B43" w14:textId="77777777" w:rsidR="00300829" w:rsidRDefault="00300829" w:rsidP="00300829">
      <w:pPr>
        <w:ind w:left="720" w:right="720"/>
      </w:pPr>
      <w:r>
        <w:tab/>
        <w:t xml:space="preserve">thence Northeasterly 23.92 feet along the arc of a </w:t>
      </w:r>
      <w:proofErr w:type="gramStart"/>
      <w:r>
        <w:t>15.00 foot</w:t>
      </w:r>
      <w:proofErr w:type="gramEnd"/>
      <w:r>
        <w:t xml:space="preserve"> radius curve to the right (center bears South 76°53'20" East and the chord bears North 58°47'53" East 21.47 feet with a central angle of 91°22'27");</w:t>
      </w:r>
    </w:p>
    <w:p w14:paraId="7E763BDF" w14:textId="77777777" w:rsidR="00300829" w:rsidRDefault="00300829" w:rsidP="00300829">
      <w:pPr>
        <w:ind w:left="720" w:right="720"/>
      </w:pPr>
      <w:r>
        <w:tab/>
        <w:t>thence North 14°29'07" East 63.00 feet;</w:t>
      </w:r>
    </w:p>
    <w:p w14:paraId="18E3E59B" w14:textId="77777777" w:rsidR="00300829" w:rsidRDefault="00300829" w:rsidP="00300829">
      <w:pPr>
        <w:ind w:left="720" w:right="720"/>
      </w:pPr>
      <w:r>
        <w:tab/>
        <w:t xml:space="preserve">thence Northwesterly 23.92 feet along the arc of a </w:t>
      </w:r>
      <w:proofErr w:type="gramStart"/>
      <w:r>
        <w:t>15.00 foot</w:t>
      </w:r>
      <w:proofErr w:type="gramEnd"/>
      <w:r>
        <w:t xml:space="preserve"> radius curve to the right (center bears North 14°29'07" East and the chord bears North 29°49'40" West 21.47 feet with a central angle of 91°22'27");</w:t>
      </w:r>
    </w:p>
    <w:p w14:paraId="79EC2E11" w14:textId="77777777" w:rsidR="00300829" w:rsidRDefault="00300829" w:rsidP="00300829">
      <w:pPr>
        <w:ind w:left="720" w:right="720"/>
      </w:pPr>
      <w:r>
        <w:tab/>
        <w:t xml:space="preserve">thence Northeasterly 534.18 feet along the arc of a </w:t>
      </w:r>
      <w:proofErr w:type="gramStart"/>
      <w:r>
        <w:t>1,954.00 foot</w:t>
      </w:r>
      <w:proofErr w:type="gramEnd"/>
      <w:r>
        <w:t xml:space="preserve"> radius curve to the right (center bears South 74°08'26" East and the chord bears North 23°41'28" East 532.52 feet with a central angle of 15°39'48");</w:t>
      </w:r>
    </w:p>
    <w:p w14:paraId="74B03C4E" w14:textId="77777777" w:rsidR="00300829" w:rsidRDefault="00300829" w:rsidP="00300829">
      <w:pPr>
        <w:ind w:left="720" w:right="720"/>
      </w:pPr>
      <w:r>
        <w:tab/>
        <w:t xml:space="preserve">thence Northeasterly 172.43 feet along the arc of a </w:t>
      </w:r>
      <w:proofErr w:type="gramStart"/>
      <w:r>
        <w:t>2,047.50 foot</w:t>
      </w:r>
      <w:proofErr w:type="gramEnd"/>
      <w:r>
        <w:t xml:space="preserve"> radius curve to the left (center bears North 55°20'19" West and the chord bears North 32°14'55" East 172.38 feet with a central angle of 4°49'30");</w:t>
      </w:r>
    </w:p>
    <w:p w14:paraId="28067F63" w14:textId="77777777" w:rsidR="00300829" w:rsidRDefault="00300829" w:rsidP="00300829">
      <w:pPr>
        <w:ind w:left="720" w:right="720"/>
      </w:pPr>
      <w:r>
        <w:tab/>
        <w:t xml:space="preserve">thence Northeasterly 111.61 feet along the arc of a </w:t>
      </w:r>
      <w:proofErr w:type="gramStart"/>
      <w:r>
        <w:t>135.00 foot</w:t>
      </w:r>
      <w:proofErr w:type="gramEnd"/>
      <w:r>
        <w:t xml:space="preserve"> radius curve to the right (center bears South 60°09'50" East and the chord bears North 53°31'16" East 108.46 feet with a central angle of 47°22'11");</w:t>
      </w:r>
    </w:p>
    <w:p w14:paraId="1C51C6F8" w14:textId="77777777" w:rsidR="00300829" w:rsidRDefault="00300829" w:rsidP="00300829">
      <w:pPr>
        <w:ind w:left="720" w:right="720"/>
      </w:pPr>
      <w:r>
        <w:tab/>
        <w:t xml:space="preserve">thence Southeasterly 209.39 feet along the arc of a </w:t>
      </w:r>
      <w:proofErr w:type="gramStart"/>
      <w:r>
        <w:t>920.00 foot</w:t>
      </w:r>
      <w:proofErr w:type="gramEnd"/>
      <w:r>
        <w:t xml:space="preserve"> radius curve to the left (center bears North 24°13'23" East and the chord bears South 72°17'50" East 208.94 feet with a central angle of 13°02'26");</w:t>
      </w:r>
    </w:p>
    <w:p w14:paraId="084ACEF2" w14:textId="77777777" w:rsidR="00300829" w:rsidRDefault="00300829" w:rsidP="00300829">
      <w:pPr>
        <w:ind w:left="720" w:right="720"/>
      </w:pPr>
      <w:r>
        <w:tab/>
        <w:t>thence North 11°10'56" East 116.00 feet;</w:t>
      </w:r>
    </w:p>
    <w:p w14:paraId="38F1CBE4" w14:textId="77777777" w:rsidR="00300829" w:rsidRDefault="00300829" w:rsidP="00300829">
      <w:pPr>
        <w:ind w:left="720" w:right="720"/>
      </w:pPr>
      <w:r>
        <w:tab/>
        <w:t xml:space="preserve">thence Northeasterly 805.77 feet along the arc of </w:t>
      </w:r>
      <w:proofErr w:type="gramStart"/>
      <w:r>
        <w:t>a</w:t>
      </w:r>
      <w:proofErr w:type="gramEnd"/>
      <w:r>
        <w:t xml:space="preserve"> </w:t>
      </w:r>
      <w:proofErr w:type="gramStart"/>
      <w:r>
        <w:t>804.00 foot</w:t>
      </w:r>
      <w:proofErr w:type="gramEnd"/>
      <w:r>
        <w:t xml:space="preserve"> radius curve to the left (center bears North 11°10'58" East and the chord bears North 72°28'18" East 772.47 feet with a central angle of 57°25'19");</w:t>
      </w:r>
    </w:p>
    <w:p w14:paraId="2F27C996" w14:textId="77777777" w:rsidR="00300829" w:rsidRDefault="00300829" w:rsidP="00300829">
      <w:pPr>
        <w:ind w:left="720" w:right="720"/>
      </w:pPr>
      <w:r>
        <w:tab/>
        <w:t>thence North 43°45'38" East 312.20 feet;</w:t>
      </w:r>
    </w:p>
    <w:p w14:paraId="246D5E94" w14:textId="77777777" w:rsidR="00300829" w:rsidRDefault="00300829" w:rsidP="00300829">
      <w:pPr>
        <w:ind w:left="720" w:right="720"/>
      </w:pPr>
      <w:r>
        <w:tab/>
        <w:t xml:space="preserve">thence Northeasterly 201.43 feet along the arc of a </w:t>
      </w:r>
      <w:proofErr w:type="gramStart"/>
      <w:r>
        <w:t>1,546.00 foot</w:t>
      </w:r>
      <w:proofErr w:type="gramEnd"/>
      <w:r>
        <w:t xml:space="preserve"> radius curve to the right (center bears South 46°14'22" East and the chord bears North 47°29'35" East 201.28 feet with a central angle of 7°27'54");</w:t>
      </w:r>
    </w:p>
    <w:p w14:paraId="12D21A80" w14:textId="77777777" w:rsidR="00300829" w:rsidRDefault="00300829" w:rsidP="00300829">
      <w:pPr>
        <w:ind w:left="720" w:right="720"/>
      </w:pPr>
      <w:r>
        <w:tab/>
        <w:t>thence North 51°13'33" East 338.36 feet;</w:t>
      </w:r>
    </w:p>
    <w:p w14:paraId="214F65F6" w14:textId="77777777" w:rsidR="00300829" w:rsidRDefault="00300829" w:rsidP="00300829">
      <w:pPr>
        <w:ind w:left="720" w:right="720"/>
      </w:pPr>
      <w:r>
        <w:tab/>
        <w:t>thence North 38°46'05" West 26.99 feet;</w:t>
      </w:r>
    </w:p>
    <w:p w14:paraId="7E075073" w14:textId="77777777" w:rsidR="00300829" w:rsidRDefault="00300829" w:rsidP="00300829">
      <w:pPr>
        <w:ind w:left="720" w:right="720"/>
      </w:pPr>
      <w:r>
        <w:tab/>
        <w:t>thence North 51°13'31" East 61.53 feet;</w:t>
      </w:r>
    </w:p>
    <w:p w14:paraId="79A653EB" w14:textId="77777777" w:rsidR="00300829" w:rsidRDefault="00300829" w:rsidP="00300829">
      <w:pPr>
        <w:ind w:left="720" w:right="720"/>
      </w:pPr>
      <w:r>
        <w:tab/>
        <w:t>thence North 38°46'27" West 3.00 feet;</w:t>
      </w:r>
    </w:p>
    <w:p w14:paraId="7CEE6038" w14:textId="77777777" w:rsidR="00300829" w:rsidRDefault="00300829" w:rsidP="00300829">
      <w:pPr>
        <w:ind w:left="720" w:right="720"/>
      </w:pPr>
      <w:r>
        <w:tab/>
        <w:t>thence North 51°13'33" East 89.53 feet;</w:t>
      </w:r>
    </w:p>
    <w:p w14:paraId="5FEE3C4D" w14:textId="77777777" w:rsidR="00300829" w:rsidRDefault="00300829" w:rsidP="00300829">
      <w:pPr>
        <w:ind w:left="720" w:right="720"/>
      </w:pPr>
      <w:r>
        <w:tab/>
        <w:t xml:space="preserve">thence Northeasterly 72.06 feet along the arc of a </w:t>
      </w:r>
      <w:proofErr w:type="gramStart"/>
      <w:r>
        <w:t>349.06 foot</w:t>
      </w:r>
      <w:proofErr w:type="gramEnd"/>
      <w:r>
        <w:t xml:space="preserve"> radius curve to the left (center bears North 50°33'19" West and the chord bears North 33°31'51" East 71.93 feet with a central angle of 11°49'40");</w:t>
      </w:r>
    </w:p>
    <w:p w14:paraId="518C4ED5" w14:textId="77777777" w:rsidR="00300829" w:rsidRDefault="00300829" w:rsidP="00300829">
      <w:pPr>
        <w:ind w:left="720" w:right="720"/>
      </w:pPr>
      <w:r>
        <w:tab/>
        <w:t>thence North 36°40'50" West 610.64 feet;</w:t>
      </w:r>
    </w:p>
    <w:p w14:paraId="0EB91AB2" w14:textId="77777777" w:rsidR="00300829" w:rsidRDefault="00300829" w:rsidP="00300829">
      <w:pPr>
        <w:ind w:left="720" w:right="720"/>
      </w:pPr>
      <w:r>
        <w:tab/>
        <w:t xml:space="preserve">thence Northeasterly 296.28 feet along the arc of a </w:t>
      </w:r>
      <w:proofErr w:type="gramStart"/>
      <w:r>
        <w:t>1,260.00 foot</w:t>
      </w:r>
      <w:proofErr w:type="gramEnd"/>
      <w:r>
        <w:t xml:space="preserve"> radius curve to the left (center bears North 36°47'22" West and the chord bears North 46°28'27" East 295.59 feet with a central angle of 13°28'21");</w:t>
      </w:r>
    </w:p>
    <w:p w14:paraId="6E41E5EB" w14:textId="77777777" w:rsidR="00300829" w:rsidRDefault="00300829" w:rsidP="00300829">
      <w:pPr>
        <w:ind w:left="720" w:right="720"/>
      </w:pPr>
      <w:r>
        <w:tab/>
        <w:t>thence North 39°44'16" East 507.21 feet;</w:t>
      </w:r>
    </w:p>
    <w:p w14:paraId="711E5E9B" w14:textId="77777777" w:rsidR="00300829" w:rsidRDefault="00300829" w:rsidP="00300829">
      <w:pPr>
        <w:ind w:left="720" w:right="720"/>
      </w:pPr>
      <w:r>
        <w:lastRenderedPageBreak/>
        <w:tab/>
        <w:t xml:space="preserve">thence Northeasterly 827.69 feet along the arc of a </w:t>
      </w:r>
      <w:proofErr w:type="gramStart"/>
      <w:r>
        <w:t>940.00 foot</w:t>
      </w:r>
      <w:proofErr w:type="gramEnd"/>
      <w:r>
        <w:t xml:space="preserve"> radius curve to the right (center bears South 50°15'44" East and the chord bears North 64°57'47" East 801.21 feet with a central angle of 50°27'00");</w:t>
      </w:r>
    </w:p>
    <w:p w14:paraId="35205247" w14:textId="77777777" w:rsidR="00300829" w:rsidRDefault="00300829" w:rsidP="00300829">
      <w:pPr>
        <w:ind w:left="720" w:right="720"/>
      </w:pPr>
      <w:r>
        <w:tab/>
        <w:t>thence South 89°48'43" East 189.32 feet to the quarter section line of said Section 27;</w:t>
      </w:r>
    </w:p>
    <w:p w14:paraId="34012BE9" w14:textId="77777777" w:rsidR="00300829" w:rsidRDefault="00300829" w:rsidP="00300829">
      <w:pPr>
        <w:ind w:left="720" w:right="720"/>
      </w:pPr>
      <w:r>
        <w:tab/>
        <w:t>thence South 0°28'09" West 1,082.95 feet along the quarter section line to the South Quarter Corner of said Section 27;</w:t>
      </w:r>
    </w:p>
    <w:p w14:paraId="2BFE5360" w14:textId="77777777" w:rsidR="00300829" w:rsidRDefault="00300829" w:rsidP="00300829">
      <w:pPr>
        <w:ind w:left="720" w:right="720"/>
      </w:pPr>
      <w:r>
        <w:tab/>
        <w:t>thence North 89°30'06" West 270.13 feet along the section line;</w:t>
      </w:r>
    </w:p>
    <w:p w14:paraId="56D15986" w14:textId="77777777" w:rsidR="00300829" w:rsidRDefault="00300829" w:rsidP="00300829">
      <w:pPr>
        <w:ind w:left="720" w:right="720"/>
      </w:pPr>
      <w:r>
        <w:tab/>
        <w:t>thence South 0°01'53" East 556.05 feet;</w:t>
      </w:r>
    </w:p>
    <w:p w14:paraId="386446BE" w14:textId="77777777" w:rsidR="00300829" w:rsidRDefault="00300829" w:rsidP="00300829">
      <w:pPr>
        <w:ind w:left="720" w:right="720"/>
      </w:pPr>
      <w:r>
        <w:tab/>
        <w:t xml:space="preserve">thence Southwesterly 12.60 feet along the arc of a </w:t>
      </w:r>
      <w:proofErr w:type="gramStart"/>
      <w:r>
        <w:t>30.00 foot</w:t>
      </w:r>
      <w:proofErr w:type="gramEnd"/>
      <w:r>
        <w:t xml:space="preserve"> radius curve to the right (center bears South 89°58'07" West and the chord bears South 12°00'19" West 12.51 feet with a central angle of 24°04'24");</w:t>
      </w:r>
    </w:p>
    <w:p w14:paraId="79FAB16D" w14:textId="77777777" w:rsidR="00300829" w:rsidRDefault="00300829" w:rsidP="00300829">
      <w:pPr>
        <w:ind w:left="720" w:right="720"/>
      </w:pPr>
      <w:r>
        <w:tab/>
        <w:t>thence South 89°32'10" East 2.61 feet;</w:t>
      </w:r>
    </w:p>
    <w:p w14:paraId="21758A9A" w14:textId="77777777" w:rsidR="00300829" w:rsidRDefault="00300829" w:rsidP="00300829">
      <w:pPr>
        <w:ind w:left="720" w:right="720"/>
      </w:pPr>
      <w:r>
        <w:tab/>
        <w:t>thence South 0°01'53" East 757.92 feet;</w:t>
      </w:r>
    </w:p>
    <w:p w14:paraId="3552EDEB" w14:textId="77777777" w:rsidR="00300829" w:rsidRDefault="00300829" w:rsidP="00300829">
      <w:pPr>
        <w:ind w:left="720" w:right="720"/>
      </w:pPr>
      <w:r>
        <w:tab/>
        <w:t xml:space="preserve">thence North 89°31'53" West 36.69 feet to the established boundary line per the Boundary Line Acknowledgment, recorded March 9, </w:t>
      </w:r>
      <w:proofErr w:type="gramStart"/>
      <w:r>
        <w:t>2020</w:t>
      </w:r>
      <w:proofErr w:type="gramEnd"/>
      <w:r>
        <w:t xml:space="preserve"> as Entry No. 13212816 in Book 10907 at Pages 6169-6202 in the Office of the Salt Lake County Recorder;</w:t>
      </w:r>
    </w:p>
    <w:p w14:paraId="497E1E25" w14:textId="77777777" w:rsidR="00300829" w:rsidRDefault="00300829" w:rsidP="00300829">
      <w:pPr>
        <w:ind w:left="720" w:right="720"/>
      </w:pPr>
      <w:r>
        <w:tab/>
        <w:t>thence along said established boundary the following courses:</w:t>
      </w:r>
    </w:p>
    <w:p w14:paraId="0657601D" w14:textId="77777777" w:rsidR="00300829" w:rsidRDefault="00300829" w:rsidP="00300829">
      <w:pPr>
        <w:ind w:left="720" w:right="720"/>
      </w:pPr>
      <w:r>
        <w:tab/>
        <w:t>(1) North 89°31'33" West 1,027.57 feet along the 1/16 section line to the Southwest Corner of the Northeast Quarter of the Northwest Quarter of said Section 34, monumented with a Salt Lake County monument;</w:t>
      </w:r>
    </w:p>
    <w:p w14:paraId="610EF6E0" w14:textId="77777777" w:rsidR="00300829" w:rsidRDefault="00300829" w:rsidP="00300829">
      <w:pPr>
        <w:ind w:left="720" w:right="720"/>
      </w:pPr>
      <w:r>
        <w:tab/>
        <w:t>(2) South 0°02'29" West 1,325.95 feet along the 1/16 section line to the quarter section line;</w:t>
      </w:r>
    </w:p>
    <w:p w14:paraId="1621CE03" w14:textId="77777777" w:rsidR="00300829" w:rsidRDefault="00300829" w:rsidP="00300829">
      <w:pPr>
        <w:ind w:left="720" w:right="720"/>
      </w:pPr>
      <w:r>
        <w:tab/>
        <w:t>(3) North 89°35'57" West 1,330.04 feet along the quarter section line to the point of beginning.</w:t>
      </w:r>
    </w:p>
    <w:p w14:paraId="1F201FA7" w14:textId="29E90C61" w:rsidR="00960647" w:rsidRDefault="00300829" w:rsidP="00300829">
      <w:pPr>
        <w:ind w:left="720" w:right="720"/>
      </w:pPr>
      <w:r>
        <w:t>Contains 5,071,403 Square Feet or 116.423 Acres</w:t>
      </w:r>
    </w:p>
    <w:p w14:paraId="34465437" w14:textId="77777777" w:rsidR="00622D5A" w:rsidRDefault="00622D5A" w:rsidP="00300829">
      <w:pPr>
        <w:ind w:left="720" w:right="720"/>
      </w:pPr>
    </w:p>
    <w:p w14:paraId="021DD664" w14:textId="77777777" w:rsidR="00622D5A" w:rsidRPr="00622D5A" w:rsidRDefault="00622D5A" w:rsidP="00622D5A">
      <w:pPr>
        <w:ind w:left="720" w:right="720"/>
        <w:rPr>
          <w:b/>
          <w:bCs/>
          <w:u w:val="single"/>
        </w:rPr>
      </w:pPr>
      <w:r w:rsidRPr="00622D5A">
        <w:rPr>
          <w:b/>
          <w:bCs/>
          <w:u w:val="single"/>
        </w:rPr>
        <w:t>Addition Parcel B</w:t>
      </w:r>
    </w:p>
    <w:p w14:paraId="4DB66FC0" w14:textId="77777777" w:rsidR="00622D5A" w:rsidRPr="00622D5A" w:rsidRDefault="00622D5A" w:rsidP="00622D5A">
      <w:pPr>
        <w:ind w:left="720" w:right="720"/>
      </w:pPr>
      <w:r w:rsidRPr="00622D5A">
        <w:t xml:space="preserve">A parcel of land </w:t>
      </w:r>
      <w:proofErr w:type="gramStart"/>
      <w:r w:rsidRPr="00622D5A">
        <w:t>situate</w:t>
      </w:r>
      <w:proofErr w:type="gramEnd"/>
      <w:r w:rsidRPr="00622D5A">
        <w:t xml:space="preserve"> in the Northeast Quarter of Section 35 and the Northwest Quarter of Section 36, Township 3 South, Range 2 West, Salt Lake Base and Meridian, being more particularly described as follows:</w:t>
      </w:r>
    </w:p>
    <w:p w14:paraId="6AEA0625" w14:textId="77777777" w:rsidR="00622D5A" w:rsidRPr="00622D5A" w:rsidRDefault="00622D5A" w:rsidP="00622D5A">
      <w:pPr>
        <w:ind w:left="720" w:right="720"/>
      </w:pPr>
    </w:p>
    <w:p w14:paraId="2EFAB1C7" w14:textId="77777777" w:rsidR="00622D5A" w:rsidRPr="00622D5A" w:rsidRDefault="00622D5A" w:rsidP="00622D5A">
      <w:pPr>
        <w:ind w:left="720" w:right="720"/>
      </w:pPr>
      <w:r w:rsidRPr="00622D5A">
        <w:t>Beginning at the Northeast Corner of Section 35, Township 3 South, Range 2 West, Salt Lake Base and Meridian; and running</w:t>
      </w:r>
    </w:p>
    <w:p w14:paraId="6282EE31" w14:textId="77777777" w:rsidR="00622D5A" w:rsidRPr="00622D5A" w:rsidRDefault="00622D5A" w:rsidP="00622D5A">
      <w:pPr>
        <w:ind w:left="720" w:right="720"/>
      </w:pPr>
      <w:r w:rsidRPr="00622D5A">
        <w:tab/>
        <w:t xml:space="preserve">thence South 89°18'51" East 151.31 feet along the section line to the westerly right-of-way line of </w:t>
      </w:r>
      <w:proofErr w:type="spellStart"/>
      <w:r w:rsidRPr="00622D5A">
        <w:t>Rosecrest</w:t>
      </w:r>
      <w:proofErr w:type="spellEnd"/>
      <w:r w:rsidRPr="00622D5A">
        <w:t xml:space="preserve"> Road;</w:t>
      </w:r>
    </w:p>
    <w:p w14:paraId="53F8B1E7" w14:textId="77777777" w:rsidR="00622D5A" w:rsidRPr="00622D5A" w:rsidRDefault="00622D5A" w:rsidP="00622D5A">
      <w:pPr>
        <w:ind w:left="720" w:right="720"/>
      </w:pPr>
      <w:r w:rsidRPr="00622D5A">
        <w:tab/>
        <w:t>thence along said westerly right-of-way line the following two (2) courses:</w:t>
      </w:r>
    </w:p>
    <w:p w14:paraId="06CDDE89" w14:textId="77777777" w:rsidR="00622D5A" w:rsidRPr="00622D5A" w:rsidRDefault="00622D5A" w:rsidP="00622D5A">
      <w:pPr>
        <w:ind w:left="720" w:right="720"/>
      </w:pPr>
      <w:r w:rsidRPr="00622D5A">
        <w:tab/>
        <w:t>(1) South 1°13'03" West 1,784.78 feet;</w:t>
      </w:r>
    </w:p>
    <w:p w14:paraId="22DEEBAA" w14:textId="77777777" w:rsidR="00622D5A" w:rsidRPr="00622D5A" w:rsidRDefault="00622D5A" w:rsidP="00622D5A">
      <w:pPr>
        <w:ind w:left="720" w:right="720"/>
      </w:pPr>
      <w:r w:rsidRPr="00622D5A">
        <w:tab/>
        <w:t>(2) South 45°16'23" West 46.11 feet to the northerly right-of-way line of 12900 South Street;</w:t>
      </w:r>
    </w:p>
    <w:p w14:paraId="5D038D95" w14:textId="77777777" w:rsidR="00622D5A" w:rsidRPr="00622D5A" w:rsidRDefault="00622D5A" w:rsidP="00622D5A">
      <w:pPr>
        <w:ind w:left="720" w:right="720"/>
      </w:pPr>
      <w:r w:rsidRPr="00622D5A">
        <w:tab/>
        <w:t>thence South 89°30'06" West 220.99 feet along said northerly right-of-way line;</w:t>
      </w:r>
    </w:p>
    <w:p w14:paraId="6C5B6923" w14:textId="77777777" w:rsidR="00622D5A" w:rsidRPr="00622D5A" w:rsidRDefault="00622D5A" w:rsidP="00622D5A">
      <w:pPr>
        <w:ind w:left="720" w:right="720"/>
      </w:pPr>
      <w:r w:rsidRPr="00622D5A">
        <w:tab/>
        <w:t>thence North 1°06'23" East 284.61 feet;</w:t>
      </w:r>
    </w:p>
    <w:p w14:paraId="09DD6605" w14:textId="77777777" w:rsidR="00622D5A" w:rsidRPr="00622D5A" w:rsidRDefault="00622D5A" w:rsidP="00622D5A">
      <w:pPr>
        <w:ind w:left="720" w:right="720"/>
      </w:pPr>
      <w:r w:rsidRPr="00622D5A">
        <w:tab/>
        <w:t>thence North 88°56'22" West 229.35 feet;</w:t>
      </w:r>
    </w:p>
    <w:p w14:paraId="0D9F7C80" w14:textId="77777777" w:rsidR="00622D5A" w:rsidRPr="00622D5A" w:rsidRDefault="00622D5A" w:rsidP="00622D5A">
      <w:pPr>
        <w:ind w:left="720" w:right="720"/>
      </w:pPr>
      <w:r w:rsidRPr="00622D5A">
        <w:tab/>
        <w:t>thence North 2°34'57" East 64.98 feet;</w:t>
      </w:r>
    </w:p>
    <w:p w14:paraId="3A77F432" w14:textId="77777777" w:rsidR="00622D5A" w:rsidRPr="00622D5A" w:rsidRDefault="00622D5A" w:rsidP="00622D5A">
      <w:pPr>
        <w:ind w:left="720" w:right="720"/>
      </w:pPr>
      <w:r w:rsidRPr="00622D5A">
        <w:lastRenderedPageBreak/>
        <w:tab/>
        <w:t>thence North 2°05'37" East 830.03 feet;</w:t>
      </w:r>
    </w:p>
    <w:p w14:paraId="26DFF6C3" w14:textId="77777777" w:rsidR="00622D5A" w:rsidRPr="00622D5A" w:rsidRDefault="00622D5A" w:rsidP="00622D5A">
      <w:pPr>
        <w:ind w:left="720" w:right="720"/>
      </w:pPr>
      <w:r w:rsidRPr="00622D5A">
        <w:tab/>
        <w:t>thence North 0°20'23" East 368.15 feet;</w:t>
      </w:r>
    </w:p>
    <w:p w14:paraId="790A4D16" w14:textId="77777777" w:rsidR="00622D5A" w:rsidRPr="00622D5A" w:rsidRDefault="00622D5A" w:rsidP="00622D5A">
      <w:pPr>
        <w:ind w:left="720" w:right="720"/>
      </w:pPr>
      <w:r w:rsidRPr="00622D5A">
        <w:tab/>
        <w:t>thence North 2°15'49" West 272.30 feet to the section line;</w:t>
      </w:r>
    </w:p>
    <w:p w14:paraId="1B3C3251" w14:textId="77777777" w:rsidR="00622D5A" w:rsidRPr="00622D5A" w:rsidRDefault="00622D5A" w:rsidP="00622D5A">
      <w:pPr>
        <w:ind w:left="720" w:right="720"/>
      </w:pPr>
      <w:r w:rsidRPr="00622D5A">
        <w:tab/>
        <w:t>thence South 89°30'49" East 339.50 feet along the section line to the point of beginning.</w:t>
      </w:r>
    </w:p>
    <w:p w14:paraId="6F630180" w14:textId="77777777" w:rsidR="00622D5A" w:rsidRPr="00622D5A" w:rsidRDefault="00622D5A" w:rsidP="00622D5A">
      <w:pPr>
        <w:ind w:left="720" w:right="720"/>
      </w:pPr>
      <w:r w:rsidRPr="00622D5A">
        <w:t>Contains 802,043 Square Feet or 18.412 Acres</w:t>
      </w:r>
    </w:p>
    <w:p w14:paraId="33709C02" w14:textId="77777777" w:rsidR="00622D5A" w:rsidRDefault="00622D5A" w:rsidP="00300829">
      <w:pPr>
        <w:ind w:left="720" w:right="720"/>
      </w:pPr>
    </w:p>
    <w:p w14:paraId="14964986" w14:textId="77777777" w:rsidR="00300829" w:rsidRPr="00B36B90" w:rsidRDefault="00300829" w:rsidP="00300829">
      <w:pPr>
        <w:ind w:left="720"/>
        <w:rPr>
          <w:sz w:val="22"/>
          <w:szCs w:val="22"/>
        </w:rPr>
      </w:pPr>
    </w:p>
    <w:p w14:paraId="34C0739E" w14:textId="1F1A9C27" w:rsidR="00300829" w:rsidRPr="00B36B90" w:rsidRDefault="00300829" w:rsidP="00300829">
      <w:r>
        <w:t xml:space="preserve">NOTICE IS HEREBY </w:t>
      </w:r>
      <w:r>
        <w:t xml:space="preserve">FURTHER </w:t>
      </w:r>
      <w:r>
        <w:t xml:space="preserve">GIVEN pursuant to Section 313, Chapter 1, Title 17B, Utah Code Annotated 1953, that on April 30, 2026, the Board of Trustees (the “Board”) of Olympia Public Infrastructure District No. 2 (the “District”) adopted a resolution to </w:t>
      </w:r>
      <w:r>
        <w:t>withdraw</w:t>
      </w:r>
      <w:r>
        <w:t xml:space="preserve"> the following </w:t>
      </w:r>
      <w:r w:rsidRPr="00B36B90">
        <w:t xml:space="preserve">particularly described property in </w:t>
      </w:r>
      <w:r w:rsidR="00622D5A">
        <w:t>Salt Lake</w:t>
      </w:r>
      <w:r w:rsidRPr="00B36B90">
        <w:t xml:space="preserve"> County, State of Utah:</w:t>
      </w:r>
    </w:p>
    <w:p w14:paraId="4F1C03D2" w14:textId="77777777" w:rsidR="00300829" w:rsidRDefault="00300829" w:rsidP="00651AB2">
      <w:pPr>
        <w:pStyle w:val="BodyText5"/>
      </w:pPr>
    </w:p>
    <w:p w14:paraId="52EB0CEC" w14:textId="77777777" w:rsidR="00300829" w:rsidRPr="00300829" w:rsidRDefault="00300829" w:rsidP="00300829">
      <w:pPr>
        <w:pStyle w:val="BodyText5"/>
        <w:spacing w:after="0"/>
        <w:ind w:left="720" w:right="720" w:firstLine="0"/>
      </w:pPr>
      <w:r w:rsidRPr="00300829">
        <w:t xml:space="preserve">A parcel of land </w:t>
      </w:r>
      <w:proofErr w:type="gramStart"/>
      <w:r w:rsidRPr="00300829">
        <w:t>situate</w:t>
      </w:r>
      <w:proofErr w:type="gramEnd"/>
      <w:r w:rsidRPr="00300829">
        <w:t xml:space="preserve"> in the Northeast Quarter of Section 32, Township 3 South, Range 2 West, Salt Lake Base and Meridian, being more particularly described as follows:</w:t>
      </w:r>
    </w:p>
    <w:p w14:paraId="1E5B912E" w14:textId="77777777" w:rsidR="00300829" w:rsidRPr="00300829" w:rsidRDefault="00300829" w:rsidP="00300829">
      <w:pPr>
        <w:pStyle w:val="BodyText5"/>
        <w:spacing w:after="0"/>
        <w:ind w:left="720" w:right="720" w:firstLine="0"/>
      </w:pPr>
    </w:p>
    <w:p w14:paraId="39DD4437" w14:textId="77777777" w:rsidR="00300829" w:rsidRPr="00300829" w:rsidRDefault="00300829" w:rsidP="00300829">
      <w:pPr>
        <w:pStyle w:val="BodyText5"/>
        <w:spacing w:after="0"/>
        <w:ind w:left="720" w:right="720" w:firstLine="0"/>
      </w:pPr>
      <w:r w:rsidRPr="00300829">
        <w:t>Beginning at a point being South 00°24’18” West 994.64 feet along the section line and West 2,919.78 feet from the Northeast Section of 32, Township 3 South, Range 2 West, Salt Lake Base and Meridian; and running</w:t>
      </w:r>
    </w:p>
    <w:p w14:paraId="788EB5CA" w14:textId="77777777" w:rsidR="00300829" w:rsidRPr="00300829" w:rsidRDefault="00300829" w:rsidP="00300829">
      <w:pPr>
        <w:pStyle w:val="BodyText5"/>
        <w:spacing w:after="0"/>
        <w:ind w:left="720" w:right="720" w:firstLine="0"/>
      </w:pPr>
      <w:r w:rsidRPr="00300829">
        <w:tab/>
        <w:t>thence South 18°46'09" East 100.00 feet;</w:t>
      </w:r>
    </w:p>
    <w:p w14:paraId="15E0EEFC" w14:textId="77777777" w:rsidR="00300829" w:rsidRPr="00300829" w:rsidRDefault="00300829" w:rsidP="00300829">
      <w:pPr>
        <w:pStyle w:val="BodyText5"/>
        <w:spacing w:after="0"/>
        <w:ind w:left="720" w:right="720" w:firstLine="0"/>
      </w:pPr>
      <w:r w:rsidRPr="00300829">
        <w:tab/>
        <w:t>thence South 71°13'51" West 31.11 feet;</w:t>
      </w:r>
    </w:p>
    <w:p w14:paraId="713D02E6" w14:textId="77777777" w:rsidR="00300829" w:rsidRPr="00300829" w:rsidRDefault="00300829" w:rsidP="00300829">
      <w:pPr>
        <w:pStyle w:val="BodyText5"/>
        <w:spacing w:after="0"/>
        <w:ind w:left="720" w:right="720" w:firstLine="0"/>
      </w:pPr>
      <w:r w:rsidRPr="00300829">
        <w:tab/>
        <w:t>thence North 18°46'09" West 100.00 feet;</w:t>
      </w:r>
    </w:p>
    <w:p w14:paraId="4CA52B17" w14:textId="77777777" w:rsidR="00300829" w:rsidRPr="00300829" w:rsidRDefault="00300829" w:rsidP="00300829">
      <w:pPr>
        <w:pStyle w:val="BodyText5"/>
        <w:spacing w:after="0"/>
        <w:ind w:left="720" w:right="720" w:firstLine="0"/>
      </w:pPr>
      <w:r w:rsidRPr="00300829">
        <w:tab/>
        <w:t>thence North 71°13'51" East 31.11 feet to the point of beginning.</w:t>
      </w:r>
    </w:p>
    <w:p w14:paraId="7772DCA8" w14:textId="77777777" w:rsidR="00300829" w:rsidRPr="00300829" w:rsidRDefault="00300829" w:rsidP="00300829">
      <w:pPr>
        <w:pStyle w:val="BodyText5"/>
        <w:spacing w:after="0"/>
        <w:ind w:left="720" w:right="720" w:firstLine="0"/>
      </w:pPr>
      <w:r w:rsidRPr="00300829">
        <w:t>Contains 3,111 Square Feet or 0.071 Acres</w:t>
      </w:r>
    </w:p>
    <w:p w14:paraId="11D27BFB" w14:textId="77777777" w:rsidR="00300829" w:rsidRDefault="00300829" w:rsidP="00651AB2">
      <w:pPr>
        <w:pStyle w:val="BodyText5"/>
      </w:pPr>
    </w:p>
    <w:p w14:paraId="6EB7311A" w14:textId="00CB6B4E" w:rsidR="002A4C97" w:rsidRPr="00AB2932" w:rsidRDefault="002A4C97" w:rsidP="00651AB2">
      <w:pPr>
        <w:pStyle w:val="BodyText5"/>
      </w:pPr>
      <w:r>
        <w:t xml:space="preserve">NOTICE IS FURTHER GIVEN that any person in interest may file an action in district court to contest the regularity, formality, or legality of the Resolution within 30 days after the first date of publication (hereafter the “30-Day Contest Period”). If the Resolution is not contested by filing an action in district court within the 30-Day Contest Period, no person may contest the regularity, formality, or legality of the Resolution after the expiration of the 30-Day-Contest Period. </w:t>
      </w:r>
    </w:p>
    <w:p w14:paraId="04E3A70A" w14:textId="6CBF71EB" w:rsidR="002A4C97" w:rsidRDefault="002A4C97" w:rsidP="002A4C97">
      <w:pPr>
        <w:pStyle w:val="Heading1"/>
        <w:tabs>
          <w:tab w:val="clear" w:pos="1080"/>
        </w:tabs>
      </w:pPr>
      <w:r w:rsidRPr="003D1FB5">
        <w:t xml:space="preserve">The </w:t>
      </w:r>
      <w:r>
        <w:t>Board</w:t>
      </w:r>
      <w:r w:rsidRPr="003D1FB5">
        <w:t xml:space="preserve"> does hereby authorize </w:t>
      </w:r>
      <w:r>
        <w:t xml:space="preserve">the Chair </w:t>
      </w:r>
      <w:r w:rsidR="00A922BA">
        <w:t xml:space="preserve">(or Vice-Chair) </w:t>
      </w:r>
      <w:r w:rsidRPr="003D1FB5">
        <w:t xml:space="preserve">to execute </w:t>
      </w:r>
      <w:r>
        <w:t>the Boundary Notice</w:t>
      </w:r>
      <w:r w:rsidR="00622D5A">
        <w:t>s</w:t>
      </w:r>
      <w:r w:rsidRPr="003D1FB5">
        <w:t xml:space="preserve"> in substantially the form attached as </w:t>
      </w:r>
      <w:r w:rsidRPr="003D1FB5">
        <w:rPr>
          <w:u w:val="single"/>
        </w:rPr>
        <w:t xml:space="preserve">Exhibit </w:t>
      </w:r>
      <w:r w:rsidR="00622D5A">
        <w:rPr>
          <w:u w:val="single"/>
        </w:rPr>
        <w:t>D</w:t>
      </w:r>
      <w:r w:rsidR="00622D5A" w:rsidRPr="00622D5A">
        <w:t xml:space="preserve"> and </w:t>
      </w:r>
      <w:r w:rsidR="00622D5A">
        <w:rPr>
          <w:u w:val="single"/>
        </w:rPr>
        <w:t>Exhibit E</w:t>
      </w:r>
      <w:r>
        <w:t>, the Annexation Plat,</w:t>
      </w:r>
      <w:r w:rsidRPr="003D1FB5">
        <w:t xml:space="preserve"> </w:t>
      </w:r>
      <w:r w:rsidR="00622D5A">
        <w:t xml:space="preserve">the Withdrawal Plat, </w:t>
      </w:r>
      <w:r w:rsidRPr="003D1FB5">
        <w:t xml:space="preserve">and such other documents as shall be required to </w:t>
      </w:r>
      <w:r>
        <w:t>accomplish</w:t>
      </w:r>
      <w:r w:rsidRPr="003D1FB5">
        <w:t xml:space="preserve"> the actions contemplated herein on behalf of the </w:t>
      </w:r>
      <w:r>
        <w:t>Board</w:t>
      </w:r>
      <w:r w:rsidRPr="003D1FB5">
        <w:t xml:space="preserve"> for submission to </w:t>
      </w:r>
      <w:r>
        <w:t xml:space="preserve">the </w:t>
      </w:r>
      <w:r w:rsidRPr="003D1FB5">
        <w:t>Office of the Lieutenant Governor of the State of Utah.</w:t>
      </w:r>
    </w:p>
    <w:p w14:paraId="2C8BD006" w14:textId="60EFBF29" w:rsidR="002A4C97" w:rsidRDefault="002A4C97" w:rsidP="002A4C97">
      <w:pPr>
        <w:pStyle w:val="Heading1"/>
        <w:tabs>
          <w:tab w:val="clear" w:pos="1080"/>
        </w:tabs>
      </w:pPr>
      <w:r>
        <w:t xml:space="preserve">Prior to certification of the annexation of the </w:t>
      </w:r>
      <w:r w:rsidR="00622D5A">
        <w:t xml:space="preserve">Annexation </w:t>
      </w:r>
      <w:r>
        <w:t>Property</w:t>
      </w:r>
      <w:r w:rsidR="00622D5A">
        <w:t>, or the withdrawal of the Withdrawal Property,</w:t>
      </w:r>
      <w:r>
        <w:t xml:space="preserve"> by the </w:t>
      </w:r>
      <w:r w:rsidRPr="00B70794">
        <w:t>Office of the Lieutenant Governor of the State of Utah</w:t>
      </w:r>
      <w:r>
        <w:t>, t</w:t>
      </w:r>
      <w:r w:rsidRPr="003D1FB5">
        <w:t xml:space="preserve">he </w:t>
      </w:r>
      <w:r>
        <w:t>Board</w:t>
      </w:r>
      <w:r w:rsidRPr="003D1FB5">
        <w:t xml:space="preserve"> does hereby authorize </w:t>
      </w:r>
      <w:r>
        <w:t xml:space="preserve">any Board Member, the District General Counsel, or the District’s surveyor, </w:t>
      </w:r>
      <w:r w:rsidRPr="00B70794">
        <w:t xml:space="preserve">to make any </w:t>
      </w:r>
      <w:r>
        <w:t>corrections</w:t>
      </w:r>
      <w:r w:rsidRPr="00B70794">
        <w:t xml:space="preserve">, deletions, or additions to </w:t>
      </w:r>
      <w:r>
        <w:t>the Boundary Notice</w:t>
      </w:r>
      <w:r w:rsidR="00622D5A">
        <w:t>s</w:t>
      </w:r>
      <w:r>
        <w:t xml:space="preserve"> </w:t>
      </w:r>
      <w:r w:rsidRPr="00B70794">
        <w:t xml:space="preserve">or any other document herein authorized and approved </w:t>
      </w:r>
      <w:r>
        <w:t xml:space="preserve">(including, but not limited to, corrections to the property descriptions therein contained) </w:t>
      </w:r>
      <w:r w:rsidRPr="00B70794">
        <w:t xml:space="preserve">which may be necessary to conform the same to the </w:t>
      </w:r>
      <w:r>
        <w:lastRenderedPageBreak/>
        <w:t>intent hereof</w:t>
      </w:r>
      <w:r w:rsidRPr="00B70794">
        <w:t>, to correct errors or omissions therein, to complete the same, to remove ambiguities therefrom, or to conform the same to other provisions of said instruments, to the provisions of this Resolution</w:t>
      </w:r>
      <w:r>
        <w:t xml:space="preserve"> </w:t>
      </w:r>
      <w:r w:rsidRPr="00B70794">
        <w:t>or the provisions of the laws of the State of Utah or the United States</w:t>
      </w:r>
      <w:r w:rsidRPr="003D1FB5">
        <w:t>.</w:t>
      </w:r>
    </w:p>
    <w:p w14:paraId="59CED96A" w14:textId="77777777" w:rsidR="002A4C97" w:rsidRDefault="002A4C97" w:rsidP="002A4C97">
      <w:pPr>
        <w:pStyle w:val="Heading1"/>
        <w:tabs>
          <w:tab w:val="clear" w:pos="1080"/>
        </w:tabs>
      </w:pPr>
      <w:r>
        <w:t>If any section, paragraph, clause or provision of this Resolution shall for any reason be held to be invalid or unenforceable, the invalidity or unenforceability of such section, paragraph, clause or provision shall not affect any of the remaining provisions of this Resolution.</w:t>
      </w:r>
    </w:p>
    <w:p w14:paraId="72AF14D1" w14:textId="6F778C06" w:rsidR="00B0557C" w:rsidRDefault="002A4C97" w:rsidP="002A4C97">
      <w:pPr>
        <w:pStyle w:val="Heading1"/>
        <w:tabs>
          <w:tab w:val="clear" w:pos="1080"/>
        </w:tabs>
      </w:pPr>
      <w:r>
        <w:t>All acts, orders and resolutions, and parts thereof in conflict with this Resolution be, and the same are hereby, rescinded.</w:t>
      </w:r>
    </w:p>
    <w:p w14:paraId="41BE7E27" w14:textId="7F2E922B" w:rsidR="00B0557C" w:rsidRPr="003D1FB5" w:rsidRDefault="00B0557C" w:rsidP="00B0557C">
      <w:pPr>
        <w:pStyle w:val="Heading1"/>
        <w:tabs>
          <w:tab w:val="clear" w:pos="1080"/>
        </w:tabs>
      </w:pPr>
      <w:r>
        <w:t xml:space="preserve">This </w:t>
      </w:r>
      <w:r w:rsidR="00A922BA">
        <w:t>Resolution shall be effective upon passage by the Board of Trustees</w:t>
      </w:r>
      <w:r w:rsidR="002A4C97">
        <w:t xml:space="preserve"> (hereafter the “Effective Date”)</w:t>
      </w:r>
      <w:r>
        <w:t xml:space="preserve">. </w:t>
      </w:r>
    </w:p>
    <w:p w14:paraId="43FA6B1F" w14:textId="77777777" w:rsidR="00B0557C" w:rsidRPr="00D02CED" w:rsidRDefault="00B0557C" w:rsidP="00B0557C"/>
    <w:p w14:paraId="78EC4CA4" w14:textId="7F4468E9" w:rsidR="00B0557C" w:rsidRDefault="00B0557C" w:rsidP="00651AB2">
      <w:pPr>
        <w:pStyle w:val="BodyText5"/>
      </w:pPr>
      <w:r>
        <w:br w:type="page"/>
      </w:r>
      <w:r>
        <w:lastRenderedPageBreak/>
        <w:t xml:space="preserve">PASSED AND ADOPTED by the </w:t>
      </w:r>
      <w:r w:rsidR="001270BE">
        <w:t xml:space="preserve">Board of Trustees of </w:t>
      </w:r>
      <w:r w:rsidR="00622D5A">
        <w:t>Olympia</w:t>
      </w:r>
      <w:r w:rsidR="008F69CB">
        <w:t xml:space="preserve"> Public Infrastructure District</w:t>
      </w:r>
      <w:r>
        <w:t xml:space="preserve"> </w:t>
      </w:r>
      <w:r w:rsidR="0064681C">
        <w:t>No. 2</w:t>
      </w:r>
      <w:r w:rsidR="008F32A3">
        <w:t xml:space="preserve"> </w:t>
      </w:r>
      <w:r w:rsidR="002A4C97">
        <w:t>effective as of the Effective Date set forth above</w:t>
      </w:r>
      <w:r>
        <w:t>.</w:t>
      </w:r>
    </w:p>
    <w:p w14:paraId="1C451B41" w14:textId="1E059E0D" w:rsidR="00B0557C" w:rsidRDefault="00622D5A" w:rsidP="00B0557C">
      <w:pPr>
        <w:ind w:left="4320"/>
      </w:pPr>
      <w:r>
        <w:t>OLYMPIA</w:t>
      </w:r>
      <w:r w:rsidR="008F69CB">
        <w:t xml:space="preserve"> PUBLIC INFRASTRUCTURE DISTRICT</w:t>
      </w:r>
      <w:r w:rsidR="008F32A3">
        <w:t xml:space="preserve"> </w:t>
      </w:r>
      <w:r w:rsidR="0064681C">
        <w:t>NO. 2</w:t>
      </w:r>
    </w:p>
    <w:p w14:paraId="223340D7" w14:textId="77777777" w:rsidR="00B0557C" w:rsidRDefault="00B0557C" w:rsidP="00B0557C">
      <w:pPr>
        <w:ind w:left="4320"/>
      </w:pPr>
    </w:p>
    <w:p w14:paraId="234B42BC" w14:textId="77777777" w:rsidR="00B0557C" w:rsidRDefault="00B0557C" w:rsidP="00B0557C">
      <w:pPr>
        <w:ind w:left="4320"/>
      </w:pPr>
    </w:p>
    <w:p w14:paraId="194BFCD7" w14:textId="77777777" w:rsidR="00B0557C" w:rsidRDefault="00B0557C" w:rsidP="00B0557C">
      <w:pPr>
        <w:tabs>
          <w:tab w:val="left" w:pos="8640"/>
        </w:tabs>
        <w:ind w:left="4320"/>
        <w:rPr>
          <w:u w:val="single"/>
        </w:rPr>
      </w:pPr>
      <w:r>
        <w:t>By:</w:t>
      </w:r>
      <w:r>
        <w:rPr>
          <w:u w:val="single"/>
        </w:rPr>
        <w:tab/>
      </w:r>
    </w:p>
    <w:p w14:paraId="132F9615" w14:textId="1AAE7AE0" w:rsidR="00B0557C" w:rsidRDefault="00622D5A" w:rsidP="00622D5A">
      <w:pPr>
        <w:ind w:left="4320" w:firstLine="720"/>
      </w:pPr>
      <w:r>
        <w:t xml:space="preserve">Ryan Button, </w:t>
      </w:r>
      <w:r w:rsidR="00D53354">
        <w:t>Chair</w:t>
      </w:r>
    </w:p>
    <w:p w14:paraId="239D4C2B" w14:textId="77777777" w:rsidR="00B0557C" w:rsidRDefault="00B0557C" w:rsidP="00B0557C">
      <w:pPr>
        <w:ind w:left="4320"/>
        <w:jc w:val="center"/>
      </w:pPr>
    </w:p>
    <w:p w14:paraId="647FCB5C" w14:textId="77777777" w:rsidR="00B0557C" w:rsidRDefault="00B0557C" w:rsidP="00B0557C">
      <w:pPr>
        <w:ind w:left="4320"/>
        <w:jc w:val="center"/>
      </w:pPr>
    </w:p>
    <w:p w14:paraId="15A97C0A" w14:textId="77777777" w:rsidR="00B0557C" w:rsidRDefault="00B0557C" w:rsidP="00B0557C">
      <w:r>
        <w:t>ATTEST:</w:t>
      </w:r>
    </w:p>
    <w:p w14:paraId="22084987" w14:textId="77777777" w:rsidR="00B0557C" w:rsidRDefault="00B0557C" w:rsidP="00B0557C"/>
    <w:p w14:paraId="32F974DE" w14:textId="77777777" w:rsidR="00B0557C" w:rsidRDefault="00B0557C" w:rsidP="00B0557C"/>
    <w:p w14:paraId="270544AA" w14:textId="77777777" w:rsidR="00B0557C" w:rsidRDefault="00B0557C" w:rsidP="00B0557C"/>
    <w:p w14:paraId="1027E356" w14:textId="77777777" w:rsidR="00B0557C" w:rsidRDefault="00B0557C" w:rsidP="00B0557C">
      <w:pPr>
        <w:tabs>
          <w:tab w:val="left" w:pos="4320"/>
        </w:tabs>
        <w:rPr>
          <w:u w:val="single"/>
        </w:rPr>
      </w:pPr>
      <w:r>
        <w:t>By:</w:t>
      </w:r>
      <w:r>
        <w:rPr>
          <w:u w:val="single"/>
        </w:rPr>
        <w:tab/>
      </w:r>
    </w:p>
    <w:p w14:paraId="654908D8" w14:textId="4CAFB17A" w:rsidR="00B0557C" w:rsidRDefault="00622D5A" w:rsidP="00622D5A">
      <w:pPr>
        <w:ind w:right="4320" w:firstLine="720"/>
      </w:pPr>
      <w:r>
        <w:t xml:space="preserve">Kirk Young, </w:t>
      </w:r>
      <w:r w:rsidR="00062EA2">
        <w:t>Secretary/</w:t>
      </w:r>
      <w:r w:rsidR="00D53354">
        <w:t>Clerk</w:t>
      </w:r>
    </w:p>
    <w:p w14:paraId="40D4014A" w14:textId="60C025AF" w:rsidR="00B0557C" w:rsidRDefault="00B0557C" w:rsidP="00651AB2">
      <w:pPr>
        <w:pStyle w:val="BodyText5"/>
      </w:pPr>
      <w:r>
        <w:br w:type="page"/>
      </w:r>
    </w:p>
    <w:p w14:paraId="20425DAF" w14:textId="19E5C51F" w:rsidR="00B0557C" w:rsidRDefault="00B0557C" w:rsidP="00B0557C">
      <w:pPr>
        <w:tabs>
          <w:tab w:val="left" w:pos="3267"/>
        </w:tabs>
      </w:pPr>
      <w:r>
        <w:lastRenderedPageBreak/>
        <w:t xml:space="preserve">STATE OF </w:t>
      </w:r>
      <w:r w:rsidR="002A4C97">
        <w:t>UTAH</w:t>
      </w:r>
      <w:r>
        <w:tab/>
        <w:t>)</w:t>
      </w:r>
    </w:p>
    <w:p w14:paraId="2D10C855" w14:textId="77777777" w:rsidR="00B0557C" w:rsidRDefault="00B0557C" w:rsidP="00B0557C">
      <w:pPr>
        <w:tabs>
          <w:tab w:val="left" w:pos="3267"/>
        </w:tabs>
      </w:pPr>
      <w:r>
        <w:tab/>
        <w:t>: ss.</w:t>
      </w:r>
    </w:p>
    <w:p w14:paraId="77E242D6" w14:textId="6D179EFC" w:rsidR="00B0557C" w:rsidRDefault="004C6311" w:rsidP="00B0557C">
      <w:pPr>
        <w:tabs>
          <w:tab w:val="left" w:pos="3267"/>
        </w:tabs>
      </w:pPr>
      <w:r>
        <w:t xml:space="preserve">County of </w:t>
      </w:r>
      <w:r w:rsidR="0064681C">
        <w:t>Washington</w:t>
      </w:r>
      <w:r w:rsidR="00D53354">
        <w:t xml:space="preserve"> </w:t>
      </w:r>
      <w:r w:rsidR="00D53354">
        <w:tab/>
      </w:r>
      <w:r w:rsidR="00B0557C">
        <w:t>)</w:t>
      </w:r>
    </w:p>
    <w:p w14:paraId="3E2B0367" w14:textId="77777777" w:rsidR="00B0557C" w:rsidRDefault="00B0557C" w:rsidP="00B0557C">
      <w:pPr>
        <w:tabs>
          <w:tab w:val="left" w:pos="2880"/>
        </w:tabs>
      </w:pPr>
    </w:p>
    <w:p w14:paraId="132E6368" w14:textId="689FE574" w:rsidR="00B0557C" w:rsidRDefault="00B0557C" w:rsidP="00651AB2">
      <w:pPr>
        <w:pStyle w:val="BodyText5"/>
      </w:pPr>
      <w:r>
        <w:t xml:space="preserve">I, </w:t>
      </w:r>
      <w:r w:rsidR="00622D5A">
        <w:t>Kirk Young</w:t>
      </w:r>
      <w:r w:rsidR="00025A21">
        <w:t>,</w:t>
      </w:r>
      <w:r w:rsidR="00B36B90">
        <w:t xml:space="preserve"> t</w:t>
      </w:r>
      <w:r>
        <w:t xml:space="preserve">he undersigned duly qualified and acting </w:t>
      </w:r>
      <w:r w:rsidR="00062EA2">
        <w:t>secretary/</w:t>
      </w:r>
      <w:r w:rsidR="00D53354">
        <w:t xml:space="preserve">clerk </w:t>
      </w:r>
      <w:r w:rsidR="004C6311">
        <w:t xml:space="preserve">(or assistant secretary/clerk) </w:t>
      </w:r>
      <w:r w:rsidR="00D53354">
        <w:t xml:space="preserve">of </w:t>
      </w:r>
      <w:r w:rsidR="00622D5A">
        <w:t>Olympia</w:t>
      </w:r>
      <w:r w:rsidR="008F69CB">
        <w:t xml:space="preserve"> Public Infrastructure District</w:t>
      </w:r>
      <w:r w:rsidR="00D53354">
        <w:t xml:space="preserve"> </w:t>
      </w:r>
      <w:r w:rsidR="0064681C">
        <w:t>No. 2</w:t>
      </w:r>
      <w:r w:rsidR="008F32A3">
        <w:t xml:space="preserve"> </w:t>
      </w:r>
      <w:r>
        <w:t xml:space="preserve">(“the </w:t>
      </w:r>
      <w:proofErr w:type="gramStart"/>
      <w:r w:rsidR="00D53354">
        <w:t>District</w:t>
      </w:r>
      <w:proofErr w:type="gramEnd"/>
      <w:r>
        <w:t>”), do hereby certify as follows:</w:t>
      </w:r>
    </w:p>
    <w:p w14:paraId="75A85037" w14:textId="502CE8A7" w:rsidR="00B0557C" w:rsidRPr="00780920" w:rsidRDefault="00B0557C" w:rsidP="00651AB2">
      <w:pPr>
        <w:pStyle w:val="BodyText5"/>
      </w:pPr>
      <w:r w:rsidRPr="00780920">
        <w:t>The foregoing pages are a true, correct, and complete copy of the record of</w:t>
      </w:r>
      <w:r>
        <w:t xml:space="preserve"> </w:t>
      </w:r>
      <w:r w:rsidRPr="00780920">
        <w:t xml:space="preserve">proceedings of </w:t>
      </w:r>
      <w:r>
        <w:t xml:space="preserve">the </w:t>
      </w:r>
      <w:r w:rsidR="00D53354">
        <w:t xml:space="preserve">Board of Trustees </w:t>
      </w:r>
      <w:r w:rsidRPr="00780920">
        <w:t>(the “</w:t>
      </w:r>
      <w:r w:rsidR="00D53354">
        <w:t>Board</w:t>
      </w:r>
      <w:r w:rsidRPr="00780920">
        <w:t>”), had and taken at a lawful meeting</w:t>
      </w:r>
      <w:r>
        <w:t xml:space="preserve"> </w:t>
      </w:r>
      <w:r w:rsidRPr="00780920">
        <w:t xml:space="preserve">of </w:t>
      </w:r>
      <w:r>
        <w:t xml:space="preserve">the </w:t>
      </w:r>
      <w:r w:rsidR="00D53354">
        <w:t xml:space="preserve">Board on </w:t>
      </w:r>
      <w:r w:rsidR="00622D5A">
        <w:t>April 30</w:t>
      </w:r>
      <w:r w:rsidR="00E139D0">
        <w:t>, 2026</w:t>
      </w:r>
      <w:r w:rsidRPr="00780920">
        <w:t xml:space="preserve">, commencing at the hour of </w:t>
      </w:r>
      <w:r w:rsidR="00E139D0">
        <w:t>10:00 a.m.</w:t>
      </w:r>
      <w:r w:rsidRPr="00780920">
        <w:t>, as</w:t>
      </w:r>
      <w:r>
        <w:t xml:space="preserve"> </w:t>
      </w:r>
      <w:r w:rsidRPr="00780920">
        <w:t xml:space="preserve">recorded in the regular official book of the proceedings of </w:t>
      </w:r>
      <w:r>
        <w:t xml:space="preserve">the </w:t>
      </w:r>
      <w:r w:rsidR="00D53354">
        <w:t>Board</w:t>
      </w:r>
      <w:r w:rsidRPr="00780920">
        <w:t xml:space="preserve"> kept in </w:t>
      </w:r>
      <w:r w:rsidR="00D53354">
        <w:t>the District</w:t>
      </w:r>
      <w:r>
        <w:t xml:space="preserve"> </w:t>
      </w:r>
      <w:r w:rsidRPr="00780920">
        <w:t>office, and said proceedings were duly had and taken as therein shown, and the meeting</w:t>
      </w:r>
      <w:r>
        <w:t xml:space="preserve"> </w:t>
      </w:r>
      <w:r w:rsidRPr="00780920">
        <w:t>therein shown was duly held, and the persons therein were present at said meeting as</w:t>
      </w:r>
      <w:r>
        <w:t xml:space="preserve"> </w:t>
      </w:r>
      <w:r w:rsidRPr="00780920">
        <w:t>therein shown.</w:t>
      </w:r>
    </w:p>
    <w:p w14:paraId="551A3A1A" w14:textId="5C1DD308" w:rsidR="00B0557C" w:rsidRPr="00780920" w:rsidRDefault="00B0557C" w:rsidP="00651AB2">
      <w:pPr>
        <w:pStyle w:val="BodyText5"/>
      </w:pPr>
      <w:r w:rsidRPr="00780920">
        <w:t xml:space="preserve">All members of </w:t>
      </w:r>
      <w:r>
        <w:t xml:space="preserve">the </w:t>
      </w:r>
      <w:r w:rsidR="00D53354">
        <w:t>Board</w:t>
      </w:r>
      <w:r w:rsidRPr="00780920">
        <w:t xml:space="preserve"> were duly notified of said meeting, pursuant to</w:t>
      </w:r>
      <w:r>
        <w:t xml:space="preserve"> </w:t>
      </w:r>
      <w:r w:rsidRPr="00780920">
        <w:t>law.</w:t>
      </w:r>
    </w:p>
    <w:p w14:paraId="6A33D57A" w14:textId="492E5A97" w:rsidR="00B0557C" w:rsidRDefault="00B0557C" w:rsidP="00651AB2">
      <w:pPr>
        <w:pStyle w:val="BodyText5"/>
      </w:pPr>
      <w:r w:rsidRPr="00780920">
        <w:t>IN WITNESS WHEREOF, I have hereunto set my hand and affixed the seal of</w:t>
      </w:r>
      <w:r>
        <w:t xml:space="preserve"> the </w:t>
      </w:r>
      <w:proofErr w:type="gramStart"/>
      <w:r w:rsidR="00D53354">
        <w:t>District</w:t>
      </w:r>
      <w:proofErr w:type="gramEnd"/>
      <w:r w:rsidRPr="00780920">
        <w:t xml:space="preserve">, </w:t>
      </w:r>
      <w:r w:rsidR="00D53354">
        <w:t xml:space="preserve">on </w:t>
      </w:r>
      <w:r w:rsidR="00622D5A">
        <w:t>April 30</w:t>
      </w:r>
      <w:r w:rsidR="00E139D0">
        <w:t>, 2026</w:t>
      </w:r>
      <w:r w:rsidRPr="00780920">
        <w:t>.</w:t>
      </w:r>
    </w:p>
    <w:p w14:paraId="6191A7F3" w14:textId="77777777" w:rsidR="00B0557C" w:rsidRDefault="00B0557C" w:rsidP="00B0557C">
      <w:pPr>
        <w:ind w:left="4320"/>
      </w:pPr>
    </w:p>
    <w:p w14:paraId="2BE4EE12" w14:textId="77777777" w:rsidR="00B0557C" w:rsidRDefault="00B0557C" w:rsidP="00B0557C">
      <w:pPr>
        <w:ind w:left="4320"/>
      </w:pPr>
    </w:p>
    <w:p w14:paraId="088DE562" w14:textId="77777777" w:rsidR="00B0557C" w:rsidRDefault="00B0557C" w:rsidP="00B0557C">
      <w:pPr>
        <w:tabs>
          <w:tab w:val="left" w:pos="8640"/>
        </w:tabs>
        <w:ind w:left="4320"/>
        <w:rPr>
          <w:u w:val="single"/>
        </w:rPr>
      </w:pPr>
      <w:r>
        <w:t>By:</w:t>
      </w:r>
      <w:r>
        <w:rPr>
          <w:u w:val="single"/>
        </w:rPr>
        <w:tab/>
      </w:r>
    </w:p>
    <w:p w14:paraId="46A5A6F6" w14:textId="1A55CD7F" w:rsidR="00B0557C" w:rsidRDefault="00062EA2" w:rsidP="00B0557C">
      <w:pPr>
        <w:ind w:left="4320"/>
        <w:jc w:val="center"/>
      </w:pPr>
      <w:r>
        <w:t>Secretary/</w:t>
      </w:r>
      <w:r w:rsidR="00D53354">
        <w:t>Clerk</w:t>
      </w:r>
    </w:p>
    <w:p w14:paraId="5C02F459" w14:textId="77777777" w:rsidR="00B0557C" w:rsidRDefault="00B0557C" w:rsidP="00B0557C">
      <w:pPr>
        <w:sectPr w:rsidR="00B0557C" w:rsidSect="002F137A">
          <w:footerReference w:type="even" r:id="rId7"/>
          <w:footerReference w:type="default" r:id="rId8"/>
          <w:headerReference w:type="first" r:id="rId9"/>
          <w:footerReference w:type="first" r:id="rId10"/>
          <w:pgSz w:w="12240" w:h="15840"/>
          <w:pgMar w:top="1440" w:right="1440" w:bottom="1440" w:left="1440" w:header="720" w:footer="720" w:gutter="0"/>
          <w:pgNumType w:start="1"/>
          <w:cols w:space="720"/>
          <w:titlePg/>
          <w:docGrid w:linePitch="326"/>
        </w:sectPr>
      </w:pPr>
    </w:p>
    <w:p w14:paraId="7864D105" w14:textId="77777777" w:rsidR="00B0557C" w:rsidRDefault="00B0557C" w:rsidP="00B0557C">
      <w:pPr>
        <w:pStyle w:val="Heading9"/>
        <w:numPr>
          <w:ilvl w:val="0"/>
          <w:numId w:val="0"/>
        </w:numPr>
      </w:pPr>
      <w:r>
        <w:rPr>
          <w:u w:val="single"/>
        </w:rPr>
        <w:lastRenderedPageBreak/>
        <w:t>EXHIBIT A</w:t>
      </w:r>
      <w:r>
        <w:br/>
      </w:r>
      <w:r>
        <w:br/>
        <w:t>CERTIFICATE OF COMPLIANCE WITH OPEN MEETING LAW</w:t>
      </w:r>
    </w:p>
    <w:p w14:paraId="4EB3B316" w14:textId="7EDC273B" w:rsidR="00B0557C" w:rsidRPr="00780920" w:rsidRDefault="00B0557C" w:rsidP="00651AB2">
      <w:pPr>
        <w:pStyle w:val="BodyText5"/>
      </w:pPr>
      <w:r>
        <w:t xml:space="preserve">I, </w:t>
      </w:r>
      <w:r w:rsidR="00622D5A">
        <w:t>Kirk Young</w:t>
      </w:r>
      <w:r w:rsidR="00025A21">
        <w:t xml:space="preserve">, </w:t>
      </w:r>
      <w:r w:rsidRPr="00780920">
        <w:t>the undersigned</w:t>
      </w:r>
      <w:r>
        <w:t xml:space="preserve"> </w:t>
      </w:r>
      <w:r w:rsidR="00417271">
        <w:t xml:space="preserve">clerk </w:t>
      </w:r>
      <w:r w:rsidR="004C6311">
        <w:t xml:space="preserve">(or assistant clerk) </w:t>
      </w:r>
      <w:r w:rsidR="00417271">
        <w:t xml:space="preserve">of </w:t>
      </w:r>
      <w:r w:rsidR="00622D5A">
        <w:t>Olympia</w:t>
      </w:r>
      <w:r w:rsidR="008F69CB">
        <w:t xml:space="preserve"> Public Infrastructure District</w:t>
      </w:r>
      <w:r w:rsidRPr="00780920">
        <w:t xml:space="preserve"> </w:t>
      </w:r>
      <w:r w:rsidR="0064681C">
        <w:t>No. 2</w:t>
      </w:r>
      <w:r w:rsidR="00B36B90">
        <w:t xml:space="preserve"> </w:t>
      </w:r>
      <w:r w:rsidRPr="00780920">
        <w:t>(the “</w:t>
      </w:r>
      <w:r>
        <w:t xml:space="preserve">the </w:t>
      </w:r>
      <w:r w:rsidR="00417271">
        <w:t>District</w:t>
      </w:r>
      <w:r w:rsidRPr="00780920">
        <w:t>”), do hereby certify that I gave written public notice of the</w:t>
      </w:r>
      <w:r>
        <w:t xml:space="preserve"> </w:t>
      </w:r>
      <w:r w:rsidRPr="00780920">
        <w:t xml:space="preserve">agenda, date, time and place of the </w:t>
      </w:r>
      <w:r w:rsidR="00417271">
        <w:t>special</w:t>
      </w:r>
      <w:r w:rsidRPr="00780920">
        <w:t xml:space="preserve"> meeting held by </w:t>
      </w:r>
      <w:r>
        <w:t xml:space="preserve">the </w:t>
      </w:r>
      <w:r w:rsidR="00417271">
        <w:t>Board of Trustees of the District</w:t>
      </w:r>
      <w:r w:rsidRPr="00780920">
        <w:t xml:space="preserve"> (the</w:t>
      </w:r>
      <w:r>
        <w:t xml:space="preserve"> </w:t>
      </w:r>
      <w:r w:rsidRPr="00780920">
        <w:t>“</w:t>
      </w:r>
      <w:r w:rsidR="00417271">
        <w:t>Board</w:t>
      </w:r>
      <w:r w:rsidRPr="00780920">
        <w:t xml:space="preserve">”) on </w:t>
      </w:r>
      <w:r w:rsidR="00622D5A">
        <w:t>April 30</w:t>
      </w:r>
      <w:r w:rsidR="00E139D0">
        <w:t>, 2026</w:t>
      </w:r>
      <w:r w:rsidRPr="00780920">
        <w:t>, not less than 24 hours in advance of the meeting. The</w:t>
      </w:r>
      <w:r>
        <w:t xml:space="preserve"> </w:t>
      </w:r>
      <w:r w:rsidRPr="00780920">
        <w:t>public notice was given in compliance with the requirements of the Utah Open and Public</w:t>
      </w:r>
      <w:r>
        <w:t xml:space="preserve"> </w:t>
      </w:r>
      <w:r w:rsidRPr="00780920">
        <w:t>Meetings Act, Section 52-4-202, Utah Code Annotated 1953, as amended, by:</w:t>
      </w:r>
    </w:p>
    <w:p w14:paraId="5EEA4003" w14:textId="486A0886" w:rsidR="00B0557C" w:rsidRDefault="00B0557C" w:rsidP="00651AB2">
      <w:pPr>
        <w:pStyle w:val="BodyText5"/>
      </w:pPr>
      <w:r>
        <w:t>(a)</w:t>
      </w:r>
      <w:r>
        <w:tab/>
      </w:r>
      <w:r w:rsidRPr="00780920">
        <w:t xml:space="preserve"> By causing a Notice, in the form attached hereto as Schedule 1, to</w:t>
      </w:r>
      <w:r>
        <w:t xml:space="preserve"> </w:t>
      </w:r>
      <w:r w:rsidRPr="00780920">
        <w:t xml:space="preserve">be posted at </w:t>
      </w:r>
      <w:r>
        <w:t>t</w:t>
      </w:r>
      <w:r w:rsidR="00723E0F">
        <w:t xml:space="preserve">he meeting location </w:t>
      </w:r>
      <w:r w:rsidRPr="00780920">
        <w:t>at least twenty-four (24) hours prior to</w:t>
      </w:r>
      <w:r>
        <w:t xml:space="preserve"> </w:t>
      </w:r>
      <w:r w:rsidRPr="00780920">
        <w:t>the convening of the meeting, said Notice having continuously remained so</w:t>
      </w:r>
      <w:r>
        <w:t xml:space="preserve"> </w:t>
      </w:r>
      <w:r w:rsidRPr="00780920">
        <w:t>posted and available for public inspection until the completion of the meeting;</w:t>
      </w:r>
      <w:r>
        <w:t xml:space="preserve"> </w:t>
      </w:r>
      <w:r w:rsidRPr="00780920">
        <w:t>and</w:t>
      </w:r>
    </w:p>
    <w:p w14:paraId="211FE520" w14:textId="52F7866B" w:rsidR="00B0557C" w:rsidRPr="00780920" w:rsidRDefault="00B0557C" w:rsidP="00651AB2">
      <w:pPr>
        <w:pStyle w:val="BodyText5"/>
      </w:pPr>
      <w:r w:rsidRPr="00780920">
        <w:t xml:space="preserve">(c) </w:t>
      </w:r>
      <w:r>
        <w:tab/>
      </w:r>
      <w:r w:rsidRPr="00780920">
        <w:t>By causing a copy of such Notice, in the form attached hereto as</w:t>
      </w:r>
      <w:r>
        <w:t xml:space="preserve"> </w:t>
      </w:r>
      <w:r w:rsidRPr="00780920">
        <w:rPr>
          <w:u w:val="single"/>
        </w:rPr>
        <w:t>Schedule 1</w:t>
      </w:r>
      <w:r w:rsidRPr="00780920">
        <w:t>, to be published on the Utah Public Notice Website</w:t>
      </w:r>
      <w:r>
        <w:t xml:space="preserve"> </w:t>
      </w:r>
      <w:r w:rsidRPr="00780920">
        <w:t>(http://pmn.utah.gov) at least twenty-four (24) hours prior to the convening of the</w:t>
      </w:r>
      <w:r>
        <w:t xml:space="preserve"> </w:t>
      </w:r>
      <w:r w:rsidRPr="00780920">
        <w:t>meeting.</w:t>
      </w:r>
    </w:p>
    <w:p w14:paraId="5FA5B7AB" w14:textId="51F76D79" w:rsidR="00B0557C" w:rsidRPr="00780920" w:rsidRDefault="00B0557C" w:rsidP="00651AB2">
      <w:pPr>
        <w:pStyle w:val="BodyText5"/>
      </w:pPr>
      <w:r w:rsidRPr="00780920">
        <w:t>IN WITNESS WHEREOF, I have hereunto subscribed my official signature this</w:t>
      </w:r>
      <w:r>
        <w:t xml:space="preserve"> </w:t>
      </w:r>
      <w:r w:rsidR="00622D5A">
        <w:t>April 30</w:t>
      </w:r>
      <w:r w:rsidR="00E139D0">
        <w:t>, 2026</w:t>
      </w:r>
      <w:r w:rsidRPr="00780920">
        <w:t>.</w:t>
      </w:r>
    </w:p>
    <w:p w14:paraId="7383FA0D" w14:textId="77777777" w:rsidR="00B0557C" w:rsidRDefault="00B0557C" w:rsidP="00B0557C">
      <w:pPr>
        <w:tabs>
          <w:tab w:val="left" w:pos="8640"/>
        </w:tabs>
        <w:ind w:left="4320"/>
        <w:rPr>
          <w:u w:val="single"/>
        </w:rPr>
      </w:pPr>
      <w:r>
        <w:t>By:</w:t>
      </w:r>
      <w:r>
        <w:rPr>
          <w:u w:val="single"/>
        </w:rPr>
        <w:tab/>
      </w:r>
    </w:p>
    <w:p w14:paraId="291CCA3F" w14:textId="1526D225" w:rsidR="00B0557C" w:rsidRPr="00760FBE" w:rsidRDefault="0010395B" w:rsidP="00B0557C">
      <w:pPr>
        <w:ind w:left="4320"/>
        <w:jc w:val="center"/>
      </w:pPr>
      <w:r>
        <w:t>Clerk</w:t>
      </w:r>
    </w:p>
    <w:p w14:paraId="5087A0BD" w14:textId="77777777" w:rsidR="00B0557C" w:rsidRDefault="00B0557C" w:rsidP="00B0557C">
      <w:pPr>
        <w:ind w:left="4320"/>
        <w:jc w:val="center"/>
      </w:pPr>
      <w:r>
        <w:t xml:space="preserve"> </w:t>
      </w:r>
    </w:p>
    <w:p w14:paraId="7E2E41EE" w14:textId="77777777" w:rsidR="00B0557C" w:rsidRDefault="00B0557C" w:rsidP="00B0557C">
      <w:pPr>
        <w:pStyle w:val="TitleC0"/>
      </w:pPr>
      <w:r>
        <w:br w:type="page"/>
      </w:r>
      <w:r>
        <w:lastRenderedPageBreak/>
        <w:t>SCHEDULE 1</w:t>
      </w:r>
    </w:p>
    <w:p w14:paraId="4FA44E68" w14:textId="77777777" w:rsidR="00B0557C" w:rsidRDefault="00B0557C" w:rsidP="00B0557C">
      <w:pPr>
        <w:pStyle w:val="TitleC"/>
      </w:pPr>
      <w:r>
        <w:t>NOTICE OF MEETING AND AGENDA</w:t>
      </w:r>
    </w:p>
    <w:p w14:paraId="5C980E0F" w14:textId="77777777" w:rsidR="00B0557C" w:rsidRDefault="00B0557C" w:rsidP="00B0557C">
      <w:pPr>
        <w:sectPr w:rsidR="00B0557C" w:rsidSect="002F137A">
          <w:footerReference w:type="default" r:id="rId11"/>
          <w:pgSz w:w="12240" w:h="15840"/>
          <w:pgMar w:top="1440" w:right="1440" w:bottom="1440" w:left="1440" w:header="720" w:footer="720" w:gutter="0"/>
          <w:pgNumType w:start="1" w:chapStyle="9"/>
          <w:cols w:space="720"/>
          <w:titlePg/>
          <w:docGrid w:linePitch="326"/>
        </w:sectPr>
      </w:pPr>
    </w:p>
    <w:p w14:paraId="17338257" w14:textId="12F637F3" w:rsidR="00B0557C" w:rsidRPr="00407603" w:rsidRDefault="00B0557C" w:rsidP="00B0557C">
      <w:pPr>
        <w:jc w:val="center"/>
        <w:rPr>
          <w:u w:val="single"/>
        </w:rPr>
      </w:pPr>
      <w:r w:rsidRPr="00407603">
        <w:rPr>
          <w:u w:val="single"/>
        </w:rPr>
        <w:lastRenderedPageBreak/>
        <w:t xml:space="preserve">EXHIBIT </w:t>
      </w:r>
      <w:r w:rsidR="00723E0F">
        <w:rPr>
          <w:u w:val="single"/>
        </w:rPr>
        <w:t>B</w:t>
      </w:r>
    </w:p>
    <w:p w14:paraId="2E1BF8A8" w14:textId="77777777" w:rsidR="00B0557C" w:rsidRPr="00407603" w:rsidRDefault="00B0557C" w:rsidP="00B0557C">
      <w:pPr>
        <w:jc w:val="center"/>
      </w:pPr>
    </w:p>
    <w:p w14:paraId="22E9553A" w14:textId="132675D2" w:rsidR="00AD4236" w:rsidRDefault="0033739F" w:rsidP="00464D27">
      <w:pPr>
        <w:jc w:val="center"/>
      </w:pPr>
      <w:r>
        <w:t>ANNEXATION PETITION</w:t>
      </w:r>
    </w:p>
    <w:p w14:paraId="03370ADC" w14:textId="77777777" w:rsidR="002A4C97" w:rsidRDefault="002A4C97" w:rsidP="002A4C97"/>
    <w:p w14:paraId="314CEF39" w14:textId="77777777" w:rsidR="007E3E00" w:rsidRDefault="007E3E00" w:rsidP="002A4C97"/>
    <w:p w14:paraId="13E321B5" w14:textId="77777777" w:rsidR="007E3E00" w:rsidRDefault="007E3E00" w:rsidP="002A4C97">
      <w:pPr>
        <w:rPr>
          <w:b/>
          <w:bCs/>
        </w:rPr>
        <w:sectPr w:rsidR="007E3E00" w:rsidSect="002F137A">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docGrid w:linePitch="326"/>
        </w:sectPr>
      </w:pPr>
    </w:p>
    <w:p w14:paraId="13224171" w14:textId="3FDA5C02" w:rsidR="007E3E00" w:rsidRPr="00407603" w:rsidRDefault="007E3E00" w:rsidP="007E3E00">
      <w:pPr>
        <w:jc w:val="center"/>
        <w:rPr>
          <w:u w:val="single"/>
        </w:rPr>
      </w:pPr>
      <w:r w:rsidRPr="00407603">
        <w:rPr>
          <w:u w:val="single"/>
        </w:rPr>
        <w:lastRenderedPageBreak/>
        <w:t xml:space="preserve">EXHIBIT </w:t>
      </w:r>
      <w:r w:rsidR="0033739F">
        <w:rPr>
          <w:u w:val="single"/>
        </w:rPr>
        <w:t>C</w:t>
      </w:r>
    </w:p>
    <w:p w14:paraId="243552A3" w14:textId="77777777" w:rsidR="007E3E00" w:rsidRPr="00407603" w:rsidRDefault="007E3E00" w:rsidP="007E3E00">
      <w:pPr>
        <w:jc w:val="center"/>
      </w:pPr>
    </w:p>
    <w:p w14:paraId="71577741" w14:textId="3D090F7C" w:rsidR="0033739F" w:rsidRDefault="00622D5A" w:rsidP="008F32A3">
      <w:pPr>
        <w:jc w:val="center"/>
      </w:pPr>
      <w:r>
        <w:t>WITHDRAWAL PETITION</w:t>
      </w:r>
    </w:p>
    <w:p w14:paraId="5FAFBFF8" w14:textId="77777777" w:rsidR="00622D5A" w:rsidRDefault="00622D5A" w:rsidP="008F32A3">
      <w:pPr>
        <w:jc w:val="center"/>
      </w:pPr>
    </w:p>
    <w:p w14:paraId="4BD344BA" w14:textId="030075A8" w:rsidR="00622D5A" w:rsidRDefault="00622D5A">
      <w:pPr>
        <w:spacing w:after="160" w:line="259" w:lineRule="auto"/>
      </w:pPr>
      <w:r>
        <w:br w:type="page"/>
      </w:r>
    </w:p>
    <w:p w14:paraId="1289794B" w14:textId="19539BD0" w:rsidR="00622D5A" w:rsidRPr="00407603" w:rsidRDefault="00622D5A" w:rsidP="00622D5A">
      <w:pPr>
        <w:jc w:val="center"/>
        <w:rPr>
          <w:u w:val="single"/>
        </w:rPr>
      </w:pPr>
      <w:r w:rsidRPr="00407603">
        <w:rPr>
          <w:u w:val="single"/>
        </w:rPr>
        <w:lastRenderedPageBreak/>
        <w:t xml:space="preserve">EXHIBIT </w:t>
      </w:r>
      <w:r>
        <w:rPr>
          <w:u w:val="single"/>
        </w:rPr>
        <w:t>D</w:t>
      </w:r>
    </w:p>
    <w:p w14:paraId="3EFEF3F5" w14:textId="77777777" w:rsidR="00622D5A" w:rsidRPr="00407603" w:rsidRDefault="00622D5A" w:rsidP="00622D5A">
      <w:pPr>
        <w:jc w:val="center"/>
      </w:pPr>
    </w:p>
    <w:p w14:paraId="55E1E34E" w14:textId="0C61FFE6" w:rsidR="00622D5A" w:rsidRPr="00407603" w:rsidRDefault="00622D5A" w:rsidP="00622D5A">
      <w:pPr>
        <w:jc w:val="center"/>
      </w:pPr>
      <w:r>
        <w:t>NOTICE OF IMPENDING BOUNDARY ACTION - ANNEXATION</w:t>
      </w:r>
    </w:p>
    <w:p w14:paraId="43AE5897" w14:textId="55DA175A" w:rsidR="00622D5A" w:rsidRDefault="00622D5A">
      <w:pPr>
        <w:spacing w:after="160" w:line="259" w:lineRule="auto"/>
      </w:pPr>
      <w:r>
        <w:br w:type="page"/>
      </w:r>
    </w:p>
    <w:p w14:paraId="6E64593D" w14:textId="725C0983" w:rsidR="00622D5A" w:rsidRPr="00407603" w:rsidRDefault="00622D5A" w:rsidP="00622D5A">
      <w:pPr>
        <w:jc w:val="center"/>
        <w:rPr>
          <w:u w:val="single"/>
        </w:rPr>
      </w:pPr>
      <w:r w:rsidRPr="00407603">
        <w:rPr>
          <w:u w:val="single"/>
        </w:rPr>
        <w:lastRenderedPageBreak/>
        <w:t xml:space="preserve">EXHIBIT </w:t>
      </w:r>
      <w:r>
        <w:rPr>
          <w:u w:val="single"/>
        </w:rPr>
        <w:t>E</w:t>
      </w:r>
    </w:p>
    <w:p w14:paraId="1AC065BC" w14:textId="77777777" w:rsidR="00622D5A" w:rsidRPr="00407603" w:rsidRDefault="00622D5A" w:rsidP="00622D5A">
      <w:pPr>
        <w:jc w:val="center"/>
      </w:pPr>
    </w:p>
    <w:p w14:paraId="620B986A" w14:textId="55528E4C" w:rsidR="00622D5A" w:rsidRPr="00407603" w:rsidRDefault="00622D5A" w:rsidP="00622D5A">
      <w:pPr>
        <w:jc w:val="center"/>
      </w:pPr>
      <w:r>
        <w:t xml:space="preserve">NOTICE OF IMPENDING BOUNDARY ACTION - </w:t>
      </w:r>
      <w:r>
        <w:t>WITHDRAWAL</w:t>
      </w:r>
    </w:p>
    <w:p w14:paraId="2ABEC6BE" w14:textId="77777777" w:rsidR="00622D5A" w:rsidRPr="00407603" w:rsidRDefault="00622D5A" w:rsidP="008F32A3">
      <w:pPr>
        <w:jc w:val="center"/>
      </w:pPr>
    </w:p>
    <w:sectPr w:rsidR="00622D5A" w:rsidRPr="00407603" w:rsidSect="002F137A">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8B9D7" w14:textId="77777777" w:rsidR="009E0F17" w:rsidRDefault="009E0F17" w:rsidP="0087508B">
      <w:r>
        <w:separator/>
      </w:r>
    </w:p>
  </w:endnote>
  <w:endnote w:type="continuationSeparator" w:id="0">
    <w:p w14:paraId="41951AEC" w14:textId="77777777" w:rsidR="009E0F17" w:rsidRDefault="009E0F17" w:rsidP="00875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92637" w14:textId="55D554D7" w:rsidR="009E0CE0" w:rsidRDefault="00D2155D">
    <w:pPr>
      <w:pStyle w:val="Footer"/>
      <w:rPr>
        <w:rStyle w:val="DocID"/>
      </w:rPr>
    </w:pPr>
    <w:r>
      <w:rPr>
        <w:rStyle w:val="DocID"/>
      </w:rPr>
      <w:fldChar w:fldCharType="begin"/>
    </w:r>
    <w:r>
      <w:rPr>
        <w:rStyle w:val="DocID"/>
      </w:rPr>
      <w:instrText xml:space="preserve"> DOCPROPERTY "DOCID" \* MERGEFORMAT </w:instrText>
    </w:r>
    <w:r>
      <w:rPr>
        <w:rStyle w:val="DocID"/>
      </w:rPr>
      <w:fldChar w:fldCharType="separate"/>
    </w:r>
    <w:r w:rsidR="00D51C91">
      <w:rPr>
        <w:rStyle w:val="DocID"/>
        <w:b/>
        <w:bCs/>
      </w:rPr>
      <w:t>Error! Unknown document property name.</w:t>
    </w:r>
    <w:r>
      <w:rPr>
        <w:rStyle w:val="DocID"/>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67304" w14:textId="77777777" w:rsidR="007E3E00" w:rsidRDefault="007E3E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A695" w14:textId="77777777" w:rsidR="009E0CE0" w:rsidRDefault="00D2155D">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21B8E8C" w14:textId="13C163B1" w:rsidR="009E0CE0" w:rsidRDefault="009E0CE0" w:rsidP="003E46D9">
    <w:pPr>
      <w:pStyle w:val="Footer"/>
      <w:tabs>
        <w:tab w:val="clear" w:pos="4680"/>
        <w:tab w:val="clear" w:pos="9360"/>
        <w:tab w:val="center" w:pos="4320"/>
        <w:tab w:val="right" w:pos="8640"/>
      </w:tabs>
      <w:rPr>
        <w:rStyle w:val="DocID"/>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5EFAD" w14:textId="244EAE7C" w:rsidR="009E0CE0" w:rsidRDefault="009E0CE0">
    <w:pPr>
      <w:pStyle w:val="Footer"/>
      <w:tabs>
        <w:tab w:val="clear" w:pos="9360"/>
        <w:tab w:val="right" w:pos="8640"/>
      </w:tabs>
      <w:rPr>
        <w:rStyle w:val="DocID"/>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C9EB" w14:textId="77777777" w:rsidR="009E0CE0" w:rsidRDefault="00D2155D">
    <w:pPr>
      <w:pStyle w:val="Footer"/>
      <w:framePr w:wrap="auto" w:vAnchor="text" w:hAnchor="margin" w:xAlign="center" w:y="1"/>
      <w:rPr>
        <w:rStyle w:val="PageNumber"/>
      </w:rPr>
    </w:pPr>
    <w:r>
      <w:rPr>
        <w:rStyle w:val="PageNumber"/>
      </w:rPr>
      <w:t>A-</w:t>
    </w: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4CA8256C" w14:textId="01108BDC" w:rsidR="009E0CE0" w:rsidRDefault="009E0CE0" w:rsidP="003E46D9">
    <w:pPr>
      <w:pStyle w:val="Footer"/>
      <w:tabs>
        <w:tab w:val="clear" w:pos="4680"/>
        <w:tab w:val="clear" w:pos="9360"/>
        <w:tab w:val="center" w:pos="4320"/>
        <w:tab w:val="right" w:pos="8640"/>
      </w:tabs>
      <w:rPr>
        <w:rStyle w:val="DocID"/>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E7866" w14:textId="77777777" w:rsidR="009E0CE0" w:rsidRDefault="009E0CE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A43DE" w14:textId="3B205082" w:rsidR="009E0CE0" w:rsidRPr="00407603" w:rsidRDefault="00D2155D" w:rsidP="00407603">
    <w:pPr>
      <w:pStyle w:val="Footer"/>
      <w:spacing w:line="180" w:lineRule="exact"/>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1D5DC" w14:textId="77777777" w:rsidR="009E0CE0" w:rsidRDefault="009E0CE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8E5AD" w14:textId="77777777" w:rsidR="007E3E00" w:rsidRDefault="007E3E00">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0775D" w14:textId="77777777" w:rsidR="007E3E00" w:rsidRPr="00105C86" w:rsidRDefault="007E3E00" w:rsidP="003432D5">
    <w:pPr>
      <w:pStyle w:val="Footer"/>
      <w:spacing w:line="18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A87DB" w14:textId="77777777" w:rsidR="009E0F17" w:rsidRDefault="009E0F17" w:rsidP="0087508B">
      <w:r>
        <w:separator/>
      </w:r>
    </w:p>
  </w:footnote>
  <w:footnote w:type="continuationSeparator" w:id="0">
    <w:p w14:paraId="0AD7A148" w14:textId="77777777" w:rsidR="009E0F17" w:rsidRDefault="009E0F17" w:rsidP="008750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D8F7A" w14:textId="77777777" w:rsidR="009E0CE0" w:rsidRDefault="009E0CE0" w:rsidP="005E1CEC">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F90B4" w14:textId="77777777" w:rsidR="009E0CE0" w:rsidRDefault="009E0C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6675A" w14:textId="77777777" w:rsidR="009E0CE0" w:rsidRDefault="009E0CE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F728E" w14:textId="77777777" w:rsidR="009E0CE0" w:rsidRDefault="009E0CE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CF408" w14:textId="77777777" w:rsidR="007E3E00" w:rsidRDefault="007E3E0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E3687" w14:textId="77777777" w:rsidR="007E3E00" w:rsidRDefault="007E3E0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17CD7" w14:textId="77777777" w:rsidR="007E3E00" w:rsidRDefault="007E3E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1D0BAA"/>
    <w:multiLevelType w:val="multilevel"/>
    <w:tmpl w:val="C46E3614"/>
    <w:name w:val="MBA Creating Resolution"/>
    <w:lvl w:ilvl="0">
      <w:start w:val="1"/>
      <w:numFmt w:val="decimal"/>
      <w:pStyle w:val="Heading1"/>
      <w:lvlText w:val="%1."/>
      <w:lvlJc w:val="left"/>
      <w:pPr>
        <w:tabs>
          <w:tab w:val="num" w:pos="1080"/>
        </w:tabs>
        <w:ind w:firstLine="720"/>
      </w:pPr>
      <w:rPr>
        <w:rFonts w:hint="default"/>
        <w:caps w:val="0"/>
        <w:color w:val="000000"/>
        <w:u w:val="none"/>
      </w:rPr>
    </w:lvl>
    <w:lvl w:ilvl="1">
      <w:start w:val="1"/>
      <w:numFmt w:val="lowerLetter"/>
      <w:pStyle w:val="Heading2"/>
      <w:lvlText w:val="(%2)"/>
      <w:lvlJc w:val="left"/>
      <w:pPr>
        <w:tabs>
          <w:tab w:val="num" w:pos="1800"/>
        </w:tabs>
        <w:ind w:left="720" w:firstLine="720"/>
      </w:pPr>
      <w:rPr>
        <w:rFonts w:hint="default"/>
        <w:caps w:val="0"/>
        <w:color w:val="000000"/>
        <w:u w:val="none"/>
      </w:rPr>
    </w:lvl>
    <w:lvl w:ilvl="2">
      <w:start w:val="1"/>
      <w:numFmt w:val="lowerRoman"/>
      <w:pStyle w:val="Heading3"/>
      <w:lvlText w:val="(%3)"/>
      <w:lvlJc w:val="left"/>
      <w:pPr>
        <w:tabs>
          <w:tab w:val="num" w:pos="3600"/>
        </w:tabs>
        <w:ind w:left="1080" w:hanging="360"/>
      </w:pPr>
      <w:rPr>
        <w:rFonts w:hint="default"/>
        <w:caps w:val="0"/>
        <w:color w:val="000000"/>
        <w:u w:val="none"/>
      </w:rPr>
    </w:lvl>
    <w:lvl w:ilvl="3">
      <w:start w:val="1"/>
      <w:numFmt w:val="decimal"/>
      <w:pStyle w:val="Heading4"/>
      <w:lvlText w:val="(%4)"/>
      <w:lvlJc w:val="left"/>
      <w:pPr>
        <w:tabs>
          <w:tab w:val="num" w:pos="4320"/>
        </w:tabs>
        <w:ind w:left="1440" w:hanging="360"/>
      </w:pPr>
      <w:rPr>
        <w:rFonts w:hint="default"/>
        <w:caps w:val="0"/>
        <w:color w:val="000000"/>
        <w:u w:val="none"/>
      </w:rPr>
    </w:lvl>
    <w:lvl w:ilvl="4">
      <w:start w:val="1"/>
      <w:numFmt w:val="lowerLetter"/>
      <w:pStyle w:val="Heading5"/>
      <w:lvlText w:val="%5."/>
      <w:lvlJc w:val="left"/>
      <w:pPr>
        <w:tabs>
          <w:tab w:val="num" w:pos="5040"/>
        </w:tabs>
        <w:ind w:left="1800" w:hanging="360"/>
      </w:pPr>
      <w:rPr>
        <w:rFonts w:hint="default"/>
        <w:caps w:val="0"/>
        <w:color w:val="000000"/>
        <w:u w:val="none"/>
      </w:rPr>
    </w:lvl>
    <w:lvl w:ilvl="5">
      <w:start w:val="1"/>
      <w:numFmt w:val="lowerRoman"/>
      <w:pStyle w:val="Heading6"/>
      <w:lvlText w:val="%6."/>
      <w:lvlJc w:val="left"/>
      <w:pPr>
        <w:tabs>
          <w:tab w:val="num" w:pos="5760"/>
        </w:tabs>
        <w:ind w:left="2160" w:hanging="360"/>
      </w:pPr>
      <w:rPr>
        <w:rFonts w:hint="default"/>
        <w:caps w:val="0"/>
        <w:color w:val="000000"/>
        <w:u w:val="none"/>
      </w:rPr>
    </w:lvl>
    <w:lvl w:ilvl="6">
      <w:start w:val="1"/>
      <w:numFmt w:val="decimal"/>
      <w:pStyle w:val="Heading7"/>
      <w:lvlText w:val="%7)"/>
      <w:lvlJc w:val="left"/>
      <w:pPr>
        <w:tabs>
          <w:tab w:val="num" w:pos="6480"/>
        </w:tabs>
        <w:ind w:left="2520" w:hanging="360"/>
      </w:pPr>
      <w:rPr>
        <w:rFonts w:hint="default"/>
        <w:caps w:val="0"/>
        <w:color w:val="000000"/>
        <w:u w:val="none"/>
      </w:rPr>
    </w:lvl>
    <w:lvl w:ilvl="7">
      <w:start w:val="1"/>
      <w:numFmt w:val="lowerLetter"/>
      <w:pStyle w:val="Heading8"/>
      <w:lvlText w:val="%8)"/>
      <w:lvlJc w:val="left"/>
      <w:pPr>
        <w:tabs>
          <w:tab w:val="num" w:pos="7200"/>
        </w:tabs>
        <w:ind w:left="2880" w:hanging="360"/>
      </w:pPr>
      <w:rPr>
        <w:rFonts w:hint="default"/>
        <w:caps w:val="0"/>
        <w:color w:val="000000"/>
        <w:u w:val="none"/>
      </w:rPr>
    </w:lvl>
    <w:lvl w:ilvl="8">
      <w:start w:val="1"/>
      <w:numFmt w:val="upperLetter"/>
      <w:lvlRestart w:val="0"/>
      <w:pStyle w:val="Heading9"/>
      <w:suff w:val="nothing"/>
      <w:lvlText w:val="EXHIBIT “%9”"/>
      <w:lvlJc w:val="left"/>
      <w:rPr>
        <w:rFonts w:hint="default"/>
        <w:caps w:val="0"/>
        <w:color w:val="000000"/>
        <w:u w:val="single"/>
      </w:rPr>
    </w:lvl>
  </w:abstractNum>
  <w:num w:numId="1" w16cid:durableId="1879272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A06"/>
    <w:rsid w:val="00025A21"/>
    <w:rsid w:val="0004184A"/>
    <w:rsid w:val="00045081"/>
    <w:rsid w:val="00056209"/>
    <w:rsid w:val="00062EA2"/>
    <w:rsid w:val="000F11B2"/>
    <w:rsid w:val="0010395B"/>
    <w:rsid w:val="001270BE"/>
    <w:rsid w:val="00136907"/>
    <w:rsid w:val="001635A3"/>
    <w:rsid w:val="001848B1"/>
    <w:rsid w:val="00195844"/>
    <w:rsid w:val="001C03BE"/>
    <w:rsid w:val="001D47F1"/>
    <w:rsid w:val="001E54E8"/>
    <w:rsid w:val="001F689B"/>
    <w:rsid w:val="002312B3"/>
    <w:rsid w:val="0023453B"/>
    <w:rsid w:val="002740BB"/>
    <w:rsid w:val="0028370E"/>
    <w:rsid w:val="002A22A7"/>
    <w:rsid w:val="002A4C97"/>
    <w:rsid w:val="002A691D"/>
    <w:rsid w:val="002F137A"/>
    <w:rsid w:val="00300829"/>
    <w:rsid w:val="003027DB"/>
    <w:rsid w:val="00331080"/>
    <w:rsid w:val="0033739F"/>
    <w:rsid w:val="003639A7"/>
    <w:rsid w:val="0037679E"/>
    <w:rsid w:val="003C4BA6"/>
    <w:rsid w:val="003E58DA"/>
    <w:rsid w:val="0040082F"/>
    <w:rsid w:val="00414440"/>
    <w:rsid w:val="00415BE6"/>
    <w:rsid w:val="00417271"/>
    <w:rsid w:val="00464D27"/>
    <w:rsid w:val="004B2094"/>
    <w:rsid w:val="004C6311"/>
    <w:rsid w:val="00530F8C"/>
    <w:rsid w:val="00546C92"/>
    <w:rsid w:val="005549F0"/>
    <w:rsid w:val="0056762B"/>
    <w:rsid w:val="00580B76"/>
    <w:rsid w:val="005877A0"/>
    <w:rsid w:val="005B1C5B"/>
    <w:rsid w:val="005C7108"/>
    <w:rsid w:val="005F2DC0"/>
    <w:rsid w:val="00622D5A"/>
    <w:rsid w:val="00634960"/>
    <w:rsid w:val="0064681C"/>
    <w:rsid w:val="00651AB2"/>
    <w:rsid w:val="00656A7B"/>
    <w:rsid w:val="00676191"/>
    <w:rsid w:val="006D7F4D"/>
    <w:rsid w:val="00723E0F"/>
    <w:rsid w:val="00727384"/>
    <w:rsid w:val="00733C8A"/>
    <w:rsid w:val="00735A18"/>
    <w:rsid w:val="00743A22"/>
    <w:rsid w:val="00763A06"/>
    <w:rsid w:val="0079639E"/>
    <w:rsid w:val="007D4139"/>
    <w:rsid w:val="007E3E00"/>
    <w:rsid w:val="00805AB6"/>
    <w:rsid w:val="00813E03"/>
    <w:rsid w:val="00836C21"/>
    <w:rsid w:val="008552BC"/>
    <w:rsid w:val="0087508B"/>
    <w:rsid w:val="008A5CB6"/>
    <w:rsid w:val="008B6DE8"/>
    <w:rsid w:val="008F02C5"/>
    <w:rsid w:val="008F32A3"/>
    <w:rsid w:val="008F4A11"/>
    <w:rsid w:val="008F69CB"/>
    <w:rsid w:val="00913784"/>
    <w:rsid w:val="00913E66"/>
    <w:rsid w:val="00953FED"/>
    <w:rsid w:val="00960647"/>
    <w:rsid w:val="00971DB3"/>
    <w:rsid w:val="009B2D4E"/>
    <w:rsid w:val="009E0CE0"/>
    <w:rsid w:val="009E0F17"/>
    <w:rsid w:val="00A003A5"/>
    <w:rsid w:val="00A442DB"/>
    <w:rsid w:val="00A5614A"/>
    <w:rsid w:val="00A66CE9"/>
    <w:rsid w:val="00A922BA"/>
    <w:rsid w:val="00A975C0"/>
    <w:rsid w:val="00AD4236"/>
    <w:rsid w:val="00B016C2"/>
    <w:rsid w:val="00B0557C"/>
    <w:rsid w:val="00B264A3"/>
    <w:rsid w:val="00B36B90"/>
    <w:rsid w:val="00B44C04"/>
    <w:rsid w:val="00BD2AE0"/>
    <w:rsid w:val="00BE573D"/>
    <w:rsid w:val="00BF1547"/>
    <w:rsid w:val="00C50D6D"/>
    <w:rsid w:val="00C53665"/>
    <w:rsid w:val="00C5510D"/>
    <w:rsid w:val="00C70EDA"/>
    <w:rsid w:val="00C91C1D"/>
    <w:rsid w:val="00D20F59"/>
    <w:rsid w:val="00D2155D"/>
    <w:rsid w:val="00D51C91"/>
    <w:rsid w:val="00D53354"/>
    <w:rsid w:val="00D55A38"/>
    <w:rsid w:val="00D62CB8"/>
    <w:rsid w:val="00D83499"/>
    <w:rsid w:val="00DB53EB"/>
    <w:rsid w:val="00DB591D"/>
    <w:rsid w:val="00DC12D4"/>
    <w:rsid w:val="00DC1657"/>
    <w:rsid w:val="00DD444F"/>
    <w:rsid w:val="00DE76EA"/>
    <w:rsid w:val="00DF1E95"/>
    <w:rsid w:val="00DF37D9"/>
    <w:rsid w:val="00E139D0"/>
    <w:rsid w:val="00E15D30"/>
    <w:rsid w:val="00E54B32"/>
    <w:rsid w:val="00E616B3"/>
    <w:rsid w:val="00E83805"/>
    <w:rsid w:val="00EB01CD"/>
    <w:rsid w:val="00EF63B7"/>
    <w:rsid w:val="00F3658B"/>
    <w:rsid w:val="00FB0E40"/>
    <w:rsid w:val="00FC7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496AE"/>
  <w15:chartTrackingRefBased/>
  <w15:docId w15:val="{5631BE4E-FAAF-45B2-9861-9C6C5EBA1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57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0557C"/>
    <w:pPr>
      <w:numPr>
        <w:numId w:val="1"/>
      </w:numPr>
      <w:spacing w:after="240"/>
      <w:jc w:val="both"/>
      <w:outlineLvl w:val="0"/>
    </w:pPr>
  </w:style>
  <w:style w:type="paragraph" w:styleId="Heading2">
    <w:name w:val="heading 2"/>
    <w:basedOn w:val="Normal"/>
    <w:next w:val="Normal"/>
    <w:link w:val="Heading2Char"/>
    <w:qFormat/>
    <w:rsid w:val="00B0557C"/>
    <w:pPr>
      <w:numPr>
        <w:ilvl w:val="1"/>
        <w:numId w:val="1"/>
      </w:numPr>
      <w:spacing w:after="240"/>
      <w:jc w:val="both"/>
      <w:outlineLvl w:val="1"/>
    </w:pPr>
  </w:style>
  <w:style w:type="paragraph" w:styleId="Heading3">
    <w:name w:val="heading 3"/>
    <w:basedOn w:val="Normal"/>
    <w:next w:val="Normal"/>
    <w:link w:val="Heading3Char"/>
    <w:qFormat/>
    <w:rsid w:val="00B0557C"/>
    <w:pPr>
      <w:numPr>
        <w:ilvl w:val="2"/>
        <w:numId w:val="1"/>
      </w:numPr>
      <w:spacing w:after="240"/>
      <w:jc w:val="both"/>
      <w:outlineLvl w:val="2"/>
    </w:pPr>
  </w:style>
  <w:style w:type="paragraph" w:styleId="Heading4">
    <w:name w:val="heading 4"/>
    <w:basedOn w:val="Normal"/>
    <w:next w:val="Normal"/>
    <w:link w:val="Heading4Char"/>
    <w:qFormat/>
    <w:rsid w:val="00B0557C"/>
    <w:pPr>
      <w:numPr>
        <w:ilvl w:val="3"/>
        <w:numId w:val="1"/>
      </w:numPr>
      <w:tabs>
        <w:tab w:val="clear" w:pos="4320"/>
      </w:tabs>
      <w:spacing w:after="240"/>
      <w:jc w:val="both"/>
      <w:outlineLvl w:val="3"/>
    </w:pPr>
  </w:style>
  <w:style w:type="paragraph" w:styleId="Heading5">
    <w:name w:val="heading 5"/>
    <w:basedOn w:val="Normal"/>
    <w:next w:val="Normal"/>
    <w:link w:val="Heading5Char"/>
    <w:qFormat/>
    <w:rsid w:val="00B0557C"/>
    <w:pPr>
      <w:numPr>
        <w:ilvl w:val="4"/>
        <w:numId w:val="1"/>
      </w:numPr>
      <w:tabs>
        <w:tab w:val="clear" w:pos="5040"/>
      </w:tabs>
      <w:spacing w:after="240"/>
      <w:jc w:val="both"/>
      <w:outlineLvl w:val="4"/>
    </w:pPr>
  </w:style>
  <w:style w:type="paragraph" w:styleId="Heading6">
    <w:name w:val="heading 6"/>
    <w:basedOn w:val="Normal"/>
    <w:next w:val="Normal"/>
    <w:link w:val="Heading6Char"/>
    <w:qFormat/>
    <w:rsid w:val="00B0557C"/>
    <w:pPr>
      <w:numPr>
        <w:ilvl w:val="5"/>
        <w:numId w:val="1"/>
      </w:numPr>
      <w:tabs>
        <w:tab w:val="clear" w:pos="5760"/>
      </w:tabs>
      <w:spacing w:after="240"/>
      <w:jc w:val="both"/>
      <w:outlineLvl w:val="5"/>
    </w:pPr>
  </w:style>
  <w:style w:type="paragraph" w:styleId="Heading7">
    <w:name w:val="heading 7"/>
    <w:basedOn w:val="Normal"/>
    <w:next w:val="Normal"/>
    <w:link w:val="Heading7Char"/>
    <w:qFormat/>
    <w:rsid w:val="00B0557C"/>
    <w:pPr>
      <w:numPr>
        <w:ilvl w:val="6"/>
        <w:numId w:val="1"/>
      </w:numPr>
      <w:tabs>
        <w:tab w:val="clear" w:pos="6480"/>
      </w:tabs>
      <w:spacing w:after="240"/>
      <w:jc w:val="both"/>
      <w:outlineLvl w:val="6"/>
    </w:pPr>
  </w:style>
  <w:style w:type="paragraph" w:styleId="Heading8">
    <w:name w:val="heading 8"/>
    <w:basedOn w:val="Normal"/>
    <w:next w:val="Normal"/>
    <w:link w:val="Heading8Char"/>
    <w:qFormat/>
    <w:rsid w:val="00B0557C"/>
    <w:pPr>
      <w:numPr>
        <w:ilvl w:val="7"/>
        <w:numId w:val="1"/>
      </w:numPr>
      <w:tabs>
        <w:tab w:val="clear" w:pos="7200"/>
      </w:tabs>
      <w:spacing w:after="240"/>
      <w:jc w:val="both"/>
      <w:outlineLvl w:val="7"/>
    </w:pPr>
  </w:style>
  <w:style w:type="paragraph" w:styleId="Heading9">
    <w:name w:val="heading 9"/>
    <w:basedOn w:val="Normal"/>
    <w:next w:val="Normal"/>
    <w:link w:val="Heading9Char"/>
    <w:qFormat/>
    <w:rsid w:val="00B0557C"/>
    <w:pPr>
      <w:numPr>
        <w:ilvl w:val="8"/>
        <w:numId w:val="1"/>
      </w:numPr>
      <w:spacing w:after="240"/>
      <w:jc w:val="cente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0557C"/>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B0557C"/>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B0557C"/>
    <w:rPr>
      <w:rFonts w:ascii="Times New Roman" w:eastAsia="Times New Roman" w:hAnsi="Times New Roman" w:cs="Times New Roman"/>
      <w:sz w:val="24"/>
      <w:szCs w:val="24"/>
    </w:rPr>
  </w:style>
  <w:style w:type="character" w:customStyle="1" w:styleId="Heading4Char">
    <w:name w:val="Heading 4 Char"/>
    <w:basedOn w:val="DefaultParagraphFont"/>
    <w:link w:val="Heading4"/>
    <w:rsid w:val="00B0557C"/>
    <w:rPr>
      <w:rFonts w:ascii="Times New Roman" w:eastAsia="Times New Roman" w:hAnsi="Times New Roman" w:cs="Times New Roman"/>
      <w:sz w:val="24"/>
      <w:szCs w:val="24"/>
    </w:rPr>
  </w:style>
  <w:style w:type="character" w:customStyle="1" w:styleId="Heading5Char">
    <w:name w:val="Heading 5 Char"/>
    <w:basedOn w:val="DefaultParagraphFont"/>
    <w:link w:val="Heading5"/>
    <w:rsid w:val="00B0557C"/>
    <w:rPr>
      <w:rFonts w:ascii="Times New Roman" w:eastAsia="Times New Roman" w:hAnsi="Times New Roman" w:cs="Times New Roman"/>
      <w:sz w:val="24"/>
      <w:szCs w:val="24"/>
    </w:rPr>
  </w:style>
  <w:style w:type="character" w:customStyle="1" w:styleId="Heading6Char">
    <w:name w:val="Heading 6 Char"/>
    <w:basedOn w:val="DefaultParagraphFont"/>
    <w:link w:val="Heading6"/>
    <w:rsid w:val="00B0557C"/>
    <w:rPr>
      <w:rFonts w:ascii="Times New Roman" w:eastAsia="Times New Roman" w:hAnsi="Times New Roman" w:cs="Times New Roman"/>
      <w:sz w:val="24"/>
      <w:szCs w:val="24"/>
    </w:rPr>
  </w:style>
  <w:style w:type="character" w:customStyle="1" w:styleId="Heading7Char">
    <w:name w:val="Heading 7 Char"/>
    <w:basedOn w:val="DefaultParagraphFont"/>
    <w:link w:val="Heading7"/>
    <w:rsid w:val="00B0557C"/>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B0557C"/>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B0557C"/>
    <w:rPr>
      <w:rFonts w:ascii="Times New Roman" w:eastAsia="Times New Roman" w:hAnsi="Times New Roman" w:cs="Times New Roman"/>
      <w:sz w:val="24"/>
      <w:szCs w:val="24"/>
    </w:rPr>
  </w:style>
  <w:style w:type="paragraph" w:customStyle="1" w:styleId="TitleC">
    <w:name w:val="# Title C"/>
    <w:basedOn w:val="Normal"/>
    <w:next w:val="Normal"/>
    <w:rsid w:val="00B0557C"/>
    <w:pPr>
      <w:keepNext/>
      <w:spacing w:after="240"/>
      <w:jc w:val="center"/>
    </w:pPr>
  </w:style>
  <w:style w:type="paragraph" w:customStyle="1" w:styleId="TitleC0">
    <w:name w:val="# Title C _"/>
    <w:basedOn w:val="Normal"/>
    <w:next w:val="Normal"/>
    <w:rsid w:val="00B0557C"/>
    <w:pPr>
      <w:spacing w:after="240"/>
      <w:jc w:val="center"/>
    </w:pPr>
    <w:rPr>
      <w:u w:val="single"/>
    </w:rPr>
  </w:style>
  <w:style w:type="paragraph" w:customStyle="1" w:styleId="BlockInd5">
    <w:name w:val="* Block Ind .5"/>
    <w:basedOn w:val="Normal"/>
    <w:rsid w:val="00B0557C"/>
    <w:pPr>
      <w:spacing w:after="240"/>
      <w:ind w:left="720" w:right="720"/>
    </w:pPr>
  </w:style>
  <w:style w:type="paragraph" w:styleId="Header">
    <w:name w:val="header"/>
    <w:basedOn w:val="Normal"/>
    <w:link w:val="HeaderChar"/>
    <w:rsid w:val="00B0557C"/>
    <w:pPr>
      <w:tabs>
        <w:tab w:val="center" w:pos="4680"/>
        <w:tab w:val="right" w:pos="9360"/>
      </w:tabs>
    </w:pPr>
  </w:style>
  <w:style w:type="character" w:customStyle="1" w:styleId="HeaderChar">
    <w:name w:val="Header Char"/>
    <w:basedOn w:val="DefaultParagraphFont"/>
    <w:link w:val="Header"/>
    <w:rsid w:val="00B0557C"/>
    <w:rPr>
      <w:rFonts w:ascii="Times New Roman" w:eastAsia="Times New Roman" w:hAnsi="Times New Roman" w:cs="Times New Roman"/>
      <w:sz w:val="24"/>
      <w:szCs w:val="24"/>
    </w:rPr>
  </w:style>
  <w:style w:type="paragraph" w:styleId="Footer">
    <w:name w:val="footer"/>
    <w:basedOn w:val="Normal"/>
    <w:link w:val="FooterChar"/>
    <w:rsid w:val="00B0557C"/>
    <w:pPr>
      <w:tabs>
        <w:tab w:val="center" w:pos="4680"/>
        <w:tab w:val="right" w:pos="9360"/>
      </w:tabs>
    </w:pPr>
  </w:style>
  <w:style w:type="character" w:customStyle="1" w:styleId="FooterChar">
    <w:name w:val="Footer Char"/>
    <w:basedOn w:val="DefaultParagraphFont"/>
    <w:link w:val="Footer"/>
    <w:rsid w:val="00B0557C"/>
    <w:rPr>
      <w:rFonts w:ascii="Times New Roman" w:eastAsia="Times New Roman" w:hAnsi="Times New Roman" w:cs="Times New Roman"/>
      <w:sz w:val="24"/>
      <w:szCs w:val="24"/>
    </w:rPr>
  </w:style>
  <w:style w:type="paragraph" w:customStyle="1" w:styleId="BodyText5">
    <w:name w:val="* Body Text .5"/>
    <w:basedOn w:val="Normal"/>
    <w:link w:val="BodyText5Char"/>
    <w:autoRedefine/>
    <w:rsid w:val="00651AB2"/>
    <w:pPr>
      <w:spacing w:after="240"/>
      <w:ind w:firstLine="720"/>
      <w:jc w:val="both"/>
    </w:pPr>
  </w:style>
  <w:style w:type="character" w:customStyle="1" w:styleId="DocID">
    <w:name w:val="DocID"/>
    <w:rsid w:val="00B0557C"/>
    <w:rPr>
      <w:rFonts w:ascii="Arial" w:hAnsi="Arial" w:cs="Arial"/>
      <w:sz w:val="16"/>
      <w:szCs w:val="16"/>
    </w:rPr>
  </w:style>
  <w:style w:type="character" w:styleId="PageNumber">
    <w:name w:val="page number"/>
    <w:basedOn w:val="DefaultParagraphFont"/>
    <w:rsid w:val="00B0557C"/>
  </w:style>
  <w:style w:type="character" w:customStyle="1" w:styleId="BodyText5Char">
    <w:name w:val="* Body Text .5 Char"/>
    <w:link w:val="BodyText5"/>
    <w:rsid w:val="00651AB2"/>
    <w:rPr>
      <w:rFonts w:ascii="Times New Roman" w:eastAsia="Times New Roman" w:hAnsi="Times New Roman" w:cs="Times New Roman"/>
      <w:sz w:val="24"/>
      <w:szCs w:val="24"/>
    </w:rPr>
  </w:style>
  <w:style w:type="paragraph" w:styleId="NoSpacing">
    <w:name w:val="No Spacing"/>
    <w:uiPriority w:val="1"/>
    <w:qFormat/>
    <w:rsid w:val="00A442DB"/>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footer" Target="footer9.xml"/><Relationship Id="rId7" Type="http://schemas.openxmlformats.org/officeDocument/2006/relationships/footer" Target="footer1.xml"/><Relationship Id="rId12" Type="http://schemas.openxmlformats.org/officeDocument/2006/relationships/header" Target="header2.xml"/><Relationship Id="rId17" Type="http://schemas.openxmlformats.org/officeDocument/2006/relationships/footer" Target="footer7.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footer" Target="footer10.xml"/><Relationship Id="rId10" Type="http://schemas.openxmlformats.org/officeDocument/2006/relationships/footer" Target="footer3.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5.xml"/><Relationship Id="rId22"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14</Pages>
  <Words>2721</Words>
  <Characters>13823</Characters>
  <Application>Microsoft Office Word</Application>
  <DocSecurity>0</DocSecurity>
  <Lines>287</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Devin Snow</dc:creator>
  <cp:keywords/>
  <dc:description/>
  <cp:lastModifiedBy>Matt Ence</cp:lastModifiedBy>
  <cp:revision>3</cp:revision>
  <cp:lastPrinted>2023-03-22T19:45:00Z</cp:lastPrinted>
  <dcterms:created xsi:type="dcterms:W3CDTF">2026-04-30T15:29:00Z</dcterms:created>
  <dcterms:modified xsi:type="dcterms:W3CDTF">2026-04-30T15:50:00Z</dcterms:modified>
</cp:coreProperties>
</file>