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4ED3" w14:textId="2F455B05" w:rsidR="00BE573D" w:rsidRDefault="00BE573D">
      <w:pPr>
        <w:spacing w:after="160" w:line="259" w:lineRule="auto"/>
      </w:pPr>
    </w:p>
    <w:p w14:paraId="2D0D9AD9" w14:textId="3BFC10C9" w:rsidR="00B0557C" w:rsidRDefault="00B0557C" w:rsidP="00B0557C">
      <w:pPr>
        <w:pStyle w:val="TitleC"/>
      </w:pPr>
      <w:r>
        <w:t xml:space="preserve">RESOLUTION NO. </w:t>
      </w:r>
      <w:r w:rsidR="00743A22">
        <w:t>202</w:t>
      </w:r>
      <w:r w:rsidR="00E139D0">
        <w:t>6</w:t>
      </w:r>
      <w:r w:rsidR="0064681C">
        <w:t>-0</w:t>
      </w:r>
      <w:r w:rsidR="00E139D0">
        <w:t>1</w:t>
      </w:r>
    </w:p>
    <w:p w14:paraId="7DFA47C0" w14:textId="1577C4B0" w:rsidR="00B0557C" w:rsidRDefault="00B0557C" w:rsidP="00B0557C">
      <w:pPr>
        <w:pStyle w:val="BlockInd5"/>
        <w:jc w:val="both"/>
      </w:pPr>
      <w:bookmarkStart w:id="0"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64681C">
        <w:t>OCULTA ROCA</w:t>
      </w:r>
      <w:r w:rsidR="008F69CB">
        <w:t xml:space="preserve"> PUBLIC INFRASTRUCTURE DISTRICT</w:t>
      </w:r>
      <w:r w:rsidR="0087508B">
        <w:t xml:space="preserve"> </w:t>
      </w:r>
      <w:r w:rsidR="008F32A3">
        <w:t xml:space="preserve">NO. </w:t>
      </w:r>
      <w:r w:rsidR="0064681C">
        <w:t>2</w:t>
      </w:r>
      <w:r w:rsidR="008F32A3">
        <w:t xml:space="preserve"> </w:t>
      </w:r>
      <w:r w:rsidR="0087508B">
        <w:t>(</w:t>
      </w:r>
      <w:r>
        <w:t>THE “</w:t>
      </w:r>
      <w:r w:rsidR="0087508B">
        <w:t>DISTRICT</w:t>
      </w:r>
      <w:r w:rsidRPr="00BF4A7F">
        <w:t>”)</w:t>
      </w:r>
      <w:r>
        <w:t xml:space="preserve"> </w:t>
      </w:r>
      <w:r w:rsidR="002A22A7">
        <w:t xml:space="preserve">TO </w:t>
      </w:r>
      <w:r w:rsidR="00733C8A">
        <w:t>CERTIFY A PETITION FOR ANNEXING</w:t>
      </w:r>
      <w:r w:rsidR="0087508B">
        <w:t xml:space="preserve"> APPROXIMATELY </w:t>
      </w:r>
      <w:r w:rsidR="00E139D0">
        <w:t>105.096</w:t>
      </w:r>
      <w:r w:rsidR="00F3658B">
        <w:t xml:space="preserve"> </w:t>
      </w:r>
      <w:r w:rsidR="0087508B">
        <w:t>ACRES</w:t>
      </w:r>
      <w:r w:rsidR="00733C8A">
        <w:t xml:space="preserve"> INTO THE DISTRICT</w:t>
      </w:r>
      <w:r>
        <w:t>;</w:t>
      </w:r>
      <w:r w:rsidR="00F3658B">
        <w:t xml:space="preserve"> AUTHORIZING </w:t>
      </w:r>
      <w:r w:rsidR="00B44C04">
        <w:t>THE</w:t>
      </w:r>
      <w:bookmarkEnd w:id="0"/>
      <w:r w:rsidR="002A4C97">
        <w:t xml:space="preserve"> PLAT AND OTHER DOCUMENTS IN CONNECTION THEREWITH; AUTHORIZING THE PUBLICATION OF NOTICE OF THIS RESOLUTION</w:t>
      </w:r>
      <w:r w:rsidR="00BE573D">
        <w:t xml:space="preserve">; </w:t>
      </w:r>
      <w:r>
        <w:t>AND RELATED MATTERS</w:t>
      </w:r>
    </w:p>
    <w:p w14:paraId="0CED1311" w14:textId="2738AE7F" w:rsidR="00E54B32" w:rsidRDefault="002A4C97" w:rsidP="00651AB2">
      <w:pPr>
        <w:pStyle w:val="BodyText5"/>
      </w:pPr>
      <w:r w:rsidRPr="001D5CF1">
        <w:t xml:space="preserve">WHEREAS, a petition (the “Petition”) </w:t>
      </w:r>
      <w:r w:rsidR="008F32A3">
        <w:t>is anticipated to be filed</w:t>
      </w:r>
      <w:r w:rsidRPr="001D5CF1">
        <w:t xml:space="preserve"> with</w:t>
      </w:r>
      <w:r>
        <w:t xml:space="preserve"> the District requesting and consenting to the annexation of approximately </w:t>
      </w:r>
      <w:r w:rsidR="00E139D0">
        <w:t>105.096</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6A31DA30" w:rsidR="00E54B32" w:rsidRDefault="00B0557C" w:rsidP="00651AB2">
      <w:pPr>
        <w:pStyle w:val="BodyText5"/>
      </w:pPr>
      <w:proofErr w:type="gramStart"/>
      <w:r>
        <w:t>WHEREAS,</w:t>
      </w:r>
      <w:proofErr w:type="gramEnd"/>
      <w:r w:rsidR="00E54B32">
        <w:t xml:space="preserve"> the Petition </w:t>
      </w:r>
      <w:r w:rsidR="008F32A3">
        <w:t>is anticipated to contain</w:t>
      </w:r>
      <w:r w:rsidR="00E54B32">
        <w:t xml:space="preserve"> the consenting signatures of 100% of the surface property owners (hereafter the “Property Owners”) within the area proposed to be annexed; and</w:t>
      </w:r>
    </w:p>
    <w:p w14:paraId="76944E00" w14:textId="4697C447" w:rsidR="00E54B32" w:rsidRDefault="00E54B32" w:rsidP="00651AB2">
      <w:pPr>
        <w:pStyle w:val="BodyText5"/>
      </w:pPr>
      <w:proofErr w:type="gramStart"/>
      <w:r>
        <w:t>WHEREAS,</w:t>
      </w:r>
      <w:proofErr w:type="gramEnd"/>
      <w:r>
        <w:t xml:space="preserve"> there are no registered voters within the area to be </w:t>
      </w:r>
      <w:proofErr w:type="gramStart"/>
      <w:r>
        <w:t>annexed;</w:t>
      </w:r>
      <w:proofErr w:type="gramEnd"/>
    </w:p>
    <w:p w14:paraId="4751AB0A" w14:textId="6F27A1B2" w:rsidR="00E54B32" w:rsidRDefault="00E54B32" w:rsidP="00651AB2">
      <w:pPr>
        <w:pStyle w:val="BodyText5"/>
      </w:pPr>
      <w:r>
        <w:t>WHEREAS, the area to be annexed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1DA24528" w:rsidR="002A4C97" w:rsidRDefault="002A4C97" w:rsidP="00651AB2">
      <w:pPr>
        <w:pStyle w:val="BodyText5"/>
      </w:pPr>
      <w:r>
        <w:t>WHEREAS, with the filing of the Petition, the Act allows the District to annex the Property by adopting a resolution to annex the area, provided that the governing document of the District (hereafter the “Governing Document”) allows for the annexation; and</w:t>
      </w:r>
    </w:p>
    <w:p w14:paraId="0525E758" w14:textId="20AEF1BE" w:rsidR="002A4C97" w:rsidRDefault="002A4C97" w:rsidP="00651AB2">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annex property without seeking further consent or approval from the </w:t>
      </w:r>
      <w:proofErr w:type="gramStart"/>
      <w:r>
        <w:t>District’s</w:t>
      </w:r>
      <w:proofErr w:type="gramEnd"/>
      <w:r>
        <w:t xml:space="preserve"> creating entity; and</w:t>
      </w:r>
    </w:p>
    <w:p w14:paraId="1A28CC46" w14:textId="77777777" w:rsidR="002A4C97" w:rsidRDefault="002A4C97" w:rsidP="00651AB2">
      <w:pPr>
        <w:pStyle w:val="BodyText5"/>
      </w:pPr>
      <w:proofErr w:type="gramStart"/>
      <w:r>
        <w:t>WHEREAS,</w:t>
      </w:r>
      <w:proofErr w:type="gramEnd"/>
      <w:r>
        <w:t xml:space="preserve"> the Property is within the allowable future annexation area as defined in the Governing Document; and</w:t>
      </w:r>
    </w:p>
    <w:p w14:paraId="347AC093" w14:textId="661EB205" w:rsidR="00B0557C" w:rsidRPr="00CD0AA8" w:rsidRDefault="002A4C97" w:rsidP="00651AB2">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to be attached </w:t>
      </w:r>
      <w:r w:rsidR="00A922BA">
        <w:t>to the Boundary Notice</w:t>
      </w:r>
      <w:r>
        <w:t xml:space="preserve"> upon finalization </w:t>
      </w:r>
      <w:r w:rsidRPr="00A922BA">
        <w:t xml:space="preserve">as </w:t>
      </w:r>
      <w:r w:rsidR="00A922BA" w:rsidRPr="00A922BA">
        <w:t xml:space="preserve">Exhibit B </w:t>
      </w:r>
      <w:r>
        <w:t>(the “Annexation Plat”)</w:t>
      </w:r>
      <w:r w:rsidRPr="00CD0AA8">
        <w:t>.</w:t>
      </w:r>
    </w:p>
    <w:p w14:paraId="643A8ECF" w14:textId="61999E77" w:rsidR="00B0557C" w:rsidRDefault="00B0557C" w:rsidP="00651AB2">
      <w:pPr>
        <w:pStyle w:val="BodyText5"/>
      </w:pPr>
      <w:r>
        <w:t xml:space="preserve">NOW, THEREFORE, BE IT RESOLVED BY THE </w:t>
      </w:r>
      <w:r w:rsidR="005C7108">
        <w:t>DISTRICT</w:t>
      </w:r>
      <w:r>
        <w:t>, AS FOLLOWS:</w:t>
      </w:r>
    </w:p>
    <w:p w14:paraId="798032F7" w14:textId="77777777" w:rsidR="002A4C97" w:rsidRDefault="002A4C97" w:rsidP="002A4C97">
      <w:pPr>
        <w:pStyle w:val="Heading1"/>
        <w:tabs>
          <w:tab w:val="clear" w:pos="1080"/>
        </w:tabs>
      </w:pPr>
      <w:r>
        <w:t xml:space="preserve">Terms defined in the foregoing recitals shall have the same meaning when used herein.  All action heretofore taken (not inconsistent with the provisions of this Resolution) by the </w:t>
      </w:r>
      <w:r>
        <w:lastRenderedPageBreak/>
        <w:t>Board and by officers of the Board directed toward the annexation of the Property, are hereby ratified, approved and confirmed.</w:t>
      </w:r>
    </w:p>
    <w:p w14:paraId="463039EC" w14:textId="566407DA" w:rsidR="002A4C97" w:rsidRPr="00BE573D" w:rsidRDefault="002A4C97" w:rsidP="002A4C97">
      <w:pPr>
        <w:pStyle w:val="Heading1"/>
        <w:tabs>
          <w:tab w:val="clear" w:pos="1080"/>
        </w:tabs>
      </w:pPr>
      <w:r>
        <w:t xml:space="preserve">The Property, which is particularly described and shown on the Annexation Plat, is hereby annexed into the </w:t>
      </w:r>
      <w:proofErr w:type="gramStart"/>
      <w:r>
        <w:t>District</w:t>
      </w:r>
      <w:proofErr w:type="gramEnd"/>
      <w:r w:rsidR="0064681C">
        <w:t>, conditioned on receipt of the Petition as described above</w:t>
      </w:r>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77777777" w:rsidR="002A4C97" w:rsidRDefault="002A4C97" w:rsidP="002A4C97">
      <w:pPr>
        <w:jc w:val="center"/>
      </w:pPr>
      <w:r>
        <w:t>NOTICE OF DISTRICT ANNEXATION</w:t>
      </w:r>
    </w:p>
    <w:p w14:paraId="66F66399" w14:textId="77777777" w:rsidR="002A4C97" w:rsidRDefault="002A4C97" w:rsidP="002A4C97"/>
    <w:p w14:paraId="1557E310" w14:textId="5C33527C" w:rsidR="002A4C97" w:rsidRPr="00B36B90" w:rsidRDefault="002A4C97" w:rsidP="002A4C97">
      <w:r>
        <w:t xml:space="preserve">NOTICE IS HEREBY GIVEN pursuant to Section 313, Chapter 1, Title 17B, Utah Code Annotated 1953, that on </w:t>
      </w:r>
      <w:r w:rsidR="00E139D0">
        <w:t>April 24, 2026</w:t>
      </w:r>
      <w:r>
        <w:t xml:space="preserve">, the Board of Trustees (the “Board”) of </w:t>
      </w:r>
      <w:proofErr w:type="spellStart"/>
      <w:r w:rsidR="0064681C">
        <w:t>Oculta</w:t>
      </w:r>
      <w:proofErr w:type="spellEnd"/>
      <w:r w:rsidR="0064681C">
        <w:t xml:space="preserve"> Roca</w:t>
      </w:r>
      <w:r>
        <w:t xml:space="preserve"> Public Infrastructure District </w:t>
      </w:r>
      <w:r w:rsidR="0064681C">
        <w:t>No. 2</w:t>
      </w:r>
      <w:r w:rsidR="008F32A3">
        <w:t xml:space="preserve"> </w:t>
      </w:r>
      <w:r>
        <w:t xml:space="preserve">(the “District”) adopted a resolution to annex the following </w:t>
      </w:r>
      <w:r w:rsidRPr="00B36B90">
        <w:t xml:space="preserve">particularly described property in </w:t>
      </w:r>
      <w:r w:rsidR="0064681C">
        <w:t>Washington</w:t>
      </w:r>
      <w:r w:rsidRPr="00B36B90">
        <w:t xml:space="preserve"> County, State of Utah:</w:t>
      </w:r>
    </w:p>
    <w:p w14:paraId="67AEA7AA" w14:textId="77777777" w:rsidR="002A4C97" w:rsidRPr="00B36B90" w:rsidRDefault="002A4C97" w:rsidP="00B36B90">
      <w:pPr>
        <w:ind w:left="720"/>
        <w:rPr>
          <w:sz w:val="22"/>
          <w:szCs w:val="22"/>
        </w:rPr>
      </w:pPr>
    </w:p>
    <w:p w14:paraId="259C82BE" w14:textId="77777777" w:rsidR="00E139D0" w:rsidRPr="00F911E7" w:rsidRDefault="00E139D0" w:rsidP="00E139D0">
      <w:pPr>
        <w:ind w:left="720" w:right="720"/>
      </w:pPr>
      <w:r w:rsidRPr="00F911E7">
        <w:t xml:space="preserve">A PARCEL OF LAND LOCATED IN THE WEST HALF OF SECTION 27, TOWNSHIP 42 SOUTH, RANGE 12 WEST OF THE SALT LAKE BASE AND MERIDIAN, WASHINGTON COUNTY, UTAH AND BEING MORE PARTICULARLY DESCRIBED AS FOLLOWS: </w:t>
      </w:r>
    </w:p>
    <w:p w14:paraId="00507BC8" w14:textId="77777777" w:rsidR="00E139D0" w:rsidRPr="00F911E7" w:rsidRDefault="00E139D0" w:rsidP="00E139D0">
      <w:pPr>
        <w:ind w:left="720" w:right="720"/>
      </w:pPr>
      <w:r w:rsidRPr="00F911E7">
        <w:t xml:space="preserve">BEGINNING AT THE SOUTH QUARTER CORNER OF SAID SECTION 27 MARKED BY AN IRON PIPE, WHENCE THE SOUTHWEST CORNER OF SAID SECTION 27, MARKED BY A 2.5 INCH 1909 GLO BRASS CAP BEARS SOUTH 89°53'26" WEST A DISTANCE OF 2638.12 FEET, SAID LINE FORMING THE BASIS OF BEARINGS FOR THIS </w:t>
      </w:r>
      <w:proofErr w:type="gramStart"/>
      <w:r w:rsidRPr="00F911E7">
        <w:t>DESCRIPTION;</w:t>
      </w:r>
      <w:proofErr w:type="gramEnd"/>
      <w:r w:rsidRPr="00F911E7">
        <w:t xml:space="preserve"> </w:t>
      </w:r>
    </w:p>
    <w:p w14:paraId="2AA96972" w14:textId="77777777" w:rsidR="00E139D0" w:rsidRPr="00F911E7" w:rsidRDefault="00E139D0" w:rsidP="00E139D0">
      <w:pPr>
        <w:ind w:left="720" w:right="720"/>
      </w:pPr>
      <w:r w:rsidRPr="00F911E7">
        <w:t>THENCE SOUTH 89°53'26" WEST ALONG THE SOUTHERLY LINE OF THE SOUTHWEST QUARTER OF SAID SECTION 27 A DISTANCE OF 1557.69 FEET TO A NO. 4 REBAR WITH PLASTIC CAP STAMPED "CORNERPOINT</w:t>
      </w:r>
      <w:proofErr w:type="gramStart"/>
      <w:r w:rsidRPr="00F911E7">
        <w:t>";</w:t>
      </w:r>
      <w:proofErr w:type="gramEnd"/>
      <w:r w:rsidRPr="00F911E7">
        <w:t xml:space="preserve"> </w:t>
      </w:r>
    </w:p>
    <w:p w14:paraId="403F0053" w14:textId="77777777" w:rsidR="00E139D0" w:rsidRPr="00F911E7" w:rsidRDefault="00E139D0" w:rsidP="00E139D0">
      <w:pPr>
        <w:ind w:left="720" w:right="720"/>
      </w:pPr>
      <w:r w:rsidRPr="00F911E7">
        <w:t xml:space="preserve">THENCE NORTH 00°04'41" WEST ALONG THE LINE COMMON TO PARCELS AV-2194-D-OR1 AND AV-2194-C A DISTANCE OF 2639.07 FEET TO THE NORTHERLY LINE OF SAID SOUTHWEST QUARTER, MARKED BY A MAG NAIL IN </w:t>
      </w:r>
      <w:proofErr w:type="gramStart"/>
      <w:r w:rsidRPr="00F911E7">
        <w:t>CONCRETE;</w:t>
      </w:r>
      <w:proofErr w:type="gramEnd"/>
      <w:r w:rsidRPr="00F911E7">
        <w:t xml:space="preserve"> </w:t>
      </w:r>
    </w:p>
    <w:p w14:paraId="4BFC4412" w14:textId="77777777" w:rsidR="00E139D0" w:rsidRPr="00F911E7" w:rsidRDefault="00E139D0" w:rsidP="00E139D0">
      <w:pPr>
        <w:ind w:left="720" w:right="720"/>
      </w:pPr>
      <w:r w:rsidRPr="00F911E7">
        <w:t xml:space="preserve">THENCE NORTH 89°54'46" EAST ALONG SAID NORTHERLY LINE A DISTANCE OF 560.03 FEET TO THE LINE COMMON TO PARCELS AV-2-2-27-432-OR2 AND AV-2194-A A DISTANCE OF 560.03 </w:t>
      </w:r>
      <w:proofErr w:type="gramStart"/>
      <w:r w:rsidRPr="00F911E7">
        <w:t>FEET;</w:t>
      </w:r>
      <w:proofErr w:type="gramEnd"/>
      <w:r w:rsidRPr="00F911E7">
        <w:t xml:space="preserve"> </w:t>
      </w:r>
    </w:p>
    <w:p w14:paraId="27CC512A" w14:textId="77777777" w:rsidR="00E139D0" w:rsidRPr="00F911E7" w:rsidRDefault="00E139D0" w:rsidP="00E139D0">
      <w:pPr>
        <w:ind w:left="720" w:right="720"/>
      </w:pPr>
      <w:r w:rsidRPr="00F911E7">
        <w:t>THENCE ALONG SAID COMMON LINE THE FOLLOWING THREE (3) COURSES:</w:t>
      </w:r>
    </w:p>
    <w:p w14:paraId="64527DF0" w14:textId="77777777" w:rsidR="00E139D0" w:rsidRPr="00F911E7" w:rsidRDefault="00E139D0" w:rsidP="00E139D0">
      <w:pPr>
        <w:ind w:left="720" w:right="720"/>
      </w:pPr>
      <w:r w:rsidRPr="00F911E7">
        <w:t>1.</w:t>
      </w:r>
      <w:r w:rsidRPr="00F911E7">
        <w:tab/>
        <w:t xml:space="preserve">NORTH 00°05'35" WEST A DISTANCE OF 184.53 </w:t>
      </w:r>
      <w:proofErr w:type="gramStart"/>
      <w:r w:rsidRPr="00F911E7">
        <w:t>FEET;</w:t>
      </w:r>
      <w:proofErr w:type="gramEnd"/>
    </w:p>
    <w:p w14:paraId="4BB65D8B" w14:textId="77777777" w:rsidR="00E139D0" w:rsidRPr="00F911E7" w:rsidRDefault="00E139D0" w:rsidP="00E139D0">
      <w:pPr>
        <w:ind w:left="720" w:right="720"/>
      </w:pPr>
      <w:r w:rsidRPr="00F911E7">
        <w:t>2.</w:t>
      </w:r>
      <w:r w:rsidRPr="00F911E7">
        <w:tab/>
        <w:t xml:space="preserve">THENCE NORTH 59°58'36" EAST A DISTANCE OF 400.04 </w:t>
      </w:r>
      <w:proofErr w:type="gramStart"/>
      <w:r w:rsidRPr="00F911E7">
        <w:t>FEET;</w:t>
      </w:r>
      <w:proofErr w:type="gramEnd"/>
    </w:p>
    <w:p w14:paraId="2E2F72EA" w14:textId="77777777" w:rsidR="00E139D0" w:rsidRPr="00F911E7" w:rsidRDefault="00E139D0" w:rsidP="00E139D0">
      <w:pPr>
        <w:ind w:left="720" w:right="720"/>
      </w:pPr>
      <w:r w:rsidRPr="00F911E7">
        <w:t>3.</w:t>
      </w:r>
      <w:r w:rsidRPr="00F911E7">
        <w:tab/>
        <w:t>THENCE SOUTH 00°12'38" EAST A DISTANCE OF 15.25 FEET TO THE LINE COMMON TO PARCELS AV-2-2-27-432-OR2 AND AV-2194-B-</w:t>
      </w:r>
      <w:proofErr w:type="gramStart"/>
      <w:r w:rsidRPr="00F911E7">
        <w:t>OR1;</w:t>
      </w:r>
      <w:proofErr w:type="gramEnd"/>
    </w:p>
    <w:p w14:paraId="6D58578B" w14:textId="77777777" w:rsidR="00E139D0" w:rsidRPr="00F911E7" w:rsidRDefault="00E139D0" w:rsidP="00E139D0">
      <w:pPr>
        <w:ind w:left="720" w:right="720"/>
      </w:pPr>
      <w:r w:rsidRPr="00F911E7">
        <w:t xml:space="preserve">THENCE NORTH 58°57'16" EAST ALONG SAID COMMON LINE A DISTANCE OF 760.45 FEET TO THE NORTH-SOUTH CENTERLINE OF SAID SECTION 27 AND A NO. 4 </w:t>
      </w:r>
      <w:proofErr w:type="gramStart"/>
      <w:r w:rsidRPr="00F911E7">
        <w:t>REBAR;</w:t>
      </w:r>
      <w:proofErr w:type="gramEnd"/>
      <w:r w:rsidRPr="00F911E7">
        <w:t xml:space="preserve"> </w:t>
      </w:r>
    </w:p>
    <w:p w14:paraId="712355D8" w14:textId="77777777" w:rsidR="00E139D0" w:rsidRPr="00F911E7" w:rsidRDefault="00E139D0" w:rsidP="00E139D0">
      <w:pPr>
        <w:ind w:left="720" w:right="720"/>
      </w:pPr>
      <w:r w:rsidRPr="00F911E7">
        <w:t xml:space="preserve">THENCE SOUTH 00°03'39" EAST ALONG SAID CENTERLINE A DISTANCE OF 3398.57 FEET TO THE POINT OF BEGINNING. </w:t>
      </w:r>
    </w:p>
    <w:p w14:paraId="73A14450" w14:textId="77777777" w:rsidR="00E139D0" w:rsidRDefault="00E139D0" w:rsidP="00E139D0">
      <w:pPr>
        <w:ind w:left="720" w:right="720"/>
      </w:pPr>
    </w:p>
    <w:p w14:paraId="0CC6B337" w14:textId="77777777" w:rsidR="00E139D0" w:rsidRDefault="00E139D0" w:rsidP="00E139D0">
      <w:pPr>
        <w:ind w:left="720" w:right="720"/>
      </w:pPr>
      <w:r w:rsidRPr="00F911E7">
        <w:t>SAID PARCEL CONTAINS 4,577,992 SQUARE FEET OR 105.096 ACRES.</w:t>
      </w:r>
    </w:p>
    <w:p w14:paraId="3DD60C16" w14:textId="77777777" w:rsidR="00E139D0" w:rsidRDefault="00E139D0" w:rsidP="00E139D0">
      <w:pPr>
        <w:ind w:left="720" w:right="720"/>
      </w:pPr>
    </w:p>
    <w:p w14:paraId="579A904B" w14:textId="77777777" w:rsidR="00E139D0" w:rsidRPr="00F911E7" w:rsidRDefault="00E139D0" w:rsidP="00E139D0">
      <w:pPr>
        <w:ind w:left="720" w:right="720"/>
      </w:pPr>
      <w:r>
        <w:t>PARCEL NOS. AV-2194-A, AV-2194-B-OR1, AV-2194-D-OR1</w:t>
      </w:r>
    </w:p>
    <w:p w14:paraId="1F201FA7" w14:textId="77777777" w:rsidR="00960647" w:rsidRPr="00B36B90" w:rsidRDefault="00960647" w:rsidP="00960647">
      <w:pPr>
        <w:ind w:left="720"/>
        <w:rPr>
          <w:sz w:val="22"/>
          <w:szCs w:val="22"/>
        </w:rPr>
      </w:pPr>
    </w:p>
    <w:p w14:paraId="6EB7311A" w14:textId="77777777" w:rsidR="002A4C97" w:rsidRPr="00AB2932" w:rsidRDefault="002A4C97" w:rsidP="00651AB2">
      <w:pPr>
        <w:pStyle w:val="BodyText5"/>
      </w:pPr>
      <w:r>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30-Day-Contest Period. </w:t>
      </w:r>
    </w:p>
    <w:p w14:paraId="04E3A70A" w14:textId="2D6A7B92"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the Annexation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A04491E" w:rsidR="002A4C97" w:rsidRDefault="002A4C97" w:rsidP="002A4C97">
      <w:pPr>
        <w:pStyle w:val="Heading1"/>
        <w:tabs>
          <w:tab w:val="clear" w:pos="1080"/>
        </w:tabs>
      </w:pPr>
      <w:r>
        <w:t xml:space="preserve">Prior to certification of the annexation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7F2E922B" w:rsidR="00B0557C" w:rsidRPr="003D1FB5"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43FA6B1F" w14:textId="77777777" w:rsidR="00B0557C" w:rsidRPr="00D02CED" w:rsidRDefault="00B0557C" w:rsidP="00B0557C"/>
    <w:p w14:paraId="78EC4CA4" w14:textId="00F4E30C" w:rsidR="00B0557C" w:rsidRDefault="00B0557C" w:rsidP="00651AB2">
      <w:pPr>
        <w:pStyle w:val="BodyText5"/>
      </w:pPr>
      <w:r>
        <w:br w:type="page"/>
      </w:r>
      <w:r>
        <w:lastRenderedPageBreak/>
        <w:t xml:space="preserve">PASSED AND ADOPTED by the </w:t>
      </w:r>
      <w:r w:rsidR="001270BE">
        <w:t xml:space="preserve">Board of Trustees of </w:t>
      </w:r>
      <w:proofErr w:type="spellStart"/>
      <w:r w:rsidR="0064681C">
        <w:t>Oculta</w:t>
      </w:r>
      <w:proofErr w:type="spellEnd"/>
      <w:r w:rsidR="0064681C">
        <w:t xml:space="preserve"> Roca</w:t>
      </w:r>
      <w:r w:rsidR="008F69CB">
        <w:t xml:space="preserve"> Public Infrastructure District</w:t>
      </w:r>
      <w:r>
        <w:t xml:space="preserve"> </w:t>
      </w:r>
      <w:r w:rsidR="0064681C">
        <w:t>No. 2</w:t>
      </w:r>
      <w:r w:rsidR="008F32A3">
        <w:t xml:space="preserve"> </w:t>
      </w:r>
      <w:r w:rsidR="002A4C97">
        <w:t>effective as of the Effective Date set forth above</w:t>
      </w:r>
      <w:r>
        <w:t>.</w:t>
      </w:r>
    </w:p>
    <w:p w14:paraId="1C451B41" w14:textId="7EACA6F9" w:rsidR="00B0557C" w:rsidRDefault="0064681C" w:rsidP="00B0557C">
      <w:pPr>
        <w:ind w:left="4320"/>
      </w:pPr>
      <w:r>
        <w:t>OCULTA ROCA</w:t>
      </w:r>
      <w:r w:rsidR="008F69CB">
        <w:t xml:space="preserve"> PUBLIC INFRASTRUCTURE DISTRICT</w:t>
      </w:r>
      <w:r w:rsidR="008F32A3">
        <w:t xml:space="preserve"> </w:t>
      </w:r>
      <w:r>
        <w:t>NO. 2</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0D1F2C69" w:rsidR="00B0557C" w:rsidRDefault="00D53354" w:rsidP="00B0557C">
      <w:pPr>
        <w:ind w:left="4320"/>
        <w:jc w:val="center"/>
      </w:pPr>
      <w:r>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43315C59" w:rsidR="00B0557C" w:rsidRDefault="00062EA2" w:rsidP="00B0557C">
      <w:pPr>
        <w:ind w:right="4320"/>
        <w:jc w:val="center"/>
      </w:pPr>
      <w:r>
        <w:t>Secretary/</w:t>
      </w:r>
      <w:r w:rsidR="00D53354">
        <w:t>Clerk</w:t>
      </w:r>
    </w:p>
    <w:p w14:paraId="40D4014A" w14:textId="60C025AF" w:rsidR="00B0557C" w:rsidRDefault="00B0557C" w:rsidP="00651AB2">
      <w:pPr>
        <w:pStyle w:val="BodyText5"/>
      </w:pPr>
      <w:r>
        <w:br w:type="page"/>
      </w:r>
    </w:p>
    <w:p w14:paraId="20425DAF" w14:textId="19E5C51F" w:rsidR="00B0557C" w:rsidRDefault="00B0557C" w:rsidP="00B0557C">
      <w:pPr>
        <w:tabs>
          <w:tab w:val="left" w:pos="3267"/>
        </w:tabs>
      </w:pPr>
      <w:r>
        <w:lastRenderedPageBreak/>
        <w:t xml:space="preserve">STATE OF </w:t>
      </w:r>
      <w:r w:rsidR="002A4C97">
        <w:t>UTAH</w:t>
      </w:r>
      <w:r>
        <w:tab/>
        <w:t>)</w:t>
      </w:r>
    </w:p>
    <w:p w14:paraId="2D10C855" w14:textId="77777777" w:rsidR="00B0557C" w:rsidRDefault="00B0557C" w:rsidP="00B0557C">
      <w:pPr>
        <w:tabs>
          <w:tab w:val="left" w:pos="3267"/>
        </w:tabs>
      </w:pPr>
      <w:r>
        <w:tab/>
        <w:t>: ss.</w:t>
      </w:r>
    </w:p>
    <w:p w14:paraId="77E242D6" w14:textId="6D179EFC" w:rsidR="00B0557C" w:rsidRDefault="004C6311" w:rsidP="00B0557C">
      <w:pPr>
        <w:tabs>
          <w:tab w:val="left" w:pos="3267"/>
        </w:tabs>
      </w:pPr>
      <w:r>
        <w:t xml:space="preserve">County of </w:t>
      </w:r>
      <w:r w:rsidR="0064681C">
        <w:t>Washington</w:t>
      </w:r>
      <w:r w:rsidR="00D53354">
        <w:t xml:space="preserve"> </w:t>
      </w:r>
      <w:r w:rsidR="00D53354">
        <w:tab/>
      </w:r>
      <w:r w:rsidR="00B0557C">
        <w:t>)</w:t>
      </w:r>
    </w:p>
    <w:p w14:paraId="3E2B0367" w14:textId="77777777" w:rsidR="00B0557C" w:rsidRDefault="00B0557C" w:rsidP="00B0557C">
      <w:pPr>
        <w:tabs>
          <w:tab w:val="left" w:pos="2880"/>
        </w:tabs>
      </w:pPr>
    </w:p>
    <w:p w14:paraId="132E6368" w14:textId="2823A063" w:rsidR="00B0557C" w:rsidRDefault="00B0557C" w:rsidP="00651AB2">
      <w:pPr>
        <w:pStyle w:val="BodyText5"/>
      </w:pPr>
      <w:r>
        <w:t xml:space="preserve">I, </w:t>
      </w:r>
      <w:r w:rsidR="0064681C">
        <w:t>Blaine Benard</w:t>
      </w:r>
      <w:r w:rsidR="00025A21">
        <w:t>,</w:t>
      </w:r>
      <w:r w:rsidR="00B36B90">
        <w:t xml:space="preserve"> t</w:t>
      </w:r>
      <w:r>
        <w:t xml:space="preserve">he undersigned duly qualified and acting </w:t>
      </w:r>
      <w:r w:rsidR="00062EA2">
        <w:t>secretary/</w:t>
      </w:r>
      <w:r w:rsidR="00D53354">
        <w:t xml:space="preserve">clerk </w:t>
      </w:r>
      <w:r w:rsidR="004C6311">
        <w:t xml:space="preserve">(or assistant secretary/clerk) </w:t>
      </w:r>
      <w:r w:rsidR="00D53354">
        <w:t xml:space="preserve">of </w:t>
      </w:r>
      <w:proofErr w:type="spellStart"/>
      <w:r w:rsidR="0064681C">
        <w:t>Oculta</w:t>
      </w:r>
      <w:proofErr w:type="spellEnd"/>
      <w:r w:rsidR="0064681C">
        <w:t xml:space="preserve"> Roca</w:t>
      </w:r>
      <w:r w:rsidR="008F69CB">
        <w:t xml:space="preserve"> Public Infrastructure District</w:t>
      </w:r>
      <w:r w:rsidR="00D53354">
        <w:t xml:space="preserve"> </w:t>
      </w:r>
      <w:r w:rsidR="0064681C">
        <w:t>No. 2</w:t>
      </w:r>
      <w:r w:rsidR="008F32A3">
        <w:t xml:space="preserve"> </w:t>
      </w:r>
      <w:r>
        <w:t xml:space="preserve">(“the </w:t>
      </w:r>
      <w:proofErr w:type="gramStart"/>
      <w:r w:rsidR="00D53354">
        <w:t>District</w:t>
      </w:r>
      <w:proofErr w:type="gramEnd"/>
      <w:r>
        <w:t>”), do hereby certify as follows:</w:t>
      </w:r>
    </w:p>
    <w:p w14:paraId="75A85037" w14:textId="4DC75053" w:rsidR="00B0557C" w:rsidRPr="00780920" w:rsidRDefault="00B0557C" w:rsidP="00651AB2">
      <w:pPr>
        <w:pStyle w:val="BodyText5"/>
      </w:pPr>
      <w:r w:rsidRPr="00780920">
        <w:t>The foregoing pages are a true, correct, and complete copy of the record of</w:t>
      </w:r>
      <w:r>
        <w:t xml:space="preserve"> </w:t>
      </w:r>
      <w:r w:rsidRPr="00780920">
        <w:t xml:space="preserve">proceedings of </w:t>
      </w:r>
      <w:r>
        <w:t xml:space="preserve">the </w:t>
      </w:r>
      <w:r w:rsidR="00D53354">
        <w:t xml:space="preserve">Board of Trustees </w:t>
      </w:r>
      <w:r w:rsidRPr="00780920">
        <w:t>(the “</w:t>
      </w:r>
      <w:r w:rsidR="00D53354">
        <w:t>Board</w:t>
      </w:r>
      <w:r w:rsidRPr="00780920">
        <w:t>”), had and taken at a lawful meeting</w:t>
      </w:r>
      <w:r>
        <w:t xml:space="preserve"> </w:t>
      </w:r>
      <w:r w:rsidRPr="00780920">
        <w:t xml:space="preserve">of </w:t>
      </w:r>
      <w:r>
        <w:t xml:space="preserve">the </w:t>
      </w:r>
      <w:r w:rsidR="00D53354">
        <w:t xml:space="preserve">Board on </w:t>
      </w:r>
      <w:r w:rsidR="00E139D0">
        <w:t>April 24, 2026</w:t>
      </w:r>
      <w:r w:rsidRPr="00780920">
        <w:t xml:space="preserve">, commencing at the hour of </w:t>
      </w:r>
      <w:r w:rsidR="00E139D0">
        <w:t>10:00 a.m.</w:t>
      </w:r>
      <w:r w:rsidRPr="00780920">
        <w:t>, as</w:t>
      </w:r>
      <w:r>
        <w:t xml:space="preserve"> </w:t>
      </w:r>
      <w:r w:rsidRPr="00780920">
        <w:t xml:space="preserve">recorded in the regular official book of the proceedings of </w:t>
      </w:r>
      <w:r>
        <w:t xml:space="preserve">the </w:t>
      </w:r>
      <w:r w:rsidR="00D53354">
        <w:t>Board</w:t>
      </w:r>
      <w:r w:rsidRPr="00780920">
        <w:t xml:space="preserve"> kept in </w:t>
      </w:r>
      <w:r w:rsidR="00D53354">
        <w:t>the District</w:t>
      </w:r>
      <w:r>
        <w:t xml:space="preserve">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551A3A1A" w14:textId="5C1DD308" w:rsidR="00B0557C" w:rsidRPr="00780920" w:rsidRDefault="00B0557C" w:rsidP="00651AB2">
      <w:pPr>
        <w:pStyle w:val="BodyText5"/>
      </w:pPr>
      <w:r w:rsidRPr="00780920">
        <w:t xml:space="preserve">All members of </w:t>
      </w:r>
      <w:r>
        <w:t xml:space="preserve">the </w:t>
      </w:r>
      <w:r w:rsidR="00D53354">
        <w:t>Board</w:t>
      </w:r>
      <w:r w:rsidRPr="00780920">
        <w:t xml:space="preserve"> were duly notified of said meeting, pursuant to</w:t>
      </w:r>
      <w:r>
        <w:t xml:space="preserve"> </w:t>
      </w:r>
      <w:r w:rsidRPr="00780920">
        <w:t>law.</w:t>
      </w:r>
    </w:p>
    <w:p w14:paraId="6A33D57A" w14:textId="263D4E1B" w:rsidR="00B0557C" w:rsidRDefault="00B0557C" w:rsidP="00651AB2">
      <w:pPr>
        <w:pStyle w:val="BodyText5"/>
      </w:pPr>
      <w:r w:rsidRPr="00780920">
        <w:t>IN WITNESS WHEREOF, I have hereunto set my hand and affixed the seal of</w:t>
      </w:r>
      <w:r>
        <w:t xml:space="preserve"> the </w:t>
      </w:r>
      <w:proofErr w:type="gramStart"/>
      <w:r w:rsidR="00D53354">
        <w:t>District</w:t>
      </w:r>
      <w:proofErr w:type="gramEnd"/>
      <w:r w:rsidRPr="00780920">
        <w:t xml:space="preserve">, </w:t>
      </w:r>
      <w:r w:rsidR="00D53354">
        <w:t xml:space="preserve">on </w:t>
      </w:r>
      <w:r w:rsidR="00E139D0">
        <w:t>April 24, 2026</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2F137A">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4EB3B316" w14:textId="6BDFC4E9" w:rsidR="00B0557C" w:rsidRPr="00780920" w:rsidRDefault="00B0557C" w:rsidP="00651AB2">
      <w:pPr>
        <w:pStyle w:val="BodyText5"/>
      </w:pPr>
      <w:r>
        <w:t xml:space="preserve">I, </w:t>
      </w:r>
      <w:r w:rsidR="0064681C">
        <w:t>Blaine Benard</w:t>
      </w:r>
      <w:r w:rsidR="00025A21">
        <w:t xml:space="preserve">, </w:t>
      </w:r>
      <w:r w:rsidRPr="00780920">
        <w:t>the undersigned</w:t>
      </w:r>
      <w:r>
        <w:t xml:space="preserve"> </w:t>
      </w:r>
      <w:r w:rsidR="00417271">
        <w:t xml:space="preserve">clerk </w:t>
      </w:r>
      <w:r w:rsidR="004C6311">
        <w:t xml:space="preserve">(or assistant clerk) </w:t>
      </w:r>
      <w:r w:rsidR="00417271">
        <w:t xml:space="preserve">of </w:t>
      </w:r>
      <w:proofErr w:type="spellStart"/>
      <w:r w:rsidR="0064681C">
        <w:t>Oculta</w:t>
      </w:r>
      <w:proofErr w:type="spellEnd"/>
      <w:r w:rsidR="0064681C">
        <w:t xml:space="preserve"> Roca</w:t>
      </w:r>
      <w:r w:rsidR="008F69CB">
        <w:t xml:space="preserve"> Public Infrastructure District</w:t>
      </w:r>
      <w:r w:rsidRPr="00780920">
        <w:t xml:space="preserve"> </w:t>
      </w:r>
      <w:r w:rsidR="0064681C">
        <w:t>No. 2</w:t>
      </w:r>
      <w:r w:rsidR="00B36B90">
        <w:t xml:space="preserve"> </w:t>
      </w:r>
      <w:r w:rsidRPr="00780920">
        <w:t>(the “</w:t>
      </w:r>
      <w:r>
        <w:t xml:space="preserve">the </w:t>
      </w:r>
      <w:r w:rsidR="00417271">
        <w:t>District</w:t>
      </w:r>
      <w:r w:rsidRPr="00780920">
        <w:t>”), do hereby certify that I gave written public notice of the</w:t>
      </w:r>
      <w:r>
        <w:t xml:space="preserve"> </w:t>
      </w:r>
      <w:r w:rsidRPr="00780920">
        <w:t xml:space="preserve">agenda, date, time and place of the </w:t>
      </w:r>
      <w:r w:rsidR="00417271">
        <w:t>special</w:t>
      </w:r>
      <w:r w:rsidRPr="00780920">
        <w:t xml:space="preserve"> meeting held by </w:t>
      </w:r>
      <w:r>
        <w:t xml:space="preserve">the </w:t>
      </w:r>
      <w:r w:rsidR="00417271">
        <w:t>Board of Trustees of the District</w:t>
      </w:r>
      <w:r w:rsidRPr="00780920">
        <w:t xml:space="preserve"> (the</w:t>
      </w:r>
      <w:r>
        <w:t xml:space="preserve"> </w:t>
      </w:r>
      <w:r w:rsidRPr="00780920">
        <w:t>“</w:t>
      </w:r>
      <w:r w:rsidR="00417271">
        <w:t>Board</w:t>
      </w:r>
      <w:r w:rsidRPr="00780920">
        <w:t xml:space="preserve">”) on </w:t>
      </w:r>
      <w:r w:rsidR="00E139D0">
        <w:t>April 24, 2026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5EEA4003" w14:textId="486A0886" w:rsidR="00B0557C" w:rsidRDefault="00B0557C" w:rsidP="00651AB2">
      <w:pPr>
        <w:pStyle w:val="BodyText5"/>
      </w:pPr>
      <w:r>
        <w:t>(a)</w:t>
      </w:r>
      <w:r>
        <w:tab/>
      </w:r>
      <w:r w:rsidRPr="00780920">
        <w:t xml:space="preserve"> By causing a Notice, in the form attached hereto as Schedule 1, to</w:t>
      </w:r>
      <w:r>
        <w:t xml:space="preserve"> </w:t>
      </w:r>
      <w:r w:rsidRPr="00780920">
        <w:t xml:space="preserve">be posted at </w:t>
      </w:r>
      <w:r>
        <w:t>t</w:t>
      </w:r>
      <w:r w:rsidR="00723E0F">
        <w:t xml:space="preserve">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211FE520" w14:textId="52F7866B" w:rsidR="00B0557C" w:rsidRPr="00780920" w:rsidRDefault="00B0557C" w:rsidP="00651AB2">
      <w:pPr>
        <w:pStyle w:val="BodyText5"/>
      </w:pPr>
      <w:r w:rsidRPr="00780920">
        <w:t xml:space="preserve">(c)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37CDBE00" w:rsidR="00B0557C" w:rsidRPr="00780920" w:rsidRDefault="00B0557C" w:rsidP="00651AB2">
      <w:pPr>
        <w:pStyle w:val="BodyText5"/>
      </w:pPr>
      <w:r w:rsidRPr="00780920">
        <w:t>IN WITNESS WHEREOF, I have hereunto subscribed my official signature this</w:t>
      </w:r>
      <w:r>
        <w:t xml:space="preserve"> </w:t>
      </w:r>
      <w:r w:rsidR="00E139D0">
        <w:t>April 24, 2026</w:t>
      </w:r>
      <w:r w:rsidRPr="00780920">
        <w:t>.</w:t>
      </w:r>
    </w:p>
    <w:p w14:paraId="7383FA0D" w14:textId="77777777" w:rsidR="00B0557C" w:rsidRDefault="00B0557C" w:rsidP="00B0557C">
      <w:pPr>
        <w:tabs>
          <w:tab w:val="left" w:pos="8640"/>
        </w:tabs>
        <w:ind w:left="4320"/>
        <w:rPr>
          <w:u w:val="single"/>
        </w:rPr>
      </w:pPr>
      <w:r>
        <w:t>By:</w:t>
      </w:r>
      <w:r>
        <w:rPr>
          <w:u w:val="single"/>
        </w:rPr>
        <w:tab/>
      </w:r>
    </w:p>
    <w:p w14:paraId="291CCA3F" w14:textId="1526D225" w:rsidR="00B0557C" w:rsidRPr="00760FBE" w:rsidRDefault="0010395B" w:rsidP="00B0557C">
      <w:pPr>
        <w:ind w:left="4320"/>
        <w:jc w:val="center"/>
      </w:pPr>
      <w:r>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2F137A">
          <w:footerReference w:type="default" r:id="rId11"/>
          <w:pgSz w:w="12240" w:h="15840"/>
          <w:pgMar w:top="1440" w:right="1440" w:bottom="1440" w:left="1440" w:header="720" w:footer="720" w:gutter="0"/>
          <w:pgNumType w:start="1" w:chapStyle="9"/>
          <w:cols w:space="720"/>
          <w:titlePg/>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132675D2" w:rsidR="00AD4236" w:rsidRDefault="0033739F" w:rsidP="00464D27">
      <w:pPr>
        <w:jc w:val="center"/>
      </w:pPr>
      <w:r>
        <w:t>ANNEXATION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2F137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71577741" w14:textId="286E9911" w:rsidR="0033739F" w:rsidRPr="00407603" w:rsidRDefault="007E3E00" w:rsidP="008F32A3">
      <w:pPr>
        <w:jc w:val="center"/>
      </w:pPr>
      <w:r w:rsidRPr="00407603">
        <w:t>NOTICE OF BOUNDARY ACTION</w:t>
      </w:r>
    </w:p>
    <w:sectPr w:rsidR="0033739F" w:rsidRPr="00407603" w:rsidSect="002F137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3952" w14:textId="77777777" w:rsidR="001D47F1" w:rsidRDefault="001D47F1" w:rsidP="0087508B">
      <w:r>
        <w:separator/>
      </w:r>
    </w:p>
  </w:endnote>
  <w:endnote w:type="continuationSeparator" w:id="0">
    <w:p w14:paraId="78A5704F" w14:textId="77777777" w:rsidR="001D47F1" w:rsidRDefault="001D47F1"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04" w14:textId="77777777" w:rsidR="007E3E00" w:rsidRDefault="007E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5AD" w14:textId="77777777" w:rsidR="007E3E00" w:rsidRDefault="007E3E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75D" w14:textId="77777777" w:rsidR="007E3E00" w:rsidRPr="00105C86" w:rsidRDefault="007E3E00" w:rsidP="003432D5">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80FD" w14:textId="77777777" w:rsidR="001D47F1" w:rsidRDefault="001D47F1" w:rsidP="0087508B">
      <w:r>
        <w:separator/>
      </w:r>
    </w:p>
  </w:footnote>
  <w:footnote w:type="continuationSeparator" w:id="0">
    <w:p w14:paraId="0F0B3D3A" w14:textId="77777777" w:rsidR="001D47F1" w:rsidRDefault="001D47F1"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F408" w14:textId="77777777" w:rsidR="007E3E00" w:rsidRDefault="007E3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3687" w14:textId="77777777" w:rsidR="007E3E00" w:rsidRDefault="007E3E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CD7" w14:textId="77777777" w:rsidR="007E3E00" w:rsidRDefault="007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25A21"/>
    <w:rsid w:val="0004184A"/>
    <w:rsid w:val="00045081"/>
    <w:rsid w:val="00056209"/>
    <w:rsid w:val="00062EA2"/>
    <w:rsid w:val="000F11B2"/>
    <w:rsid w:val="0010395B"/>
    <w:rsid w:val="001270BE"/>
    <w:rsid w:val="00136907"/>
    <w:rsid w:val="001635A3"/>
    <w:rsid w:val="001848B1"/>
    <w:rsid w:val="00195844"/>
    <w:rsid w:val="001C03BE"/>
    <w:rsid w:val="001D47F1"/>
    <w:rsid w:val="001E54E8"/>
    <w:rsid w:val="002312B3"/>
    <w:rsid w:val="0023453B"/>
    <w:rsid w:val="002740BB"/>
    <w:rsid w:val="0028370E"/>
    <w:rsid w:val="002A22A7"/>
    <w:rsid w:val="002A4C97"/>
    <w:rsid w:val="002A691D"/>
    <w:rsid w:val="002F137A"/>
    <w:rsid w:val="003027DB"/>
    <w:rsid w:val="00331080"/>
    <w:rsid w:val="0033739F"/>
    <w:rsid w:val="003639A7"/>
    <w:rsid w:val="0037679E"/>
    <w:rsid w:val="003C4BA6"/>
    <w:rsid w:val="003E58DA"/>
    <w:rsid w:val="0040082F"/>
    <w:rsid w:val="00414440"/>
    <w:rsid w:val="00415BE6"/>
    <w:rsid w:val="00417271"/>
    <w:rsid w:val="00464D27"/>
    <w:rsid w:val="004B2094"/>
    <w:rsid w:val="004C6311"/>
    <w:rsid w:val="00530F8C"/>
    <w:rsid w:val="00546C92"/>
    <w:rsid w:val="005549F0"/>
    <w:rsid w:val="0056762B"/>
    <w:rsid w:val="00580B76"/>
    <w:rsid w:val="005877A0"/>
    <w:rsid w:val="005B1C5B"/>
    <w:rsid w:val="005C7108"/>
    <w:rsid w:val="005F2DC0"/>
    <w:rsid w:val="00634960"/>
    <w:rsid w:val="0064681C"/>
    <w:rsid w:val="00651AB2"/>
    <w:rsid w:val="00656A7B"/>
    <w:rsid w:val="00676191"/>
    <w:rsid w:val="006D7F4D"/>
    <w:rsid w:val="00723E0F"/>
    <w:rsid w:val="00727384"/>
    <w:rsid w:val="00733C8A"/>
    <w:rsid w:val="00735A18"/>
    <w:rsid w:val="00743A22"/>
    <w:rsid w:val="00763A06"/>
    <w:rsid w:val="0079639E"/>
    <w:rsid w:val="007E3E00"/>
    <w:rsid w:val="00805AB6"/>
    <w:rsid w:val="00813E03"/>
    <w:rsid w:val="00836C21"/>
    <w:rsid w:val="008552BC"/>
    <w:rsid w:val="0087508B"/>
    <w:rsid w:val="008A5CB6"/>
    <w:rsid w:val="008B6DE8"/>
    <w:rsid w:val="008F02C5"/>
    <w:rsid w:val="008F32A3"/>
    <w:rsid w:val="008F4A11"/>
    <w:rsid w:val="008F69CB"/>
    <w:rsid w:val="00913784"/>
    <w:rsid w:val="00913E66"/>
    <w:rsid w:val="00953FED"/>
    <w:rsid w:val="00960647"/>
    <w:rsid w:val="00971DB3"/>
    <w:rsid w:val="009B2D4E"/>
    <w:rsid w:val="009E0CE0"/>
    <w:rsid w:val="00A003A5"/>
    <w:rsid w:val="00A442DB"/>
    <w:rsid w:val="00A5614A"/>
    <w:rsid w:val="00A66CE9"/>
    <w:rsid w:val="00A922BA"/>
    <w:rsid w:val="00A975C0"/>
    <w:rsid w:val="00AD4236"/>
    <w:rsid w:val="00B016C2"/>
    <w:rsid w:val="00B0557C"/>
    <w:rsid w:val="00B264A3"/>
    <w:rsid w:val="00B36B90"/>
    <w:rsid w:val="00B44C04"/>
    <w:rsid w:val="00BD2AE0"/>
    <w:rsid w:val="00BE573D"/>
    <w:rsid w:val="00BF1547"/>
    <w:rsid w:val="00C53665"/>
    <w:rsid w:val="00C5510D"/>
    <w:rsid w:val="00C70EDA"/>
    <w:rsid w:val="00C91C1D"/>
    <w:rsid w:val="00D20F59"/>
    <w:rsid w:val="00D2155D"/>
    <w:rsid w:val="00D51C91"/>
    <w:rsid w:val="00D53354"/>
    <w:rsid w:val="00D55A38"/>
    <w:rsid w:val="00D62CB8"/>
    <w:rsid w:val="00D83499"/>
    <w:rsid w:val="00DB53EB"/>
    <w:rsid w:val="00DB591D"/>
    <w:rsid w:val="00DC12D4"/>
    <w:rsid w:val="00DC1657"/>
    <w:rsid w:val="00DD444F"/>
    <w:rsid w:val="00DE76EA"/>
    <w:rsid w:val="00DF1E95"/>
    <w:rsid w:val="00DF37D9"/>
    <w:rsid w:val="00E139D0"/>
    <w:rsid w:val="00E54B32"/>
    <w:rsid w:val="00E616B3"/>
    <w:rsid w:val="00E83805"/>
    <w:rsid w:val="00EB01CD"/>
    <w:rsid w:val="00EF63B7"/>
    <w:rsid w:val="00F3658B"/>
    <w:rsid w:val="00FB0E40"/>
    <w:rsid w:val="00FC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651AB2"/>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651AB2"/>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1619</Words>
  <Characters>7971</Characters>
  <Application>Microsoft Office Word</Application>
  <DocSecurity>0</DocSecurity>
  <Lines>189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4</cp:revision>
  <cp:lastPrinted>2023-03-22T19:45:00Z</cp:lastPrinted>
  <dcterms:created xsi:type="dcterms:W3CDTF">2026-04-24T15:12:00Z</dcterms:created>
  <dcterms:modified xsi:type="dcterms:W3CDTF">2026-04-24T15:38:00Z</dcterms:modified>
</cp:coreProperties>
</file>