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1549" w14:textId="77777777" w:rsidR="00910059" w:rsidRPr="00DC53AC" w:rsidRDefault="00910059" w:rsidP="00910059">
      <w:pPr>
        <w:rPr>
          <w:rFonts w:ascii="Arial" w:hAnsi="Arial" w:cs="Arial"/>
        </w:rPr>
      </w:pPr>
      <w:r w:rsidRPr="00DC53AC">
        <w:rPr>
          <w:rFonts w:ascii="Arial" w:hAnsi="Arial" w:cs="Arial"/>
          <w:noProof/>
        </w:rPr>
        <w:drawing>
          <wp:anchor distT="0" distB="0" distL="114300" distR="114300" simplePos="0" relativeHeight="251659264" behindDoc="0" locked="0" layoutInCell="1" allowOverlap="1" wp14:anchorId="1816A508" wp14:editId="37C5ED7D">
            <wp:simplePos x="0" y="0"/>
            <wp:positionH relativeFrom="column">
              <wp:posOffset>1770507</wp:posOffset>
            </wp:positionH>
            <wp:positionV relativeFrom="paragraph">
              <wp:posOffset>-410210</wp:posOffset>
            </wp:positionV>
            <wp:extent cx="2260948" cy="11338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948" cy="1133856"/>
                    </a:xfrm>
                    <a:prstGeom prst="rect">
                      <a:avLst/>
                    </a:prstGeom>
                  </pic:spPr>
                </pic:pic>
              </a:graphicData>
            </a:graphic>
            <wp14:sizeRelH relativeFrom="margin">
              <wp14:pctWidth>0</wp14:pctWidth>
            </wp14:sizeRelH>
            <wp14:sizeRelV relativeFrom="margin">
              <wp14:pctHeight>0</wp14:pctHeight>
            </wp14:sizeRelV>
          </wp:anchor>
        </w:drawing>
      </w:r>
    </w:p>
    <w:p w14:paraId="6B625C39" w14:textId="77777777" w:rsidR="00910059" w:rsidRPr="00DC53AC" w:rsidRDefault="00910059" w:rsidP="00910059">
      <w:pPr>
        <w:rPr>
          <w:rFonts w:ascii="Arial" w:hAnsi="Arial" w:cs="Arial"/>
        </w:rPr>
      </w:pPr>
    </w:p>
    <w:p w14:paraId="3778D438" w14:textId="77777777" w:rsidR="00910059" w:rsidRPr="00DC53AC" w:rsidRDefault="00910059" w:rsidP="00910059">
      <w:pPr>
        <w:jc w:val="center"/>
        <w:rPr>
          <w:rFonts w:ascii="Arial" w:hAnsi="Arial" w:cs="Arial"/>
        </w:rPr>
      </w:pPr>
    </w:p>
    <w:p w14:paraId="31723632" w14:textId="77777777" w:rsidR="00910059" w:rsidRPr="00DC53AC" w:rsidRDefault="00910059" w:rsidP="00910059">
      <w:pPr>
        <w:jc w:val="center"/>
        <w:rPr>
          <w:rFonts w:ascii="Arial" w:hAnsi="Arial" w:cs="Arial"/>
          <w:b/>
        </w:rPr>
      </w:pPr>
      <w:r w:rsidRPr="00DC53AC">
        <w:rPr>
          <w:rFonts w:ascii="Arial" w:hAnsi="Arial" w:cs="Arial"/>
          <w:b/>
        </w:rPr>
        <w:t>STATE OF UTAH</w:t>
      </w:r>
    </w:p>
    <w:p w14:paraId="0595EB71" w14:textId="77777777" w:rsidR="00910059" w:rsidRPr="00AF5105" w:rsidRDefault="00910059" w:rsidP="00910059">
      <w:pPr>
        <w:jc w:val="center"/>
        <w:rPr>
          <w:rFonts w:ascii="Arial" w:hAnsi="Arial" w:cs="Arial"/>
          <w:b/>
        </w:rPr>
      </w:pPr>
      <w:r>
        <w:rPr>
          <w:rFonts w:ascii="Arial" w:hAnsi="Arial" w:cs="Arial"/>
          <w:b/>
        </w:rPr>
        <w:t>REAL ESTATE</w:t>
      </w:r>
      <w:r w:rsidRPr="00AF5105">
        <w:rPr>
          <w:rFonts w:ascii="Arial" w:hAnsi="Arial" w:cs="Arial"/>
          <w:b/>
        </w:rPr>
        <w:t xml:space="preserve"> COMMISSION</w:t>
      </w:r>
    </w:p>
    <w:p w14:paraId="63760845" w14:textId="77777777" w:rsidR="00910059" w:rsidRPr="00DC53AC" w:rsidRDefault="00910059" w:rsidP="00910059">
      <w:pPr>
        <w:jc w:val="center"/>
        <w:rPr>
          <w:rFonts w:ascii="Arial" w:hAnsi="Arial" w:cs="Arial"/>
          <w:b/>
        </w:rPr>
      </w:pPr>
      <w:r w:rsidRPr="00DC53AC">
        <w:rPr>
          <w:rFonts w:ascii="Arial" w:hAnsi="Arial" w:cs="Arial"/>
          <w:b/>
        </w:rPr>
        <w:t>MEETING MINUTES</w:t>
      </w:r>
    </w:p>
    <w:p w14:paraId="588D78A5" w14:textId="7555D7F0" w:rsidR="00910059" w:rsidRPr="00910059" w:rsidRDefault="005B59EC" w:rsidP="00910059">
      <w:pPr>
        <w:jc w:val="center"/>
        <w:rPr>
          <w:rFonts w:ascii="Arial" w:hAnsi="Arial" w:cs="Arial"/>
        </w:rPr>
      </w:pPr>
      <w:r>
        <w:rPr>
          <w:rFonts w:ascii="Arial" w:hAnsi="Arial" w:cs="Arial"/>
        </w:rPr>
        <w:t>March</w:t>
      </w:r>
      <w:r w:rsidR="00910059">
        <w:rPr>
          <w:rFonts w:ascii="Arial" w:hAnsi="Arial" w:cs="Arial"/>
        </w:rPr>
        <w:t xml:space="preserve"> 18</w:t>
      </w:r>
      <w:r w:rsidR="00910059" w:rsidRPr="00AF5105">
        <w:rPr>
          <w:rFonts w:ascii="Arial" w:hAnsi="Arial" w:cs="Arial"/>
        </w:rPr>
        <w:t>, 202</w:t>
      </w:r>
      <w:r w:rsidR="00910059">
        <w:rPr>
          <w:rFonts w:ascii="Arial" w:hAnsi="Arial" w:cs="Arial"/>
        </w:rPr>
        <w:t>6,</w:t>
      </w:r>
      <w:r w:rsidR="00910059" w:rsidRPr="00AF5105">
        <w:rPr>
          <w:rFonts w:ascii="Arial" w:hAnsi="Arial" w:cs="Arial"/>
        </w:rPr>
        <w:t xml:space="preserve"> 9:00 am</w:t>
      </w:r>
    </w:p>
    <w:p w14:paraId="465A343F" w14:textId="431FE4B5" w:rsidR="00910059" w:rsidRPr="00910059" w:rsidRDefault="00910059" w:rsidP="00910059">
      <w:pPr>
        <w:spacing w:before="100" w:beforeAutospacing="1" w:after="100" w:afterAutospacing="1" w:line="240" w:lineRule="auto"/>
        <w:rPr>
          <w:rFonts w:ascii="Times New Roman" w:eastAsia="Times New Roman" w:hAnsi="Times New Roman" w:cs="Times New Roman"/>
          <w:sz w:val="24"/>
          <w:szCs w:val="24"/>
        </w:rPr>
      </w:pPr>
      <w:r w:rsidRPr="00910059">
        <w:rPr>
          <w:rFonts w:ascii="Times New Roman" w:eastAsia="Times New Roman" w:hAnsi="Times New Roman" w:cs="Times New Roman"/>
          <w:b/>
          <w:bCs/>
          <w:sz w:val="24"/>
          <w:szCs w:val="24"/>
        </w:rPr>
        <w:t>Real Estate Commission:</w:t>
      </w:r>
      <w:r w:rsidRPr="00910059">
        <w:rPr>
          <w:rFonts w:ascii="Times New Roman" w:eastAsia="Times New Roman" w:hAnsi="Times New Roman" w:cs="Times New Roman"/>
          <w:sz w:val="24"/>
          <w:szCs w:val="24"/>
        </w:rPr>
        <w:br/>
        <w:t>Rick Southwick, Chair</w:t>
      </w:r>
      <w:r w:rsidRPr="00910059">
        <w:rPr>
          <w:rFonts w:ascii="Times New Roman" w:eastAsia="Times New Roman" w:hAnsi="Times New Roman" w:cs="Times New Roman"/>
          <w:sz w:val="24"/>
          <w:szCs w:val="24"/>
        </w:rPr>
        <w:br/>
        <w:t>Jim Bringhurst, Vice Chair</w:t>
      </w:r>
      <w:r w:rsidRPr="00910059">
        <w:rPr>
          <w:rFonts w:ascii="Times New Roman" w:eastAsia="Times New Roman" w:hAnsi="Times New Roman" w:cs="Times New Roman"/>
          <w:sz w:val="24"/>
          <w:szCs w:val="24"/>
        </w:rPr>
        <w:br/>
        <w:t>Andrea Wilson</w:t>
      </w:r>
      <w:r w:rsidRPr="00910059">
        <w:rPr>
          <w:rFonts w:ascii="Times New Roman" w:eastAsia="Times New Roman" w:hAnsi="Times New Roman" w:cs="Times New Roman"/>
          <w:sz w:val="24"/>
          <w:szCs w:val="24"/>
        </w:rPr>
        <w:br/>
        <w:t>Marie McCl</w:t>
      </w:r>
      <w:r>
        <w:rPr>
          <w:rFonts w:ascii="Times New Roman" w:eastAsia="Times New Roman" w:hAnsi="Times New Roman" w:cs="Times New Roman"/>
          <w:sz w:val="24"/>
          <w:szCs w:val="24"/>
        </w:rPr>
        <w:t>elland</w:t>
      </w:r>
      <w:r w:rsidRPr="00910059">
        <w:rPr>
          <w:rFonts w:ascii="Times New Roman" w:eastAsia="Times New Roman" w:hAnsi="Times New Roman" w:cs="Times New Roman"/>
          <w:sz w:val="24"/>
          <w:szCs w:val="24"/>
        </w:rPr>
        <w:br/>
        <w:t>Randall Smith</w:t>
      </w:r>
    </w:p>
    <w:p w14:paraId="0D933AB8" w14:textId="77777777" w:rsidR="00910059" w:rsidRPr="00910059" w:rsidRDefault="00910059" w:rsidP="00910059">
      <w:pPr>
        <w:spacing w:before="100" w:beforeAutospacing="1" w:after="100" w:afterAutospacing="1" w:line="240" w:lineRule="auto"/>
        <w:rPr>
          <w:rFonts w:ascii="Times New Roman" w:eastAsia="Times New Roman" w:hAnsi="Times New Roman" w:cs="Times New Roman"/>
          <w:sz w:val="24"/>
          <w:szCs w:val="24"/>
        </w:rPr>
      </w:pPr>
      <w:r w:rsidRPr="00910059">
        <w:rPr>
          <w:rFonts w:ascii="Times New Roman" w:eastAsia="Times New Roman" w:hAnsi="Times New Roman" w:cs="Times New Roman"/>
          <w:b/>
          <w:bCs/>
          <w:sz w:val="24"/>
          <w:szCs w:val="24"/>
        </w:rPr>
        <w:t>Excused:</w:t>
      </w:r>
      <w:r w:rsidRPr="00910059">
        <w:rPr>
          <w:rFonts w:ascii="Times New Roman" w:eastAsia="Times New Roman" w:hAnsi="Times New Roman" w:cs="Times New Roman"/>
          <w:sz w:val="24"/>
          <w:szCs w:val="24"/>
        </w:rPr>
        <w:br/>
        <w:t>None noted.</w:t>
      </w:r>
    </w:p>
    <w:p w14:paraId="6440528C" w14:textId="77777777" w:rsidR="00910059" w:rsidRPr="00910059" w:rsidRDefault="00B40655" w:rsidP="009100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590EB4">
          <v:rect id="_x0000_i1025" style="width:0;height:1.5pt" o:hralign="center" o:hrstd="t" o:hr="t" fillcolor="#a0a0a0" stroked="f"/>
        </w:pict>
      </w:r>
    </w:p>
    <w:p w14:paraId="52316AC3" w14:textId="77777777" w:rsidR="00A07E21" w:rsidRDefault="00A07E21" w:rsidP="00A07E21">
      <w:pPr>
        <w:pStyle w:val="NormalWeb"/>
      </w:pPr>
      <w:r>
        <w:rPr>
          <w:rStyle w:val="Strong"/>
        </w:rPr>
        <w:t>Meeting Commencement:</w:t>
      </w:r>
      <w:r>
        <w:br/>
        <w:t>The March meeting of the Utah Real Estate Commission commenced at approximately 9:00 a.m., with Chair Southwick conducting.</w:t>
      </w:r>
      <w:r>
        <w:br/>
        <w:t>A quorum was established.</w:t>
      </w:r>
    </w:p>
    <w:p w14:paraId="4CD9A65D" w14:textId="0F57A307" w:rsidR="00A07E21" w:rsidRDefault="00A07E21" w:rsidP="00A07E21">
      <w:pPr>
        <w:pStyle w:val="NormalWeb"/>
      </w:pPr>
      <w:r>
        <w:rPr>
          <w:rStyle w:val="Strong"/>
        </w:rPr>
        <w:t>Meeting Minutes Approval:</w:t>
      </w:r>
      <w:r>
        <w:br/>
        <w:t xml:space="preserve">The Commission reviewed the minutes from the February 18, </w:t>
      </w:r>
      <w:proofErr w:type="gramStart"/>
      <w:r>
        <w:t>2026</w:t>
      </w:r>
      <w:proofErr w:type="gramEnd"/>
      <w:r>
        <w:t xml:space="preserve"> meeting. A correction was noted to the spelling of Kreg Wagner’s name.</w:t>
      </w:r>
      <w:r>
        <w:br/>
        <w:t>A motion was made and seconded to approve the minutes as corrected.</w:t>
      </w:r>
      <w:r>
        <w:br/>
        <w:t>The motion carried.</w:t>
      </w:r>
    </w:p>
    <w:p w14:paraId="54D00A5C" w14:textId="77777777" w:rsidR="00A07E21" w:rsidRDefault="00A07E21" w:rsidP="00A07E21">
      <w:pPr>
        <w:pStyle w:val="NormalWeb"/>
      </w:pPr>
      <w:r>
        <w:rPr>
          <w:rStyle w:val="Strong"/>
        </w:rPr>
        <w:t>Public Comment:</w:t>
      </w:r>
      <w:r>
        <w:br/>
        <w:t>Shane Norris addressed the Commission regarding Administrative Rule R162-2f-206</w:t>
      </w:r>
      <w:proofErr w:type="gramStart"/>
      <w:r>
        <w:t>c(</w:t>
      </w:r>
      <w:proofErr w:type="gramEnd"/>
      <w:r>
        <w:t>5), which currently limits online continuing education classes to 100 students. Mr. Norris requested that the rule be updated to allow a larger number of participants, provided sufficient proctors are present to monitor attendance and engagement.</w:t>
      </w:r>
      <w:r>
        <w:br/>
        <w:t>Commission members expressed support for revisiting the rule in light of improved technology, increased familiarity with virtual instruction, and the efficiencies that could be gained for brokerages and licensees.</w:t>
      </w:r>
      <w:r>
        <w:br/>
        <w:t>The Division indicated it would begin drafting a proposed rule amendment and coordinate with Mr. Norris as appropriate.</w:t>
      </w:r>
      <w:r>
        <w:br/>
        <w:t>No additional public comments were made.</w:t>
      </w:r>
    </w:p>
    <w:p w14:paraId="4C2A5DB0" w14:textId="77777777" w:rsidR="00A07E21" w:rsidRDefault="00A07E21" w:rsidP="00A07E21">
      <w:pPr>
        <w:pStyle w:val="NormalWeb"/>
      </w:pPr>
      <w:r>
        <w:rPr>
          <w:rStyle w:val="Strong"/>
        </w:rPr>
        <w:lastRenderedPageBreak/>
        <w:t>Board Logistics Update:</w:t>
      </w:r>
      <w:r>
        <w:br/>
        <w:t>Misty Woods reported that seven stipulations were scheduled for Commission consideration during the meeting and asked whether that volume was manageable for future agendas. Commissioners indicated that the number was acceptable and supported continuing to move enforcement matters forward efficiently.</w:t>
      </w:r>
    </w:p>
    <w:p w14:paraId="105902DB" w14:textId="77777777" w:rsidR="00A07E21" w:rsidRDefault="00A07E21" w:rsidP="00A07E21">
      <w:pPr>
        <w:pStyle w:val="NormalWeb"/>
      </w:pPr>
      <w:r>
        <w:t>Ms. Woods also reported the following:</w:t>
      </w:r>
    </w:p>
    <w:p w14:paraId="41CF3DD6" w14:textId="77777777" w:rsidR="00A07E21" w:rsidRDefault="00A07E21" w:rsidP="00A07E21">
      <w:pPr>
        <w:pStyle w:val="NormalWeb"/>
        <w:numPr>
          <w:ilvl w:val="0"/>
          <w:numId w:val="21"/>
        </w:numPr>
      </w:pPr>
      <w:r>
        <w:t>The Walker hearing previously scheduled for this meeting was canceled because the matter was resolved by stipulation.</w:t>
      </w:r>
    </w:p>
    <w:p w14:paraId="46841003" w14:textId="76B5170E" w:rsidR="00A07E21" w:rsidRDefault="00A07E21" w:rsidP="00A07E21">
      <w:pPr>
        <w:pStyle w:val="NormalWeb"/>
        <w:numPr>
          <w:ilvl w:val="0"/>
          <w:numId w:val="21"/>
        </w:numPr>
      </w:pPr>
      <w:r>
        <w:t>The Lund hearing remains scheduled but is expected to be reduced from two days to one day, with the possibility that it may also be resolved by stipulation.</w:t>
      </w:r>
    </w:p>
    <w:p w14:paraId="536711B0" w14:textId="77777777" w:rsidR="00A07E21" w:rsidRDefault="00A07E21" w:rsidP="00A07E21">
      <w:pPr>
        <w:pStyle w:val="NormalWeb"/>
        <w:numPr>
          <w:ilvl w:val="0"/>
          <w:numId w:val="21"/>
        </w:numPr>
      </w:pPr>
      <w:r>
        <w:t xml:space="preserve">The June Commission meeting has been rescheduled to </w:t>
      </w:r>
      <w:r>
        <w:rPr>
          <w:rStyle w:val="Strong"/>
        </w:rPr>
        <w:t>June 10, 2026</w:t>
      </w:r>
      <w:r>
        <w:t>, and the Boone hearing has been moved accordingly. All parties have been notified.</w:t>
      </w:r>
    </w:p>
    <w:p w14:paraId="341E7B88" w14:textId="77777777" w:rsidR="00A07E21" w:rsidRDefault="00A07E21" w:rsidP="00A07E21">
      <w:pPr>
        <w:pStyle w:val="NormalWeb"/>
        <w:numPr>
          <w:ilvl w:val="0"/>
          <w:numId w:val="21"/>
        </w:numPr>
      </w:pPr>
      <w:r>
        <w:t xml:space="preserve">Marie McClelland’s public member seat expires on </w:t>
      </w:r>
      <w:r>
        <w:rPr>
          <w:rStyle w:val="Strong"/>
        </w:rPr>
        <w:t>June 30, 2026</w:t>
      </w:r>
      <w:r>
        <w:t>. Recommendations for the upcoming vacancy are being accepted, and interested individuals may apply through the state boards website.</w:t>
      </w:r>
    </w:p>
    <w:p w14:paraId="1075EE25" w14:textId="77777777" w:rsidR="00A07E21" w:rsidRDefault="00A07E21" w:rsidP="00A07E21">
      <w:pPr>
        <w:pStyle w:val="NormalWeb"/>
        <w:numPr>
          <w:ilvl w:val="0"/>
          <w:numId w:val="21"/>
        </w:numPr>
      </w:pPr>
      <w:r>
        <w:t>Ms. Woods announced that her last day with the Division will be the following Friday, as she has accepted a position with the Division of Drinking Water.</w:t>
      </w:r>
    </w:p>
    <w:p w14:paraId="173DBDD6" w14:textId="77777777" w:rsidR="00A07E21" w:rsidRDefault="00A07E21" w:rsidP="00A07E21">
      <w:pPr>
        <w:pStyle w:val="NormalWeb"/>
      </w:pPr>
      <w:r>
        <w:t>The Commission thanked Ms. Woods for her service and congratulated her on her new position.</w:t>
      </w:r>
    </w:p>
    <w:p w14:paraId="36A87DA7" w14:textId="77777777" w:rsidR="00A07E21" w:rsidRDefault="00A07E21" w:rsidP="00A07E21">
      <w:pPr>
        <w:pStyle w:val="NormalWeb"/>
      </w:pPr>
      <w:r>
        <w:rPr>
          <w:rStyle w:val="Strong"/>
        </w:rPr>
        <w:t>Director’s Report:</w:t>
      </w:r>
      <w:r>
        <w:br/>
        <w:t>Mark Steinagel served as Acting Director during Leigh Veillette’s parental leave and provided the Director’s report.</w:t>
      </w:r>
    </w:p>
    <w:p w14:paraId="78E9515F" w14:textId="77777777" w:rsidR="00A07E21" w:rsidRDefault="00A07E21" w:rsidP="00A07E21">
      <w:pPr>
        <w:pStyle w:val="NormalWeb"/>
      </w:pPr>
      <w:r>
        <w:t>Mr. Steinagel reported that:</w:t>
      </w:r>
    </w:p>
    <w:p w14:paraId="29E3A452" w14:textId="77777777" w:rsidR="00A07E21" w:rsidRDefault="00A07E21" w:rsidP="00A07E21">
      <w:pPr>
        <w:pStyle w:val="NormalWeb"/>
        <w:numPr>
          <w:ilvl w:val="0"/>
          <w:numId w:val="22"/>
        </w:numPr>
      </w:pPr>
      <w:r>
        <w:t>Leigh Veillette recently welcomed a new baby and will remain on leave for several weeks.</w:t>
      </w:r>
    </w:p>
    <w:p w14:paraId="1D23AC8B" w14:textId="77777777" w:rsidR="00A07E21" w:rsidRDefault="00A07E21" w:rsidP="00A07E21">
      <w:pPr>
        <w:pStyle w:val="NormalWeb"/>
        <w:numPr>
          <w:ilvl w:val="0"/>
          <w:numId w:val="22"/>
        </w:numPr>
      </w:pPr>
      <w:r>
        <w:t>House Bill 377, addressing property management regulation, passed the Legislature and was awaiting the Governor’s signature at the time of the meeting.</w:t>
      </w:r>
    </w:p>
    <w:p w14:paraId="7C9F004C" w14:textId="77777777" w:rsidR="00A07E21" w:rsidRDefault="00A07E21" w:rsidP="00A07E21">
      <w:pPr>
        <w:pStyle w:val="NormalWeb"/>
        <w:numPr>
          <w:ilvl w:val="0"/>
          <w:numId w:val="22"/>
        </w:numPr>
      </w:pPr>
      <w:r>
        <w:t xml:space="preserve">As part of the bill, the Department of Commerce must make a recommendation to the Business and Labor Interim Committee by </w:t>
      </w:r>
      <w:r>
        <w:rPr>
          <w:rStyle w:val="Strong"/>
        </w:rPr>
        <w:t xml:space="preserve">August 31, </w:t>
      </w:r>
      <w:proofErr w:type="gramStart"/>
      <w:r>
        <w:rPr>
          <w:rStyle w:val="Strong"/>
        </w:rPr>
        <w:t>2026</w:t>
      </w:r>
      <w:proofErr w:type="gramEnd"/>
      <w:r>
        <w:t xml:space="preserve"> regarding overlapping jurisdiction between the Division of Real Estate and the Division of Consumer Protection over property management activities.</w:t>
      </w:r>
    </w:p>
    <w:p w14:paraId="7ADB5F76" w14:textId="77777777" w:rsidR="00A07E21" w:rsidRDefault="00A07E21" w:rsidP="00A07E21">
      <w:pPr>
        <w:pStyle w:val="NormalWeb"/>
        <w:numPr>
          <w:ilvl w:val="0"/>
          <w:numId w:val="22"/>
        </w:numPr>
      </w:pPr>
      <w:r>
        <w:t xml:space="preserve">The statute specifically requires consultation with the Real Estate Commission, the Division of Real Estate, </w:t>
      </w:r>
      <w:proofErr w:type="gramStart"/>
      <w:r>
        <w:t>persons</w:t>
      </w:r>
      <w:proofErr w:type="gramEnd"/>
      <w:r>
        <w:t xml:space="preserve"> engaged in property management, and other subject matter experts.</w:t>
      </w:r>
    </w:p>
    <w:p w14:paraId="4CEA3BCF" w14:textId="77777777" w:rsidR="00A07E21" w:rsidRDefault="00A07E21" w:rsidP="00A07E21">
      <w:pPr>
        <w:pStyle w:val="NormalWeb"/>
        <w:numPr>
          <w:ilvl w:val="0"/>
          <w:numId w:val="22"/>
        </w:numPr>
      </w:pPr>
      <w:r>
        <w:t>The Commission will play an active role in the study and recommendation process in the coming months.</w:t>
      </w:r>
    </w:p>
    <w:p w14:paraId="51055D79" w14:textId="77777777" w:rsidR="00A07E21" w:rsidRDefault="00A07E21" w:rsidP="00A07E21">
      <w:pPr>
        <w:pStyle w:val="NormalWeb"/>
      </w:pPr>
      <w:r>
        <w:t>Mr. Steinagel also reported:</w:t>
      </w:r>
    </w:p>
    <w:p w14:paraId="55DFCCAA" w14:textId="182EE5AA" w:rsidR="00A07E21" w:rsidRDefault="00A07E21" w:rsidP="00A07E21">
      <w:pPr>
        <w:pStyle w:val="NormalWeb"/>
        <w:numPr>
          <w:ilvl w:val="0"/>
          <w:numId w:val="23"/>
        </w:numPr>
      </w:pPr>
      <w:r>
        <w:lastRenderedPageBreak/>
        <w:t>The Division continues to have vacancies for an investigation supervisor and an appraiser investigator.</w:t>
      </w:r>
    </w:p>
    <w:p w14:paraId="05BB6A35" w14:textId="18AEA204" w:rsidR="00A07E21" w:rsidRDefault="00A07E21" w:rsidP="00A07E21">
      <w:pPr>
        <w:pStyle w:val="NormalWeb"/>
        <w:numPr>
          <w:ilvl w:val="0"/>
          <w:numId w:val="23"/>
        </w:numPr>
      </w:pPr>
      <w:r>
        <w:t>No communications or letters from the public have been received for the Commission.</w:t>
      </w:r>
    </w:p>
    <w:p w14:paraId="01E61B92" w14:textId="77777777" w:rsidR="00A07E21" w:rsidRDefault="00A07E21" w:rsidP="00A07E21">
      <w:pPr>
        <w:pStyle w:val="NormalWeb"/>
      </w:pPr>
      <w:r>
        <w:rPr>
          <w:rStyle w:val="Strong"/>
        </w:rPr>
        <w:t>Licensing and Education:</w:t>
      </w:r>
      <w:r>
        <w:br/>
        <w:t xml:space="preserve">Laurel North reported that the Division will continue using a </w:t>
      </w:r>
      <w:r>
        <w:rPr>
          <w:rStyle w:val="Strong"/>
        </w:rPr>
        <w:t>30-day turnaround estimate</w:t>
      </w:r>
      <w:r>
        <w:t xml:space="preserve"> for application processing. Although many applications are processed in two to three weeks, some require additional review due to fingerprint issues, qualifying questionnaire responses, or other character-related matters.</w:t>
      </w:r>
    </w:p>
    <w:p w14:paraId="73BC58DF" w14:textId="77777777" w:rsidR="00A07E21" w:rsidRDefault="00A07E21" w:rsidP="00A07E21">
      <w:pPr>
        <w:pStyle w:val="NormalWeb"/>
      </w:pPr>
      <w:r>
        <w:t>Additional updates included:</w:t>
      </w:r>
    </w:p>
    <w:p w14:paraId="1BAA62FE" w14:textId="77777777" w:rsidR="00A07E21" w:rsidRDefault="00A07E21" w:rsidP="00A07E21">
      <w:pPr>
        <w:pStyle w:val="NormalWeb"/>
        <w:numPr>
          <w:ilvl w:val="0"/>
          <w:numId w:val="24"/>
        </w:numPr>
      </w:pPr>
      <w:r>
        <w:t>The Division and industry participants will be meeting with Pearson to review and align exam content for sales agents, brokers, and property management. This is the first major review since approximately 2013.</w:t>
      </w:r>
    </w:p>
    <w:p w14:paraId="72A47E1E" w14:textId="77777777" w:rsidR="00A07E21" w:rsidRDefault="00A07E21" w:rsidP="00A07E21">
      <w:pPr>
        <w:pStyle w:val="NormalWeb"/>
        <w:numPr>
          <w:ilvl w:val="0"/>
          <w:numId w:val="24"/>
        </w:numPr>
      </w:pPr>
      <w:r>
        <w:t>The anticipated implementation of House Bill 377 will assist with integrating updated property management content into examination materials.</w:t>
      </w:r>
    </w:p>
    <w:p w14:paraId="2B87288E" w14:textId="77777777" w:rsidR="00A07E21" w:rsidRDefault="00A07E21" w:rsidP="00A07E21">
      <w:pPr>
        <w:pStyle w:val="NormalWeb"/>
        <w:numPr>
          <w:ilvl w:val="0"/>
          <w:numId w:val="24"/>
        </w:numPr>
      </w:pPr>
      <w:r>
        <w:t xml:space="preserve">The Division estimates there may be approximately </w:t>
      </w:r>
      <w:r>
        <w:rPr>
          <w:rStyle w:val="Strong"/>
        </w:rPr>
        <w:t>1,000 initial property management licenses</w:t>
      </w:r>
      <w:r>
        <w:t>, largely from existing residential property management activity transitioning into the new structure.</w:t>
      </w:r>
    </w:p>
    <w:p w14:paraId="7B2B9989" w14:textId="77777777" w:rsidR="00A07E21" w:rsidRDefault="00A07E21" w:rsidP="00A07E21">
      <w:pPr>
        <w:pStyle w:val="NormalWeb"/>
        <w:numPr>
          <w:ilvl w:val="0"/>
          <w:numId w:val="24"/>
        </w:numPr>
      </w:pPr>
      <w:r>
        <w:t xml:space="preserve">The next Division newsletter is scheduled for </w:t>
      </w:r>
      <w:r>
        <w:rPr>
          <w:rStyle w:val="Strong"/>
        </w:rPr>
        <w:t>April 1, 2026</w:t>
      </w:r>
      <w:r>
        <w:t>.</w:t>
      </w:r>
    </w:p>
    <w:p w14:paraId="52AE27B0" w14:textId="77777777" w:rsidR="00A07E21" w:rsidRDefault="00A07E21" w:rsidP="00A07E21">
      <w:pPr>
        <w:pStyle w:val="NormalWeb"/>
        <w:numPr>
          <w:ilvl w:val="0"/>
          <w:numId w:val="24"/>
        </w:numPr>
      </w:pPr>
      <w:r>
        <w:t xml:space="preserve">Spring caravans are expected to begin in May, with the first event tentatively planned for </w:t>
      </w:r>
      <w:r>
        <w:rPr>
          <w:rStyle w:val="Strong"/>
        </w:rPr>
        <w:t xml:space="preserve">May 19, </w:t>
      </w:r>
      <w:proofErr w:type="gramStart"/>
      <w:r>
        <w:rPr>
          <w:rStyle w:val="Strong"/>
        </w:rPr>
        <w:t>2026</w:t>
      </w:r>
      <w:proofErr w:type="gramEnd"/>
      <w:r>
        <w:t xml:space="preserve"> at the Taylorsville State Building.</w:t>
      </w:r>
    </w:p>
    <w:p w14:paraId="7E355BC8" w14:textId="77777777" w:rsidR="00A07E21" w:rsidRDefault="00A07E21" w:rsidP="00A07E21">
      <w:pPr>
        <w:pStyle w:val="NormalWeb"/>
        <w:numPr>
          <w:ilvl w:val="0"/>
          <w:numId w:val="24"/>
        </w:numPr>
      </w:pPr>
      <w:r>
        <w:t xml:space="preserve">Licensing statistics remain stable, but the Division has seen about a </w:t>
      </w:r>
      <w:r>
        <w:rPr>
          <w:rStyle w:val="Strong"/>
        </w:rPr>
        <w:t>7 percent increase</w:t>
      </w:r>
      <w:r>
        <w:t xml:space="preserve"> in licenses that were not renewed within one year, reaching </w:t>
      </w:r>
      <w:r>
        <w:rPr>
          <w:rStyle w:val="Strong"/>
        </w:rPr>
        <w:t>183</w:t>
      </w:r>
      <w:r>
        <w:t xml:space="preserve"> non-renewed licenses in that category.</w:t>
      </w:r>
    </w:p>
    <w:p w14:paraId="600F077B" w14:textId="77777777" w:rsidR="00A07E21" w:rsidRDefault="00A07E21" w:rsidP="00A07E21">
      <w:pPr>
        <w:pStyle w:val="NormalWeb"/>
      </w:pPr>
      <w:r>
        <w:rPr>
          <w:rStyle w:val="Strong"/>
        </w:rPr>
        <w:t>Commission and Industry Issues:</w:t>
      </w:r>
      <w:r>
        <w:br/>
        <w:t>Justin Barney reported that, assuming the Governor signs House Bill 377, the property management committee will resume meeting to move forward with rulemaking and implementation recommendations. The Division intends to proceed with the regulatory framework while also participating in the broader jurisdictional review required by the legislation.</w:t>
      </w:r>
    </w:p>
    <w:p w14:paraId="3B9EF564" w14:textId="77777777" w:rsidR="00A07E21" w:rsidRDefault="00A07E21" w:rsidP="00A07E21">
      <w:pPr>
        <w:pStyle w:val="NormalWeb"/>
      </w:pPr>
      <w:r>
        <w:rPr>
          <w:rStyle w:val="Strong"/>
        </w:rPr>
        <w:t>Enforcement Report:</w:t>
      </w:r>
      <w:r>
        <w:br/>
        <w:t xml:space="preserve">Bryn Kaelin reported that new cases decreased by 43 percent during the reporting period, allowing the enforcement team to focus on reducing backlog. The team closed </w:t>
      </w:r>
      <w:r>
        <w:rPr>
          <w:rStyle w:val="Strong"/>
        </w:rPr>
        <w:t>64 cases</w:t>
      </w:r>
      <w:r>
        <w:t xml:space="preserve">, a 16 percent increase over the prior month, and reduced the total number of open cases from </w:t>
      </w:r>
      <w:r>
        <w:rPr>
          <w:rStyle w:val="Strong"/>
        </w:rPr>
        <w:t>283 to 259</w:t>
      </w:r>
      <w:r>
        <w:t>.</w:t>
      </w:r>
    </w:p>
    <w:p w14:paraId="5C38D2E5" w14:textId="77777777" w:rsidR="00A07E21" w:rsidRDefault="00A07E21" w:rsidP="00A07E21">
      <w:pPr>
        <w:pStyle w:val="NormalWeb"/>
      </w:pPr>
      <w:r>
        <w:t>Mr. Kaelin noted that:</w:t>
      </w:r>
    </w:p>
    <w:p w14:paraId="0AFF85AB" w14:textId="77777777" w:rsidR="00A07E21" w:rsidRDefault="00A07E21" w:rsidP="00A07E21">
      <w:pPr>
        <w:pStyle w:val="NormalWeb"/>
        <w:numPr>
          <w:ilvl w:val="0"/>
          <w:numId w:val="25"/>
        </w:numPr>
      </w:pPr>
      <w:r>
        <w:t>The reduced active caseload allows investigators to focus more effectively on complex matters.</w:t>
      </w:r>
    </w:p>
    <w:p w14:paraId="07B7A8DF" w14:textId="77777777" w:rsidR="00A07E21" w:rsidRDefault="00A07E21" w:rsidP="00A07E21">
      <w:pPr>
        <w:pStyle w:val="NormalWeb"/>
        <w:numPr>
          <w:ilvl w:val="0"/>
          <w:numId w:val="25"/>
        </w:numPr>
      </w:pPr>
      <w:r>
        <w:t>Eight licensing actions were also completed.</w:t>
      </w:r>
    </w:p>
    <w:p w14:paraId="2BD62BE2" w14:textId="77777777" w:rsidR="00A07E21" w:rsidRDefault="00A07E21" w:rsidP="00A07E21">
      <w:pPr>
        <w:pStyle w:val="NormalWeb"/>
        <w:numPr>
          <w:ilvl w:val="0"/>
          <w:numId w:val="25"/>
        </w:numPr>
      </w:pPr>
      <w:r>
        <w:lastRenderedPageBreak/>
        <w:t>The seven stipulations presented to the Commission reflected the enforcement team’s recent efforts to resolve pending matters efficiently.</w:t>
      </w:r>
    </w:p>
    <w:p w14:paraId="525E51C5" w14:textId="77777777" w:rsidR="00A07E21" w:rsidRDefault="00A07E21" w:rsidP="00A07E21">
      <w:pPr>
        <w:pStyle w:val="NormalWeb"/>
      </w:pPr>
      <w:r>
        <w:t>Chris Martindale added that the increase in stipulations is expected to continue over the next several months as the Division works to close the gap between older and newer cases. He credited the investigative staff, Division leadership, and procedural improvements for the increased efficiency.</w:t>
      </w:r>
    </w:p>
    <w:p w14:paraId="0773D626" w14:textId="77777777" w:rsidR="00A07E21" w:rsidRDefault="00A07E21" w:rsidP="00A07E21">
      <w:pPr>
        <w:pStyle w:val="NormalWeb"/>
      </w:pPr>
      <w:r>
        <w:rPr>
          <w:rStyle w:val="Strong"/>
        </w:rPr>
        <w:t>Stipulations:</w:t>
      </w:r>
    </w:p>
    <w:p w14:paraId="01EB32A5" w14:textId="77777777" w:rsidR="00A07E21" w:rsidRDefault="00A07E21" w:rsidP="00A07E21">
      <w:pPr>
        <w:pStyle w:val="NormalWeb"/>
      </w:pPr>
      <w:r>
        <w:rPr>
          <w:rStyle w:val="Strong"/>
        </w:rPr>
        <w:t>Chris Martindale</w:t>
      </w:r>
    </w:p>
    <w:p w14:paraId="37029851" w14:textId="77777777" w:rsidR="00A07E21" w:rsidRDefault="00A07E21" w:rsidP="00A07E21">
      <w:pPr>
        <w:pStyle w:val="NormalWeb"/>
        <w:numPr>
          <w:ilvl w:val="0"/>
          <w:numId w:val="26"/>
        </w:numPr>
      </w:pPr>
      <w:r>
        <w:rPr>
          <w:rStyle w:val="Strong"/>
        </w:rPr>
        <w:t>In the Matter of Howard F. Thurston (Principal Broker):</w:t>
      </w:r>
      <w:r>
        <w:br/>
        <w:t>The respondent admitted to improperly maintaining a property in MLS and using the listing as leverage to secure a commission after the listing had expired and without a fully executed contract.</w:t>
      </w:r>
      <w:r>
        <w:br/>
        <w:t>Proposed resolution: $4,000 civil penalty, 3 hours of continuing education on Utah law, and publication in the Division newsletter.</w:t>
      </w:r>
      <w:r>
        <w:br/>
        <w:t>A typo in one factual paragraph was identified during discussion; the Commission proceeded with the understanding that the stipulation would be corrected to reflect the parties’ intent.</w:t>
      </w:r>
      <w:r>
        <w:br/>
        <w:t>A motion was made and seconded to approve the stipulation as corrected.</w:t>
      </w:r>
      <w:r>
        <w:br/>
        <w:t>The motion carried unanimously.</w:t>
      </w:r>
      <w:r>
        <w:br/>
        <w:t>The Division concurred.</w:t>
      </w:r>
    </w:p>
    <w:p w14:paraId="799A33FD" w14:textId="77777777" w:rsidR="00A07E21" w:rsidRDefault="00A07E21" w:rsidP="00A07E21">
      <w:pPr>
        <w:pStyle w:val="NormalWeb"/>
        <w:numPr>
          <w:ilvl w:val="0"/>
          <w:numId w:val="26"/>
        </w:numPr>
      </w:pPr>
      <w:r>
        <w:rPr>
          <w:rStyle w:val="Strong"/>
        </w:rPr>
        <w:t>In the Matter of Jacob Hyram Bailey (Sales Agent):</w:t>
      </w:r>
      <w:r>
        <w:br/>
        <w:t>The respondent admitted to sending an unauthorized email advertisement for a property without permission from the property owner or listing broker.</w:t>
      </w:r>
      <w:r>
        <w:br/>
        <w:t>Proposed resolution: $2,000 civil penalty, 3 hours of continuing education on Utah law, and publication in the Division newsletter.</w:t>
      </w:r>
      <w:r>
        <w:br/>
        <w:t>A motion was made and seconded to approve the stipulation.</w:t>
      </w:r>
      <w:r>
        <w:br/>
        <w:t>The motion carried unanimously.</w:t>
      </w:r>
      <w:r>
        <w:br/>
        <w:t>The Division concurred.</w:t>
      </w:r>
    </w:p>
    <w:p w14:paraId="2BC97C94" w14:textId="77777777" w:rsidR="00A07E21" w:rsidRDefault="00A07E21" w:rsidP="00A07E21">
      <w:pPr>
        <w:pStyle w:val="NormalWeb"/>
        <w:numPr>
          <w:ilvl w:val="0"/>
          <w:numId w:val="26"/>
        </w:numPr>
      </w:pPr>
      <w:r>
        <w:rPr>
          <w:rStyle w:val="Strong"/>
        </w:rPr>
        <w:t>In the Matter of Kristen Mortenson (Dual Broker):</w:t>
      </w:r>
      <w:r>
        <w:br/>
        <w:t>The respondent admitted to failing to exercise reasonable supervision over unlicensed staff and failing to properly reconcile trust account records, which allowed significant embezzlement by an employee to go undetected.</w:t>
      </w:r>
      <w:r>
        <w:br/>
        <w:t>Proposed resolution: $8,000 civil penalty to be paid to the company owners, 3 hours of continuing education on Utah law, probation through October 31, 2028, and publication in the Division newsletter.</w:t>
      </w:r>
      <w:r>
        <w:br/>
        <w:t>A motion was made and seconded to approve the stipulation.</w:t>
      </w:r>
      <w:r>
        <w:br/>
        <w:t>The motion carried unanimously.</w:t>
      </w:r>
      <w:r>
        <w:br/>
        <w:t>The Division concurred.</w:t>
      </w:r>
    </w:p>
    <w:p w14:paraId="6BBD036B" w14:textId="77777777" w:rsidR="00A07E21" w:rsidRDefault="00A07E21" w:rsidP="00A07E21">
      <w:pPr>
        <w:pStyle w:val="NormalWeb"/>
      </w:pPr>
      <w:r>
        <w:rPr>
          <w:rStyle w:val="Strong"/>
        </w:rPr>
        <w:t>Adam Martin</w:t>
      </w:r>
    </w:p>
    <w:p w14:paraId="4D390EEA" w14:textId="77777777" w:rsidR="00A07E21" w:rsidRDefault="00A07E21" w:rsidP="00A07E21">
      <w:pPr>
        <w:pStyle w:val="NormalWeb"/>
        <w:numPr>
          <w:ilvl w:val="0"/>
          <w:numId w:val="27"/>
        </w:numPr>
      </w:pPr>
      <w:r>
        <w:rPr>
          <w:rStyle w:val="Strong"/>
        </w:rPr>
        <w:lastRenderedPageBreak/>
        <w:t>In the Matter of Angela B. Walker (Sales Agent):</w:t>
      </w:r>
      <w:r>
        <w:br/>
        <w:t>The respondent admitted to prolonged deceptive conduct toward her clients regarding a rejected purchase offer and related transaction status, resulting in significant financial harm to the complainants.</w:t>
      </w:r>
      <w:r>
        <w:br/>
        <w:t>Proposed resolution: revocation of any reinstatement rights, a minimum two-year prohibition on reapplication, a $10,000 civil penalty, and publication in the Division newsletter.</w:t>
      </w:r>
      <w:r>
        <w:br/>
        <w:t>A motion was made and seconded to approve the stipulation.</w:t>
      </w:r>
      <w:r>
        <w:br/>
        <w:t>The motion carried unanimously.</w:t>
      </w:r>
      <w:r>
        <w:br/>
        <w:t>The Division concurred.</w:t>
      </w:r>
    </w:p>
    <w:p w14:paraId="20FE0858" w14:textId="77777777" w:rsidR="00A07E21" w:rsidRDefault="00A07E21" w:rsidP="00A07E21">
      <w:pPr>
        <w:pStyle w:val="NormalWeb"/>
      </w:pPr>
      <w:r>
        <w:rPr>
          <w:rStyle w:val="Strong"/>
        </w:rPr>
        <w:t>William Nieves</w:t>
      </w:r>
    </w:p>
    <w:p w14:paraId="4C92C992" w14:textId="77777777" w:rsidR="00A07E21" w:rsidRDefault="00A07E21" w:rsidP="00A07E21">
      <w:pPr>
        <w:pStyle w:val="NormalWeb"/>
        <w:numPr>
          <w:ilvl w:val="0"/>
          <w:numId w:val="28"/>
        </w:numPr>
      </w:pPr>
      <w:r>
        <w:rPr>
          <w:rStyle w:val="Strong"/>
        </w:rPr>
        <w:t>In the Matter of Andreas Diaz (Principal Broker):</w:t>
      </w:r>
      <w:r>
        <w:br/>
        <w:t>The respondent admitted to publishing a rental listing containing an unauthorized personal photograph and to failing to return trust funds within the required statutory period.</w:t>
      </w:r>
      <w:r>
        <w:br/>
        <w:t>Proposed resolution: $2,500 civil penalty, 3 hours of continuing education on Utah law, and publication in the Division newsletter.</w:t>
      </w:r>
      <w:r>
        <w:br/>
        <w:t>A motion was made and seconded to approve the stipulation.</w:t>
      </w:r>
      <w:r>
        <w:br/>
        <w:t>The motion carried unanimously.</w:t>
      </w:r>
      <w:r>
        <w:br/>
        <w:t>The Division concurred.</w:t>
      </w:r>
    </w:p>
    <w:p w14:paraId="364BC952" w14:textId="77777777" w:rsidR="00A07E21" w:rsidRDefault="00A07E21" w:rsidP="00A07E21">
      <w:pPr>
        <w:pStyle w:val="NormalWeb"/>
        <w:numPr>
          <w:ilvl w:val="0"/>
          <w:numId w:val="28"/>
        </w:numPr>
      </w:pPr>
      <w:r>
        <w:rPr>
          <w:rStyle w:val="Strong"/>
        </w:rPr>
        <w:t>In the Matter of Christopher Lawrence Brown (Sales Agent):</w:t>
      </w:r>
      <w:r>
        <w:br/>
        <w:t>The respondent admitted to failing to remit a security deposit within the required statutory period following termination of a property management agreement.</w:t>
      </w:r>
      <w:r>
        <w:br/>
        <w:t>Proposed resolution: $2,000 civil penalty, 3 hours of continuing education on Utah law, and publication in the Division newsletter.</w:t>
      </w:r>
      <w:r>
        <w:br/>
        <w:t>A motion was made and seconded to approve the stipulation.</w:t>
      </w:r>
      <w:r>
        <w:br/>
        <w:t>The motion carried unanimously.</w:t>
      </w:r>
      <w:r>
        <w:br/>
        <w:t>The Division concurred.</w:t>
      </w:r>
    </w:p>
    <w:p w14:paraId="14771C1E" w14:textId="77777777" w:rsidR="00A07E21" w:rsidRDefault="00A07E21" w:rsidP="00A07E21">
      <w:pPr>
        <w:pStyle w:val="NormalWeb"/>
        <w:numPr>
          <w:ilvl w:val="0"/>
          <w:numId w:val="28"/>
        </w:numPr>
      </w:pPr>
      <w:r>
        <w:rPr>
          <w:rStyle w:val="Strong"/>
        </w:rPr>
        <w:t>In the Matter of Robert Monty King (Sales Agent):</w:t>
      </w:r>
      <w:r>
        <w:br/>
        <w:t>The respondent admitted to removing personal property from a listed home during a showing, concealing the items, returning to the property after being instructed not to do so, and engaging in dishonest conduct.</w:t>
      </w:r>
      <w:r>
        <w:br/>
        <w:t>Proposed resolution: revocation of reinstatement rights, a minimum three-year prohibition on reapplication, a $4,000 civil penalty, and publication in the Division newsletter.</w:t>
      </w:r>
      <w:r>
        <w:br/>
        <w:t>A motion was made and seconded to approve the stipulation.</w:t>
      </w:r>
      <w:r>
        <w:br/>
        <w:t>The motion carried unanimously.</w:t>
      </w:r>
      <w:r>
        <w:br/>
        <w:t>The Division concurred.</w:t>
      </w:r>
    </w:p>
    <w:p w14:paraId="387E6FC2" w14:textId="77777777" w:rsidR="00A07E21" w:rsidRDefault="00A07E21" w:rsidP="00A07E21">
      <w:pPr>
        <w:pStyle w:val="NormalWeb"/>
      </w:pPr>
      <w:r>
        <w:rPr>
          <w:rStyle w:val="Strong"/>
        </w:rPr>
        <w:t>Executive Session:</w:t>
      </w:r>
      <w:r>
        <w:br/>
        <w:t>A motion was made and seconded to enter executive session to discuss the character, professional competence, or physical and mental health of individuals in relation to the stipulations before the Commission.</w:t>
      </w:r>
      <w:r>
        <w:br/>
        <w:t>The motion carried unanimously.</w:t>
      </w:r>
    </w:p>
    <w:p w14:paraId="65923C8B" w14:textId="77777777" w:rsidR="00A07E21" w:rsidRDefault="00A07E21" w:rsidP="00A07E21">
      <w:pPr>
        <w:pStyle w:val="NormalWeb"/>
      </w:pPr>
      <w:r>
        <w:lastRenderedPageBreak/>
        <w:t>Those voting to enter executive session were Chair Southwick, Vice Chair Bringhurst, Commissioner Wilson, Commissioner McClelland, and Commissioner Smith.</w:t>
      </w:r>
    </w:p>
    <w:p w14:paraId="36297CE2" w14:textId="77777777" w:rsidR="00A07E21" w:rsidRDefault="00A07E21" w:rsidP="00A07E21">
      <w:pPr>
        <w:pStyle w:val="NormalWeb"/>
      </w:pPr>
      <w:r>
        <w:t xml:space="preserve">Following executive session, the Commission reconvened in open session and approved each of the seven </w:t>
      </w:r>
      <w:proofErr w:type="gramStart"/>
      <w:r>
        <w:t>stipulations as</w:t>
      </w:r>
      <w:proofErr w:type="gramEnd"/>
      <w:r>
        <w:t xml:space="preserve"> listed above. The Division concurred in each matter.</w:t>
      </w:r>
    </w:p>
    <w:p w14:paraId="70A8C284" w14:textId="77777777" w:rsidR="00A07E21" w:rsidRDefault="00A07E21" w:rsidP="00A07E21">
      <w:pPr>
        <w:pStyle w:val="NormalWeb"/>
      </w:pPr>
      <w:r>
        <w:rPr>
          <w:rStyle w:val="Strong"/>
        </w:rPr>
        <w:t>Adjournment:</w:t>
      </w:r>
      <w:r>
        <w:br/>
        <w:t>Chair Southwick thanked Division staff for their work in moving complaints toward resolution and recognized the progress being made in enforcement. He also thanked Acting Director Steinagel for his participation and support.</w:t>
      </w:r>
    </w:p>
    <w:p w14:paraId="153B28AF" w14:textId="77777777" w:rsidR="00A07E21" w:rsidRDefault="00A07E21" w:rsidP="00A07E21">
      <w:pPr>
        <w:pStyle w:val="NormalWeb"/>
      </w:pPr>
      <w:r>
        <w:t>A motion was made and seconded to adjourn.</w:t>
      </w:r>
      <w:r>
        <w:br/>
        <w:t>The motion carried.</w:t>
      </w:r>
    </w:p>
    <w:p w14:paraId="19947640" w14:textId="77777777" w:rsidR="00A07E21" w:rsidRDefault="00A07E21" w:rsidP="00A07E21">
      <w:pPr>
        <w:pStyle w:val="NormalWeb"/>
      </w:pPr>
      <w:r>
        <w:t xml:space="preserve">The meeting adjourned at approximately </w:t>
      </w:r>
      <w:r>
        <w:rPr>
          <w:rStyle w:val="Strong"/>
        </w:rPr>
        <w:t>11:11 a.m.</w:t>
      </w:r>
    </w:p>
    <w:p w14:paraId="6F894353" w14:textId="77777777" w:rsidR="00A07E21" w:rsidRDefault="00A07E21" w:rsidP="00A07E21">
      <w:pPr>
        <w:pStyle w:val="NormalWeb"/>
      </w:pPr>
      <w:r>
        <w:t>If you want, I can also turn this into a cleaner board-ready version with signature lines and a page footer format.</w:t>
      </w:r>
    </w:p>
    <w:p w14:paraId="6088759D" w14:textId="44EDF614" w:rsidR="001F7A5C" w:rsidRPr="00910059" w:rsidRDefault="001F7A5C" w:rsidP="00910059"/>
    <w:sectPr w:rsidR="001F7A5C" w:rsidRPr="00910059"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A5B6" w14:textId="77777777" w:rsidR="00B40655" w:rsidRDefault="00B40655" w:rsidP="00A52CFB">
      <w:pPr>
        <w:spacing w:after="0" w:line="240" w:lineRule="auto"/>
      </w:pPr>
      <w:r>
        <w:separator/>
      </w:r>
    </w:p>
  </w:endnote>
  <w:endnote w:type="continuationSeparator" w:id="0">
    <w:p w14:paraId="451AA76B" w14:textId="77777777" w:rsidR="00B40655" w:rsidRDefault="00B40655" w:rsidP="00A5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FBBA" w14:textId="77777777" w:rsidR="00A07E21" w:rsidRDefault="00A07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1F9" w14:textId="77777777" w:rsidR="00A07E21" w:rsidRDefault="00A07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660E" w14:textId="77777777" w:rsidR="00A07E21" w:rsidRDefault="00A07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9056" w14:textId="77777777" w:rsidR="00B40655" w:rsidRDefault="00B40655" w:rsidP="00A52CFB">
      <w:pPr>
        <w:spacing w:after="0" w:line="240" w:lineRule="auto"/>
      </w:pPr>
      <w:r>
        <w:separator/>
      </w:r>
    </w:p>
  </w:footnote>
  <w:footnote w:type="continuationSeparator" w:id="0">
    <w:p w14:paraId="534BAD15" w14:textId="77777777" w:rsidR="00B40655" w:rsidRDefault="00B40655" w:rsidP="00A5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1290" w14:textId="00E66274" w:rsidR="00A52CFB" w:rsidRDefault="00B40655">
    <w:pPr>
      <w:pStyle w:val="Header"/>
    </w:pPr>
    <w:r>
      <w:rPr>
        <w:noProof/>
      </w:rPr>
      <w:pict w14:anchorId="30E9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70657" o:spid="_x0000_s1026" type="#_x0000_t136" style="position:absolute;margin-left:0;margin-top:0;width:473.75pt;height:135.35pt;rotation:315;z-index:-251655168;mso-position-horizontal:center;mso-position-horizontal-relative:margin;mso-position-vertical:center;mso-position-vertical-relative:margin" o:allowincell="f" fillcolor="silver" stroked="f">
          <v:fill opacity=".5"/>
          <v:textpath style="font-family:&quot;Cambria&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0754" w14:textId="6FBDA2DE" w:rsidR="00A52CFB" w:rsidRDefault="00B40655">
    <w:pPr>
      <w:pStyle w:val="Header"/>
    </w:pPr>
    <w:r>
      <w:rPr>
        <w:noProof/>
      </w:rPr>
      <w:pict w14:anchorId="46060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70658" o:spid="_x0000_s1027" type="#_x0000_t136" style="position:absolute;margin-left:0;margin-top:0;width:473.75pt;height:135.35pt;rotation:315;z-index:-251653120;mso-position-horizontal:center;mso-position-horizontal-relative:margin;mso-position-vertical:center;mso-position-vertical-relative:margin" o:allowincell="f" fillcolor="silver" stroked="f">
          <v:fill opacity=".5"/>
          <v:textpath style="font-family:&quot;Cambria&quot;;font-size:1pt" string="PEND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0AD7" w14:textId="0467102D" w:rsidR="00A52CFB" w:rsidRDefault="00B40655">
    <w:pPr>
      <w:pStyle w:val="Header"/>
    </w:pPr>
    <w:r>
      <w:rPr>
        <w:noProof/>
      </w:rPr>
      <w:pict w14:anchorId="2B5C0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70656" o:spid="_x0000_s1025" type="#_x0000_t136" style="position:absolute;margin-left:0;margin-top:0;width:473.75pt;height:135.35pt;rotation:315;z-index:-251657216;mso-position-horizontal:center;mso-position-horizontal-relative:margin;mso-position-vertical:center;mso-position-vertical-relative:margin" o:allowincell="f" fillcolor="silver" stroked="f">
          <v:fill opacity=".5"/>
          <v:textpath style="font-family:&quot;Cambria&quot;;font-size:1pt" string="PEND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72229"/>
    <w:multiLevelType w:val="multilevel"/>
    <w:tmpl w:val="742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F1407"/>
    <w:multiLevelType w:val="multilevel"/>
    <w:tmpl w:val="27D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57468"/>
    <w:multiLevelType w:val="multilevel"/>
    <w:tmpl w:val="054C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00F22"/>
    <w:multiLevelType w:val="multilevel"/>
    <w:tmpl w:val="8238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0085"/>
    <w:multiLevelType w:val="multilevel"/>
    <w:tmpl w:val="2B4C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05642"/>
    <w:multiLevelType w:val="multilevel"/>
    <w:tmpl w:val="DBD6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156CD"/>
    <w:multiLevelType w:val="multilevel"/>
    <w:tmpl w:val="599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34CD9"/>
    <w:multiLevelType w:val="multilevel"/>
    <w:tmpl w:val="DB8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B7C01"/>
    <w:multiLevelType w:val="multilevel"/>
    <w:tmpl w:val="122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25C00"/>
    <w:multiLevelType w:val="multilevel"/>
    <w:tmpl w:val="6A3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A61A9"/>
    <w:multiLevelType w:val="multilevel"/>
    <w:tmpl w:val="A1D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536E6"/>
    <w:multiLevelType w:val="multilevel"/>
    <w:tmpl w:val="A88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04BE1"/>
    <w:multiLevelType w:val="multilevel"/>
    <w:tmpl w:val="6A8E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3371A"/>
    <w:multiLevelType w:val="multilevel"/>
    <w:tmpl w:val="2DB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E6FBF"/>
    <w:multiLevelType w:val="multilevel"/>
    <w:tmpl w:val="6AB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2B36BE"/>
    <w:multiLevelType w:val="multilevel"/>
    <w:tmpl w:val="89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B48B9"/>
    <w:multiLevelType w:val="multilevel"/>
    <w:tmpl w:val="4918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3F2655"/>
    <w:multiLevelType w:val="multilevel"/>
    <w:tmpl w:val="AEC8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661D1"/>
    <w:multiLevelType w:val="multilevel"/>
    <w:tmpl w:val="AAE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534040">
    <w:abstractNumId w:val="8"/>
  </w:num>
  <w:num w:numId="2" w16cid:durableId="372003832">
    <w:abstractNumId w:val="6"/>
  </w:num>
  <w:num w:numId="3" w16cid:durableId="367728423">
    <w:abstractNumId w:val="5"/>
  </w:num>
  <w:num w:numId="4" w16cid:durableId="1627588934">
    <w:abstractNumId w:val="4"/>
  </w:num>
  <w:num w:numId="5" w16cid:durableId="739250599">
    <w:abstractNumId w:val="7"/>
  </w:num>
  <w:num w:numId="6" w16cid:durableId="1940024413">
    <w:abstractNumId w:val="3"/>
  </w:num>
  <w:num w:numId="7" w16cid:durableId="1476679734">
    <w:abstractNumId w:val="2"/>
  </w:num>
  <w:num w:numId="8" w16cid:durableId="1698189708">
    <w:abstractNumId w:val="1"/>
  </w:num>
  <w:num w:numId="9" w16cid:durableId="1431006825">
    <w:abstractNumId w:val="0"/>
  </w:num>
  <w:num w:numId="10" w16cid:durableId="1464081379">
    <w:abstractNumId w:val="9"/>
  </w:num>
  <w:num w:numId="11" w16cid:durableId="65733807">
    <w:abstractNumId w:val="10"/>
  </w:num>
  <w:num w:numId="12" w16cid:durableId="422923313">
    <w:abstractNumId w:val="26"/>
  </w:num>
  <w:num w:numId="13" w16cid:durableId="1010372230">
    <w:abstractNumId w:val="14"/>
  </w:num>
  <w:num w:numId="14" w16cid:durableId="1535073317">
    <w:abstractNumId w:val="22"/>
  </w:num>
  <w:num w:numId="15" w16cid:durableId="1354845004">
    <w:abstractNumId w:val="21"/>
  </w:num>
  <w:num w:numId="16" w16cid:durableId="597981461">
    <w:abstractNumId w:val="23"/>
  </w:num>
  <w:num w:numId="17" w16cid:durableId="775372616">
    <w:abstractNumId w:val="24"/>
  </w:num>
  <w:num w:numId="18" w16cid:durableId="1310595931">
    <w:abstractNumId w:val="27"/>
  </w:num>
  <w:num w:numId="19" w16cid:durableId="396780425">
    <w:abstractNumId w:val="17"/>
  </w:num>
  <w:num w:numId="20" w16cid:durableId="1911843027">
    <w:abstractNumId w:val="19"/>
  </w:num>
  <w:num w:numId="21" w16cid:durableId="249630874">
    <w:abstractNumId w:val="16"/>
  </w:num>
  <w:num w:numId="22" w16cid:durableId="845634299">
    <w:abstractNumId w:val="13"/>
  </w:num>
  <w:num w:numId="23" w16cid:durableId="1810316539">
    <w:abstractNumId w:val="15"/>
  </w:num>
  <w:num w:numId="24" w16cid:durableId="1685092966">
    <w:abstractNumId w:val="12"/>
  </w:num>
  <w:num w:numId="25" w16cid:durableId="437870291">
    <w:abstractNumId w:val="25"/>
  </w:num>
  <w:num w:numId="26" w16cid:durableId="177087685">
    <w:abstractNumId w:val="11"/>
  </w:num>
  <w:num w:numId="27" w16cid:durableId="1653287029">
    <w:abstractNumId w:val="20"/>
  </w:num>
  <w:num w:numId="28" w16cid:durableId="5910877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932"/>
    <w:rsid w:val="00034616"/>
    <w:rsid w:val="000427F6"/>
    <w:rsid w:val="0006063C"/>
    <w:rsid w:val="0015074B"/>
    <w:rsid w:val="001F7A5C"/>
    <w:rsid w:val="0029639D"/>
    <w:rsid w:val="002B7BBD"/>
    <w:rsid w:val="00326F90"/>
    <w:rsid w:val="00405956"/>
    <w:rsid w:val="005347EF"/>
    <w:rsid w:val="005B59EC"/>
    <w:rsid w:val="005D475B"/>
    <w:rsid w:val="00910059"/>
    <w:rsid w:val="009E29CE"/>
    <w:rsid w:val="00A07E21"/>
    <w:rsid w:val="00A52CFB"/>
    <w:rsid w:val="00AA1D8D"/>
    <w:rsid w:val="00AE5B9A"/>
    <w:rsid w:val="00B40655"/>
    <w:rsid w:val="00B47730"/>
    <w:rsid w:val="00B50FF1"/>
    <w:rsid w:val="00BF30E7"/>
    <w:rsid w:val="00C9179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71D6C"/>
  <w14:defaultImageDpi w14:val="300"/>
  <w15:docId w15:val="{2573EDED-C0AF-45D5-B67C-16C0FFF4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07E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Genco</cp:lastModifiedBy>
  <cp:revision>6</cp:revision>
  <dcterms:created xsi:type="dcterms:W3CDTF">2013-12-23T23:15:00Z</dcterms:created>
  <dcterms:modified xsi:type="dcterms:W3CDTF">2026-04-02T14:15:00Z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732598fe-bcf5-488c-b4e2-9db25f813d0b</vt:lpwstr>
  </property>
</Properties>
</file>