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F4A69" w14:textId="77777777" w:rsidR="003F18B2" w:rsidRDefault="006E018B">
      <w:pPr>
        <w:pBdr>
          <w:top w:val="nil"/>
          <w:left w:val="nil"/>
          <w:bottom w:val="nil"/>
          <w:right w:val="nil"/>
          <w:between w:val="nil"/>
        </w:pBdr>
        <w:tabs>
          <w:tab w:val="center" w:pos="4320"/>
          <w:tab w:val="right" w:pos="8640"/>
        </w:tabs>
        <w:jc w:val="both"/>
        <w:rPr>
          <w:b/>
          <w:bCs/>
          <w:i/>
          <w:iCs/>
          <w:color w:val="808080"/>
          <w:sz w:val="20"/>
          <w:szCs w:val="20"/>
        </w:rPr>
      </w:pPr>
      <w:bookmarkStart w:id="0" w:name="_q1uaohsdw8a8" w:colFirst="0" w:colLast="0"/>
      <w:bookmarkEnd w:id="0"/>
      <w:r>
        <w:rPr>
          <w:b/>
          <w:bCs/>
          <w:i/>
          <w:iCs/>
          <w:color w:val="808080"/>
          <w:sz w:val="20"/>
          <w:szCs w:val="20"/>
        </w:rPr>
        <w:t xml:space="preserve">Please note: These minutes have been prepared with a timestamp linking the agenda items to the video discussion. </w:t>
      </w:r>
    </w:p>
    <w:p w14:paraId="3E57962B" w14:textId="77777777" w:rsidR="00AE6520" w:rsidRDefault="00AE6520">
      <w:pPr>
        <w:pBdr>
          <w:top w:val="nil"/>
          <w:left w:val="nil"/>
          <w:bottom w:val="nil"/>
          <w:right w:val="nil"/>
          <w:between w:val="nil"/>
        </w:pBdr>
        <w:tabs>
          <w:tab w:val="center" w:pos="4320"/>
          <w:tab w:val="right" w:pos="8640"/>
        </w:tabs>
        <w:jc w:val="both"/>
        <w:rPr>
          <w:b/>
          <w:bCs/>
          <w:i/>
          <w:iCs/>
          <w:color w:val="808080"/>
          <w:sz w:val="20"/>
          <w:szCs w:val="20"/>
        </w:rPr>
      </w:pPr>
    </w:p>
    <w:p w14:paraId="0D921C0D" w14:textId="5D339CE8" w:rsidR="00AE6520" w:rsidRDefault="00AE6520" w:rsidP="00AE6520">
      <w:pPr>
        <w:rPr>
          <w:rFonts w:ascii="Montserrat" w:eastAsia="Montserrat" w:hAnsi="Montserrat" w:cs="Montserrat"/>
          <w:b/>
          <w:bCs/>
          <w:sz w:val="36"/>
          <w:szCs w:val="36"/>
        </w:rPr>
      </w:pPr>
      <w:r>
        <w:rPr>
          <w:noProof/>
        </w:rPr>
        <w:drawing>
          <wp:anchor distT="0" distB="0" distL="114300" distR="114300" simplePos="0" relativeHeight="251658240" behindDoc="1" locked="0" layoutInCell="1" allowOverlap="1" wp14:anchorId="201767DE" wp14:editId="70C9AA19">
            <wp:simplePos x="0" y="0"/>
            <wp:positionH relativeFrom="column">
              <wp:posOffset>0</wp:posOffset>
            </wp:positionH>
            <wp:positionV relativeFrom="paragraph">
              <wp:posOffset>0</wp:posOffset>
            </wp:positionV>
            <wp:extent cx="1158875" cy="1171575"/>
            <wp:effectExtent l="0" t="0" r="3175" b="9525"/>
            <wp:wrapSquare wrapText="bothSides"/>
            <wp:docPr id="251978469" name="image1.png" descr="Provo Logo"/>
            <wp:cNvGraphicFramePr/>
            <a:graphic xmlns:a="http://schemas.openxmlformats.org/drawingml/2006/main">
              <a:graphicData uri="http://schemas.openxmlformats.org/drawingml/2006/picture">
                <pic:pic xmlns:pic="http://schemas.openxmlformats.org/drawingml/2006/picture">
                  <pic:nvPicPr>
                    <pic:cNvPr id="0" name="image1.png" descr="Provo Logo"/>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158875" cy="1171575"/>
                    </a:xfrm>
                    <a:prstGeom prst="rect">
                      <a:avLst/>
                    </a:prstGeom>
                    <a:ln/>
                  </pic:spPr>
                </pic:pic>
              </a:graphicData>
            </a:graphic>
          </wp:anchor>
        </w:drawing>
      </w:r>
      <w:r>
        <w:rPr>
          <w:rFonts w:ascii="Montserrat" w:eastAsia="Montserrat" w:hAnsi="Montserrat" w:cs="Montserrat"/>
          <w:b/>
          <w:bCs/>
          <w:sz w:val="36"/>
          <w:szCs w:val="36"/>
        </w:rPr>
        <w:t>PROVO MUNICIPAL COUNCIL</w:t>
      </w:r>
    </w:p>
    <w:p w14:paraId="394ADE1D" w14:textId="77777777" w:rsidR="00AE6520" w:rsidRDefault="00AE6520" w:rsidP="00AE6520">
      <w:pPr>
        <w:rPr>
          <w:rFonts w:ascii="Montserrat Medium" w:eastAsia="Montserrat Medium" w:hAnsi="Montserrat Medium" w:cs="Montserrat Medium"/>
          <w:b/>
          <w:bCs/>
          <w:sz w:val="28"/>
          <w:szCs w:val="28"/>
        </w:rPr>
      </w:pPr>
      <w:r>
        <w:rPr>
          <w:rFonts w:ascii="Montserrat Medium" w:eastAsia="Montserrat Medium" w:hAnsi="Montserrat Medium" w:cs="Montserrat Medium"/>
          <w:b/>
          <w:bCs/>
          <w:sz w:val="28"/>
          <w:szCs w:val="28"/>
        </w:rPr>
        <w:t>Work Meeting Minutes</w:t>
      </w:r>
    </w:p>
    <w:p w14:paraId="0837CBA4" w14:textId="77777777" w:rsidR="00AE6520" w:rsidRDefault="00AE6520" w:rsidP="00AE6520">
      <w:r>
        <w:t>1:00 PM | March 24, 2026</w:t>
      </w:r>
    </w:p>
    <w:p w14:paraId="5F8C0288" w14:textId="77777777" w:rsidR="00AE6520" w:rsidRDefault="00AE6520" w:rsidP="00AE6520">
      <w:r>
        <w:t>Provo Peak Room</w:t>
      </w:r>
    </w:p>
    <w:p w14:paraId="532D57E7" w14:textId="1949FED7" w:rsidR="00AE6520" w:rsidRDefault="00AE6520" w:rsidP="00AE6520">
      <w:pPr>
        <w:pBdr>
          <w:top w:val="nil"/>
          <w:left w:val="nil"/>
          <w:bottom w:val="nil"/>
          <w:right w:val="nil"/>
          <w:between w:val="nil"/>
        </w:pBdr>
        <w:tabs>
          <w:tab w:val="center" w:pos="4320"/>
          <w:tab w:val="right" w:pos="8640"/>
        </w:tabs>
        <w:rPr>
          <w:b/>
          <w:bCs/>
          <w:i/>
          <w:iCs/>
          <w:color w:val="808080"/>
          <w:sz w:val="20"/>
          <w:szCs w:val="20"/>
        </w:rPr>
      </w:pPr>
      <w:r>
        <w:t xml:space="preserve">Hybrid meeting: 445 W. Center Street, Provo, UT 84601 or </w:t>
      </w:r>
      <w:hyperlink r:id="rId9">
        <w:r>
          <w:rPr>
            <w:color w:val="0000FF"/>
            <w:u w:val="single"/>
          </w:rPr>
          <w:t>https://www.youtube.com/provocitycouncil</w:t>
        </w:r>
      </w:hyperlink>
    </w:p>
    <w:p w14:paraId="152A24ED" w14:textId="77777777" w:rsidR="00AE6520" w:rsidRDefault="00AE6520">
      <w:pPr>
        <w:pBdr>
          <w:top w:val="nil"/>
          <w:left w:val="nil"/>
          <w:bottom w:val="nil"/>
          <w:right w:val="nil"/>
          <w:between w:val="nil"/>
        </w:pBdr>
        <w:tabs>
          <w:tab w:val="center" w:pos="4320"/>
          <w:tab w:val="right" w:pos="8640"/>
        </w:tabs>
        <w:jc w:val="both"/>
        <w:rPr>
          <w:b/>
          <w:bCs/>
          <w:i/>
          <w:iCs/>
          <w:color w:val="808080"/>
          <w:sz w:val="20"/>
          <w:szCs w:val="20"/>
        </w:rPr>
      </w:pPr>
    </w:p>
    <w:p w14:paraId="6515CC12" w14:textId="77777777" w:rsidR="003F18B2" w:rsidRDefault="006E018B" w:rsidP="00A2315A">
      <w:pPr>
        <w:pStyle w:val="Heading1"/>
      </w:pPr>
      <w:r>
        <w:t xml:space="preserve">Roll Call </w:t>
      </w:r>
    </w:p>
    <w:p w14:paraId="1042CE12" w14:textId="77777777" w:rsidR="003F18B2" w:rsidRDefault="006E018B">
      <w:pPr>
        <w:ind w:firstLine="720"/>
        <w:jc w:val="both"/>
      </w:pPr>
      <w:r>
        <w:t>Council Chair Katrice MacKay, conducting</w:t>
      </w:r>
    </w:p>
    <w:p w14:paraId="6DE841DB" w14:textId="77777777" w:rsidR="003F18B2" w:rsidRDefault="006E018B">
      <w:pPr>
        <w:ind w:firstLine="720"/>
        <w:jc w:val="both"/>
      </w:pPr>
      <w:r>
        <w:t>Council Vice-Chair Craig Christensen</w:t>
      </w:r>
    </w:p>
    <w:p w14:paraId="02336D0B" w14:textId="77777777" w:rsidR="003F18B2" w:rsidRDefault="006E018B">
      <w:pPr>
        <w:ind w:firstLine="720"/>
        <w:jc w:val="both"/>
      </w:pPr>
      <w:r>
        <w:t>Councilor Gary Garrett</w:t>
      </w:r>
    </w:p>
    <w:p w14:paraId="09EAE37D" w14:textId="77777777" w:rsidR="003F18B2" w:rsidRDefault="006E018B">
      <w:pPr>
        <w:ind w:firstLine="720"/>
        <w:jc w:val="both"/>
      </w:pPr>
      <w:r>
        <w:t>Councilor Jeff Whitlock</w:t>
      </w:r>
    </w:p>
    <w:p w14:paraId="54E0DE6C" w14:textId="77777777" w:rsidR="00A2315A" w:rsidRDefault="006E018B" w:rsidP="00A2315A">
      <w:pPr>
        <w:ind w:firstLine="720"/>
        <w:jc w:val="both"/>
      </w:pPr>
      <w:r>
        <w:t>Councilor Becky Bogdin</w:t>
      </w:r>
    </w:p>
    <w:p w14:paraId="594F4D8D" w14:textId="77777777" w:rsidR="00A2315A" w:rsidRDefault="006E018B" w:rsidP="00A2315A">
      <w:pPr>
        <w:ind w:firstLine="720"/>
        <w:jc w:val="both"/>
      </w:pPr>
      <w:r>
        <w:t>Councilor Travis Hoban (Excused)</w:t>
      </w:r>
    </w:p>
    <w:p w14:paraId="0AC0F3BC" w14:textId="7F68248E" w:rsidR="003F18B2" w:rsidRDefault="006E018B" w:rsidP="00A2315A">
      <w:pPr>
        <w:ind w:firstLine="720"/>
        <w:jc w:val="both"/>
      </w:pPr>
      <w:r>
        <w:t>Councilor Rachel Whipple</w:t>
      </w:r>
    </w:p>
    <w:p w14:paraId="27533BDE" w14:textId="77777777" w:rsidR="003F18B2" w:rsidRDefault="006E018B">
      <w:pPr>
        <w:pStyle w:val="Heading1"/>
      </w:pPr>
      <w:r>
        <w:t>Approval of Minutes</w:t>
      </w:r>
    </w:p>
    <w:p w14:paraId="3F2C7732" w14:textId="77777777" w:rsidR="003F18B2" w:rsidRDefault="006E018B">
      <w:pPr>
        <w:numPr>
          <w:ilvl w:val="0"/>
          <w:numId w:val="1"/>
        </w:numPr>
        <w:pBdr>
          <w:top w:val="nil"/>
          <w:left w:val="nil"/>
          <w:bottom w:val="nil"/>
          <w:right w:val="nil"/>
          <w:between w:val="nil"/>
        </w:pBdr>
        <w:jc w:val="both"/>
        <w:rPr>
          <w:b/>
          <w:bCs/>
          <w:color w:val="000000"/>
          <w:sz w:val="28"/>
          <w:szCs w:val="28"/>
        </w:rPr>
      </w:pPr>
      <w:r>
        <w:rPr>
          <w:color w:val="000000"/>
          <w:sz w:val="28"/>
          <w:szCs w:val="28"/>
        </w:rPr>
        <w:t>March 10, 2026 Work Meeting Minutes</w:t>
      </w:r>
    </w:p>
    <w:p w14:paraId="27E59C8F" w14:textId="77777777" w:rsidR="003F18B2" w:rsidRDefault="006E018B">
      <w:pPr>
        <w:ind w:firstLine="720"/>
        <w:jc w:val="both"/>
        <w:rPr>
          <w:sz w:val="28"/>
          <w:szCs w:val="28"/>
        </w:rPr>
      </w:pPr>
      <w:r>
        <w:rPr>
          <w:sz w:val="28"/>
          <w:szCs w:val="28"/>
        </w:rPr>
        <w:t xml:space="preserve">Approved by unanimous consent. </w:t>
      </w:r>
    </w:p>
    <w:p w14:paraId="2EB3DE96" w14:textId="77777777" w:rsidR="003F18B2" w:rsidRDefault="006E018B">
      <w:pPr>
        <w:pStyle w:val="Heading1"/>
      </w:pPr>
      <w:r>
        <w:t>Business</w:t>
      </w:r>
    </w:p>
    <w:p w14:paraId="456EE2A7" w14:textId="24D71D63" w:rsidR="003F18B2" w:rsidRDefault="006E018B">
      <w:pPr>
        <w:pStyle w:val="Heading2"/>
      </w:pPr>
      <w:r>
        <w:t>Item 1: A presentation regarding the proposed redevelopment of the Provo Towne Centre site into a mixed-use, transit-oriented district</w:t>
      </w:r>
      <w:r w:rsidR="00A2315A">
        <w:t xml:space="preserve"> (26-023)</w:t>
      </w:r>
      <w:r w:rsidR="008506F4">
        <w:t xml:space="preserve"> </w:t>
      </w:r>
      <w:hyperlink r:id="rId10" w:history="1">
        <w:r w:rsidR="008506F4" w:rsidRPr="008506F4">
          <w:rPr>
            <w:rStyle w:val="Hyperlink"/>
          </w:rPr>
          <w:t>00:01:22</w:t>
        </w:r>
      </w:hyperlink>
    </w:p>
    <w:p w14:paraId="49FA096B" w14:textId="77777777" w:rsidR="003F18B2" w:rsidRDefault="006E018B">
      <w:pPr>
        <w:spacing w:before="280" w:after="280"/>
      </w:pPr>
      <w:r>
        <w:t>Robert Schmidt, Managing Director of Development at Peg Companies, and Justin Long, Project Executive for Brixton Capital, presented their proposal to redevelop the Provo Town Center Mall into a mixed-use, transit-oriented development.</w:t>
      </w:r>
    </w:p>
    <w:p w14:paraId="1848252A" w14:textId="7BE9FF19" w:rsidR="003F18B2" w:rsidRDefault="00A2315A">
      <w:pPr>
        <w:spacing w:before="280" w:after="280"/>
      </w:pPr>
      <w:r>
        <w:t>Mr. Long began by explaining that the current mall is experiencing the secular decline affecting indoor malls nationwide, with an estimated 80 percent of indoor malls expected to cease operations within 15 years. He presented sales tax receipt data showing declining revenue from the mall over recent years, projecting continued decline without intervention.</w:t>
      </w:r>
    </w:p>
    <w:p w14:paraId="22C68730" w14:textId="77777777" w:rsidR="003F18B2" w:rsidRDefault="006E018B">
      <w:pPr>
        <w:spacing w:before="280" w:after="280"/>
      </w:pPr>
      <w:r>
        <w:t>The developers outlined several challenges inherent to mall redevelopment, including complex easement agreements requiring approval from anchor tenants like JCPenney's and Cinemark, multiple ownership groups, and cross-access easements. Long noted they had successfully acquired Target's interest in the former Dillard's space, which helped streamline the approval process.</w:t>
      </w:r>
    </w:p>
    <w:p w14:paraId="353D087E" w14:textId="77777777" w:rsidR="003F18B2" w:rsidRDefault="006E018B">
      <w:pPr>
        <w:spacing w:before="280" w:after="280"/>
      </w:pPr>
      <w:r>
        <w:lastRenderedPageBreak/>
        <w:t>The conceptual plan presented would transform the indoor mall into an exterior-oriented, walkable mixed-use environment. Long explained they would reuse existing mall infrastructure where possible, turning the structure "inside out" rather than demolishing and rebuilding entirely. The project would reduce overall square footage by approximately 300,000 square feet while increasing productivity of the remaining space.</w:t>
      </w:r>
    </w:p>
    <w:p w14:paraId="017B8B44" w14:textId="77777777" w:rsidR="003F18B2" w:rsidRDefault="006E018B">
      <w:pPr>
        <w:spacing w:before="280" w:after="280"/>
      </w:pPr>
      <w:r>
        <w:t>Key features of the plan include a central amenity plaza of 1.7 acres that could accommodate community events and farmers markets, with retail spaces surrounding the plaza. The plan calls for maintaining existing anchors while adding 110,000 square feet of new box retail space, 42,000 square feet of small retail, 100,000 square feet of commercial office space, and 20,000 square feet of coworking space on the second level.</w:t>
      </w:r>
    </w:p>
    <w:p w14:paraId="7B9A59BC" w14:textId="77777777" w:rsidR="003F18B2" w:rsidRDefault="006E018B">
      <w:pPr>
        <w:spacing w:before="280" w:after="280"/>
      </w:pPr>
      <w:r>
        <w:t>The residential component would include rental units in five-story buildings and 87 for-sale townhomes on the western portion of the site, currently occupied by a mobile home park. The townhomes would serve as affordable housing units at 80 percent and 60 percent Area Median Income levels.</w:t>
      </w:r>
    </w:p>
    <w:p w14:paraId="6B717DAD" w14:textId="5D471112" w:rsidR="003F18B2" w:rsidRDefault="00A2315A">
      <w:pPr>
        <w:spacing w:before="280" w:after="280"/>
      </w:pPr>
      <w:r>
        <w:t>Mr. Schmidt explained the project requires rezoning to the Innovative Transit Oriented Development (ITOD) zone, a general plan amendment, and text amendments to accommodate townhome sales and building height transitions near residential zones. He noted the Planning Commission had recommended against allowing for-sale townhomes, though townhomes for rent had been approved in ITOD zones previously at River's Edge.</w:t>
      </w:r>
    </w:p>
    <w:p w14:paraId="7BEF4F4E" w14:textId="1632C0A2" w:rsidR="003F18B2" w:rsidRDefault="006E018B">
      <w:pPr>
        <w:spacing w:before="280" w:after="280"/>
      </w:pPr>
      <w:r>
        <w:t xml:space="preserve">The developers also requested a Housing and Transit Reinvestment Zone (HTRZ) designation, which would capture 80 percent of tax increment revenue over 25 years to help fund infrastructure costs. </w:t>
      </w:r>
      <w:r w:rsidR="00A2315A">
        <w:t xml:space="preserve">Mr. </w:t>
      </w:r>
      <w:r>
        <w:t>Schmidt explained the HTRZ requires mixed-use housing with at least 50 units per acre and 12 percent affordable housing (9 percent at 80 percent AMI and 3 percent at 60 percent AMI).</w:t>
      </w:r>
    </w:p>
    <w:p w14:paraId="26C24E1C" w14:textId="0BBFBDB7" w:rsidR="003F18B2" w:rsidRDefault="00A2315A">
      <w:pPr>
        <w:spacing w:before="280" w:after="280"/>
      </w:pPr>
      <w:r>
        <w:t>Mr. Long detailed the extensive infrastructure work required, including rerouting utilities scattered throughout existing parking areas and creating new road alignments. He emphasized they had conducted detailed architectural and engineering analysis to understand costs and feasibility.</w:t>
      </w:r>
    </w:p>
    <w:p w14:paraId="073B5BDF" w14:textId="77777777" w:rsidR="003F18B2" w:rsidRDefault="006E018B">
      <w:pPr>
        <w:spacing w:before="280" w:after="280"/>
      </w:pPr>
      <w:r>
        <w:t>Several council members raised concerns about the project design. Councilor Whipple questioned having the main roundabout serve as both the plaza center and primary traffic route, expressing confusion about how events would function when requiring road closures. Long explained this approach was modeled after successful retail developments like Town Center and City Creek Commons, noting the roundabout would operate at very low speeds.</w:t>
      </w:r>
    </w:p>
    <w:p w14:paraId="0B40295F" w14:textId="1BD5CB8A" w:rsidR="003F18B2" w:rsidRDefault="006E018B">
      <w:pPr>
        <w:spacing w:before="280" w:after="280"/>
      </w:pPr>
      <w:r>
        <w:t xml:space="preserve">Councilor Whitlock expressed concerns about separating residential areas from retail via the main thoroughfare, calling it "contrary to the thesis" of putting families next to the mall. </w:t>
      </w:r>
      <w:r w:rsidR="00A2315A">
        <w:t xml:space="preserve">Mr. </w:t>
      </w:r>
      <w:r>
        <w:t>Schmidt responded that the roundabout would operate at low speeds and provide a more drive-like feel rather than a thoroughfare.</w:t>
      </w:r>
    </w:p>
    <w:p w14:paraId="377FCD32" w14:textId="77777777" w:rsidR="003F18B2" w:rsidRDefault="006E018B">
      <w:pPr>
        <w:spacing w:before="280" w:after="280"/>
      </w:pPr>
      <w:r>
        <w:t>Councilor Christensen strongly emphasized the need for more homeownership opportunities, stating that the 87 for-sale residential units were insufficient. He indicated this ratio would be a significant obstacle to his support, suggesting the need for a 50-50 split between rental and ownership units. Schmidt explained the financial challenges of condo development, noting much slower absorption rates (2-3 units per month) compared to apartments (15-20 units per month), which would require carrying costs on large buildings for extended periods.</w:t>
      </w:r>
    </w:p>
    <w:p w14:paraId="3CEFCD08" w14:textId="77777777" w:rsidR="003F18B2" w:rsidRDefault="006E018B">
      <w:pPr>
        <w:spacing w:before="280" w:after="280"/>
      </w:pPr>
      <w:r>
        <w:t>Councilor Whitlock asked about plans for the approximately 30-35 mobile home residents who would be displaced. Long indicated they would provide at least 18 months notice and work individually with residents to find appropriate solutions, though he acknowledged some units might not be movable due to age and condition. Whitlock emphasized this was a "red line" issue requiring substantial relocation assistance for these vulnerable community members.</w:t>
      </w:r>
    </w:p>
    <w:p w14:paraId="56998BE3" w14:textId="77777777" w:rsidR="003F18B2" w:rsidRDefault="006E018B">
      <w:pPr>
        <w:spacing w:before="280" w:after="280"/>
      </w:pPr>
      <w:r>
        <w:t>The developers indicated they were also requesting sales tax sharing (50 percent of incremental sales tax) and a Property Improvement District (PID) to help structure bond financing, though this would not create additional monetary obligations for the city.</w:t>
      </w:r>
    </w:p>
    <w:p w14:paraId="5B987774" w14:textId="2E064B25" w:rsidR="003F18B2" w:rsidRDefault="006E018B">
      <w:pPr>
        <w:spacing w:before="280" w:after="280"/>
      </w:pPr>
      <w:r>
        <w:t xml:space="preserve">Several council members expressed support for the concept while emphasizing the need to address homeownership ratios and mobile home resident relocation. </w:t>
      </w:r>
      <w:r w:rsidR="00A2315A">
        <w:t xml:space="preserve">Mr. </w:t>
      </w:r>
      <w:r>
        <w:t>Schmidt indicated they would continue working through design alternatives and return with more detailed financial projections and refined plans.</w:t>
      </w:r>
    </w:p>
    <w:p w14:paraId="032B7DE1" w14:textId="6383554E" w:rsidR="003F18B2" w:rsidRPr="00A2315A" w:rsidRDefault="006E018B" w:rsidP="00A2315A">
      <w:pPr>
        <w:pStyle w:val="Heading2"/>
      </w:pPr>
      <w:r w:rsidRPr="00A2315A">
        <w:t>Item 2: A presentation regarding the FY2027 Budget: Administrative Services</w:t>
      </w:r>
      <w:r w:rsidR="00A2315A">
        <w:t xml:space="preserve"> (26-001)</w:t>
      </w:r>
      <w:r w:rsidR="007215AB">
        <w:t xml:space="preserve"> </w:t>
      </w:r>
      <w:hyperlink r:id="rId11" w:history="1">
        <w:r w:rsidR="007215AB" w:rsidRPr="007215AB">
          <w:rPr>
            <w:rStyle w:val="Hyperlink"/>
          </w:rPr>
          <w:t>01:24:02</w:t>
        </w:r>
      </w:hyperlink>
    </w:p>
    <w:p w14:paraId="3688C0F5" w14:textId="77777777" w:rsidR="003F18B2" w:rsidRDefault="006E018B">
      <w:pPr>
        <w:spacing w:before="280" w:after="280"/>
      </w:pPr>
      <w:r>
        <w:t>Daniel Follett, Interim Administrative Services Director, presented the FY2027 budget for Administrative Services, which includes six divisions: City Recorder, Cybersecurity, Facilities, Finance, Information Systems, and Justice Court.</w:t>
      </w:r>
    </w:p>
    <w:p w14:paraId="375F54E4" w14:textId="77777777" w:rsidR="003F18B2" w:rsidRDefault="006E018B">
      <w:pPr>
        <w:spacing w:before="280" w:after="280"/>
      </w:pPr>
      <w:r>
        <w:t>Judge Steve Schreiner provided an update on the Justice Court, noting it was one of the larger single-judge justice courts in the state, handling approximately 11,000 cases last year including over 1,900 misdemeanor criminal cases, 2,200 small claims cases, and 6,600 traffic cases. Chief Administrative Officer Henderson recognized Judge Schreiner for his 30 years of service with the city, presenting him with a certificate of recognition.</w:t>
      </w:r>
    </w:p>
    <w:p w14:paraId="5F489029" w14:textId="163E391F" w:rsidR="003F18B2" w:rsidRDefault="00A2315A">
      <w:pPr>
        <w:spacing w:before="280" w:after="280"/>
      </w:pPr>
      <w:r>
        <w:t>Mr. Follett outlined supplemental budget requests for FY2027. In Cybersecurity, the department requested $20,200 for contractual increases primarily with Arctic Wolf network security services, plus funding for an additional cybersecurity analyst position to provide backup coverage for the current single-person operation monitoring networks overtime.</w:t>
      </w:r>
    </w:p>
    <w:p w14:paraId="7DCF4CDB" w14:textId="77777777" w:rsidR="003F18B2" w:rsidRDefault="006E018B">
      <w:pPr>
        <w:spacing w:before="280" w:after="280"/>
      </w:pPr>
      <w:r>
        <w:t>Information Systems requested $18,960 for contractual increases with existing software including OnBase, Kayenta, and CityView. They also requested $124,000 for ongoing support of the new city website launched in the previous year, and $410,000 for hardware central disk storage infrastructure replacement nearing end-of-life. Follett noted they were exploring options to spread the storage costs over multiple years.</w:t>
      </w:r>
    </w:p>
    <w:p w14:paraId="14C47734" w14:textId="199DD277" w:rsidR="003F18B2" w:rsidRDefault="006E018B">
      <w:pPr>
        <w:spacing w:before="280" w:after="280"/>
      </w:pPr>
      <w:r>
        <w:t xml:space="preserve">Justice Court requested $17,908 for contractual increases, primarily for lease payments on the justice court building and contracted security services. Councilor Christensen asked about the security arrangement, with </w:t>
      </w:r>
      <w:r w:rsidR="00A2315A">
        <w:t xml:space="preserve">Mr. </w:t>
      </w:r>
      <w:r>
        <w:t>Follett explaining they contract with a security service rather than using Provo police officers to avoid conflicts of interest when the same officers might appear in court.</w:t>
      </w:r>
    </w:p>
    <w:p w14:paraId="501DD34A" w14:textId="0F5853D4" w:rsidR="003F18B2" w:rsidRDefault="00A2315A">
      <w:pPr>
        <w:spacing w:before="280" w:after="280"/>
      </w:pPr>
      <w:r>
        <w:t>Mr. Follett highlighted key accomplishments across divisions, including City Recorder Heidi Allman earning certified municipal clerk designations, cybersecurity providing 24/7 incident response and supporting 66 technology projects, facilities completing emergency repairs and upgrades, finance receiving Government Finance Officers Association awards for budget and financial reporting excellence, information systems receiving state technology awards and launching the redesigned website, and justice court maintaining high case completion rates within statutory timeframes.</w:t>
      </w:r>
    </w:p>
    <w:p w14:paraId="233FB013" w14:textId="77777777" w:rsidR="003F18B2" w:rsidRDefault="006E018B">
      <w:pPr>
        <w:spacing w:before="280" w:after="280"/>
      </w:pPr>
      <w:r>
        <w:t>Councilor Whitlock asked about the rationale for maintaining on-premise servers versus cloud services. Information Systems Division Director Ihrig explained they maintain a hybrid approach, keeping servers on-premise when more cost-effective than cloud alternatives, particularly for services required by law to be maintained locally for the dispatch center.</w:t>
      </w:r>
    </w:p>
    <w:p w14:paraId="5D529BD9" w14:textId="6B6BB1CA" w:rsidR="003F18B2" w:rsidRDefault="006E018B">
      <w:pPr>
        <w:pStyle w:val="Heading2"/>
      </w:pPr>
      <w:r>
        <w:t>Item 3: A presentation regarding the FY2027 Budget: Public Works</w:t>
      </w:r>
      <w:r w:rsidR="00A2315A">
        <w:t xml:space="preserve"> (26-001)</w:t>
      </w:r>
      <w:r w:rsidR="007215AB">
        <w:t xml:space="preserve"> </w:t>
      </w:r>
      <w:hyperlink r:id="rId12" w:history="1">
        <w:r w:rsidR="007215AB" w:rsidRPr="007215AB">
          <w:rPr>
            <w:rStyle w:val="Hyperlink"/>
          </w:rPr>
          <w:t>01:46:44</w:t>
        </w:r>
      </w:hyperlink>
    </w:p>
    <w:p w14:paraId="4531B098" w14:textId="77777777" w:rsidR="003F18B2" w:rsidRDefault="006E018B">
      <w:pPr>
        <w:spacing w:before="280" w:after="280"/>
      </w:pPr>
      <w:r>
        <w:t>Jimmy McKnight, Public Works Business Manager, presented the FY2027 budget for Public Works, organized by division.</w:t>
      </w:r>
    </w:p>
    <w:p w14:paraId="1E508C1D" w14:textId="0F7FB50A" w:rsidR="003F18B2" w:rsidRDefault="006E018B">
      <w:pPr>
        <w:spacing w:before="280" w:after="280"/>
      </w:pPr>
      <w:r>
        <w:t xml:space="preserve">For Water Resources, </w:t>
      </w:r>
      <w:r w:rsidR="00A2315A">
        <w:t xml:space="preserve">Mr. </w:t>
      </w:r>
      <w:r>
        <w:t>McKnight explained the water fund totals $21 million in revenue and the wastewater fund totals $28 million. He noted that in FY26, they had successfully budgeted for the new sewer treatment plant coming online for its first full year of operation.</w:t>
      </w:r>
    </w:p>
    <w:p w14:paraId="131C06A9" w14:textId="77777777" w:rsidR="003F18B2" w:rsidRDefault="006E018B">
      <w:pPr>
        <w:spacing w:before="280" w:after="280"/>
      </w:pPr>
      <w:r>
        <w:t>For FY27, Water Resources requested staffing and operating budget for the new drinking water plant expected to be completed in December or January. They requested two positions starting in July to be present during equipment installation and learning from contractors, plus three additional positions in January when the plant comes online.</w:t>
      </w:r>
    </w:p>
    <w:p w14:paraId="353837DE" w14:textId="77777777" w:rsidR="003F18B2" w:rsidRDefault="006E018B">
      <w:pPr>
        <w:spacing w:before="280" w:after="280"/>
      </w:pPr>
      <w:r>
        <w:t>The department also requested increases to overtime budgets based on historical usage for both water distribution (due to break response and on-call needs) and wastewater collections. They requested one additional full-time wastewater collections operator to better maintain the sewer system and focus more on repairs.</w:t>
      </w:r>
    </w:p>
    <w:p w14:paraId="48C41B83" w14:textId="79818F1D" w:rsidR="003F18B2" w:rsidRDefault="00A2315A">
      <w:pPr>
        <w:spacing w:before="280" w:after="280"/>
      </w:pPr>
      <w:r>
        <w:t>Mr. McKnight reviewed the previously approved water rate increases, showing the 6 percent revenue increase scheduled for FY27 as part of Option 3 selected by council in June 2025. The increases were designed to apply to each component of the rate structure, resulting in an overall 6 percent revenue increase. Councilor Bogdin requested detailed dollar figures showing the impact on each tier.</w:t>
      </w:r>
    </w:p>
    <w:p w14:paraId="26603E98" w14:textId="77777777" w:rsidR="003F18B2" w:rsidRDefault="006E018B">
      <w:pPr>
        <w:spacing w:before="280" w:after="280"/>
      </w:pPr>
      <w:r>
        <w:t>For wastewater, they proposed adding two new fees related to sewage disposal by waste haulers - an after-hours fee and a fee for excessive debris.</w:t>
      </w:r>
    </w:p>
    <w:p w14:paraId="554E0411" w14:textId="77777777" w:rsidR="003F18B2" w:rsidRDefault="006E018B">
      <w:pPr>
        <w:spacing w:before="280" w:after="280"/>
      </w:pPr>
      <w:r>
        <w:t>In Public Services, the Streets division requested two full-time maintenance workers to handle work currently done by contractors, which they believe can be done more efficiently in-house. These workers would also be available for other duties like snow plowing during winter months.</w:t>
      </w:r>
    </w:p>
    <w:p w14:paraId="2CFED885" w14:textId="77777777" w:rsidR="003F18B2" w:rsidRDefault="006E018B">
      <w:pPr>
        <w:spacing w:before="280" w:after="280"/>
      </w:pPr>
      <w:r>
        <w:t>Stormwater requested a $7,000 increase to the part-time budget based on historical usage. Fleet requested discussion of an additional emergency vehicle technician position, though this remained under review with administration regarding impacts to both the general fund and fleet fund.</w:t>
      </w:r>
    </w:p>
    <w:p w14:paraId="47C51FB6" w14:textId="77777777" w:rsidR="003F18B2" w:rsidRDefault="006E018B">
      <w:pPr>
        <w:spacing w:before="280" w:after="280"/>
      </w:pPr>
      <w:r>
        <w:t>Sanitation requested a full-time scale house attendant position to allow the compost yard to be open five days per week instead of two, and to provide additional services like expanded recycling drop-off and potentially glass drop-off. This would be funded by changing the "rooftop fee" from $1 per account to $1 per residential household, correcting a disparity where HOA accounts with hundreds of units paid the same $1 fee as single-family homes.</w:t>
      </w:r>
    </w:p>
    <w:p w14:paraId="705E6833" w14:textId="77777777" w:rsidR="003F18B2" w:rsidRDefault="006E018B">
      <w:pPr>
        <w:spacing w:before="280" w:after="280"/>
      </w:pPr>
      <w:r>
        <w:t>Councilor Christensen questioned why this fee correction hadn't been implemented sooner. Public Services Division Director Winters explained the fee was originally intended to capture all residential units when implemented in 2011, but over time they discovered many HOA accounts were being charged as single accounts rather than per unit.</w:t>
      </w:r>
    </w:p>
    <w:p w14:paraId="70D0599F" w14:textId="77777777" w:rsidR="003F18B2" w:rsidRDefault="006E018B">
      <w:pPr>
        <w:spacing w:before="280" w:after="280"/>
      </w:pPr>
      <w:r>
        <w:t>Councilor Bogdin questioned why residents who don't use green waste or recycling services should pay the fee. Winters explained the fee also supports spring and fall cleanup services that benefit the entire community, along with other ancillary costs not easily tied to specific services.</w:t>
      </w:r>
    </w:p>
    <w:p w14:paraId="040B1496" w14:textId="5DB49615" w:rsidR="003F18B2" w:rsidRDefault="00A2315A">
      <w:pPr>
        <w:spacing w:before="280" w:after="280"/>
      </w:pPr>
      <w:r>
        <w:t>Mr. McKnight detailed vehicle replacement needs, including a planned rotation system for sanitation trucks where they would purchase one new truck annually and sell the oldest at 85-90 percent of purchase price. Fleet Manager Warren Merritt explained that sanitation trucks undergo extreme wear with approximately 1,500 full-throttle/brake cycles per day, making regular replacement more cost-effective than extensive maintenance on aging vehicles.</w:t>
      </w:r>
    </w:p>
    <w:p w14:paraId="382180A8" w14:textId="6ED78471" w:rsidR="003F18B2" w:rsidRDefault="006E018B">
      <w:pPr>
        <w:spacing w:before="280" w:after="280"/>
      </w:pPr>
      <w:r>
        <w:t xml:space="preserve">Councilor Whipple asked about overtime budget requests that significantly exceeded previous years. Water Resources Director </w:t>
      </w:r>
      <w:r w:rsidR="00A2315A">
        <w:t xml:space="preserve">Ryan </w:t>
      </w:r>
      <w:r>
        <w:t>York explained that FY25 distribution overtime was elevated due to copper rule requirements that mandated verification of water service lines throughout the community.</w:t>
      </w:r>
    </w:p>
    <w:p w14:paraId="78516F6A" w14:textId="2C41D439" w:rsidR="003F18B2" w:rsidRDefault="006E018B">
      <w:pPr>
        <w:spacing w:before="280" w:after="280"/>
      </w:pPr>
      <w:r>
        <w:t xml:space="preserve">For sanitation overtime, </w:t>
      </w:r>
      <w:r w:rsidR="00A2315A">
        <w:t xml:space="preserve">Mr. </w:t>
      </w:r>
      <w:r>
        <w:t>McKnight noted much of the increase related to expanded community services and the need for additional coverage at the compost yard, which currently relies heavily on one person working both weekdays and weekends.</w:t>
      </w:r>
    </w:p>
    <w:p w14:paraId="672C3329" w14:textId="77777777" w:rsidR="003F18B2" w:rsidRDefault="006E018B">
      <w:pPr>
        <w:spacing w:before="280" w:after="280"/>
      </w:pPr>
      <w:r>
        <w:t>Engineering requested one full-time engineering technician, proposing to use existing funding for one engineer position to fund two technician positions instead, requiring additional full-time equivalent approval but not additional budget.</w:t>
      </w:r>
    </w:p>
    <w:p w14:paraId="25B39D43" w14:textId="65794C17" w:rsidR="003F18B2" w:rsidRDefault="006E018B">
      <w:pPr>
        <w:spacing w:before="280" w:after="280"/>
      </w:pPr>
      <w:r>
        <w:t xml:space="preserve">Councilor Whitlock asked detailed questions about the water rate structure and pricing strategy. He expressed concern about dramatically increasing water rates over the scheduled timeline and questioned whether the city had analyzed price elasticity effects. </w:t>
      </w:r>
      <w:r w:rsidR="00A2315A">
        <w:t xml:space="preserve">Mr. </w:t>
      </w:r>
      <w:r>
        <w:t xml:space="preserve">McKnight explained their consultant had factored in industry-standard demand elasticity assumptions, but acknowledged they hadn't conducted Provo-specific studies. </w:t>
      </w:r>
      <w:r w:rsidR="00A2315A">
        <w:t xml:space="preserve">Mr. </w:t>
      </w:r>
      <w:r>
        <w:t>York emphasized the necessity of the increases to fund replacement of aging underground infrastructure and maintain water quality standards.</w:t>
      </w:r>
    </w:p>
    <w:p w14:paraId="76A4E65B" w14:textId="77777777" w:rsidR="003F18B2" w:rsidRDefault="006E018B">
      <w:pPr>
        <w:spacing w:before="280" w:after="280"/>
      </w:pPr>
      <w:r>
        <w:t>Councilor Whipple asked about Water Resources staffing levels, noting EPA recommendations for 14 employees while they currently have 7 full-time and 2 part-time staff. York acknowledged they are likely "borrowing time" with current staffing levels as the system continues to grow while maintaining the same staffing levels for increasing pipeline miles.</w:t>
      </w:r>
    </w:p>
    <w:p w14:paraId="2F263B27" w14:textId="6655F0ED" w:rsidR="003F18B2" w:rsidRDefault="006E018B">
      <w:pPr>
        <w:pStyle w:val="Heading2"/>
      </w:pPr>
      <w:r>
        <w:t>Item 4: A presentation regarding the FY2027 Budget: Development Services</w:t>
      </w:r>
      <w:r w:rsidR="00AE6520">
        <w:t xml:space="preserve"> (26-001)</w:t>
      </w:r>
      <w:r w:rsidR="007215AB">
        <w:t xml:space="preserve"> </w:t>
      </w:r>
      <w:hyperlink r:id="rId13" w:history="1">
        <w:r w:rsidR="007215AB" w:rsidRPr="007215AB">
          <w:rPr>
            <w:rStyle w:val="Hyperlink"/>
          </w:rPr>
          <w:t>02:23:17</w:t>
        </w:r>
      </w:hyperlink>
    </w:p>
    <w:p w14:paraId="68B81803" w14:textId="73823853" w:rsidR="003F18B2" w:rsidRDefault="006E018B">
      <w:pPr>
        <w:spacing w:before="280" w:after="280"/>
      </w:pPr>
      <w:r>
        <w:t xml:space="preserve">Development Services Director </w:t>
      </w:r>
      <w:r w:rsidR="00A2315A">
        <w:t xml:space="preserve">Bill </w:t>
      </w:r>
      <w:r>
        <w:t>Peperone presented what he characterized as a smaller and simpler budget compared to Public Works. He noted that over the past five years, Development Services had eliminated three positions to help balance the city budget, including two management-level positions.</w:t>
      </w:r>
    </w:p>
    <w:p w14:paraId="797E2AEA" w14:textId="56F6B83C" w:rsidR="003F18B2" w:rsidRDefault="006E018B">
      <w:pPr>
        <w:spacing w:before="280" w:after="280"/>
      </w:pPr>
      <w:r>
        <w:t>For FY2027 supplemental requests,</w:t>
      </w:r>
      <w:r w:rsidR="005D2B37">
        <w:t xml:space="preserve"> Mr.</w:t>
      </w:r>
      <w:r>
        <w:t xml:space="preserve"> Peperone outlined several needs. Parking enforcement requires two license plate readers - one to update existing equipment and one new unit. He clarified these LPRs differ from those discussed by the police department, as they don't access private personal information.</w:t>
      </w:r>
    </w:p>
    <w:p w14:paraId="78414E90" w14:textId="77777777" w:rsidR="003F18B2" w:rsidRDefault="006E018B">
      <w:pPr>
        <w:spacing w:before="280" w:after="280"/>
      </w:pPr>
      <w:r>
        <w:t>The department requested a $600,000 transfer from RDA funds to Public Works to reimburse trucking costs for fill placement at the Lakeview Parkway site near I-15. This amount would be repaid through a lien on the property when it eventually sells, with the actual fill value estimated at approximately $900,000.</w:t>
      </w:r>
    </w:p>
    <w:p w14:paraId="7C6FD861" w14:textId="51699D5C" w:rsidR="003F18B2" w:rsidRDefault="006E018B">
      <w:pPr>
        <w:spacing w:before="280" w:after="280"/>
      </w:pPr>
      <w:r>
        <w:t xml:space="preserve">Building Division requested $17,000 for an AI program to assist with plan review, addressing a bottleneck where they currently have only one person conducting plan reviews. </w:t>
      </w:r>
      <w:r w:rsidR="005D2B37">
        <w:t xml:space="preserve">Mr. </w:t>
      </w:r>
      <w:r>
        <w:t>Peperone indicated this was a first step toward solving the problem more economically than hiring another full-time plan reviewer, with the AI contract representing a one-year test period.</w:t>
      </w:r>
    </w:p>
    <w:p w14:paraId="69CCFAFF" w14:textId="7183C064" w:rsidR="003F18B2" w:rsidRDefault="006E018B">
      <w:pPr>
        <w:spacing w:before="280" w:after="280"/>
      </w:pPr>
      <w:r>
        <w:t xml:space="preserve">The department also needed a new field inspector, as current inspectors were "spread pretty thin." To fund this position, </w:t>
      </w:r>
      <w:r w:rsidR="005D2B37">
        <w:t xml:space="preserve">Mr. </w:t>
      </w:r>
      <w:r>
        <w:t>Peperone proposed eliminating an unfilled planner position that had remained vacant for several years. He acknowledged this sacrifice would impact long-range planning activities, including neighborhood plans and other long-range projects, but noted they weren't filling the position anyway.</w:t>
      </w:r>
    </w:p>
    <w:p w14:paraId="77C5E8EB" w14:textId="5C2D296D" w:rsidR="003F18B2" w:rsidRDefault="006E018B">
      <w:pPr>
        <w:spacing w:before="280" w:after="280"/>
      </w:pPr>
      <w:r>
        <w:t xml:space="preserve">Councilor Bogdin asked about high planner turnover. </w:t>
      </w:r>
      <w:r w:rsidR="005D2B37">
        <w:t xml:space="preserve">Mr. </w:t>
      </w:r>
      <w:r>
        <w:t>Peperone explained recent departures were due to external factors - one planner's husband graduated and took a job in Montana, while Nancy Robinson had been offered a better position at BYU where she previously worked.</w:t>
      </w:r>
    </w:p>
    <w:p w14:paraId="7E8568DE" w14:textId="3D3CDC26" w:rsidR="003F18B2" w:rsidRDefault="005D2B37">
      <w:pPr>
        <w:spacing w:before="280" w:after="280"/>
      </w:pPr>
      <w:r>
        <w:t>Mr. Peperone noted that areas not achieving full cost recovery included parking permits and Registered Development Location (RDL) fees, where state law prevents them from charging enough to cover inspection costs.</w:t>
      </w:r>
    </w:p>
    <w:p w14:paraId="5F150342" w14:textId="0AC5035B" w:rsidR="003F18B2" w:rsidRDefault="006E018B">
      <w:pPr>
        <w:spacing w:before="280" w:after="280"/>
      </w:pPr>
      <w:r>
        <w:t xml:space="preserve">Councilor Whipple asked about parking permit fee calculations. Parking Program Manager </w:t>
      </w:r>
      <w:r w:rsidR="005D2B37">
        <w:t xml:space="preserve">Sandra </w:t>
      </w:r>
      <w:r>
        <w:t>Bussio explained that full cost recovery would require approximately $297 per year per resident in University Gardens, compared to the current $100 fee that increased from $15. She noted enforcement challenges in covering the entire permanent area in a single night, typically achieving 20-25 percent coverage in University Gardens versus 2-3 percent in other areas.</w:t>
      </w:r>
    </w:p>
    <w:p w14:paraId="442AE97F" w14:textId="508780CC" w:rsidR="003F18B2" w:rsidRDefault="006E018B">
      <w:pPr>
        <w:spacing w:before="280" w:after="280"/>
      </w:pPr>
      <w:r>
        <w:t xml:space="preserve">Several council members questioned whether daily patrols were necessary for compliance, with </w:t>
      </w:r>
      <w:r w:rsidR="005D2B37">
        <w:t xml:space="preserve">Ms. </w:t>
      </w:r>
      <w:r>
        <w:t>Bussio confirming that consistent enforcement was essential, particularly in heavily utilized areas like University Gardens and Carterville.</w:t>
      </w:r>
    </w:p>
    <w:p w14:paraId="3D4C83E7" w14:textId="601A0DE8" w:rsidR="003F18B2" w:rsidRDefault="005D2B37">
      <w:pPr>
        <w:spacing w:before="280" w:after="280"/>
      </w:pPr>
      <w:r>
        <w:t>Mr. Peperone highlighted the department's accomplishments, including successful zoning enforcement blitzes that increased caseload, though he cautioned they might need additional zoning enforcement staff if these continue regularly. He noted strong performance in parking enforcement with a balance between written warnings and citations, and significant increases in housing assistance with down payment assistance increasing to 60,000 recipients.</w:t>
      </w:r>
    </w:p>
    <w:p w14:paraId="3B6D1BCC" w14:textId="2488A527" w:rsidR="003F18B2" w:rsidRDefault="006E018B">
      <w:pPr>
        <w:spacing w:before="280" w:after="280"/>
      </w:pPr>
      <w:r>
        <w:t>RDA Director</w:t>
      </w:r>
      <w:r w:rsidR="005D2B37">
        <w:t xml:space="preserve"> Melissa</w:t>
      </w:r>
      <w:r>
        <w:t xml:space="preserve"> McNalley provided a brief update on her programs, noting increased down payment assistance activity with 10 loans completed in the first quarter alone. She reported completing her first project area plan and ongoing work on policies and procedures related to the HTRZ around the FrontRunner station.</w:t>
      </w:r>
    </w:p>
    <w:p w14:paraId="63D023A5" w14:textId="5F240211" w:rsidR="003F18B2" w:rsidRDefault="006E018B">
      <w:pPr>
        <w:pStyle w:val="Heading2"/>
      </w:pPr>
      <w:r>
        <w:t>Item 5: A resolution approving the appropriation of $96,547 to pay for three new firefighters and their equipment between May and June for the fiscal year ending June 30, 2026</w:t>
      </w:r>
      <w:r w:rsidR="005D2B37">
        <w:t xml:space="preserve"> (26-024)</w:t>
      </w:r>
      <w:r w:rsidR="007215AB">
        <w:t xml:space="preserve"> </w:t>
      </w:r>
      <w:hyperlink r:id="rId14" w:history="1">
        <w:r w:rsidR="007215AB" w:rsidRPr="007215AB">
          <w:rPr>
            <w:rStyle w:val="Hyperlink"/>
          </w:rPr>
          <w:t>02:39:04</w:t>
        </w:r>
      </w:hyperlink>
    </w:p>
    <w:p w14:paraId="42F4562B" w14:textId="1B0AFB50" w:rsidR="003F18B2" w:rsidRDefault="006E018B">
      <w:pPr>
        <w:spacing w:before="280" w:after="280"/>
      </w:pPr>
      <w:r>
        <w:t>Fire Chief</w:t>
      </w:r>
      <w:r w:rsidR="005D2B37">
        <w:t xml:space="preserve"> Jeremy</w:t>
      </w:r>
      <w:r>
        <w:t xml:space="preserve"> Headman explained the request for appropriating funds to hire three new firefighters before the FY2027 budget takes effect. The appropriation includes $60,000 for salaries for two months and $36,000 for equipment including personal protective equipment, radios, and uniforms.</w:t>
      </w:r>
    </w:p>
    <w:p w14:paraId="329A98AC" w14:textId="77777777" w:rsidR="003F18B2" w:rsidRDefault="006E018B">
      <w:pPr>
        <w:spacing w:before="280" w:after="280"/>
      </w:pPr>
      <w:r>
        <w:t>Chief Headman outlined the staffing challenges driving this request. The fire department allows five people off each day while maintaining minimum staffing levels at each station. When a sixth person is off for any reason, they must call back an overtime person, which occurred 330 out of 365 days in the previous year. The overtime savings would easily pay for the new positions, but newly hired employees spend their first two months in training rather than on shift, preventing immediate overtime reduction.</w:t>
      </w:r>
    </w:p>
    <w:p w14:paraId="6FDFCB49" w14:textId="77777777" w:rsidR="003F18B2" w:rsidRDefault="006E018B">
      <w:pPr>
        <w:spacing w:before="280" w:after="280"/>
      </w:pPr>
      <w:r>
        <w:t>He explained they are currently down two employees with a third scheduled to retire soon, necessitating three new hires. Rather than running separate training programs, they want to hire all six firefighters (three replacement plus three additional) and run one comprehensive training program in May, allowing all new hires to begin shift work in July during the department's busiest season.</w:t>
      </w:r>
    </w:p>
    <w:p w14:paraId="77869053" w14:textId="77777777" w:rsidR="003F18B2" w:rsidRDefault="006E018B">
      <w:pPr>
        <w:spacing w:before="280" w:after="280"/>
      </w:pPr>
      <w:r>
        <w:t>The timing was critical for securing quality candidates, as two candidates had already accepted positions with other fire departments during their interview process. Chief Headman noted they had a strong candidate pool at least five to six candidates deep, and running one training program would be more cost-effective than multiple smaller programs.</w:t>
      </w:r>
    </w:p>
    <w:p w14:paraId="005BB412" w14:textId="77777777" w:rsidR="003F18B2" w:rsidRDefault="006E018B">
      <w:pPr>
        <w:spacing w:before="280" w:after="280"/>
      </w:pPr>
      <w:r>
        <w:t>The training benefits include bringing in specialized instructors for technical rescue, EMS, and other disciplines, making the program more comprehensive and cost-effective. Chief Headman also noted they already had firefighters deployed to Nebraska for wildland fire season and expected continued deployments given dry conditions.</w:t>
      </w:r>
    </w:p>
    <w:p w14:paraId="5917CA03" w14:textId="498C0431" w:rsidR="003F18B2" w:rsidRDefault="006E018B">
      <w:pPr>
        <w:pStyle w:val="Heading2"/>
      </w:pPr>
      <w:r>
        <w:t>Item 6: A resolution to place a 1.92 acre parcel of ground located at approximately 1051 E Birch Lane on the surplus property list</w:t>
      </w:r>
      <w:r w:rsidR="005D2B37">
        <w:t xml:space="preserve"> (26-012)</w:t>
      </w:r>
      <w:r w:rsidR="007215AB">
        <w:t xml:space="preserve"> </w:t>
      </w:r>
      <w:hyperlink r:id="rId15" w:history="1">
        <w:r w:rsidR="007215AB" w:rsidRPr="007215AB">
          <w:rPr>
            <w:rStyle w:val="Hyperlink"/>
          </w:rPr>
          <w:t>02:45:23</w:t>
        </w:r>
      </w:hyperlink>
    </w:p>
    <w:p w14:paraId="00ADCD21" w14:textId="77777777" w:rsidR="003F18B2" w:rsidRDefault="006E018B">
      <w:pPr>
        <w:spacing w:before="280" w:after="280"/>
      </w:pPr>
      <w:r>
        <w:t>Property Administrator Tara Riddle presented the proposal to surplus 1.92 acres at Kiwanis Park that had been leased to the school district for 50 years. She provided extensive historical background to address questions that had arisen about the proposal.</w:t>
      </w:r>
    </w:p>
    <w:p w14:paraId="26A32C67" w14:textId="21721510" w:rsidR="003F18B2" w:rsidRDefault="005D2B37">
      <w:pPr>
        <w:spacing w:before="280" w:after="280"/>
      </w:pPr>
      <w:r>
        <w:t>Ms. Riddle explained that BYU acquired adjacent property in 1941, followed by Provo City acquiring what became Kiwanis Park in 1948. In 1978, the city entered into a 50-year lease agreement with the school district for two acres to be used for parking and playground facilities for Oak Ridge School, which served children with disabilities. The lease required payment of $1 per year (paid $50 in advance) and specified the improvements would become city property when the lease expired.</w:t>
      </w:r>
    </w:p>
    <w:p w14:paraId="5CEB34D9" w14:textId="77777777" w:rsidR="003F18B2" w:rsidRDefault="006E018B">
      <w:pPr>
        <w:spacing w:before="280" w:after="280"/>
      </w:pPr>
      <w:r>
        <w:t>In 2004, changes in state education policy for special needs children made Oak Ridge School obsolete, and the school district began using the building for general district purposes and Wasatch Elementary School activities. However, the city was never notified of this change in use, which violated the lease terms requiring use for the original school purpose.</w:t>
      </w:r>
    </w:p>
    <w:p w14:paraId="46574E79" w14:textId="77777777" w:rsidR="003F18B2" w:rsidRDefault="006E018B">
      <w:pPr>
        <w:spacing w:before="280" w:after="280"/>
      </w:pPr>
      <w:r>
        <w:t>In 2025, BYU purchased Wasatch Elementary School from the school district, acquiring both the land and building while assuming the lease agreement. BYU was not made aware of the specific lease terms and had been using the property as the school district had, assuming they had the same rights.</w:t>
      </w:r>
    </w:p>
    <w:p w14:paraId="1E6A4DD4" w14:textId="77777777" w:rsidR="003F18B2" w:rsidRDefault="006E018B">
      <w:pPr>
        <w:spacing w:before="280" w:after="280"/>
      </w:pPr>
      <w:r>
        <w:t>When BYU approached the city about purchasing the property to incorporate it into their campus planning, staff discovered the lease had been void since 2004 due to the change in use. BYU was now using the property without valid legal authorization.</w:t>
      </w:r>
    </w:p>
    <w:p w14:paraId="3C3E5774" w14:textId="463DFA77" w:rsidR="007A7080" w:rsidRPr="007A7080" w:rsidRDefault="007A7080" w:rsidP="00AE6520">
      <w:pPr>
        <w:spacing w:before="280" w:after="280"/>
      </w:pPr>
      <w:r w:rsidRPr="007A7080">
        <w:t xml:space="preserve">The </w:t>
      </w:r>
      <w:r w:rsidRPr="00AE6520">
        <w:t>property</w:t>
      </w:r>
      <w:r w:rsidRPr="007A7080">
        <w:t xml:space="preserve"> under consideration includes one playground located entirely within the proposed</w:t>
      </w:r>
      <w:r w:rsidR="00AE6520" w:rsidRPr="00AE6520">
        <w:t xml:space="preserve"> </w:t>
      </w:r>
      <w:r w:rsidRPr="00AE6520">
        <w:t>boundary</w:t>
      </w:r>
      <w:r w:rsidRPr="007A7080">
        <w:t xml:space="preserve"> and a second playground that straddles the boundary between that property and the remainder of Kiwanis Park. A third playground is located fully within Kiwanis Park outside the </w:t>
      </w:r>
      <w:r w:rsidR="00AE6520" w:rsidRPr="00AE6520">
        <w:t>proposed surplus</w:t>
      </w:r>
      <w:r w:rsidRPr="007A7080">
        <w:noBreakHyphen/>
        <w:t xml:space="preserve">property area. The Parks Department inspected all three </w:t>
      </w:r>
      <w:r w:rsidRPr="00AE6520">
        <w:t>playgrounds</w:t>
      </w:r>
      <w:r w:rsidRPr="007A7080">
        <w:t xml:space="preserve"> and found them</w:t>
      </w:r>
      <w:r w:rsidR="00AE6520" w:rsidRPr="00AE6520">
        <w:t xml:space="preserve"> all</w:t>
      </w:r>
      <w:r w:rsidRPr="007A7080">
        <w:t xml:space="preserve"> to be in poor to very poor condition and unsuitable for continued use. As part of the 2028–2029 CIP project, Parks plans to replace these facilities with updated equipment consolidated within the main Kiwanis Park area, expanding play options for ages 5–12 to complement the existing equipment for ages 2–5.</w:t>
      </w:r>
    </w:p>
    <w:p w14:paraId="645275D7" w14:textId="77777777" w:rsidR="003F18B2" w:rsidRDefault="006E018B">
      <w:pPr>
        <w:spacing w:before="280" w:after="280"/>
      </w:pPr>
      <w:r>
        <w:t>BYU offered $1,370,000 for the property, slightly above the midpoint between two appraisal values, which would fund the playground improvements and tennis court replacements at Kiwanis Park.</w:t>
      </w:r>
    </w:p>
    <w:p w14:paraId="4A7F99D6" w14:textId="53244825" w:rsidR="003F18B2" w:rsidRDefault="006E018B">
      <w:pPr>
        <w:spacing w:before="280" w:after="280"/>
      </w:pPr>
      <w:r>
        <w:t>Council members expressed strong opposition to selling any parkland. Chair MacKay stated she had heard from over 75 people opposing the sale, with unanimous opposition from all contacts. She emphasized that as the city grows denser, the last thing they should do is reduce park space</w:t>
      </w:r>
      <w:r w:rsidR="007A7080">
        <w:t>.</w:t>
      </w:r>
    </w:p>
    <w:p w14:paraId="1C3D93B1" w14:textId="77777777" w:rsidR="003F18B2" w:rsidRDefault="006E018B">
      <w:pPr>
        <w:spacing w:before="280" w:after="280"/>
      </w:pPr>
      <w:r>
        <w:t>Councilor Christensen noted that while playgrounds could be replaced, prime land like this would never return to city ownership. He characterized the proposal as a "hard pass," emphasizing the importance of the city land banking just as BYU was prudently requesting to do.</w:t>
      </w:r>
    </w:p>
    <w:p w14:paraId="0157A4D4" w14:textId="77777777" w:rsidR="003F18B2" w:rsidRDefault="006E018B">
      <w:pPr>
        <w:spacing w:before="280" w:after="280"/>
      </w:pPr>
      <w:r>
        <w:t>Several council members expressed willingness to work with BYU on a short-term lease arrangement to address parking needs during ASB construction, provided the property remained unaltered and the city received appropriate compensation.</w:t>
      </w:r>
    </w:p>
    <w:p w14:paraId="1A5AFCFC" w14:textId="77777777" w:rsidR="003F18B2" w:rsidRDefault="006E018B">
      <w:pPr>
        <w:spacing w:before="280" w:after="280"/>
      </w:pPr>
      <w:r>
        <w:t>Councilor Whipple and others noted they had used the facilities extensively when they lived in the area and considered it fully accessible parkland, regardless of lease technicalities. They emphasized the parking was particularly valuable given limited parking at Kiwanis Park for families with multiple children.</w:t>
      </w:r>
    </w:p>
    <w:p w14:paraId="2FA80A38" w14:textId="77777777" w:rsidR="003F18B2" w:rsidRDefault="006E018B">
      <w:pPr>
        <w:spacing w:before="280" w:after="280"/>
      </w:pPr>
      <w:r>
        <w:t>BYU Assistant Administrative Vice President of Physical Facilities Matt Giles indicated they primarily needed the space for overflow parking from Oak Ridge, with no specific long-term development plans until their master planning process was completed. He acknowledged they wanted to be good neighbors with the city and wouldn't pressure for the sale if the council decided against it.</w:t>
      </w:r>
    </w:p>
    <w:p w14:paraId="5C9CCDF0" w14:textId="40BAB91B" w:rsidR="003F18B2" w:rsidRDefault="006E018B">
      <w:pPr>
        <w:spacing w:before="280" w:after="280"/>
      </w:pPr>
      <w:r>
        <w:t>Councilor Bogdin emphasized</w:t>
      </w:r>
      <w:r w:rsidR="00AE6520">
        <w:t xml:space="preserve"> public</w:t>
      </w:r>
      <w:r>
        <w:t xml:space="preserve"> feedback she'd received about BYU needing to build parking garages and stay within their existing footprint rather than expanding outward. </w:t>
      </w:r>
      <w:r w:rsidR="00AE6520">
        <w:t xml:space="preserve">Mr. </w:t>
      </w:r>
      <w:r>
        <w:t>Giles acknowledged the cost challenges of parking structures at $30,000 per stall for above-ground and $46,000 for below-ground construction.</w:t>
      </w:r>
    </w:p>
    <w:p w14:paraId="06954C3E" w14:textId="22DE845B" w:rsidR="003F18B2" w:rsidRDefault="006E018B">
      <w:pPr>
        <w:spacing w:before="280" w:after="280"/>
      </w:pPr>
      <w:r>
        <w:t xml:space="preserve">Given the </w:t>
      </w:r>
      <w:r w:rsidR="00AE6520">
        <w:t>clear</w:t>
      </w:r>
      <w:r>
        <w:t xml:space="preserve"> opposition, </w:t>
      </w:r>
      <w:r w:rsidR="00AE6520">
        <w:t xml:space="preserve">Ms. </w:t>
      </w:r>
      <w:r>
        <w:t>Riddle indicated she would explore lease options with BYU rather than proceeding with the surplus process.</w:t>
      </w:r>
    </w:p>
    <w:p w14:paraId="289A8C70" w14:textId="254ED2D3" w:rsidR="003F18B2" w:rsidRDefault="00F26B79">
      <w:pPr>
        <w:pStyle w:val="Heading1"/>
      </w:pPr>
      <w:bookmarkStart w:id="1" w:name="jpp8zd1pya5g" w:colFirst="0" w:colLast="0"/>
      <w:bookmarkEnd w:id="1"/>
      <w:r>
        <w:t>Closed Meeting</w:t>
      </w:r>
    </w:p>
    <w:p w14:paraId="55A121F5" w14:textId="2DD3D95D" w:rsidR="00F26B79" w:rsidRDefault="00F26B79" w:rsidP="00F26B79">
      <w:r>
        <w:t>Councilor Whipple moved to close the meeting to</w:t>
      </w:r>
      <w:r w:rsidR="00CE730C">
        <w:t xml:space="preserve"> hold a </w:t>
      </w:r>
      <w:r w:rsidR="009F6BD5" w:rsidRPr="009F6BD5">
        <w:t>strategy session to discuss the purchase, exchange, or lease of real property</w:t>
      </w:r>
      <w:r w:rsidR="005F4AF4">
        <w:t xml:space="preserve"> in the Council Pre-Function Room</w:t>
      </w:r>
      <w:r w:rsidR="009F6BD5">
        <w:t>.</w:t>
      </w:r>
      <w:r w:rsidR="00CE730C">
        <w:t xml:space="preserve"> </w:t>
      </w:r>
      <w:r>
        <w:t>Councilor Christensen seconded the motion.</w:t>
      </w:r>
      <w:r w:rsidR="009F6BD5">
        <w:t xml:space="preserve"> </w:t>
      </w:r>
      <w:r>
        <w:t>The motion passed 6:0 (Councilor Hoban excused)</w:t>
      </w:r>
    </w:p>
    <w:p w14:paraId="53F78C8F" w14:textId="77777777" w:rsidR="00F26B79" w:rsidRDefault="00F26B79" w:rsidP="00F26B79">
      <w:pPr>
        <w:pStyle w:val="Heading1"/>
      </w:pPr>
      <w:r>
        <w:t>Adjournment</w:t>
      </w:r>
    </w:p>
    <w:p w14:paraId="54AEE0EB" w14:textId="77777777" w:rsidR="00F26B79" w:rsidRPr="00F26B79" w:rsidRDefault="00F26B79" w:rsidP="00F26B79"/>
    <w:sectPr w:rsidR="00F26B79" w:rsidRPr="00F26B79">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5ED06" w14:textId="77777777" w:rsidR="003F5360" w:rsidRDefault="003F5360">
      <w:r>
        <w:separator/>
      </w:r>
    </w:p>
  </w:endnote>
  <w:endnote w:type="continuationSeparator" w:id="0">
    <w:p w14:paraId="2398A8D1" w14:textId="77777777" w:rsidR="003F5360" w:rsidRDefault="003F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3CC39A1-F6F9-46E3-9D49-F4445D888601}"/>
  </w:font>
  <w:font w:name="Gotham Book">
    <w:panose1 w:val="00000000000000000000"/>
    <w:charset w:val="00"/>
    <w:family w:val="modern"/>
    <w:notTrueType/>
    <w:pitch w:val="variable"/>
    <w:sig w:usb0="A10000FF" w:usb1="4000005B" w:usb2="00000000" w:usb3="00000000" w:csb0="0000009B" w:csb1="00000000"/>
  </w:font>
  <w:font w:name="Play">
    <w:charset w:val="00"/>
    <w:family w:val="auto"/>
    <w:pitch w:val="default"/>
    <w:embedRegular r:id="rId2" w:fontKey="{C8887B2F-20E0-419A-8925-F37221B523FD}"/>
  </w:font>
  <w:font w:name="Montserrat">
    <w:charset w:val="00"/>
    <w:family w:val="auto"/>
    <w:pitch w:val="variable"/>
    <w:sig w:usb0="2000020F" w:usb1="00000003" w:usb2="00000000" w:usb3="00000000" w:csb0="00000197" w:csb1="00000000"/>
    <w:embedBold r:id="rId3" w:fontKey="{3ABAA1E0-4EE3-4BCD-8220-9A71ADE3F60F}"/>
  </w:font>
  <w:font w:name="Montserrat Medium">
    <w:charset w:val="00"/>
    <w:family w:val="auto"/>
    <w:pitch w:val="variable"/>
    <w:sig w:usb0="2000020F" w:usb1="00000003" w:usb2="00000000" w:usb3="00000000" w:csb0="00000197" w:csb1="00000000"/>
    <w:embedBold r:id="rId4" w:fontKey="{F29277C8-A249-4A62-8853-4BB3F43232AC}"/>
  </w:font>
  <w:font w:name="Gotham Light">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200247B" w:usb2="00000009" w:usb3="00000000" w:csb0="000001FF" w:csb1="00000000"/>
    <w:embedRegular r:id="rId5" w:fontKey="{339C028D-D4C7-4C32-8B2E-E25CECA3C739}"/>
  </w:font>
  <w:font w:name="Cambria">
    <w:panose1 w:val="02040503050406030204"/>
    <w:charset w:val="00"/>
    <w:family w:val="roman"/>
    <w:pitch w:val="variable"/>
    <w:sig w:usb0="E00006FF" w:usb1="420024FF" w:usb2="02000000" w:usb3="00000000" w:csb0="0000019F" w:csb1="00000000"/>
    <w:embedRegular r:id="rId6" w:fontKey="{BCD465F7-2768-490E-BBB6-CB118F0469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FF6E" w14:textId="77777777" w:rsidR="003F18B2" w:rsidRDefault="003F18B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7898" w14:textId="77777777" w:rsidR="003F18B2" w:rsidRDefault="006E018B">
    <w:pPr>
      <w:pBdr>
        <w:top w:val="nil"/>
        <w:left w:val="nil"/>
        <w:bottom w:val="nil"/>
        <w:right w:val="nil"/>
        <w:between w:val="nil"/>
      </w:pBdr>
      <w:tabs>
        <w:tab w:val="center" w:pos="4320"/>
        <w:tab w:val="right" w:pos="8640"/>
        <w:tab w:val="left" w:pos="7860"/>
        <w:tab w:val="right" w:pos="9360"/>
      </w:tabs>
      <w:jc w:val="both"/>
      <w:rPr>
        <w:color w:val="000000"/>
        <w:sz w:val="20"/>
        <w:szCs w:val="20"/>
      </w:rPr>
    </w:pPr>
    <w:r>
      <w:rPr>
        <w:rFonts w:ascii="Gotham Light" w:eastAsia="Gotham Light" w:hAnsi="Gotham Light" w:cs="Gotham Light"/>
        <w:color w:val="000000"/>
        <w:sz w:val="20"/>
        <w:szCs w:val="20"/>
      </w:rPr>
      <w:t xml:space="preserve">Provo City Municipal Council Work Meeting – </w:t>
    </w:r>
    <w:r>
      <w:fldChar w:fldCharType="begin"/>
    </w:r>
    <w:r>
      <w:instrText xml:space="preserve"> DOCPROPERTY "Meeting Date"</w:instrText>
    </w:r>
    <w:r>
      <w:fldChar w:fldCharType="separate"/>
    </w:r>
    <w:r>
      <w:rPr>
        <w:rFonts w:ascii="Gotham Light" w:eastAsia="Gotham Light" w:hAnsi="Gotham Light" w:cs="Gotham Light"/>
        <w:color w:val="000000"/>
        <w:sz w:val="20"/>
        <w:szCs w:val="20"/>
      </w:rPr>
      <w:t>March 24, 2026</w:t>
    </w:r>
    <w:r>
      <w:fldChar w:fldCharType="end"/>
    </w:r>
    <w:r>
      <w:rPr>
        <w:rFonts w:ascii="Gotham Light" w:eastAsia="Gotham Light" w:hAnsi="Gotham Light" w:cs="Gotham Light"/>
        <w:color w:val="000000"/>
        <w:sz w:val="20"/>
        <w:szCs w:val="20"/>
      </w:rPr>
      <w:tab/>
    </w:r>
    <w:r>
      <w:rPr>
        <w:color w:val="000000"/>
        <w:sz w:val="20"/>
        <w:szCs w:val="20"/>
      </w:rPr>
      <w:tab/>
    </w:r>
    <w:r>
      <w:rPr>
        <w:rFonts w:ascii="Gotham Light" w:eastAsia="Gotham Light" w:hAnsi="Gotham Light" w:cs="Gotham Light"/>
        <w:color w:val="000000"/>
        <w:sz w:val="20"/>
        <w:szCs w:val="20"/>
      </w:rPr>
      <w:t xml:space="preserve">    Page </w:t>
    </w:r>
    <w:r>
      <w:rPr>
        <w:rFonts w:ascii="Gotham Light" w:eastAsia="Gotham Light" w:hAnsi="Gotham Light" w:cs="Gotham Light"/>
        <w:b/>
        <w:bCs/>
        <w:color w:val="000000"/>
        <w:sz w:val="20"/>
        <w:szCs w:val="20"/>
      </w:rPr>
      <w:fldChar w:fldCharType="begin"/>
    </w:r>
    <w:r>
      <w:rPr>
        <w:rFonts w:ascii="Gotham Light" w:eastAsia="Gotham Light" w:hAnsi="Gotham Light" w:cs="Gotham Light"/>
        <w:b/>
        <w:bCs/>
        <w:color w:val="000000"/>
        <w:sz w:val="20"/>
        <w:szCs w:val="20"/>
      </w:rPr>
      <w:instrText>PAGE</w:instrText>
    </w:r>
    <w:r>
      <w:rPr>
        <w:rFonts w:ascii="Gotham Light" w:eastAsia="Gotham Light" w:hAnsi="Gotham Light" w:cs="Gotham Light"/>
        <w:b/>
        <w:bCs/>
        <w:color w:val="000000"/>
        <w:sz w:val="20"/>
        <w:szCs w:val="20"/>
      </w:rPr>
      <w:fldChar w:fldCharType="separate"/>
    </w:r>
    <w:r w:rsidR="00A2315A">
      <w:rPr>
        <w:rFonts w:ascii="Gotham Light" w:eastAsia="Gotham Light" w:hAnsi="Gotham Light" w:cs="Gotham Light"/>
        <w:b/>
        <w:bCs/>
        <w:noProof/>
        <w:color w:val="000000"/>
        <w:sz w:val="20"/>
        <w:szCs w:val="20"/>
      </w:rPr>
      <w:t>1</w:t>
    </w:r>
    <w:r>
      <w:rPr>
        <w:rFonts w:ascii="Gotham Light" w:eastAsia="Gotham Light" w:hAnsi="Gotham Light" w:cs="Gotham Light"/>
        <w:b/>
        <w:bCs/>
        <w:color w:val="000000"/>
        <w:sz w:val="20"/>
        <w:szCs w:val="20"/>
      </w:rPr>
      <w:fldChar w:fldCharType="end"/>
    </w:r>
    <w:r>
      <w:rPr>
        <w:rFonts w:ascii="Gotham Light" w:eastAsia="Gotham Light" w:hAnsi="Gotham Light" w:cs="Gotham Light"/>
        <w:color w:val="000000"/>
        <w:sz w:val="20"/>
        <w:szCs w:val="20"/>
      </w:rPr>
      <w:t xml:space="preserve"> of </w:t>
    </w:r>
    <w:r>
      <w:rPr>
        <w:rFonts w:ascii="Gotham Light" w:eastAsia="Gotham Light" w:hAnsi="Gotham Light" w:cs="Gotham Light"/>
        <w:b/>
        <w:bCs/>
        <w:color w:val="000000"/>
        <w:sz w:val="20"/>
        <w:szCs w:val="20"/>
      </w:rPr>
      <w:fldChar w:fldCharType="begin"/>
    </w:r>
    <w:r>
      <w:rPr>
        <w:rFonts w:ascii="Gotham Light" w:eastAsia="Gotham Light" w:hAnsi="Gotham Light" w:cs="Gotham Light"/>
        <w:b/>
        <w:bCs/>
        <w:color w:val="000000"/>
        <w:sz w:val="20"/>
        <w:szCs w:val="20"/>
      </w:rPr>
      <w:instrText>NUMPAGES</w:instrText>
    </w:r>
    <w:r>
      <w:rPr>
        <w:rFonts w:ascii="Gotham Light" w:eastAsia="Gotham Light" w:hAnsi="Gotham Light" w:cs="Gotham Light"/>
        <w:b/>
        <w:bCs/>
        <w:color w:val="000000"/>
        <w:sz w:val="20"/>
        <w:szCs w:val="20"/>
      </w:rPr>
      <w:fldChar w:fldCharType="separate"/>
    </w:r>
    <w:r w:rsidR="00A2315A">
      <w:rPr>
        <w:rFonts w:ascii="Gotham Light" w:eastAsia="Gotham Light" w:hAnsi="Gotham Light" w:cs="Gotham Light"/>
        <w:b/>
        <w:bCs/>
        <w:noProof/>
        <w:color w:val="000000"/>
        <w:sz w:val="20"/>
        <w:szCs w:val="20"/>
      </w:rPr>
      <w:t>2</w:t>
    </w:r>
    <w:r>
      <w:rPr>
        <w:rFonts w:ascii="Gotham Light" w:eastAsia="Gotham Light" w:hAnsi="Gotham Light" w:cs="Gotham Light"/>
        <w:b/>
        <w:bCs/>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FD6E" w14:textId="77777777" w:rsidR="003F18B2" w:rsidRDefault="003F18B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525DE" w14:textId="77777777" w:rsidR="003F5360" w:rsidRDefault="003F5360">
      <w:r>
        <w:separator/>
      </w:r>
    </w:p>
  </w:footnote>
  <w:footnote w:type="continuationSeparator" w:id="0">
    <w:p w14:paraId="61BC2E3C" w14:textId="77777777" w:rsidR="003F5360" w:rsidRDefault="003F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8567C" w14:textId="549CC004" w:rsidR="003F18B2" w:rsidRDefault="003F18B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1F53" w14:textId="1C7F46DA" w:rsidR="003F18B2" w:rsidRDefault="003F18B2">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D28A" w14:textId="07975B78" w:rsidR="003F18B2" w:rsidRDefault="003F18B2">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47DE2"/>
    <w:multiLevelType w:val="multilevel"/>
    <w:tmpl w:val="63EEFC9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7498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8B2"/>
    <w:rsid w:val="001B4B06"/>
    <w:rsid w:val="00233196"/>
    <w:rsid w:val="003F18B2"/>
    <w:rsid w:val="003F5360"/>
    <w:rsid w:val="004241BA"/>
    <w:rsid w:val="00462B72"/>
    <w:rsid w:val="004A55CC"/>
    <w:rsid w:val="004D3CB5"/>
    <w:rsid w:val="005D2B37"/>
    <w:rsid w:val="005F4AF4"/>
    <w:rsid w:val="006E018B"/>
    <w:rsid w:val="006F6442"/>
    <w:rsid w:val="007215AB"/>
    <w:rsid w:val="007A7080"/>
    <w:rsid w:val="008506F4"/>
    <w:rsid w:val="00947535"/>
    <w:rsid w:val="009F6BD5"/>
    <w:rsid w:val="00A2315A"/>
    <w:rsid w:val="00AE6520"/>
    <w:rsid w:val="00B52C90"/>
    <w:rsid w:val="00CE730C"/>
    <w:rsid w:val="00DC5347"/>
    <w:rsid w:val="00F2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F8E66"/>
  <w15:docId w15:val="{AA4D6F1F-511D-46F6-92F2-A8BB789A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520"/>
  </w:style>
  <w:style w:type="paragraph" w:styleId="Heading1">
    <w:name w:val="heading 1"/>
    <w:basedOn w:val="Normal"/>
    <w:next w:val="Normal"/>
    <w:link w:val="Heading1Char"/>
    <w:uiPriority w:val="9"/>
    <w:qFormat/>
    <w:pPr>
      <w:keepNext/>
      <w:keepLines/>
      <w:spacing w:before="360" w:after="80"/>
      <w:outlineLvl w:val="0"/>
    </w:pPr>
    <w:rPr>
      <w:rFonts w:ascii="Gotham Book" w:eastAsia="Gotham Book" w:hAnsi="Gotham Book" w:cs="Gotham Book"/>
      <w:sz w:val="28"/>
      <w:szCs w:val="28"/>
    </w:rPr>
  </w:style>
  <w:style w:type="paragraph" w:styleId="Heading2">
    <w:name w:val="heading 2"/>
    <w:basedOn w:val="Normal"/>
    <w:next w:val="Normal"/>
    <w:uiPriority w:val="9"/>
    <w:unhideWhenUsed/>
    <w:qFormat/>
    <w:pPr>
      <w:keepNext/>
      <w:keepLines/>
      <w:spacing w:before="160" w:after="80"/>
      <w:outlineLvl w:val="1"/>
    </w:pPr>
    <w:rPr>
      <w:b/>
      <w:bCs/>
      <w:sz w:val="28"/>
      <w:szCs w:val="28"/>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8506F4"/>
    <w:rPr>
      <w:color w:val="0000FF" w:themeColor="hyperlink"/>
      <w:u w:val="single"/>
    </w:rPr>
  </w:style>
  <w:style w:type="character" w:styleId="UnresolvedMention">
    <w:name w:val="Unresolved Mention"/>
    <w:basedOn w:val="DefaultParagraphFont"/>
    <w:uiPriority w:val="99"/>
    <w:semiHidden/>
    <w:unhideWhenUsed/>
    <w:rsid w:val="008506F4"/>
    <w:rPr>
      <w:color w:val="605E5C"/>
      <w:shd w:val="clear" w:color="auto" w:fill="E1DFDD"/>
    </w:rPr>
  </w:style>
  <w:style w:type="character" w:customStyle="1" w:styleId="Heading1Char">
    <w:name w:val="Heading 1 Char"/>
    <w:basedOn w:val="DefaultParagraphFont"/>
    <w:link w:val="Heading1"/>
    <w:uiPriority w:val="9"/>
    <w:rsid w:val="00F26B79"/>
    <w:rPr>
      <w:rFonts w:ascii="Gotham Book" w:eastAsia="Gotham Book" w:hAnsi="Gotham Book" w:cs="Gotham Boo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iWKm47KKgz4&amp;t=8597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youtube.com/watch?v=iWKm47KKgz4&amp;t=6404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iWKm47KKgz4&amp;t=5042s" TargetMode="External"/><Relationship Id="rId5" Type="http://schemas.openxmlformats.org/officeDocument/2006/relationships/webSettings" Target="webSettings.xml"/><Relationship Id="rId15" Type="http://schemas.openxmlformats.org/officeDocument/2006/relationships/hyperlink" Target="https://www.youtube.com/watch?v=iWKm47KKgz4&amp;t=9923s" TargetMode="External"/><Relationship Id="rId23" Type="http://schemas.openxmlformats.org/officeDocument/2006/relationships/theme" Target="theme/theme1.xml"/><Relationship Id="rId10" Type="http://schemas.openxmlformats.org/officeDocument/2006/relationships/hyperlink" Target="https://www.youtube.com/watch?v=iWKm47KKgz4&amp;t=82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youtube.com/provocitycouncil" TargetMode="External"/><Relationship Id="rId14" Type="http://schemas.openxmlformats.org/officeDocument/2006/relationships/hyperlink" Target="https://www.youtube.com/watch?v=iWKm47KKgz4&amp;t=9544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2C5C8-974C-4897-AC68-0FDBF929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3855</Words>
  <Characters>21978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Martins</dc:creator>
  <cp:lastModifiedBy>Kevin Martins</cp:lastModifiedBy>
  <cp:revision>6</cp:revision>
  <dcterms:created xsi:type="dcterms:W3CDTF">2026-03-30T18:16:00Z</dcterms:created>
  <dcterms:modified xsi:type="dcterms:W3CDTF">2026-04-16T20:26:00Z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eting Date">
    <vt:lpwstr>March 24, 2026</vt:lpwstr>
  </property>
  <property fmtid="{D5CDD505-2E9C-101B-9397-08002B2CF9AE}" pid="3" name="ContentTypeId">
    <vt:lpwstr>0x01010005A5939D71D960419C9280DDFE8B668B</vt:lpwstr>
  </property>
  <property fmtid="{D5CDD505-2E9C-101B-9397-08002B2CF9AE}" pid="4" name="AutoFileName">
    <vt:lpwstr>March 24, 2026 Work Meeting Minutes - PENDING MINUTES - AWAITING APPROVAL.docx</vt:lpwstr>
  </property>
</Properties>
</file>