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1BD5145E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E6E9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2B861EA4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BC703F">
        <w:rPr>
          <w:rFonts w:ascii="Times New Roman" w:hAnsi="Times New Roman" w:cs="Times New Roman"/>
          <w:b/>
          <w:bCs/>
          <w:sz w:val="24"/>
          <w:szCs w:val="24"/>
        </w:rPr>
        <w:t>AMENDING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E9D">
        <w:rPr>
          <w:rFonts w:ascii="Times New Roman" w:hAnsi="Times New Roman" w:cs="Times New Roman"/>
          <w:b/>
          <w:bCs/>
          <w:sz w:val="24"/>
          <w:szCs w:val="24"/>
        </w:rPr>
        <w:t>THE SIGN ORDINANCE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71D53AFE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BE IT ORDAINED BY THE GARDEN CITY PLANNING COMMISSION AND TOWN COUNCIL THAT ORDINANCE 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E6E9D">
        <w:rPr>
          <w:rFonts w:ascii="Times New Roman" w:hAnsi="Times New Roman" w:cs="Times New Roman"/>
          <w:b/>
          <w:bCs/>
          <w:sz w:val="24"/>
          <w:szCs w:val="24"/>
        </w:rPr>
        <w:t>605</w:t>
      </w:r>
      <w:r w:rsidR="00BB628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E6E9D">
        <w:rPr>
          <w:rFonts w:ascii="Times New Roman" w:hAnsi="Times New Roman" w:cs="Times New Roman"/>
          <w:b/>
          <w:bCs/>
          <w:sz w:val="24"/>
          <w:szCs w:val="24"/>
        </w:rPr>
        <w:t xml:space="preserve"> 11C-608</w:t>
      </w:r>
      <w:r w:rsidR="00BB628D">
        <w:rPr>
          <w:rFonts w:ascii="Times New Roman" w:hAnsi="Times New Roman" w:cs="Times New Roman"/>
          <w:b/>
          <w:bCs/>
          <w:sz w:val="24"/>
          <w:szCs w:val="24"/>
        </w:rPr>
        <w:t xml:space="preserve"> AND 11C-609</w:t>
      </w:r>
      <w:r w:rsidR="00C42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5E2E10">
        <w:rPr>
          <w:rFonts w:ascii="Times New Roman" w:hAnsi="Times New Roman" w:cs="Times New Roman"/>
          <w:b/>
          <w:bCs/>
          <w:sz w:val="24"/>
          <w:szCs w:val="24"/>
        </w:rPr>
        <w:t>AMENDED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137D5" w14:textId="23496A23" w:rsidR="00F70594" w:rsidRPr="007743D2" w:rsidRDefault="00F70594" w:rsidP="00F70594">
      <w:pPr>
        <w:pStyle w:val="NoSpacing"/>
        <w:rPr>
          <w:rFonts w:ascii="Times New Roman" w:hAnsi="Times New Roman" w:cs="Times New Roman"/>
          <w:u w:val="single"/>
        </w:rPr>
      </w:pPr>
      <w:r w:rsidRPr="007743D2">
        <w:rPr>
          <w:rFonts w:ascii="Times New Roman" w:hAnsi="Times New Roman" w:cs="Times New Roman"/>
          <w:u w:val="single"/>
        </w:rPr>
        <w:t>11C-</w:t>
      </w:r>
      <w:r w:rsidR="00FE6E9D">
        <w:rPr>
          <w:rFonts w:ascii="Times New Roman" w:hAnsi="Times New Roman" w:cs="Times New Roman"/>
          <w:u w:val="single"/>
        </w:rPr>
        <w:t>605 - Permits</w:t>
      </w:r>
      <w:r w:rsidRPr="007743D2">
        <w:rPr>
          <w:rFonts w:ascii="Times New Roman" w:hAnsi="Times New Roman" w:cs="Times New Roman"/>
          <w:u w:val="single"/>
        </w:rPr>
        <w:t>.</w:t>
      </w:r>
    </w:p>
    <w:p w14:paraId="631E92AC" w14:textId="63ADBA57" w:rsidR="00FE6E9D" w:rsidRPr="00BB628D" w:rsidRDefault="00FE6E9D" w:rsidP="00BB628D">
      <w:pPr>
        <w:pStyle w:val="ListParagraph"/>
        <w:numPr>
          <w:ilvl w:val="0"/>
          <w:numId w:val="39"/>
        </w:numPr>
        <w:ind w:left="720"/>
        <w:rPr>
          <w:rFonts w:eastAsia="Calibri"/>
        </w:rPr>
      </w:pPr>
      <w:r w:rsidRPr="00BB628D">
        <w:rPr>
          <w:rFonts w:eastAsia="Calibri"/>
        </w:rPr>
        <w:t xml:space="preserve">Approval.  </w:t>
      </w:r>
    </w:p>
    <w:p w14:paraId="26EDCF1D" w14:textId="77777777" w:rsidR="00FE6E9D" w:rsidRDefault="00FE6E9D" w:rsidP="00FE6E9D">
      <w:pPr>
        <w:pStyle w:val="ListParagraph"/>
        <w:rPr>
          <w:rFonts w:eastAsia="Calibri"/>
        </w:rPr>
      </w:pPr>
    </w:p>
    <w:p w14:paraId="20B19BD7" w14:textId="00DE5B68" w:rsidR="00FE6E9D" w:rsidRDefault="00FE6E9D" w:rsidP="00FE6E9D">
      <w:pPr>
        <w:numPr>
          <w:ilvl w:val="1"/>
          <w:numId w:val="38"/>
        </w:numPr>
        <w:rPr>
          <w:rFonts w:eastAsia="Calibri"/>
        </w:rPr>
      </w:pPr>
      <w:r w:rsidRPr="00FE6E9D">
        <w:rPr>
          <w:rFonts w:eastAsia="Calibri"/>
        </w:rPr>
        <w:t xml:space="preserve">Approval of </w:t>
      </w:r>
      <w:r w:rsidRPr="00FE6E9D">
        <w:rPr>
          <w:rFonts w:eastAsia="Calibri"/>
          <w:strike/>
        </w:rPr>
        <w:t>all signs</w:t>
      </w:r>
      <w:r w:rsidRPr="00FE6E9D">
        <w:rPr>
          <w:rFonts w:eastAsia="Calibri"/>
        </w:rPr>
        <w:t xml:space="preserve"> </w:t>
      </w:r>
      <w:proofErr w:type="gramStart"/>
      <w:r w:rsidR="00725CB6">
        <w:rPr>
          <w:rFonts w:eastAsia="Calibri"/>
          <w:b/>
          <w:bCs/>
        </w:rPr>
        <w:t>on-premise</w:t>
      </w:r>
      <w:proofErr w:type="gramEnd"/>
      <w:r w:rsidR="00725CB6">
        <w:rPr>
          <w:rFonts w:eastAsia="Calibri"/>
          <w:b/>
          <w:bCs/>
        </w:rPr>
        <w:t xml:space="preserve"> signs</w:t>
      </w:r>
      <w:r>
        <w:rPr>
          <w:rFonts w:eastAsia="Calibri"/>
          <w:b/>
          <w:bCs/>
        </w:rPr>
        <w:t xml:space="preserve"> </w:t>
      </w:r>
      <w:r w:rsidRPr="00FE6E9D">
        <w:rPr>
          <w:rFonts w:eastAsia="Calibri"/>
        </w:rPr>
        <w:t>shall be the responsibility of the Code Enforcement Officer.  If there is no Code Enforcement Officer, signs will be approved by the Planning Commission.</w:t>
      </w:r>
    </w:p>
    <w:p w14:paraId="261677F6" w14:textId="2E4547BC" w:rsidR="00FE6E9D" w:rsidRPr="00FE6E9D" w:rsidRDefault="00FE6E9D" w:rsidP="00FE6E9D">
      <w:pPr>
        <w:numPr>
          <w:ilvl w:val="1"/>
          <w:numId w:val="38"/>
        </w:numPr>
        <w:rPr>
          <w:rFonts w:eastAsia="Calibri"/>
        </w:rPr>
      </w:pPr>
      <w:r>
        <w:rPr>
          <w:rFonts w:eastAsia="Calibri"/>
          <w:b/>
          <w:bCs/>
        </w:rPr>
        <w:t xml:space="preserve">Approval of </w:t>
      </w:r>
      <w:r w:rsidR="00725CB6">
        <w:rPr>
          <w:rFonts w:eastAsia="Calibri"/>
          <w:b/>
          <w:bCs/>
        </w:rPr>
        <w:t>off-</w:t>
      </w:r>
      <w:proofErr w:type="gramStart"/>
      <w:r w:rsidR="00725CB6">
        <w:rPr>
          <w:rFonts w:eastAsia="Calibri"/>
          <w:b/>
          <w:bCs/>
        </w:rPr>
        <w:t>premise</w:t>
      </w:r>
      <w:proofErr w:type="gramEnd"/>
      <w:r>
        <w:rPr>
          <w:rFonts w:eastAsia="Calibri"/>
          <w:b/>
          <w:bCs/>
        </w:rPr>
        <w:t xml:space="preserve"> sign</w:t>
      </w:r>
      <w:r w:rsidR="00BB628D">
        <w:rPr>
          <w:rFonts w:eastAsia="Calibri"/>
          <w:b/>
          <w:bCs/>
        </w:rPr>
        <w:t>s</w:t>
      </w:r>
      <w:r>
        <w:rPr>
          <w:rFonts w:eastAsia="Calibri"/>
          <w:b/>
          <w:bCs/>
        </w:rPr>
        <w:t xml:space="preserve"> shall require a public hearing and approval of the Planning Commission.</w:t>
      </w:r>
    </w:p>
    <w:p w14:paraId="08EC85E8" w14:textId="77777777" w:rsidR="00FE6E9D" w:rsidRPr="00FE6E9D" w:rsidRDefault="00FE6E9D" w:rsidP="00FE6E9D">
      <w:pPr>
        <w:ind w:left="1440"/>
        <w:rPr>
          <w:rFonts w:eastAsia="Calibri"/>
        </w:rPr>
      </w:pPr>
    </w:p>
    <w:p w14:paraId="3A3F3B54" w14:textId="0AD6514A" w:rsidR="007743D2" w:rsidRPr="007743D2" w:rsidRDefault="007743D2" w:rsidP="00BB628D">
      <w:pPr>
        <w:pStyle w:val="NoSpacing"/>
        <w:rPr>
          <w:rFonts w:ascii="Times New Roman" w:hAnsi="Times New Roman" w:cs="Times New Roman"/>
          <w:u w:val="single"/>
        </w:rPr>
      </w:pPr>
      <w:r w:rsidRPr="007743D2">
        <w:rPr>
          <w:rFonts w:ascii="Times New Roman" w:hAnsi="Times New Roman" w:cs="Times New Roman"/>
          <w:u w:val="single"/>
        </w:rPr>
        <w:t>11C-</w:t>
      </w:r>
      <w:r w:rsidR="00BB628D">
        <w:rPr>
          <w:rFonts w:ascii="Times New Roman" w:hAnsi="Times New Roman" w:cs="Times New Roman"/>
          <w:u w:val="single"/>
        </w:rPr>
        <w:t>608- Permanent and Temporary Off-</w:t>
      </w:r>
      <w:proofErr w:type="gramStart"/>
      <w:r w:rsidR="00BB628D">
        <w:rPr>
          <w:rFonts w:ascii="Times New Roman" w:hAnsi="Times New Roman" w:cs="Times New Roman"/>
          <w:u w:val="single"/>
        </w:rPr>
        <w:t>premise</w:t>
      </w:r>
      <w:proofErr w:type="gramEnd"/>
      <w:r w:rsidR="00BB628D">
        <w:rPr>
          <w:rFonts w:ascii="Times New Roman" w:hAnsi="Times New Roman" w:cs="Times New Roman"/>
          <w:u w:val="single"/>
        </w:rPr>
        <w:t xml:space="preserve"> signs</w:t>
      </w:r>
      <w:r w:rsidRPr="007743D2">
        <w:rPr>
          <w:rFonts w:ascii="Times New Roman" w:hAnsi="Times New Roman" w:cs="Times New Roman"/>
          <w:u w:val="single"/>
        </w:rPr>
        <w:t>.</w:t>
      </w:r>
    </w:p>
    <w:p w14:paraId="3C00C54E" w14:textId="3C6D8086" w:rsidR="00BB628D" w:rsidRDefault="00BB628D" w:rsidP="00BB628D">
      <w:pPr>
        <w:numPr>
          <w:ilvl w:val="0"/>
          <w:numId w:val="40"/>
        </w:numPr>
        <w:rPr>
          <w:rFonts w:eastAsia="Calibri"/>
        </w:rPr>
      </w:pPr>
      <w:r w:rsidRPr="00BB628D">
        <w:rPr>
          <w:rFonts w:eastAsia="Calibri"/>
        </w:rPr>
        <w:t>Approval Requirements. All off-</w:t>
      </w:r>
      <w:proofErr w:type="gramStart"/>
      <w:r w:rsidRPr="00BB628D">
        <w:rPr>
          <w:rFonts w:eastAsia="Calibri"/>
        </w:rPr>
        <w:t>premise</w:t>
      </w:r>
      <w:proofErr w:type="gramEnd"/>
      <w:r w:rsidRPr="00BB628D">
        <w:rPr>
          <w:rFonts w:eastAsia="Calibri"/>
        </w:rPr>
        <w:t xml:space="preserve"> signs require a sign permit and </w:t>
      </w:r>
      <w:r w:rsidRPr="00BB628D">
        <w:rPr>
          <w:rFonts w:eastAsia="Calibri"/>
          <w:strike/>
        </w:rPr>
        <w:t>are subject to</w:t>
      </w:r>
      <w:r w:rsidRPr="00BB628D">
        <w:rPr>
          <w:rFonts w:eastAsia="Calibri"/>
        </w:rPr>
        <w:t xml:space="preserve"> conditional use review, public hearing, and approval by the Planning Commission. The requested off-</w:t>
      </w:r>
      <w:proofErr w:type="gramStart"/>
      <w:r w:rsidRPr="00BB628D">
        <w:rPr>
          <w:rFonts w:eastAsia="Calibri"/>
        </w:rPr>
        <w:t>premise</w:t>
      </w:r>
      <w:proofErr w:type="gramEnd"/>
      <w:r w:rsidRPr="00BB628D">
        <w:rPr>
          <w:rFonts w:eastAsia="Calibri"/>
        </w:rPr>
        <w:t xml:space="preserve"> sign </w:t>
      </w:r>
      <w:proofErr w:type="gramStart"/>
      <w:r w:rsidRPr="00BB628D">
        <w:rPr>
          <w:rFonts w:eastAsia="Calibri"/>
          <w:strike/>
        </w:rPr>
        <w:t xml:space="preserve">should </w:t>
      </w:r>
      <w:r>
        <w:rPr>
          <w:rFonts w:eastAsia="Calibri"/>
          <w:b/>
          <w:bCs/>
        </w:rPr>
        <w:t>shall</w:t>
      </w:r>
      <w:proofErr w:type="gramEnd"/>
      <w:r>
        <w:rPr>
          <w:rFonts w:eastAsia="Calibri"/>
          <w:b/>
          <w:bCs/>
        </w:rPr>
        <w:t xml:space="preserve"> </w:t>
      </w:r>
      <w:r w:rsidRPr="00BB628D">
        <w:rPr>
          <w:rFonts w:eastAsia="Calibri"/>
        </w:rPr>
        <w:t>not negatively affect the economy of Garden City</w:t>
      </w:r>
      <w:r>
        <w:rPr>
          <w:rFonts w:eastAsia="Calibri"/>
        </w:rPr>
        <w:t>,</w:t>
      </w:r>
      <w:r w:rsidRPr="00BB628D">
        <w:rPr>
          <w:rFonts w:eastAsia="Calibri"/>
        </w:rPr>
        <w:t xml:space="preserve"> and its impact should be considered during the conditional use review.</w:t>
      </w:r>
    </w:p>
    <w:p w14:paraId="751631A5" w14:textId="77777777" w:rsidR="00BB628D" w:rsidRDefault="00BB628D" w:rsidP="00BB628D">
      <w:pPr>
        <w:rPr>
          <w:rFonts w:eastAsia="Calibri"/>
        </w:rPr>
      </w:pPr>
    </w:p>
    <w:p w14:paraId="18CEBC23" w14:textId="77777777" w:rsidR="00BB628D" w:rsidRPr="006A7B3F" w:rsidRDefault="00BB628D" w:rsidP="00BB628D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6A7B3F">
        <w:rPr>
          <w:rFonts w:ascii="Times New Roman" w:hAnsi="Times New Roman"/>
          <w:sz w:val="24"/>
          <w:szCs w:val="24"/>
          <w:u w:val="single"/>
        </w:rPr>
        <w:t>11C-609 – Exempt Signs</w:t>
      </w:r>
    </w:p>
    <w:p w14:paraId="4E14417D" w14:textId="77777777" w:rsidR="00BB628D" w:rsidRPr="006A7B3F" w:rsidRDefault="00BB628D" w:rsidP="00BB628D">
      <w:pPr>
        <w:pStyle w:val="NoSpacing"/>
        <w:rPr>
          <w:rFonts w:ascii="Times New Roman" w:hAnsi="Times New Roman"/>
          <w:sz w:val="24"/>
          <w:szCs w:val="24"/>
        </w:rPr>
      </w:pPr>
    </w:p>
    <w:p w14:paraId="7A2129C7" w14:textId="77777777" w:rsidR="00BB628D" w:rsidRPr="006A7B3F" w:rsidRDefault="00BB628D" w:rsidP="00BB628D">
      <w:pPr>
        <w:pStyle w:val="NoSpacing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A7B3F">
        <w:rPr>
          <w:rFonts w:ascii="Times New Roman" w:hAnsi="Times New Roman"/>
          <w:sz w:val="24"/>
          <w:szCs w:val="24"/>
        </w:rPr>
        <w:t xml:space="preserve">Exempt signs.  The area of such signs shall not be included </w:t>
      </w:r>
      <w:proofErr w:type="gramStart"/>
      <w:r w:rsidRPr="006A7B3F">
        <w:rPr>
          <w:rFonts w:ascii="Times New Roman" w:hAnsi="Times New Roman"/>
          <w:sz w:val="24"/>
          <w:szCs w:val="24"/>
        </w:rPr>
        <w:t>in the area of</w:t>
      </w:r>
      <w:proofErr w:type="gramEnd"/>
      <w:r w:rsidRPr="006A7B3F">
        <w:rPr>
          <w:rFonts w:ascii="Times New Roman" w:hAnsi="Times New Roman"/>
          <w:sz w:val="24"/>
          <w:szCs w:val="24"/>
        </w:rPr>
        <w:t xml:space="preserve"> signs permitted for any parcel use. No permits </w:t>
      </w:r>
      <w:proofErr w:type="gramStart"/>
      <w:r w:rsidRPr="006A7B3F">
        <w:rPr>
          <w:rFonts w:ascii="Times New Roman" w:hAnsi="Times New Roman"/>
          <w:sz w:val="24"/>
          <w:szCs w:val="24"/>
        </w:rPr>
        <w:t>required</w:t>
      </w:r>
      <w:proofErr w:type="gramEnd"/>
      <w:r w:rsidRPr="006A7B3F">
        <w:rPr>
          <w:rFonts w:ascii="Times New Roman" w:hAnsi="Times New Roman"/>
          <w:sz w:val="24"/>
          <w:szCs w:val="24"/>
        </w:rPr>
        <w:t>.</w:t>
      </w:r>
    </w:p>
    <w:p w14:paraId="654CC189" w14:textId="77777777" w:rsidR="00BB628D" w:rsidRPr="006A7B3F" w:rsidRDefault="00BB628D" w:rsidP="00BB628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C251258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1.</w:t>
      </w:r>
      <w:r w:rsidRPr="00BB628D">
        <w:rPr>
          <w:rFonts w:eastAsia="Calibri"/>
        </w:rPr>
        <w:tab/>
        <w:t>Temporary municipal or community non-profit event signs with a permit from a Garden City Official.</w:t>
      </w:r>
    </w:p>
    <w:p w14:paraId="053D7923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2.</w:t>
      </w:r>
      <w:r w:rsidRPr="00BB628D">
        <w:rPr>
          <w:rFonts w:eastAsia="Calibri"/>
        </w:rPr>
        <w:tab/>
        <w:t>Memorial signs or tablets.</w:t>
      </w:r>
    </w:p>
    <w:p w14:paraId="225CEBEA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3.</w:t>
      </w:r>
      <w:r w:rsidRPr="00BB628D">
        <w:rPr>
          <w:rFonts w:eastAsia="Calibri"/>
        </w:rPr>
        <w:tab/>
        <w:t>Public notices.</w:t>
      </w:r>
    </w:p>
    <w:p w14:paraId="61D32C53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4.</w:t>
      </w:r>
      <w:r w:rsidRPr="00BB628D">
        <w:rPr>
          <w:rFonts w:eastAsia="Calibri"/>
        </w:rPr>
        <w:tab/>
        <w:t>Public necessity signs.</w:t>
      </w:r>
    </w:p>
    <w:p w14:paraId="7D584E74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5.</w:t>
      </w:r>
      <w:r w:rsidRPr="00BB628D">
        <w:rPr>
          <w:rFonts w:eastAsia="Calibri"/>
        </w:rPr>
        <w:tab/>
        <w:t>Campaign signs. Signs shall not exceed eight (8) square feet.</w:t>
      </w:r>
    </w:p>
    <w:p w14:paraId="1C36CD2E" w14:textId="77777777" w:rsidR="00CC4947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6.</w:t>
      </w:r>
      <w:r w:rsidRPr="00BB628D">
        <w:rPr>
          <w:rFonts w:eastAsia="Calibri"/>
        </w:rPr>
        <w:tab/>
        <w:t xml:space="preserve">Real estate signs. One 5 square foot real estate sign shall be allowed on any lot or parcel, providing the sign is entirely within the property that is for sale.  Residential or commercial </w:t>
      </w:r>
      <w:proofErr w:type="gramStart"/>
      <w:r w:rsidRPr="00BB628D">
        <w:rPr>
          <w:rFonts w:eastAsia="Calibri"/>
        </w:rPr>
        <w:t>properties</w:t>
      </w:r>
      <w:proofErr w:type="gramEnd"/>
      <w:r w:rsidRPr="00BB628D">
        <w:rPr>
          <w:rFonts w:eastAsia="Calibri"/>
        </w:rPr>
        <w:t xml:space="preserve"> of 2 acres or more shall be allowed to have one sign of 32 square feet.  Signs must be removed from property within 7 days </w:t>
      </w:r>
    </w:p>
    <w:p w14:paraId="600EAB91" w14:textId="77777777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lastRenderedPageBreak/>
        <w:t>ORDINANCE #26-07</w:t>
      </w:r>
    </w:p>
    <w:p w14:paraId="70935C48" w14:textId="77777777" w:rsid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t>AN ORDINANCE AMENDING THE SIGN ORDINANCE</w:t>
      </w:r>
    </w:p>
    <w:p w14:paraId="7559E070" w14:textId="55BE68B0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Page 2</w:t>
      </w:r>
    </w:p>
    <w:p w14:paraId="6A390390" w14:textId="77777777" w:rsidR="00CC4947" w:rsidRDefault="00CC4947" w:rsidP="00BB628D">
      <w:pPr>
        <w:ind w:left="1440" w:hanging="360"/>
        <w:rPr>
          <w:rFonts w:eastAsia="Calibri"/>
        </w:rPr>
      </w:pPr>
    </w:p>
    <w:p w14:paraId="512A5513" w14:textId="77777777" w:rsidR="00CC4947" w:rsidRDefault="00CC4947" w:rsidP="00BB628D">
      <w:pPr>
        <w:ind w:left="1440" w:hanging="360"/>
        <w:rPr>
          <w:rFonts w:eastAsia="Calibri"/>
        </w:rPr>
      </w:pPr>
    </w:p>
    <w:p w14:paraId="3FC6C455" w14:textId="284A9B08" w:rsidR="00BB628D" w:rsidRPr="00BB628D" w:rsidRDefault="00BB628D" w:rsidP="00CC4947">
      <w:pPr>
        <w:ind w:left="1440"/>
        <w:rPr>
          <w:rFonts w:eastAsia="Calibri"/>
        </w:rPr>
      </w:pPr>
      <w:proofErr w:type="gramStart"/>
      <w:r w:rsidRPr="00BB628D">
        <w:rPr>
          <w:rFonts w:eastAsia="Calibri"/>
        </w:rPr>
        <w:t>after</w:t>
      </w:r>
      <w:proofErr w:type="gramEnd"/>
      <w:r w:rsidRPr="00BB628D">
        <w:rPr>
          <w:rFonts w:eastAsia="Calibri"/>
        </w:rPr>
        <w:t xml:space="preserve"> the sale, rental or lease is accomplished. Real estate </w:t>
      </w:r>
      <w:proofErr w:type="gramStart"/>
      <w:r w:rsidRPr="00BB628D">
        <w:rPr>
          <w:rFonts w:eastAsia="Calibri"/>
        </w:rPr>
        <w:t>sign</w:t>
      </w:r>
      <w:proofErr w:type="gramEnd"/>
      <w:r w:rsidRPr="00BB628D">
        <w:rPr>
          <w:rFonts w:eastAsia="Calibri"/>
        </w:rPr>
        <w:t xml:space="preserve"> must be removed within 7 days when the real estate agency no longer represents the property owner in the sale of the property in which the sign pertains. </w:t>
      </w:r>
    </w:p>
    <w:p w14:paraId="4766C506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7.</w:t>
      </w:r>
      <w:r w:rsidRPr="00BB628D">
        <w:rPr>
          <w:rFonts w:eastAsia="Calibri"/>
        </w:rPr>
        <w:tab/>
        <w:t xml:space="preserve">Flags, emblems, or insignias of any nation or political subdivision. </w:t>
      </w:r>
    </w:p>
    <w:p w14:paraId="4CA15058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8.</w:t>
      </w:r>
      <w:r w:rsidRPr="00BB628D">
        <w:rPr>
          <w:rFonts w:eastAsia="Calibri"/>
        </w:rPr>
        <w:tab/>
        <w:t xml:space="preserve">House numbers and name plates. Signs shall not exceed six (6) square feet in area for each residential and commercial building. </w:t>
      </w:r>
    </w:p>
    <w:p w14:paraId="63941FA6" w14:textId="77777777" w:rsidR="00BB628D" w:rsidRPr="00BB628D" w:rsidRDefault="00BB628D" w:rsidP="00BB628D">
      <w:pPr>
        <w:ind w:left="1080"/>
        <w:rPr>
          <w:rFonts w:eastAsia="Calibri"/>
        </w:rPr>
      </w:pPr>
      <w:r w:rsidRPr="00BB628D">
        <w:rPr>
          <w:rFonts w:eastAsia="Calibri"/>
        </w:rPr>
        <w:t>9.</w:t>
      </w:r>
      <w:r w:rsidRPr="00BB628D">
        <w:rPr>
          <w:rFonts w:eastAsia="Calibri"/>
        </w:rPr>
        <w:tab/>
        <w:t xml:space="preserve">Trespassing signs. Signs shall not exceed six (6) square feet. </w:t>
      </w:r>
    </w:p>
    <w:p w14:paraId="448F21C9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10.</w:t>
      </w:r>
      <w:r w:rsidRPr="00BB628D">
        <w:rPr>
          <w:rFonts w:eastAsia="Calibri"/>
        </w:rPr>
        <w:tab/>
        <w:t>Neighborhood and subdivision identification signs. In any zone, a sign may be erected to identify a neighborhood or subdivision. These shall not exceed thirty-two (32) square feet.</w:t>
      </w:r>
    </w:p>
    <w:p w14:paraId="420FE6E0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11.</w:t>
      </w:r>
      <w:r w:rsidRPr="00BB628D">
        <w:rPr>
          <w:rFonts w:eastAsia="Calibri"/>
        </w:rPr>
        <w:tab/>
        <w:t>Subdivision development sales signs. Signs shall not exceed thirty-two (32) square feet and shall be a minimum of five hundred (500) lineal yards apart. Subdivision development signs shall be located only on property for which the sign is advertising.</w:t>
      </w:r>
    </w:p>
    <w:p w14:paraId="7718E475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12.</w:t>
      </w:r>
      <w:r w:rsidRPr="00BB628D">
        <w:rPr>
          <w:rFonts w:eastAsia="Calibri"/>
        </w:rPr>
        <w:tab/>
        <w:t xml:space="preserve">Construction signs. One (1) unlighted sign per development not to exceed thirty-two (32) square feet in area, may be placed on the lot or attached to the outside of a building during its construction period. </w:t>
      </w:r>
    </w:p>
    <w:p w14:paraId="1101487B" w14:textId="77777777" w:rsidR="00BB628D" w:rsidRP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13.</w:t>
      </w:r>
      <w:r w:rsidRPr="00BB628D">
        <w:rPr>
          <w:rFonts w:eastAsia="Calibri"/>
        </w:rPr>
        <w:tab/>
        <w:t>Temporary signs/displays in residential and agricultural zones: Signs for special events such as yard/garage sales, estate sale, etc. Signs shall not exceed twenty−four (24) square feet and can only be displayed five (5) days prior to the event and must be removed immediately after.</w:t>
      </w:r>
    </w:p>
    <w:p w14:paraId="7946406A" w14:textId="77777777" w:rsidR="00BB628D" w:rsidRDefault="00BB628D" w:rsidP="00BB628D">
      <w:pPr>
        <w:ind w:left="1440" w:hanging="360"/>
        <w:rPr>
          <w:rFonts w:eastAsia="Calibri"/>
        </w:rPr>
      </w:pPr>
      <w:r w:rsidRPr="00BB628D">
        <w:rPr>
          <w:rFonts w:eastAsia="Calibri"/>
        </w:rPr>
        <w:t>14.</w:t>
      </w:r>
      <w:r w:rsidRPr="00BB628D">
        <w:rPr>
          <w:rFonts w:eastAsia="Calibri"/>
        </w:rPr>
        <w:tab/>
        <w:t>Home occupation signs: Within any zone home occupation signs are allowed. Home occupation signs are not to exceed four (4) square feet in area and must be attached to the home.</w:t>
      </w:r>
    </w:p>
    <w:p w14:paraId="159697B9" w14:textId="35ECE00A" w:rsidR="00BB628D" w:rsidRPr="00BB628D" w:rsidRDefault="00BB628D" w:rsidP="00BB628D">
      <w:pPr>
        <w:ind w:left="1440" w:hanging="360"/>
        <w:rPr>
          <w:rFonts w:eastAsia="Calibri"/>
          <w:b/>
          <w:bCs/>
        </w:rPr>
      </w:pPr>
      <w:r>
        <w:rPr>
          <w:rFonts w:eastAsia="Calibri"/>
          <w:b/>
          <w:bCs/>
        </w:rPr>
        <w:t>15. Street signs. (see also</w:t>
      </w:r>
      <w:r w:rsidR="00CC4947">
        <w:rPr>
          <w:rFonts w:eastAsia="Calibri"/>
          <w:b/>
          <w:bCs/>
        </w:rPr>
        <w:t xml:space="preserve"> 11E-514-V)</w:t>
      </w:r>
    </w:p>
    <w:p w14:paraId="717AE27F" w14:textId="77777777" w:rsidR="00BB628D" w:rsidRPr="00BB628D" w:rsidRDefault="00BB628D" w:rsidP="00BB628D">
      <w:pPr>
        <w:rPr>
          <w:rFonts w:eastAsia="Calibri"/>
        </w:rPr>
      </w:pPr>
    </w:p>
    <w:p w14:paraId="72BA4AAB" w14:textId="6829711C" w:rsidR="00326DA8" w:rsidRPr="007743D2" w:rsidRDefault="00326DA8" w:rsidP="00161B87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bookmarkEnd w:id="0"/>
    <w:p w14:paraId="3CF4572D" w14:textId="77777777" w:rsidR="00CE5F1C" w:rsidRDefault="00CE5F1C" w:rsidP="00541C22">
      <w:pPr>
        <w:rPr>
          <w:b/>
          <w:bCs/>
        </w:rPr>
      </w:pPr>
    </w:p>
    <w:p w14:paraId="0DC2CE23" w14:textId="28F64051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BB628D">
        <w:t>9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>day of</w:t>
      </w:r>
      <w:r w:rsidR="00BC703F">
        <w:t xml:space="preserve"> </w:t>
      </w:r>
      <w:r w:rsidR="00BB628D">
        <w:t>April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26A39CF3" w14:textId="77777777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lastRenderedPageBreak/>
        <w:t>ORDINANCE #26-07</w:t>
      </w:r>
    </w:p>
    <w:p w14:paraId="6DC8E45A" w14:textId="77777777" w:rsid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C4947">
        <w:rPr>
          <w:rFonts w:ascii="Times New Roman" w:hAnsi="Times New Roman" w:cs="Times New Roman"/>
          <w:sz w:val="20"/>
          <w:szCs w:val="20"/>
        </w:rPr>
        <w:t>AN ORDINANCE AMENDING THE SIGN ORDINANCE</w:t>
      </w:r>
    </w:p>
    <w:p w14:paraId="4EED34E0" w14:textId="77777777" w:rsidR="00CC4947" w:rsidRPr="00CC4947" w:rsidRDefault="00CC4947" w:rsidP="00CC4947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Page 2</w:t>
      </w:r>
    </w:p>
    <w:p w14:paraId="09CEAE91" w14:textId="77777777" w:rsidR="00541C22" w:rsidRDefault="00541C22" w:rsidP="00541C22"/>
    <w:p w14:paraId="41A10C39" w14:textId="77777777" w:rsidR="00CC4947" w:rsidRDefault="00CC4947" w:rsidP="00541C22"/>
    <w:p w14:paraId="7FB190AB" w14:textId="77777777" w:rsidR="00CC4947" w:rsidRPr="00541C22" w:rsidRDefault="00CC4947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r>
        <w:t>Leonhardt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71E9" w14:textId="77777777" w:rsidR="00DB0178" w:rsidRDefault="00DB0178" w:rsidP="00650772">
      <w:r>
        <w:separator/>
      </w:r>
    </w:p>
  </w:endnote>
  <w:endnote w:type="continuationSeparator" w:id="0">
    <w:p w14:paraId="170AA074" w14:textId="77777777" w:rsidR="00DB0178" w:rsidRDefault="00DB0178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8610" w14:textId="77777777" w:rsidR="00DB0178" w:rsidRDefault="00DB0178" w:rsidP="00650772">
      <w:r>
        <w:separator/>
      </w:r>
    </w:p>
  </w:footnote>
  <w:footnote w:type="continuationSeparator" w:id="0">
    <w:p w14:paraId="797BA29A" w14:textId="77777777" w:rsidR="00DB0178" w:rsidRDefault="00DB0178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02DC6A33" w:rsidR="00650772" w:rsidRDefault="00CC4947">
    <w:pPr>
      <w:pStyle w:val="Header"/>
    </w:pPr>
    <w:r>
      <w:rPr>
        <w:noProof/>
      </w:rPr>
      <w:pict w14:anchorId="379FA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9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1B1AD502" w:rsidR="00650772" w:rsidRDefault="00CC4947">
    <w:pPr>
      <w:pStyle w:val="Header"/>
    </w:pPr>
    <w:r>
      <w:rPr>
        <w:noProof/>
      </w:rPr>
      <w:pict w14:anchorId="6D4C1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30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1124785C" w:rsidR="00650772" w:rsidRDefault="00CC4947">
    <w:pPr>
      <w:pStyle w:val="Header"/>
    </w:pPr>
    <w:r>
      <w:rPr>
        <w:noProof/>
      </w:rPr>
      <w:pict w14:anchorId="04A6E1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315328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82C57B9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9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3F096A"/>
    <w:multiLevelType w:val="multilevel"/>
    <w:tmpl w:val="A2CE40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5430D05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C041E1F"/>
    <w:multiLevelType w:val="hybridMultilevel"/>
    <w:tmpl w:val="0BB0C22E"/>
    <w:lvl w:ilvl="0" w:tplc="57DAC43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33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31"/>
  </w:num>
  <w:num w:numId="2" w16cid:durableId="1774550650">
    <w:abstractNumId w:val="34"/>
  </w:num>
  <w:num w:numId="3" w16cid:durableId="462428665">
    <w:abstractNumId w:val="27"/>
  </w:num>
  <w:num w:numId="4" w16cid:durableId="1695811309">
    <w:abstractNumId w:val="14"/>
  </w:num>
  <w:num w:numId="5" w16cid:durableId="1939562667">
    <w:abstractNumId w:val="9"/>
  </w:num>
  <w:num w:numId="6" w16cid:durableId="1080253574">
    <w:abstractNumId w:val="20"/>
  </w:num>
  <w:num w:numId="7" w16cid:durableId="949581782">
    <w:abstractNumId w:val="7"/>
  </w:num>
  <w:num w:numId="8" w16cid:durableId="2030139302">
    <w:abstractNumId w:val="16"/>
  </w:num>
  <w:num w:numId="9" w16cid:durableId="2066752954">
    <w:abstractNumId w:val="21"/>
  </w:num>
  <w:num w:numId="10" w16cid:durableId="1524317931">
    <w:abstractNumId w:val="26"/>
  </w:num>
  <w:num w:numId="11" w16cid:durableId="523829917">
    <w:abstractNumId w:val="25"/>
  </w:num>
  <w:num w:numId="12" w16cid:durableId="1036345102">
    <w:abstractNumId w:val="6"/>
  </w:num>
  <w:num w:numId="13" w16cid:durableId="1637372441">
    <w:abstractNumId w:val="24"/>
  </w:num>
  <w:num w:numId="14" w16cid:durableId="322707488">
    <w:abstractNumId w:val="11"/>
  </w:num>
  <w:num w:numId="15" w16cid:durableId="1660959185">
    <w:abstractNumId w:val="30"/>
  </w:num>
  <w:num w:numId="16" w16cid:durableId="1524434717">
    <w:abstractNumId w:val="19"/>
  </w:num>
  <w:num w:numId="17" w16cid:durableId="140462947">
    <w:abstractNumId w:val="13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3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3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3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10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10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10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10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7"/>
  </w:num>
  <w:num w:numId="29" w16cid:durableId="469596764">
    <w:abstractNumId w:val="18"/>
  </w:num>
  <w:num w:numId="30" w16cid:durableId="1551648847">
    <w:abstractNumId w:val="32"/>
  </w:num>
  <w:num w:numId="31" w16cid:durableId="773940950">
    <w:abstractNumId w:val="5"/>
  </w:num>
  <w:num w:numId="32" w16cid:durableId="223952445">
    <w:abstractNumId w:val="23"/>
  </w:num>
  <w:num w:numId="33" w16cid:durableId="1061296364">
    <w:abstractNumId w:val="3"/>
  </w:num>
  <w:num w:numId="34" w16cid:durableId="1865945723">
    <w:abstractNumId w:val="12"/>
  </w:num>
  <w:num w:numId="35" w16cid:durableId="1313680091">
    <w:abstractNumId w:val="15"/>
  </w:num>
  <w:num w:numId="36" w16cid:durableId="1447312554">
    <w:abstractNumId w:val="33"/>
  </w:num>
  <w:num w:numId="37" w16cid:durableId="1213729362">
    <w:abstractNumId w:val="1"/>
  </w:num>
  <w:num w:numId="38" w16cid:durableId="1885940258">
    <w:abstractNumId w:val="22"/>
  </w:num>
  <w:num w:numId="39" w16cid:durableId="685134750">
    <w:abstractNumId w:val="29"/>
  </w:num>
  <w:num w:numId="40" w16cid:durableId="155462138">
    <w:abstractNumId w:val="8"/>
  </w:num>
  <w:num w:numId="41" w16cid:durableId="4039916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4242E"/>
    <w:rsid w:val="00094F5C"/>
    <w:rsid w:val="000A3EC0"/>
    <w:rsid w:val="000A4441"/>
    <w:rsid w:val="000C06B1"/>
    <w:rsid w:val="000E2FF6"/>
    <w:rsid w:val="000F68AC"/>
    <w:rsid w:val="001227F7"/>
    <w:rsid w:val="00125261"/>
    <w:rsid w:val="00134FB9"/>
    <w:rsid w:val="0015495F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C78A2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81DA8"/>
    <w:rsid w:val="003C2AB6"/>
    <w:rsid w:val="003F70F6"/>
    <w:rsid w:val="00420744"/>
    <w:rsid w:val="004859F9"/>
    <w:rsid w:val="00491532"/>
    <w:rsid w:val="0049532C"/>
    <w:rsid w:val="004D6FFF"/>
    <w:rsid w:val="004E594B"/>
    <w:rsid w:val="00507FD4"/>
    <w:rsid w:val="00515CB9"/>
    <w:rsid w:val="00523BBB"/>
    <w:rsid w:val="00540365"/>
    <w:rsid w:val="00540A1A"/>
    <w:rsid w:val="00541C22"/>
    <w:rsid w:val="00542A9F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2E10"/>
    <w:rsid w:val="005E5131"/>
    <w:rsid w:val="0060216A"/>
    <w:rsid w:val="00607F9B"/>
    <w:rsid w:val="00622DC3"/>
    <w:rsid w:val="00622DC4"/>
    <w:rsid w:val="00623A0E"/>
    <w:rsid w:val="0063618D"/>
    <w:rsid w:val="0064359B"/>
    <w:rsid w:val="00650772"/>
    <w:rsid w:val="00653631"/>
    <w:rsid w:val="006539AA"/>
    <w:rsid w:val="0066566F"/>
    <w:rsid w:val="00690C5E"/>
    <w:rsid w:val="006B189B"/>
    <w:rsid w:val="006D2699"/>
    <w:rsid w:val="006E1529"/>
    <w:rsid w:val="006E3116"/>
    <w:rsid w:val="006F3EF4"/>
    <w:rsid w:val="00725CB6"/>
    <w:rsid w:val="00742BB9"/>
    <w:rsid w:val="007515F0"/>
    <w:rsid w:val="007743D2"/>
    <w:rsid w:val="0078244E"/>
    <w:rsid w:val="007C4AE4"/>
    <w:rsid w:val="007E4F64"/>
    <w:rsid w:val="008140EB"/>
    <w:rsid w:val="00817C7B"/>
    <w:rsid w:val="00824358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82131"/>
    <w:rsid w:val="00A9261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B628D"/>
    <w:rsid w:val="00BC15D4"/>
    <w:rsid w:val="00BC703F"/>
    <w:rsid w:val="00BD026A"/>
    <w:rsid w:val="00BE454C"/>
    <w:rsid w:val="00BF322A"/>
    <w:rsid w:val="00BF7845"/>
    <w:rsid w:val="00C02D29"/>
    <w:rsid w:val="00C114B7"/>
    <w:rsid w:val="00C11D98"/>
    <w:rsid w:val="00C33F32"/>
    <w:rsid w:val="00C34714"/>
    <w:rsid w:val="00C42C4A"/>
    <w:rsid w:val="00C42EE9"/>
    <w:rsid w:val="00C53373"/>
    <w:rsid w:val="00C550C6"/>
    <w:rsid w:val="00C674AD"/>
    <w:rsid w:val="00C833E1"/>
    <w:rsid w:val="00CC2479"/>
    <w:rsid w:val="00CC4947"/>
    <w:rsid w:val="00CD278B"/>
    <w:rsid w:val="00CE5F1C"/>
    <w:rsid w:val="00D532E2"/>
    <w:rsid w:val="00D641A0"/>
    <w:rsid w:val="00D7217B"/>
    <w:rsid w:val="00D902DD"/>
    <w:rsid w:val="00DB0178"/>
    <w:rsid w:val="00DE65A4"/>
    <w:rsid w:val="00E074F6"/>
    <w:rsid w:val="00E108CB"/>
    <w:rsid w:val="00E25B4D"/>
    <w:rsid w:val="00E349A1"/>
    <w:rsid w:val="00E92C09"/>
    <w:rsid w:val="00E93A34"/>
    <w:rsid w:val="00EA4793"/>
    <w:rsid w:val="00EE5C2D"/>
    <w:rsid w:val="00F031F4"/>
    <w:rsid w:val="00F26F59"/>
    <w:rsid w:val="00F534E0"/>
    <w:rsid w:val="00F537CD"/>
    <w:rsid w:val="00F54C5D"/>
    <w:rsid w:val="00F67825"/>
    <w:rsid w:val="00F70594"/>
    <w:rsid w:val="00F7493A"/>
    <w:rsid w:val="00F8266A"/>
    <w:rsid w:val="00F8286D"/>
    <w:rsid w:val="00F865D4"/>
    <w:rsid w:val="00F94906"/>
    <w:rsid w:val="00FA515B"/>
    <w:rsid w:val="00FB703E"/>
    <w:rsid w:val="00FC74AF"/>
    <w:rsid w:val="00FD137C"/>
    <w:rsid w:val="00FD4BEA"/>
    <w:rsid w:val="00FD6CF7"/>
    <w:rsid w:val="00FE6E9D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86FEDE-2263-4206-998C-353BF0C7F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Cathie McMurray Rasmussen</cp:lastModifiedBy>
  <cp:revision>2</cp:revision>
  <cp:lastPrinted>2026-03-18T15:28:00Z</cp:lastPrinted>
  <dcterms:created xsi:type="dcterms:W3CDTF">2026-03-18T15:29:00Z</dcterms:created>
  <dcterms:modified xsi:type="dcterms:W3CDTF">2026-03-18T15:29:00Z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