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94BA0" w14:textId="77777777" w:rsidR="00CE2F87" w:rsidRPr="006A0A21" w:rsidRDefault="00CE2F87" w:rsidP="00CE2F87">
      <w:pPr>
        <w:pStyle w:val="NoSpacing"/>
        <w:jc w:val="right"/>
        <w:rPr>
          <w:rFonts w:cstheme="minorHAnsi"/>
          <w:b/>
          <w:bCs/>
          <w:color w:val="2E74B5" w:themeColor="accent1" w:themeShade="BF"/>
        </w:rPr>
      </w:pPr>
      <w:r w:rsidRPr="006A0A21">
        <w:rPr>
          <w:rFonts w:cstheme="minorHAnsi"/>
          <w:b/>
          <w:bCs/>
          <w:noProof/>
          <w:color w:val="2E74B5" w:themeColor="accent1" w:themeShade="BF"/>
          <w:sz w:val="28"/>
          <w:szCs w:val="28"/>
        </w:rPr>
        <w:drawing>
          <wp:anchor distT="0" distB="0" distL="114300" distR="114300" simplePos="0" relativeHeight="251663360" behindDoc="1" locked="0" layoutInCell="1" allowOverlap="1" wp14:anchorId="766AAB66" wp14:editId="753E55BF">
            <wp:simplePos x="0" y="0"/>
            <wp:positionH relativeFrom="column">
              <wp:posOffset>-619126</wp:posOffset>
            </wp:positionH>
            <wp:positionV relativeFrom="paragraph">
              <wp:posOffset>-295274</wp:posOffset>
            </wp:positionV>
            <wp:extent cx="1279525" cy="1124506"/>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1493" cy="1126236"/>
                    </a:xfrm>
                    <a:prstGeom prst="rect">
                      <a:avLst/>
                    </a:prstGeom>
                  </pic:spPr>
                </pic:pic>
              </a:graphicData>
            </a:graphic>
            <wp14:sizeRelH relativeFrom="page">
              <wp14:pctWidth>0</wp14:pctWidth>
            </wp14:sizeRelH>
            <wp14:sizeRelV relativeFrom="page">
              <wp14:pctHeight>0</wp14:pctHeight>
            </wp14:sizeRelV>
          </wp:anchor>
        </w:drawing>
      </w:r>
      <w:r w:rsidRPr="006A0A21">
        <w:rPr>
          <w:rFonts w:cstheme="minorHAnsi"/>
          <w:b/>
          <w:bCs/>
          <w:color w:val="2E74B5" w:themeColor="accent1" w:themeShade="BF"/>
        </w:rPr>
        <w:t>Mona City</w:t>
      </w:r>
    </w:p>
    <w:p w14:paraId="63F6E6FB" w14:textId="77777777" w:rsidR="00CE2F87" w:rsidRDefault="00CE2F87" w:rsidP="00CE2F87">
      <w:pPr>
        <w:pStyle w:val="NoSpacing"/>
        <w:jc w:val="right"/>
        <w:rPr>
          <w:rFonts w:cstheme="minorHAnsi"/>
          <w:color w:val="2E74B5" w:themeColor="accent1" w:themeShade="BF"/>
          <w:sz w:val="20"/>
          <w:szCs w:val="20"/>
        </w:rPr>
      </w:pPr>
      <w:r>
        <w:rPr>
          <w:rFonts w:cstheme="minorHAnsi"/>
          <w:color w:val="2E74B5" w:themeColor="accent1" w:themeShade="BF"/>
          <w:sz w:val="20"/>
          <w:szCs w:val="20"/>
        </w:rPr>
        <w:t>435-623-4913</w:t>
      </w:r>
    </w:p>
    <w:p w14:paraId="12080B52" w14:textId="77777777" w:rsidR="00CE2F87" w:rsidRDefault="00CE2F87" w:rsidP="00CE2F87">
      <w:pPr>
        <w:pStyle w:val="NoSpacing"/>
        <w:jc w:val="right"/>
        <w:rPr>
          <w:rFonts w:cstheme="minorHAnsi"/>
          <w:color w:val="2E74B5" w:themeColor="accent1" w:themeShade="BF"/>
          <w:sz w:val="20"/>
          <w:szCs w:val="20"/>
        </w:rPr>
      </w:pPr>
      <w:r>
        <w:rPr>
          <w:rFonts w:cstheme="minorHAnsi"/>
          <w:color w:val="2E74B5" w:themeColor="accent1" w:themeShade="BF"/>
          <w:sz w:val="20"/>
          <w:szCs w:val="20"/>
        </w:rPr>
        <w:t>monacitygov@gmail.com</w:t>
      </w:r>
    </w:p>
    <w:p w14:paraId="59A6FDFD" w14:textId="77777777" w:rsidR="00CE2F87" w:rsidRDefault="00CE2F87" w:rsidP="00CE2F87">
      <w:pPr>
        <w:pStyle w:val="NoSpacing"/>
        <w:jc w:val="right"/>
        <w:rPr>
          <w:rFonts w:cstheme="minorHAnsi"/>
          <w:color w:val="2E74B5" w:themeColor="accent1" w:themeShade="BF"/>
          <w:sz w:val="20"/>
          <w:szCs w:val="20"/>
        </w:rPr>
      </w:pPr>
      <w:r>
        <w:rPr>
          <w:rFonts w:cstheme="minorHAnsi"/>
          <w:noProof/>
          <w:color w:val="2E74B5" w:themeColor="accent1" w:themeShade="BF"/>
          <w:sz w:val="20"/>
          <w:szCs w:val="20"/>
        </w:rPr>
        <mc:AlternateContent>
          <mc:Choice Requires="wps">
            <w:drawing>
              <wp:anchor distT="0" distB="0" distL="114300" distR="114300" simplePos="0" relativeHeight="251662336" behindDoc="0" locked="0" layoutInCell="1" allowOverlap="1" wp14:anchorId="736C7D97" wp14:editId="241AF7C7">
                <wp:simplePos x="0" y="0"/>
                <wp:positionH relativeFrom="column">
                  <wp:posOffset>552450</wp:posOffset>
                </wp:positionH>
                <wp:positionV relativeFrom="paragraph">
                  <wp:posOffset>153035</wp:posOffset>
                </wp:positionV>
                <wp:extent cx="5553075" cy="22860"/>
                <wp:effectExtent l="0" t="0" r="28575" b="34290"/>
                <wp:wrapNone/>
                <wp:docPr id="5" name="Straight Connector 5"/>
                <wp:cNvGraphicFramePr/>
                <a:graphic xmlns:a="http://schemas.openxmlformats.org/drawingml/2006/main">
                  <a:graphicData uri="http://schemas.microsoft.com/office/word/2010/wordprocessingShape">
                    <wps:wsp>
                      <wps:cNvCnPr/>
                      <wps:spPr>
                        <a:xfrm>
                          <a:off x="0" y="0"/>
                          <a:ext cx="5553075"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3EFD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2.05pt" to="480.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" strokecolor="#5b9bd5 [3204]" strokeweight=".5pt">
                <v:stroke joinstyle="miter"/>
              </v:line>
            </w:pict>
          </mc:Fallback>
        </mc:AlternateContent>
      </w:r>
      <w:r w:rsidRPr="000A094C">
        <w:rPr>
          <w:rFonts w:cstheme="minorHAnsi"/>
          <w:color w:val="2E74B5" w:themeColor="accent1" w:themeShade="BF"/>
          <w:sz w:val="20"/>
          <w:szCs w:val="20"/>
        </w:rPr>
        <w:t>20 West Center Street Mona, Utah</w:t>
      </w:r>
    </w:p>
    <w:p w14:paraId="25E7FA86" w14:textId="77777777" w:rsidR="00F34680" w:rsidRDefault="00F34680" w:rsidP="00F34680">
      <w:pPr>
        <w:ind w:firstLine="720"/>
        <w:jc w:val="center"/>
        <w:rPr>
          <w:rFonts w:ascii="Times New Roman" w:hAnsi="Times New Roman" w:cs="Times New Roman"/>
          <w:b/>
          <w:bCs/>
        </w:rPr>
      </w:pPr>
    </w:p>
    <w:p w14:paraId="7A688FA9" w14:textId="185C3EF5" w:rsidR="00F34680" w:rsidRPr="004B51F0" w:rsidRDefault="00F34680" w:rsidP="00F34680">
      <w:pPr>
        <w:ind w:firstLine="720"/>
        <w:jc w:val="center"/>
        <w:rPr>
          <w:rFonts w:ascii="Times New Roman" w:hAnsi="Times New Roman" w:cs="Times New Roman"/>
          <w:b/>
          <w:bCs/>
          <w:sz w:val="24"/>
          <w:szCs w:val="24"/>
        </w:rPr>
      </w:pPr>
      <w:r w:rsidRPr="004B51F0">
        <w:rPr>
          <w:rFonts w:ascii="Times New Roman" w:hAnsi="Times New Roman" w:cs="Times New Roman"/>
          <w:b/>
          <w:bCs/>
          <w:sz w:val="24"/>
          <w:szCs w:val="24"/>
        </w:rPr>
        <w:t>MONA CITY RESOLUTION 2026-6</w:t>
      </w:r>
    </w:p>
    <w:p w14:paraId="59A983F5" w14:textId="1C54C078" w:rsidR="00F34680" w:rsidRPr="00F34680" w:rsidRDefault="00F34680" w:rsidP="00F34680">
      <w:pPr>
        <w:ind w:firstLine="720"/>
        <w:jc w:val="center"/>
        <w:rPr>
          <w:rFonts w:ascii="Times New Roman" w:hAnsi="Times New Roman" w:cs="Times New Roman"/>
          <w:b/>
          <w:bCs/>
          <w:sz w:val="24"/>
          <w:szCs w:val="24"/>
        </w:rPr>
      </w:pPr>
      <w:r w:rsidRPr="00F34680">
        <w:rPr>
          <w:rFonts w:ascii="Times New Roman" w:hAnsi="Times New Roman" w:cs="Times New Roman"/>
          <w:b/>
          <w:bCs/>
          <w:sz w:val="24"/>
          <w:szCs w:val="24"/>
        </w:rPr>
        <w:t>A RESOLUTION FORMALLY ESTABLISHING THAT ALL MONA CITY ELECTED AND APPOINTIVE OFFICIALS ARE INELIGIBLE FOR RETIREMENT BENEFITS</w:t>
      </w:r>
    </w:p>
    <w:p w14:paraId="611B99CC" w14:textId="77777777" w:rsidR="00F34680" w:rsidRPr="004B51F0" w:rsidRDefault="00F34680" w:rsidP="00F34680">
      <w:pPr>
        <w:ind w:firstLine="720"/>
        <w:jc w:val="center"/>
        <w:rPr>
          <w:rFonts w:ascii="Times New Roman" w:hAnsi="Times New Roman" w:cs="Times New Roman"/>
          <w:b/>
          <w:bCs/>
          <w:sz w:val="24"/>
          <w:szCs w:val="24"/>
        </w:rPr>
      </w:pPr>
    </w:p>
    <w:p w14:paraId="57382FA2" w14:textId="4F829F06" w:rsidR="00F34680" w:rsidRPr="00F34680" w:rsidRDefault="00F34680" w:rsidP="00F34680">
      <w:pPr>
        <w:ind w:firstLine="720"/>
        <w:rPr>
          <w:rFonts w:ascii="Times New Roman" w:hAnsi="Times New Roman" w:cs="Times New Roman"/>
          <w:sz w:val="24"/>
          <w:szCs w:val="24"/>
        </w:rPr>
      </w:pPr>
      <w:r w:rsidRPr="00F34680">
        <w:rPr>
          <w:rFonts w:ascii="Times New Roman" w:hAnsi="Times New Roman" w:cs="Times New Roman"/>
          <w:b/>
          <w:bCs/>
          <w:sz w:val="24"/>
          <w:szCs w:val="24"/>
        </w:rPr>
        <w:t>WHEREAS</w:t>
      </w:r>
      <w:r w:rsidRPr="00F34680">
        <w:rPr>
          <w:rFonts w:ascii="Times New Roman" w:hAnsi="Times New Roman" w:cs="Times New Roman"/>
          <w:sz w:val="24"/>
          <w:szCs w:val="24"/>
        </w:rPr>
        <w:t>, Mona City maintains a Personnel Policies and Procedures Manual governing employment classifications, compensation, and benefits for City employees; and</w:t>
      </w:r>
    </w:p>
    <w:p w14:paraId="21884DB1" w14:textId="77777777" w:rsidR="00F34680" w:rsidRPr="00F34680" w:rsidRDefault="00F34680" w:rsidP="00F34680">
      <w:pPr>
        <w:ind w:firstLine="720"/>
        <w:rPr>
          <w:rFonts w:ascii="Times New Roman" w:hAnsi="Times New Roman" w:cs="Times New Roman"/>
          <w:sz w:val="24"/>
          <w:szCs w:val="24"/>
        </w:rPr>
      </w:pPr>
      <w:r w:rsidRPr="00F34680">
        <w:rPr>
          <w:rFonts w:ascii="Times New Roman" w:hAnsi="Times New Roman" w:cs="Times New Roman"/>
          <w:b/>
          <w:bCs/>
          <w:sz w:val="24"/>
          <w:szCs w:val="24"/>
        </w:rPr>
        <w:t>WHEREAS</w:t>
      </w:r>
      <w:r w:rsidRPr="00F34680">
        <w:rPr>
          <w:rFonts w:ascii="Times New Roman" w:hAnsi="Times New Roman" w:cs="Times New Roman"/>
          <w:sz w:val="24"/>
          <w:szCs w:val="24"/>
        </w:rPr>
        <w:t>, Utah Code Title 49 establishes eligibility requirements for participation in the Utah Retirement Systems (URS), including distinctions between Tier 1 and Tier 2 positions; and</w:t>
      </w:r>
    </w:p>
    <w:p w14:paraId="0519521A" w14:textId="77777777" w:rsidR="00F34680" w:rsidRPr="00F34680" w:rsidRDefault="00F34680" w:rsidP="00F34680">
      <w:pPr>
        <w:ind w:firstLine="720"/>
        <w:rPr>
          <w:rFonts w:ascii="Times New Roman" w:hAnsi="Times New Roman" w:cs="Times New Roman"/>
          <w:sz w:val="24"/>
          <w:szCs w:val="24"/>
        </w:rPr>
      </w:pPr>
      <w:r w:rsidRPr="00F34680">
        <w:rPr>
          <w:rFonts w:ascii="Times New Roman" w:hAnsi="Times New Roman" w:cs="Times New Roman"/>
          <w:b/>
          <w:bCs/>
          <w:sz w:val="24"/>
          <w:szCs w:val="24"/>
        </w:rPr>
        <w:t>WHEREAS</w:t>
      </w:r>
      <w:r w:rsidRPr="00F34680">
        <w:rPr>
          <w:rFonts w:ascii="Times New Roman" w:hAnsi="Times New Roman" w:cs="Times New Roman"/>
          <w:sz w:val="24"/>
          <w:szCs w:val="24"/>
        </w:rPr>
        <w:t>, Mona City has reviewed the statutory nature, duties, and service structure of its elected and appointive offices and determined that these positions fall within Tier 2 classifications and do not meet the eligibility criteria for retirement benefits; and</w:t>
      </w:r>
    </w:p>
    <w:p w14:paraId="376F57E8" w14:textId="77777777" w:rsidR="00F34680" w:rsidRDefault="00F34680" w:rsidP="00F34680">
      <w:pPr>
        <w:ind w:firstLine="720"/>
        <w:rPr>
          <w:rFonts w:ascii="Times New Roman" w:hAnsi="Times New Roman" w:cs="Times New Roman"/>
          <w:sz w:val="24"/>
          <w:szCs w:val="24"/>
        </w:rPr>
      </w:pPr>
      <w:r w:rsidRPr="00F34680">
        <w:rPr>
          <w:rFonts w:ascii="Times New Roman" w:hAnsi="Times New Roman" w:cs="Times New Roman"/>
          <w:b/>
          <w:bCs/>
          <w:sz w:val="24"/>
          <w:szCs w:val="24"/>
        </w:rPr>
        <w:t>WHEREAS</w:t>
      </w:r>
      <w:r w:rsidRPr="00F34680">
        <w:rPr>
          <w:rFonts w:ascii="Times New Roman" w:hAnsi="Times New Roman" w:cs="Times New Roman"/>
          <w:sz w:val="24"/>
          <w:szCs w:val="24"/>
        </w:rPr>
        <w:t>, the City Council finds it necessary to formally document this determination within the Personnel Policies and Procedures Manual to ensure clarity, consistency, and compliance with state law;</w:t>
      </w:r>
    </w:p>
    <w:p w14:paraId="7A221E04" w14:textId="77777777" w:rsidR="004B51F0" w:rsidRPr="00F34680" w:rsidRDefault="004B51F0" w:rsidP="00F34680">
      <w:pPr>
        <w:ind w:firstLine="720"/>
        <w:rPr>
          <w:rFonts w:ascii="Times New Roman" w:hAnsi="Times New Roman" w:cs="Times New Roman"/>
          <w:sz w:val="24"/>
          <w:szCs w:val="24"/>
        </w:rPr>
      </w:pPr>
    </w:p>
    <w:p w14:paraId="458C3C6B" w14:textId="77777777" w:rsidR="00F34680" w:rsidRPr="00F34680" w:rsidRDefault="00F34680" w:rsidP="00F34680">
      <w:pPr>
        <w:ind w:firstLine="720"/>
        <w:rPr>
          <w:rFonts w:ascii="Times New Roman" w:hAnsi="Times New Roman" w:cs="Times New Roman"/>
          <w:sz w:val="24"/>
          <w:szCs w:val="24"/>
        </w:rPr>
      </w:pPr>
      <w:r w:rsidRPr="00F34680">
        <w:rPr>
          <w:rFonts w:ascii="Times New Roman" w:hAnsi="Times New Roman" w:cs="Times New Roman"/>
          <w:b/>
          <w:bCs/>
          <w:sz w:val="24"/>
          <w:szCs w:val="24"/>
        </w:rPr>
        <w:t>NOW, THEREFORE, BE IT RESOLVED BY THE CITY COUNCIL OF MONA CITY, UTAH:</w:t>
      </w:r>
    </w:p>
    <w:p w14:paraId="2FF6A63F" w14:textId="77777777" w:rsidR="00F34680" w:rsidRPr="00F34680" w:rsidRDefault="00F34680" w:rsidP="00F34680">
      <w:pPr>
        <w:numPr>
          <w:ilvl w:val="0"/>
          <w:numId w:val="3"/>
        </w:numPr>
        <w:rPr>
          <w:rFonts w:ascii="Times New Roman" w:hAnsi="Times New Roman" w:cs="Times New Roman"/>
          <w:sz w:val="24"/>
          <w:szCs w:val="24"/>
        </w:rPr>
      </w:pPr>
      <w:r w:rsidRPr="00F34680">
        <w:rPr>
          <w:rFonts w:ascii="Times New Roman" w:hAnsi="Times New Roman" w:cs="Times New Roman"/>
          <w:b/>
          <w:bCs/>
          <w:sz w:val="24"/>
          <w:szCs w:val="24"/>
        </w:rPr>
        <w:t>Elected and Appointed Officials – Retirement Benefits.</w:t>
      </w:r>
      <w:r w:rsidRPr="00F34680">
        <w:rPr>
          <w:rFonts w:ascii="Times New Roman" w:hAnsi="Times New Roman" w:cs="Times New Roman"/>
          <w:sz w:val="24"/>
          <w:szCs w:val="24"/>
        </w:rPr>
        <w:t xml:space="preserve"> All Mona City elected and appointive positions are considered </w:t>
      </w:r>
      <w:r w:rsidRPr="00F34680">
        <w:rPr>
          <w:rFonts w:ascii="Times New Roman" w:hAnsi="Times New Roman" w:cs="Times New Roman"/>
          <w:b/>
          <w:bCs/>
          <w:sz w:val="24"/>
          <w:szCs w:val="24"/>
        </w:rPr>
        <w:t>Tier 2</w:t>
      </w:r>
      <w:r w:rsidRPr="00F34680">
        <w:rPr>
          <w:rFonts w:ascii="Times New Roman" w:hAnsi="Times New Roman" w:cs="Times New Roman"/>
          <w:sz w:val="24"/>
          <w:szCs w:val="24"/>
        </w:rPr>
        <w:t xml:space="preserve"> and are determined by Mona City to be </w:t>
      </w:r>
      <w:r w:rsidRPr="00F34680">
        <w:rPr>
          <w:rFonts w:ascii="Times New Roman" w:hAnsi="Times New Roman" w:cs="Times New Roman"/>
          <w:b/>
          <w:bCs/>
          <w:sz w:val="24"/>
          <w:szCs w:val="24"/>
        </w:rPr>
        <w:t>ineligible for retirement benefits</w:t>
      </w:r>
      <w:r w:rsidRPr="00F34680">
        <w:rPr>
          <w:rFonts w:ascii="Times New Roman" w:hAnsi="Times New Roman" w:cs="Times New Roman"/>
          <w:sz w:val="24"/>
          <w:szCs w:val="24"/>
        </w:rPr>
        <w:t>. These positions are excluded from participation in all City</w:t>
      </w:r>
      <w:r w:rsidRPr="00F34680">
        <w:rPr>
          <w:rFonts w:ascii="Times New Roman" w:hAnsi="Times New Roman" w:cs="Times New Roman"/>
          <w:sz w:val="24"/>
          <w:szCs w:val="24"/>
        </w:rPr>
        <w:noBreakHyphen/>
        <w:t>sponsored retirement programs, including but not limited to Utah Retirement Systems (URS) plans and any supplemental retirement benefit offered to regular employees.</w:t>
      </w:r>
    </w:p>
    <w:p w14:paraId="24547C68" w14:textId="77777777" w:rsidR="00F34680" w:rsidRPr="00F34680" w:rsidRDefault="00F34680" w:rsidP="00F34680">
      <w:pPr>
        <w:numPr>
          <w:ilvl w:val="0"/>
          <w:numId w:val="3"/>
        </w:numPr>
        <w:rPr>
          <w:rFonts w:ascii="Times New Roman" w:hAnsi="Times New Roman" w:cs="Times New Roman"/>
          <w:sz w:val="24"/>
          <w:szCs w:val="24"/>
        </w:rPr>
      </w:pPr>
      <w:r w:rsidRPr="00F34680">
        <w:rPr>
          <w:rFonts w:ascii="Times New Roman" w:hAnsi="Times New Roman" w:cs="Times New Roman"/>
          <w:b/>
          <w:bCs/>
          <w:sz w:val="24"/>
          <w:szCs w:val="24"/>
        </w:rPr>
        <w:t>Personnel Policy Amendment.</w:t>
      </w:r>
      <w:r w:rsidRPr="00F34680">
        <w:rPr>
          <w:rFonts w:ascii="Times New Roman" w:hAnsi="Times New Roman" w:cs="Times New Roman"/>
          <w:sz w:val="24"/>
          <w:szCs w:val="24"/>
        </w:rPr>
        <w:t xml:space="preserve"> The Mona City Personnel Policies and Procedures Manual shall be amended to include the provision stated above in the section addressing employee benefits and eligibility.</w:t>
      </w:r>
    </w:p>
    <w:p w14:paraId="58355A20" w14:textId="77777777" w:rsidR="00F34680" w:rsidRPr="00F34680" w:rsidRDefault="00F34680" w:rsidP="00F34680">
      <w:pPr>
        <w:numPr>
          <w:ilvl w:val="0"/>
          <w:numId w:val="3"/>
        </w:numPr>
        <w:rPr>
          <w:rFonts w:ascii="Times New Roman" w:hAnsi="Times New Roman" w:cs="Times New Roman"/>
          <w:sz w:val="24"/>
          <w:szCs w:val="24"/>
        </w:rPr>
      </w:pPr>
      <w:r w:rsidRPr="00F34680">
        <w:rPr>
          <w:rFonts w:ascii="Times New Roman" w:hAnsi="Times New Roman" w:cs="Times New Roman"/>
          <w:b/>
          <w:bCs/>
          <w:sz w:val="24"/>
          <w:szCs w:val="24"/>
        </w:rPr>
        <w:t>Administrative Direction.</w:t>
      </w:r>
      <w:r w:rsidRPr="00F34680">
        <w:rPr>
          <w:rFonts w:ascii="Times New Roman" w:hAnsi="Times New Roman" w:cs="Times New Roman"/>
          <w:sz w:val="24"/>
          <w:szCs w:val="24"/>
        </w:rPr>
        <w:t xml:space="preserve"> City staff is directed to update all relevant documents, benefit summaries, and public information to reflect this policy.</w:t>
      </w:r>
    </w:p>
    <w:p w14:paraId="11CF6E3F" w14:textId="77777777" w:rsidR="00F34680" w:rsidRPr="00F34680" w:rsidRDefault="00F34680" w:rsidP="00F34680">
      <w:pPr>
        <w:numPr>
          <w:ilvl w:val="0"/>
          <w:numId w:val="3"/>
        </w:numPr>
        <w:rPr>
          <w:rFonts w:ascii="Times New Roman" w:hAnsi="Times New Roman" w:cs="Times New Roman"/>
          <w:sz w:val="24"/>
          <w:szCs w:val="24"/>
        </w:rPr>
      </w:pPr>
      <w:r w:rsidRPr="00F34680">
        <w:rPr>
          <w:rFonts w:ascii="Times New Roman" w:hAnsi="Times New Roman" w:cs="Times New Roman"/>
          <w:b/>
          <w:bCs/>
          <w:sz w:val="24"/>
          <w:szCs w:val="24"/>
        </w:rPr>
        <w:t>Effective Date.</w:t>
      </w:r>
      <w:r w:rsidRPr="00F34680">
        <w:rPr>
          <w:rFonts w:ascii="Times New Roman" w:hAnsi="Times New Roman" w:cs="Times New Roman"/>
          <w:sz w:val="24"/>
          <w:szCs w:val="24"/>
        </w:rPr>
        <w:t xml:space="preserve"> This Resolution shall take effect immediately upon adoption.</w:t>
      </w:r>
    </w:p>
    <w:p w14:paraId="3728EAE5" w14:textId="77777777" w:rsidR="004B51F0" w:rsidRPr="004B51F0" w:rsidRDefault="004B51F0" w:rsidP="004B51F0">
      <w:pPr>
        <w:ind w:firstLine="720"/>
        <w:rPr>
          <w:rFonts w:ascii="Times New Roman" w:hAnsi="Times New Roman" w:cs="Times New Roman"/>
          <w:sz w:val="24"/>
          <w:szCs w:val="24"/>
        </w:rPr>
      </w:pPr>
    </w:p>
    <w:p w14:paraId="62D5A257" w14:textId="77777777" w:rsidR="004B51F0" w:rsidRPr="006A0A21" w:rsidRDefault="004B51F0" w:rsidP="004B51F0">
      <w:pPr>
        <w:pStyle w:val="NoSpacing"/>
        <w:jc w:val="right"/>
        <w:rPr>
          <w:rFonts w:cstheme="minorHAnsi"/>
          <w:b/>
          <w:bCs/>
          <w:color w:val="2E74B5" w:themeColor="accent1" w:themeShade="BF"/>
        </w:rPr>
      </w:pPr>
      <w:r w:rsidRPr="006A0A21">
        <w:rPr>
          <w:rFonts w:cstheme="minorHAnsi"/>
          <w:b/>
          <w:bCs/>
          <w:noProof/>
          <w:color w:val="2E74B5" w:themeColor="accent1" w:themeShade="BF"/>
          <w:sz w:val="28"/>
          <w:szCs w:val="28"/>
        </w:rPr>
        <w:lastRenderedPageBreak/>
        <w:drawing>
          <wp:anchor distT="0" distB="0" distL="114300" distR="114300" simplePos="0" relativeHeight="251666432" behindDoc="1" locked="0" layoutInCell="1" allowOverlap="1" wp14:anchorId="323FEC44" wp14:editId="5957BF93">
            <wp:simplePos x="0" y="0"/>
            <wp:positionH relativeFrom="column">
              <wp:posOffset>-619126</wp:posOffset>
            </wp:positionH>
            <wp:positionV relativeFrom="paragraph">
              <wp:posOffset>-295274</wp:posOffset>
            </wp:positionV>
            <wp:extent cx="1279525" cy="1124506"/>
            <wp:effectExtent l="0" t="0" r="0" b="0"/>
            <wp:wrapNone/>
            <wp:docPr id="2"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1493" cy="1126236"/>
                    </a:xfrm>
                    <a:prstGeom prst="rect">
                      <a:avLst/>
                    </a:prstGeom>
                  </pic:spPr>
                </pic:pic>
              </a:graphicData>
            </a:graphic>
            <wp14:sizeRelH relativeFrom="page">
              <wp14:pctWidth>0</wp14:pctWidth>
            </wp14:sizeRelH>
            <wp14:sizeRelV relativeFrom="page">
              <wp14:pctHeight>0</wp14:pctHeight>
            </wp14:sizeRelV>
          </wp:anchor>
        </w:drawing>
      </w:r>
      <w:r w:rsidRPr="006A0A21">
        <w:rPr>
          <w:rFonts w:cstheme="minorHAnsi"/>
          <w:b/>
          <w:bCs/>
          <w:color w:val="2E74B5" w:themeColor="accent1" w:themeShade="BF"/>
        </w:rPr>
        <w:t>Mona City</w:t>
      </w:r>
    </w:p>
    <w:p w14:paraId="38C1D426" w14:textId="77777777" w:rsidR="004B51F0" w:rsidRDefault="004B51F0" w:rsidP="004B51F0">
      <w:pPr>
        <w:pStyle w:val="NoSpacing"/>
        <w:jc w:val="right"/>
        <w:rPr>
          <w:rFonts w:cstheme="minorHAnsi"/>
          <w:color w:val="2E74B5" w:themeColor="accent1" w:themeShade="BF"/>
          <w:sz w:val="20"/>
          <w:szCs w:val="20"/>
        </w:rPr>
      </w:pPr>
      <w:r>
        <w:rPr>
          <w:rFonts w:cstheme="minorHAnsi"/>
          <w:color w:val="2E74B5" w:themeColor="accent1" w:themeShade="BF"/>
          <w:sz w:val="20"/>
          <w:szCs w:val="20"/>
        </w:rPr>
        <w:t>435-623-4913</w:t>
      </w:r>
    </w:p>
    <w:p w14:paraId="7EF488E6" w14:textId="77777777" w:rsidR="004B51F0" w:rsidRDefault="004B51F0" w:rsidP="004B51F0">
      <w:pPr>
        <w:pStyle w:val="NoSpacing"/>
        <w:jc w:val="right"/>
        <w:rPr>
          <w:rFonts w:cstheme="minorHAnsi"/>
          <w:color w:val="2E74B5" w:themeColor="accent1" w:themeShade="BF"/>
          <w:sz w:val="20"/>
          <w:szCs w:val="20"/>
        </w:rPr>
      </w:pPr>
      <w:r>
        <w:rPr>
          <w:rFonts w:cstheme="minorHAnsi"/>
          <w:color w:val="2E74B5" w:themeColor="accent1" w:themeShade="BF"/>
          <w:sz w:val="20"/>
          <w:szCs w:val="20"/>
        </w:rPr>
        <w:t>monacitygov@gmail.com</w:t>
      </w:r>
    </w:p>
    <w:p w14:paraId="0634CA42" w14:textId="77777777" w:rsidR="004B51F0" w:rsidRDefault="004B51F0" w:rsidP="004B51F0">
      <w:pPr>
        <w:pStyle w:val="NoSpacing"/>
        <w:jc w:val="right"/>
        <w:rPr>
          <w:rFonts w:cstheme="minorHAnsi"/>
          <w:color w:val="2E74B5" w:themeColor="accent1" w:themeShade="BF"/>
          <w:sz w:val="20"/>
          <w:szCs w:val="20"/>
        </w:rPr>
      </w:pPr>
      <w:r>
        <w:rPr>
          <w:rFonts w:cstheme="minorHAnsi"/>
          <w:noProof/>
          <w:color w:val="2E74B5" w:themeColor="accent1" w:themeShade="BF"/>
          <w:sz w:val="20"/>
          <w:szCs w:val="20"/>
        </w:rPr>
        <mc:AlternateContent>
          <mc:Choice Requires="wps">
            <w:drawing>
              <wp:anchor distT="0" distB="0" distL="114300" distR="114300" simplePos="0" relativeHeight="251665408" behindDoc="0" locked="0" layoutInCell="1" allowOverlap="1" wp14:anchorId="165D4033" wp14:editId="1274972F">
                <wp:simplePos x="0" y="0"/>
                <wp:positionH relativeFrom="column">
                  <wp:posOffset>552450</wp:posOffset>
                </wp:positionH>
                <wp:positionV relativeFrom="paragraph">
                  <wp:posOffset>153035</wp:posOffset>
                </wp:positionV>
                <wp:extent cx="5553075" cy="22860"/>
                <wp:effectExtent l="0" t="0" r="28575" b="34290"/>
                <wp:wrapNone/>
                <wp:docPr id="1" name="Straight Connector 1"/>
                <wp:cNvGraphicFramePr/>
                <a:graphic xmlns:a="http://schemas.openxmlformats.org/drawingml/2006/main">
                  <a:graphicData uri="http://schemas.microsoft.com/office/word/2010/wordprocessingShape">
                    <wps:wsp>
                      <wps:cNvCnPr/>
                      <wps:spPr>
                        <a:xfrm>
                          <a:off x="0" y="0"/>
                          <a:ext cx="5553075"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2CCA5"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2.05pt" to="480.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" strokecolor="#5b9bd5 [3204]" strokeweight=".5pt">
                <v:stroke joinstyle="miter"/>
              </v:line>
            </w:pict>
          </mc:Fallback>
        </mc:AlternateContent>
      </w:r>
      <w:r w:rsidRPr="000A094C">
        <w:rPr>
          <w:rFonts w:cstheme="minorHAnsi"/>
          <w:color w:val="2E74B5" w:themeColor="accent1" w:themeShade="BF"/>
          <w:sz w:val="20"/>
          <w:szCs w:val="20"/>
        </w:rPr>
        <w:t>20 West Center Street Mona, Utah</w:t>
      </w:r>
    </w:p>
    <w:p w14:paraId="15FE5760" w14:textId="77777777" w:rsidR="004B51F0" w:rsidRDefault="004B51F0" w:rsidP="004B51F0">
      <w:pPr>
        <w:ind w:firstLine="720"/>
        <w:rPr>
          <w:rFonts w:ascii="Times New Roman" w:hAnsi="Times New Roman" w:cs="Times New Roman"/>
          <w:sz w:val="24"/>
          <w:szCs w:val="24"/>
        </w:rPr>
      </w:pPr>
    </w:p>
    <w:p w14:paraId="185115DD" w14:textId="649B2059" w:rsidR="004B51F0" w:rsidRPr="004B51F0" w:rsidRDefault="004B51F0" w:rsidP="004B51F0">
      <w:pPr>
        <w:ind w:firstLine="720"/>
        <w:rPr>
          <w:rFonts w:ascii="Times New Roman" w:hAnsi="Times New Roman" w:cs="Times New Roman"/>
          <w:sz w:val="24"/>
          <w:szCs w:val="24"/>
        </w:rPr>
      </w:pPr>
      <w:r>
        <w:rPr>
          <w:rFonts w:ascii="Times New Roman" w:hAnsi="Times New Roman" w:cs="Times New Roman"/>
          <w:sz w:val="24"/>
          <w:szCs w:val="24"/>
        </w:rPr>
        <w:t>CITY OF MONA</w:t>
      </w:r>
    </w:p>
    <w:p w14:paraId="6051569A" w14:textId="77777777" w:rsidR="004B51F0" w:rsidRDefault="004B51F0" w:rsidP="004B51F0">
      <w:pPr>
        <w:ind w:firstLine="720"/>
        <w:jc w:val="right"/>
        <w:rPr>
          <w:rFonts w:ascii="Times New Roman" w:hAnsi="Times New Roman" w:cs="Times New Roman"/>
          <w:sz w:val="24"/>
          <w:szCs w:val="24"/>
        </w:rPr>
      </w:pPr>
    </w:p>
    <w:p w14:paraId="6C2B667D" w14:textId="0C883476" w:rsidR="004B51F0" w:rsidRPr="004B51F0" w:rsidRDefault="004B51F0" w:rsidP="004B51F0">
      <w:pPr>
        <w:ind w:firstLine="720"/>
        <w:jc w:val="right"/>
        <w:rPr>
          <w:rFonts w:ascii="Times New Roman" w:hAnsi="Times New Roman" w:cs="Times New Roman"/>
          <w:sz w:val="24"/>
          <w:szCs w:val="24"/>
        </w:rPr>
      </w:pPr>
      <w:r w:rsidRPr="004B51F0">
        <w:rPr>
          <w:rFonts w:ascii="Times New Roman" w:hAnsi="Times New Roman" w:cs="Times New Roman"/>
          <w:sz w:val="24"/>
          <w:szCs w:val="24"/>
        </w:rPr>
        <w:t>________________________________</w:t>
      </w:r>
    </w:p>
    <w:p w14:paraId="2E968D3A" w14:textId="2F114E4B" w:rsidR="004B51F0" w:rsidRPr="004B51F0" w:rsidRDefault="004B51F0" w:rsidP="004B51F0">
      <w:pPr>
        <w:ind w:firstLine="720"/>
        <w:jc w:val="right"/>
        <w:rPr>
          <w:rFonts w:ascii="Times New Roman" w:hAnsi="Times New Roman" w:cs="Times New Roman"/>
          <w:sz w:val="24"/>
          <w:szCs w:val="24"/>
        </w:rPr>
      </w:pPr>
      <w:r w:rsidRPr="004B51F0">
        <w:rPr>
          <w:rFonts w:ascii="Times New Roman" w:hAnsi="Times New Roman" w:cs="Times New Roman"/>
          <w:sz w:val="24"/>
          <w:szCs w:val="24"/>
        </w:rPr>
        <w:t>Troy Painter</w:t>
      </w:r>
      <w:r>
        <w:rPr>
          <w:rFonts w:ascii="Times New Roman" w:hAnsi="Times New Roman" w:cs="Times New Roman"/>
          <w:sz w:val="24"/>
          <w:szCs w:val="24"/>
        </w:rPr>
        <w:t>, Mayor</w:t>
      </w:r>
    </w:p>
    <w:p w14:paraId="23EB823E" w14:textId="77777777" w:rsidR="004B51F0" w:rsidRDefault="004B51F0" w:rsidP="004B51F0">
      <w:pPr>
        <w:ind w:firstLine="720"/>
        <w:jc w:val="right"/>
        <w:rPr>
          <w:rFonts w:ascii="Times New Roman" w:hAnsi="Times New Roman" w:cs="Times New Roman"/>
          <w:sz w:val="24"/>
          <w:szCs w:val="24"/>
        </w:rPr>
      </w:pPr>
    </w:p>
    <w:p w14:paraId="4B52B39D" w14:textId="693FBBAC" w:rsidR="004B51F0" w:rsidRDefault="004B51F0" w:rsidP="004B51F0">
      <w:pPr>
        <w:ind w:firstLine="720"/>
        <w:rPr>
          <w:rFonts w:ascii="Times New Roman" w:hAnsi="Times New Roman" w:cs="Times New Roman"/>
          <w:sz w:val="24"/>
          <w:szCs w:val="24"/>
        </w:rPr>
      </w:pPr>
      <w:r>
        <w:rPr>
          <w:rFonts w:ascii="Times New Roman" w:hAnsi="Times New Roman" w:cs="Times New Roman"/>
          <w:sz w:val="24"/>
          <w:szCs w:val="24"/>
        </w:rPr>
        <w:t>ATTEST</w:t>
      </w:r>
    </w:p>
    <w:p w14:paraId="696D2FA6" w14:textId="77777777" w:rsidR="004B51F0" w:rsidRDefault="004B51F0" w:rsidP="004B51F0">
      <w:pPr>
        <w:ind w:firstLine="720"/>
        <w:rPr>
          <w:rFonts w:ascii="Times New Roman" w:hAnsi="Times New Roman" w:cs="Times New Roman"/>
          <w:sz w:val="24"/>
          <w:szCs w:val="24"/>
        </w:rPr>
      </w:pPr>
    </w:p>
    <w:p w14:paraId="4C87DF70" w14:textId="1CF05752" w:rsidR="004B51F0" w:rsidRPr="004B51F0" w:rsidRDefault="004B51F0" w:rsidP="004B51F0">
      <w:pPr>
        <w:ind w:firstLine="720"/>
        <w:jc w:val="right"/>
        <w:rPr>
          <w:rFonts w:ascii="Times New Roman" w:hAnsi="Times New Roman" w:cs="Times New Roman"/>
          <w:sz w:val="24"/>
          <w:szCs w:val="24"/>
        </w:rPr>
      </w:pPr>
      <w:r w:rsidRPr="004B51F0">
        <w:rPr>
          <w:rFonts w:ascii="Times New Roman" w:hAnsi="Times New Roman" w:cs="Times New Roman"/>
          <w:sz w:val="24"/>
          <w:szCs w:val="24"/>
        </w:rPr>
        <w:t>________________________________</w:t>
      </w:r>
    </w:p>
    <w:p w14:paraId="338B6B79" w14:textId="190AA4D8" w:rsidR="004B51F0" w:rsidRPr="004B51F0" w:rsidRDefault="004B51F0" w:rsidP="004B51F0">
      <w:pPr>
        <w:ind w:firstLine="720"/>
        <w:jc w:val="right"/>
        <w:rPr>
          <w:rFonts w:ascii="Times New Roman" w:hAnsi="Times New Roman" w:cs="Times New Roman"/>
          <w:sz w:val="24"/>
          <w:szCs w:val="24"/>
        </w:rPr>
      </w:pPr>
      <w:r w:rsidRPr="004B51F0">
        <w:rPr>
          <w:rFonts w:ascii="Times New Roman" w:hAnsi="Times New Roman" w:cs="Times New Roman"/>
          <w:sz w:val="24"/>
          <w:szCs w:val="24"/>
        </w:rPr>
        <w:t>Alicia Hills</w:t>
      </w:r>
      <w:r>
        <w:rPr>
          <w:rFonts w:ascii="Times New Roman" w:hAnsi="Times New Roman" w:cs="Times New Roman"/>
          <w:sz w:val="24"/>
          <w:szCs w:val="24"/>
        </w:rPr>
        <w:t>, Mona City Recorder</w:t>
      </w:r>
    </w:p>
    <w:p w14:paraId="19B39ABB" w14:textId="77777777" w:rsidR="004B51F0" w:rsidRPr="00C52E0D" w:rsidRDefault="004B51F0" w:rsidP="004B51F0">
      <w:pPr>
        <w:ind w:firstLine="720"/>
        <w:jc w:val="right"/>
        <w:rPr>
          <w:rFonts w:ascii="Times New Roman" w:hAnsi="Times New Roman" w:cs="Times New Roman"/>
        </w:rPr>
      </w:pPr>
    </w:p>
    <w:p w14:paraId="7BE64D3A" w14:textId="5D37B5E6" w:rsidR="00A8700A" w:rsidRDefault="00A8700A">
      <w:r>
        <w:br w:type="page"/>
      </w:r>
    </w:p>
    <w:p w14:paraId="3D4A1504" w14:textId="7813D033" w:rsidR="00375BB1" w:rsidRDefault="00540E23" w:rsidP="0012756B">
      <w:pPr>
        <w:ind w:firstLine="720"/>
        <w:jc w:val="center"/>
      </w:pPr>
      <w:r>
        <w:lastRenderedPageBreak/>
        <w:t>(</w:t>
      </w:r>
      <w:r w:rsidR="00EF4236">
        <w:t xml:space="preserve">Mona City Personnel Policy page </w:t>
      </w:r>
      <w:r>
        <w:t>11)</w:t>
      </w:r>
    </w:p>
    <w:p w14:paraId="37722DB7" w14:textId="77777777" w:rsidR="00540E23" w:rsidRPr="00546AB9" w:rsidRDefault="00540E23" w:rsidP="00540E23">
      <w:pPr>
        <w:jc w:val="center"/>
        <w:rPr>
          <w:b/>
          <w:bCs/>
          <w:sz w:val="24"/>
          <w:szCs w:val="24"/>
        </w:rPr>
      </w:pPr>
      <w:r w:rsidRPr="00021B24">
        <w:rPr>
          <w:b/>
          <w:bCs/>
          <w:sz w:val="24"/>
          <w:szCs w:val="24"/>
        </w:rPr>
        <w:t>SECTION VII – BENEFITS – Full Time Employees</w:t>
      </w:r>
    </w:p>
    <w:p w14:paraId="32508E76" w14:textId="77777777" w:rsidR="00540E23" w:rsidRDefault="00540E23" w:rsidP="00540E23">
      <w:pPr>
        <w:pStyle w:val="ListParagraph"/>
        <w:numPr>
          <w:ilvl w:val="0"/>
          <w:numId w:val="4"/>
        </w:numPr>
        <w:rPr>
          <w:sz w:val="24"/>
          <w:szCs w:val="24"/>
        </w:rPr>
      </w:pPr>
      <w:r w:rsidRPr="00546AB9">
        <w:rPr>
          <w:sz w:val="24"/>
          <w:szCs w:val="24"/>
          <w:u w:val="single"/>
        </w:rPr>
        <w:t>Retirement:</w:t>
      </w:r>
      <w:r w:rsidRPr="00546AB9">
        <w:rPr>
          <w:sz w:val="24"/>
          <w:szCs w:val="24"/>
        </w:rPr>
        <w:t xml:space="preserve"> Mona City will participate in the U.S. Federal (FICA) and State of Utah Retirement. For specific details related to the Utah State Retirement Systems (URS), seek assistance from the Finance Director or the URS office.</w:t>
      </w:r>
      <w:r>
        <w:rPr>
          <w:sz w:val="24"/>
          <w:szCs w:val="24"/>
        </w:rPr>
        <w:t xml:space="preserve"> </w:t>
      </w:r>
    </w:p>
    <w:p w14:paraId="57761B8F" w14:textId="77777777" w:rsidR="00540E23" w:rsidRDefault="00540E23" w:rsidP="00540E23">
      <w:pPr>
        <w:pStyle w:val="ListParagraph"/>
        <w:numPr>
          <w:ilvl w:val="0"/>
          <w:numId w:val="4"/>
        </w:numPr>
        <w:spacing w:line="256" w:lineRule="auto"/>
        <w:rPr>
          <w:sz w:val="24"/>
          <w:szCs w:val="24"/>
        </w:rPr>
      </w:pPr>
      <w:r>
        <w:rPr>
          <w:color w:val="FF0000"/>
          <w:sz w:val="24"/>
          <w:szCs w:val="24"/>
          <w:u w:val="single"/>
        </w:rPr>
        <w:t>Elected and Appointed Officials Retirement Benefits:</w:t>
      </w:r>
      <w:r>
        <w:rPr>
          <w:color w:val="FF0000"/>
          <w:sz w:val="24"/>
          <w:szCs w:val="24"/>
        </w:rPr>
        <w:t xml:space="preserve"> Tier 2 elected and appointed officials are determined ineligible for retirement benefits by Mona City. </w:t>
      </w:r>
    </w:p>
    <w:p w14:paraId="690C1CDB" w14:textId="77777777" w:rsidR="00540E23" w:rsidRPr="00497A7D" w:rsidRDefault="00540E23" w:rsidP="00540E23">
      <w:pPr>
        <w:pStyle w:val="ListParagraph"/>
        <w:numPr>
          <w:ilvl w:val="0"/>
          <w:numId w:val="4"/>
        </w:numPr>
        <w:rPr>
          <w:sz w:val="24"/>
          <w:szCs w:val="24"/>
        </w:rPr>
      </w:pPr>
      <w:r w:rsidRPr="00497A7D">
        <w:rPr>
          <w:sz w:val="24"/>
          <w:szCs w:val="24"/>
          <w:u w:val="single"/>
        </w:rPr>
        <w:t>Unemployment Insurance</w:t>
      </w:r>
      <w:r w:rsidRPr="00497A7D">
        <w:rPr>
          <w:sz w:val="24"/>
          <w:szCs w:val="24"/>
        </w:rPr>
        <w:t xml:space="preserve">: The City participates in the Utah State Department of Workforce Services Unemployment Insurance Program and each person that terminates will be eligible for unemployment benefits in accordance with the rules and provisions as provided by the State. Employees terminated for cause shall not be eligible for unemployment benefits from the City. </w:t>
      </w:r>
    </w:p>
    <w:p w14:paraId="10BBEA95" w14:textId="77777777" w:rsidR="00540E23" w:rsidRPr="00546AB9" w:rsidRDefault="00540E23" w:rsidP="00540E23">
      <w:pPr>
        <w:pStyle w:val="ListParagraph"/>
        <w:numPr>
          <w:ilvl w:val="0"/>
          <w:numId w:val="4"/>
        </w:numPr>
        <w:rPr>
          <w:sz w:val="24"/>
          <w:szCs w:val="24"/>
        </w:rPr>
      </w:pPr>
      <w:r w:rsidRPr="00546AB9">
        <w:rPr>
          <w:sz w:val="24"/>
          <w:szCs w:val="24"/>
          <w:u w:val="single"/>
        </w:rPr>
        <w:t>Annual Leave (Vacation Time):</w:t>
      </w:r>
    </w:p>
    <w:p w14:paraId="1423149F" w14:textId="77777777" w:rsidR="00540E23" w:rsidRDefault="00540E23" w:rsidP="00540E23">
      <w:pPr>
        <w:pStyle w:val="ListParagraph"/>
        <w:numPr>
          <w:ilvl w:val="0"/>
          <w:numId w:val="5"/>
        </w:numPr>
        <w:rPr>
          <w:sz w:val="24"/>
          <w:szCs w:val="24"/>
        </w:rPr>
      </w:pPr>
      <w:r w:rsidRPr="00546AB9">
        <w:rPr>
          <w:sz w:val="24"/>
          <w:szCs w:val="24"/>
        </w:rPr>
        <w:t>Annual leave will accrue during a</w:t>
      </w:r>
      <w:r>
        <w:rPr>
          <w:sz w:val="24"/>
          <w:szCs w:val="24"/>
        </w:rPr>
        <w:t xml:space="preserve"> full-time </w:t>
      </w:r>
      <w:r w:rsidRPr="00546AB9">
        <w:rPr>
          <w:sz w:val="24"/>
          <w:szCs w:val="24"/>
        </w:rPr>
        <w:t>employee's introductory period but may not be used during the first three months. Employees who terminate or are terminated within the first six months shall not be compensated for accumulated annual leave.</w:t>
      </w:r>
    </w:p>
    <w:p w14:paraId="20DADDF9" w14:textId="77777777" w:rsidR="00540E23" w:rsidRPr="00546AB9" w:rsidRDefault="00540E23" w:rsidP="00540E23">
      <w:pPr>
        <w:pStyle w:val="ListParagraph"/>
        <w:numPr>
          <w:ilvl w:val="0"/>
          <w:numId w:val="5"/>
        </w:numPr>
        <w:rPr>
          <w:sz w:val="24"/>
          <w:szCs w:val="24"/>
        </w:rPr>
      </w:pPr>
      <w:r w:rsidRPr="00546AB9">
        <w:rPr>
          <w:sz w:val="24"/>
          <w:szCs w:val="24"/>
        </w:rPr>
        <w:t>All employees with regularly scheduled hours will accrue annual leave as follows:</w:t>
      </w:r>
    </w:p>
    <w:p w14:paraId="07825481" w14:textId="77777777" w:rsidR="00540E23" w:rsidRPr="00D83987" w:rsidRDefault="00540E23" w:rsidP="00540E23">
      <w:pPr>
        <w:rPr>
          <w:sz w:val="24"/>
          <w:szCs w:val="24"/>
        </w:rPr>
      </w:pPr>
    </w:p>
    <w:tbl>
      <w:tblPr>
        <w:tblStyle w:val="TableGrid"/>
        <w:tblW w:w="0" w:type="auto"/>
        <w:tblLook w:val="04A0" w:firstRow="1" w:lastRow="0" w:firstColumn="1" w:lastColumn="0" w:noHBand="0" w:noVBand="1"/>
      </w:tblPr>
      <w:tblGrid>
        <w:gridCol w:w="4675"/>
        <w:gridCol w:w="4675"/>
      </w:tblGrid>
      <w:tr w:rsidR="00540E23" w14:paraId="31EC18C0" w14:textId="77777777" w:rsidTr="001626E9">
        <w:tc>
          <w:tcPr>
            <w:tcW w:w="4675" w:type="dxa"/>
          </w:tcPr>
          <w:p w14:paraId="2DF09170" w14:textId="77777777" w:rsidR="00540E23" w:rsidRDefault="00540E23" w:rsidP="001626E9">
            <w:pPr>
              <w:jc w:val="center"/>
              <w:rPr>
                <w:sz w:val="24"/>
                <w:szCs w:val="24"/>
              </w:rPr>
            </w:pPr>
            <w:r>
              <w:rPr>
                <w:sz w:val="24"/>
                <w:szCs w:val="24"/>
              </w:rPr>
              <w:t>Years of Service</w:t>
            </w:r>
          </w:p>
        </w:tc>
        <w:tc>
          <w:tcPr>
            <w:tcW w:w="4675" w:type="dxa"/>
          </w:tcPr>
          <w:p w14:paraId="01082E7D" w14:textId="77777777" w:rsidR="00540E23" w:rsidRDefault="00540E23" w:rsidP="001626E9">
            <w:pPr>
              <w:jc w:val="center"/>
              <w:rPr>
                <w:sz w:val="24"/>
                <w:szCs w:val="24"/>
              </w:rPr>
            </w:pPr>
            <w:r>
              <w:rPr>
                <w:sz w:val="24"/>
                <w:szCs w:val="24"/>
              </w:rPr>
              <w:t>Annual Leave Time Earned</w:t>
            </w:r>
          </w:p>
        </w:tc>
      </w:tr>
      <w:tr w:rsidR="00540E23" w14:paraId="4322C75F" w14:textId="77777777" w:rsidTr="001626E9">
        <w:tc>
          <w:tcPr>
            <w:tcW w:w="4675" w:type="dxa"/>
          </w:tcPr>
          <w:p w14:paraId="497E3F17" w14:textId="77777777" w:rsidR="00540E23" w:rsidRDefault="00540E23" w:rsidP="001626E9">
            <w:pPr>
              <w:rPr>
                <w:sz w:val="24"/>
                <w:szCs w:val="24"/>
              </w:rPr>
            </w:pPr>
            <w:r>
              <w:rPr>
                <w:sz w:val="24"/>
                <w:szCs w:val="24"/>
              </w:rPr>
              <w:t>0-1</w:t>
            </w:r>
          </w:p>
        </w:tc>
        <w:tc>
          <w:tcPr>
            <w:tcW w:w="4675" w:type="dxa"/>
          </w:tcPr>
          <w:p w14:paraId="0B472352" w14:textId="77777777" w:rsidR="00540E23" w:rsidRDefault="00540E23" w:rsidP="001626E9">
            <w:pPr>
              <w:rPr>
                <w:sz w:val="24"/>
                <w:szCs w:val="24"/>
              </w:rPr>
            </w:pPr>
            <w:r>
              <w:rPr>
                <w:sz w:val="24"/>
                <w:szCs w:val="24"/>
              </w:rPr>
              <w:t>3.3333 hours per month</w:t>
            </w:r>
          </w:p>
        </w:tc>
      </w:tr>
      <w:tr w:rsidR="00540E23" w14:paraId="4FBFC4A2" w14:textId="77777777" w:rsidTr="001626E9">
        <w:tc>
          <w:tcPr>
            <w:tcW w:w="4675" w:type="dxa"/>
          </w:tcPr>
          <w:p w14:paraId="28476566" w14:textId="77777777" w:rsidR="00540E23" w:rsidRDefault="00540E23" w:rsidP="001626E9">
            <w:pPr>
              <w:rPr>
                <w:sz w:val="24"/>
                <w:szCs w:val="24"/>
              </w:rPr>
            </w:pPr>
            <w:r>
              <w:rPr>
                <w:sz w:val="24"/>
                <w:szCs w:val="24"/>
              </w:rPr>
              <w:t>1</w:t>
            </w:r>
          </w:p>
        </w:tc>
        <w:tc>
          <w:tcPr>
            <w:tcW w:w="4675" w:type="dxa"/>
          </w:tcPr>
          <w:p w14:paraId="5609C462" w14:textId="77777777" w:rsidR="00540E23" w:rsidRDefault="00540E23" w:rsidP="001626E9">
            <w:pPr>
              <w:rPr>
                <w:sz w:val="24"/>
                <w:szCs w:val="24"/>
              </w:rPr>
            </w:pPr>
            <w:r>
              <w:rPr>
                <w:sz w:val="24"/>
                <w:szCs w:val="24"/>
              </w:rPr>
              <w:t>40 hours per year (3.333 hours per month)</w:t>
            </w:r>
          </w:p>
        </w:tc>
      </w:tr>
      <w:tr w:rsidR="00540E23" w14:paraId="5DAD4A45" w14:textId="77777777" w:rsidTr="001626E9">
        <w:tc>
          <w:tcPr>
            <w:tcW w:w="4675" w:type="dxa"/>
          </w:tcPr>
          <w:p w14:paraId="0AE75D50" w14:textId="77777777" w:rsidR="00540E23" w:rsidRDefault="00540E23" w:rsidP="001626E9">
            <w:pPr>
              <w:rPr>
                <w:sz w:val="24"/>
                <w:szCs w:val="24"/>
              </w:rPr>
            </w:pPr>
            <w:r>
              <w:rPr>
                <w:sz w:val="24"/>
                <w:szCs w:val="24"/>
              </w:rPr>
              <w:t>2-5</w:t>
            </w:r>
          </w:p>
        </w:tc>
        <w:tc>
          <w:tcPr>
            <w:tcW w:w="4675" w:type="dxa"/>
          </w:tcPr>
          <w:p w14:paraId="68F36D19" w14:textId="77777777" w:rsidR="00540E23" w:rsidRDefault="00540E23" w:rsidP="001626E9">
            <w:pPr>
              <w:rPr>
                <w:sz w:val="24"/>
                <w:szCs w:val="24"/>
              </w:rPr>
            </w:pPr>
            <w:r>
              <w:rPr>
                <w:sz w:val="24"/>
                <w:szCs w:val="24"/>
              </w:rPr>
              <w:t>80 hours per year (6.6667 hours per month)</w:t>
            </w:r>
          </w:p>
        </w:tc>
      </w:tr>
      <w:tr w:rsidR="00540E23" w14:paraId="5EF5671B" w14:textId="77777777" w:rsidTr="001626E9">
        <w:tc>
          <w:tcPr>
            <w:tcW w:w="4675" w:type="dxa"/>
          </w:tcPr>
          <w:p w14:paraId="5C073260" w14:textId="77777777" w:rsidR="00540E23" w:rsidRDefault="00540E23" w:rsidP="001626E9">
            <w:pPr>
              <w:rPr>
                <w:sz w:val="24"/>
                <w:szCs w:val="24"/>
              </w:rPr>
            </w:pPr>
            <w:r>
              <w:rPr>
                <w:sz w:val="24"/>
                <w:szCs w:val="24"/>
              </w:rPr>
              <w:t>6 and above</w:t>
            </w:r>
          </w:p>
        </w:tc>
        <w:tc>
          <w:tcPr>
            <w:tcW w:w="4675" w:type="dxa"/>
          </w:tcPr>
          <w:p w14:paraId="1B2469A4" w14:textId="77777777" w:rsidR="00540E23" w:rsidRDefault="00540E23" w:rsidP="001626E9">
            <w:pPr>
              <w:rPr>
                <w:sz w:val="24"/>
                <w:szCs w:val="24"/>
              </w:rPr>
            </w:pPr>
            <w:r>
              <w:rPr>
                <w:sz w:val="24"/>
                <w:szCs w:val="24"/>
              </w:rPr>
              <w:t>120 hours per year (10 hours per month)</w:t>
            </w:r>
          </w:p>
        </w:tc>
      </w:tr>
    </w:tbl>
    <w:p w14:paraId="07816F4C" w14:textId="77777777" w:rsidR="00540E23" w:rsidRPr="00D83987" w:rsidRDefault="00540E23" w:rsidP="00540E23">
      <w:pPr>
        <w:rPr>
          <w:sz w:val="24"/>
          <w:szCs w:val="24"/>
        </w:rPr>
      </w:pPr>
    </w:p>
    <w:p w14:paraId="0B976D16" w14:textId="77777777" w:rsidR="00540E23" w:rsidRPr="00546AB9" w:rsidRDefault="00540E23" w:rsidP="00540E23">
      <w:pPr>
        <w:pStyle w:val="ListParagraph"/>
        <w:numPr>
          <w:ilvl w:val="0"/>
          <w:numId w:val="5"/>
        </w:numPr>
        <w:rPr>
          <w:sz w:val="24"/>
          <w:szCs w:val="24"/>
        </w:rPr>
      </w:pPr>
      <w:r w:rsidRPr="00546AB9">
        <w:rPr>
          <w:sz w:val="24"/>
          <w:szCs w:val="24"/>
        </w:rPr>
        <w:t xml:space="preserve">Annual leave is intended to benefit the employee, and employees are encouraged to take annual leave in the year in which it is earned. Unused annual leave may be carried over from year to year, except that the maximum amount carried from year to year shall not exceed one hundred twenty hours. All unused hours more than the one hundred twenty hours at the end of any fiscal year shall be forfeited, unless for no fault of the employees, scheduling conflicts, emergencies or other circumstances prevented the utilization of such leave as approved by the </w:t>
      </w:r>
      <w:proofErr w:type="gramStart"/>
      <w:r w:rsidRPr="00546AB9">
        <w:rPr>
          <w:sz w:val="24"/>
          <w:szCs w:val="24"/>
        </w:rPr>
        <w:t>Mayor</w:t>
      </w:r>
      <w:proofErr w:type="gramEnd"/>
      <w:r w:rsidRPr="00546AB9">
        <w:rPr>
          <w:sz w:val="24"/>
          <w:szCs w:val="24"/>
        </w:rPr>
        <w:t>.</w:t>
      </w:r>
    </w:p>
    <w:p w14:paraId="4B409A7E" w14:textId="77777777" w:rsidR="00540E23" w:rsidRDefault="00540E23" w:rsidP="00540E23">
      <w:pPr>
        <w:pStyle w:val="ListParagraph"/>
        <w:numPr>
          <w:ilvl w:val="0"/>
          <w:numId w:val="5"/>
        </w:numPr>
        <w:rPr>
          <w:sz w:val="24"/>
          <w:szCs w:val="24"/>
        </w:rPr>
      </w:pPr>
      <w:r w:rsidRPr="00546AB9">
        <w:rPr>
          <w:sz w:val="24"/>
          <w:szCs w:val="24"/>
        </w:rPr>
        <w:t xml:space="preserve">Annual leave will be scheduled to meet the operating requirements of the </w:t>
      </w:r>
      <w:proofErr w:type="gramStart"/>
      <w:r w:rsidRPr="00546AB9">
        <w:rPr>
          <w:sz w:val="24"/>
          <w:szCs w:val="24"/>
        </w:rPr>
        <w:t>City</w:t>
      </w:r>
      <w:proofErr w:type="gramEnd"/>
      <w:r w:rsidRPr="00546AB9">
        <w:rPr>
          <w:sz w:val="24"/>
          <w:szCs w:val="24"/>
        </w:rPr>
        <w:t>.  Seniority and/or earliest request shall be the basis for resolving conflicts, should conflicts occur. Management can deny leave requests when scheduling considerations cannot be met.</w:t>
      </w:r>
    </w:p>
    <w:p w14:paraId="0F407917" w14:textId="000643B5" w:rsidR="00540E23" w:rsidRPr="00540E23" w:rsidRDefault="00540E23" w:rsidP="00540E23">
      <w:pPr>
        <w:pStyle w:val="ListParagraph"/>
        <w:numPr>
          <w:ilvl w:val="0"/>
          <w:numId w:val="5"/>
        </w:numPr>
        <w:rPr>
          <w:sz w:val="24"/>
          <w:szCs w:val="24"/>
        </w:rPr>
      </w:pPr>
      <w:r w:rsidRPr="00546AB9">
        <w:rPr>
          <w:sz w:val="24"/>
          <w:szCs w:val="24"/>
        </w:rPr>
        <w:t>An authorized holiday shall not constitute a day of annual leave. When an authorized holiday falls within the time of an employee's annual leave, the employee will not be charged annual leave for that day.</w:t>
      </w:r>
    </w:p>
    <w:sectPr w:rsidR="00540E23" w:rsidRPr="00540E23" w:rsidSect="00DE5DF8">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3CE9" w14:textId="77777777" w:rsidR="007F7C71" w:rsidRDefault="007F7C71" w:rsidP="005A05F7">
      <w:pPr>
        <w:spacing w:after="0" w:line="240" w:lineRule="auto"/>
      </w:pPr>
      <w:r>
        <w:separator/>
      </w:r>
    </w:p>
  </w:endnote>
  <w:endnote w:type="continuationSeparator" w:id="0">
    <w:p w14:paraId="5E2F068D" w14:textId="77777777" w:rsidR="007F7C71" w:rsidRDefault="007F7C71" w:rsidP="005A0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678274"/>
      <w:docPartObj>
        <w:docPartGallery w:val="Page Numbers (Bottom of Page)"/>
        <w:docPartUnique/>
      </w:docPartObj>
    </w:sdtPr>
    <w:sdtEndPr>
      <w:rPr>
        <w:noProof/>
      </w:rPr>
    </w:sdtEndPr>
    <w:sdtContent>
      <w:p w14:paraId="7D1899BB" w14:textId="5C80E06C" w:rsidR="005A05F7" w:rsidRDefault="005A05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1DFD6A" w14:textId="77777777" w:rsidR="005A05F7" w:rsidRDefault="005A0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8F9C" w14:textId="77777777" w:rsidR="007F7C71" w:rsidRDefault="007F7C71" w:rsidP="005A05F7">
      <w:pPr>
        <w:spacing w:after="0" w:line="240" w:lineRule="auto"/>
      </w:pPr>
      <w:r>
        <w:separator/>
      </w:r>
    </w:p>
  </w:footnote>
  <w:footnote w:type="continuationSeparator" w:id="0">
    <w:p w14:paraId="765C48A3" w14:textId="77777777" w:rsidR="007F7C71" w:rsidRDefault="007F7C71" w:rsidP="005A0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92F21"/>
    <w:multiLevelType w:val="hybridMultilevel"/>
    <w:tmpl w:val="6CC06A08"/>
    <w:lvl w:ilvl="0" w:tplc="90C414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D4E3251"/>
    <w:multiLevelType w:val="multilevel"/>
    <w:tmpl w:val="1714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AE237B"/>
    <w:multiLevelType w:val="hybridMultilevel"/>
    <w:tmpl w:val="A67086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572B4D"/>
    <w:multiLevelType w:val="hybridMultilevel"/>
    <w:tmpl w:val="D4F8C490"/>
    <w:lvl w:ilvl="0" w:tplc="90521932">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7C3C0F"/>
    <w:multiLevelType w:val="multilevel"/>
    <w:tmpl w:val="83FA8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1057914">
    <w:abstractNumId w:val="4"/>
  </w:num>
  <w:num w:numId="2" w16cid:durableId="1916698551">
    <w:abstractNumId w:val="2"/>
  </w:num>
  <w:num w:numId="3" w16cid:durableId="622738416">
    <w:abstractNumId w:val="1"/>
  </w:num>
  <w:num w:numId="4" w16cid:durableId="166141867">
    <w:abstractNumId w:val="3"/>
  </w:num>
  <w:num w:numId="5" w16cid:durableId="54075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5A"/>
    <w:rsid w:val="000010DB"/>
    <w:rsid w:val="0000522B"/>
    <w:rsid w:val="0005180B"/>
    <w:rsid w:val="000562B6"/>
    <w:rsid w:val="00062880"/>
    <w:rsid w:val="000D285E"/>
    <w:rsid w:val="0010076C"/>
    <w:rsid w:val="00102C57"/>
    <w:rsid w:val="00111F9D"/>
    <w:rsid w:val="0012756B"/>
    <w:rsid w:val="0013219A"/>
    <w:rsid w:val="00147C03"/>
    <w:rsid w:val="00174052"/>
    <w:rsid w:val="00184860"/>
    <w:rsid w:val="00200766"/>
    <w:rsid w:val="00216A51"/>
    <w:rsid w:val="00226922"/>
    <w:rsid w:val="00265A02"/>
    <w:rsid w:val="0026798B"/>
    <w:rsid w:val="00294827"/>
    <w:rsid w:val="002948E9"/>
    <w:rsid w:val="002A362E"/>
    <w:rsid w:val="002E73C6"/>
    <w:rsid w:val="00320B77"/>
    <w:rsid w:val="00341A3D"/>
    <w:rsid w:val="003426CF"/>
    <w:rsid w:val="00367100"/>
    <w:rsid w:val="00375BB1"/>
    <w:rsid w:val="00392CB3"/>
    <w:rsid w:val="003A1A74"/>
    <w:rsid w:val="003A405F"/>
    <w:rsid w:val="003B3E2A"/>
    <w:rsid w:val="003B6626"/>
    <w:rsid w:val="003D0206"/>
    <w:rsid w:val="003D083A"/>
    <w:rsid w:val="003D13CB"/>
    <w:rsid w:val="003D2F26"/>
    <w:rsid w:val="003D6FC4"/>
    <w:rsid w:val="003E5649"/>
    <w:rsid w:val="00476373"/>
    <w:rsid w:val="00496736"/>
    <w:rsid w:val="00496869"/>
    <w:rsid w:val="004B51F0"/>
    <w:rsid w:val="0050120B"/>
    <w:rsid w:val="00540E23"/>
    <w:rsid w:val="00555A65"/>
    <w:rsid w:val="00581E12"/>
    <w:rsid w:val="005838D1"/>
    <w:rsid w:val="00583C8A"/>
    <w:rsid w:val="0058706A"/>
    <w:rsid w:val="005A05F7"/>
    <w:rsid w:val="005B0A6D"/>
    <w:rsid w:val="005B2A5A"/>
    <w:rsid w:val="005B57F6"/>
    <w:rsid w:val="005D6CB4"/>
    <w:rsid w:val="006241BF"/>
    <w:rsid w:val="00626BE4"/>
    <w:rsid w:val="00654504"/>
    <w:rsid w:val="006675E4"/>
    <w:rsid w:val="006A4EBA"/>
    <w:rsid w:val="006D3AEA"/>
    <w:rsid w:val="006D78F4"/>
    <w:rsid w:val="006F321A"/>
    <w:rsid w:val="00741BDB"/>
    <w:rsid w:val="007E2215"/>
    <w:rsid w:val="007F7C71"/>
    <w:rsid w:val="0080660B"/>
    <w:rsid w:val="00863C94"/>
    <w:rsid w:val="00893837"/>
    <w:rsid w:val="008A2586"/>
    <w:rsid w:val="008D0F65"/>
    <w:rsid w:val="00921329"/>
    <w:rsid w:val="00923657"/>
    <w:rsid w:val="00977C6B"/>
    <w:rsid w:val="00984C36"/>
    <w:rsid w:val="00987B3D"/>
    <w:rsid w:val="00990C41"/>
    <w:rsid w:val="009A6026"/>
    <w:rsid w:val="009A6098"/>
    <w:rsid w:val="009B0FE1"/>
    <w:rsid w:val="009D085D"/>
    <w:rsid w:val="00A357E2"/>
    <w:rsid w:val="00A43E76"/>
    <w:rsid w:val="00A5228D"/>
    <w:rsid w:val="00A8700A"/>
    <w:rsid w:val="00AF0B68"/>
    <w:rsid w:val="00AF5DEA"/>
    <w:rsid w:val="00B00B90"/>
    <w:rsid w:val="00B504F0"/>
    <w:rsid w:val="00BB509F"/>
    <w:rsid w:val="00BF5086"/>
    <w:rsid w:val="00C34DEE"/>
    <w:rsid w:val="00C52E0D"/>
    <w:rsid w:val="00C8615E"/>
    <w:rsid w:val="00CC5E3D"/>
    <w:rsid w:val="00CE2F87"/>
    <w:rsid w:val="00CE5223"/>
    <w:rsid w:val="00D27B2D"/>
    <w:rsid w:val="00D6261C"/>
    <w:rsid w:val="00D902AB"/>
    <w:rsid w:val="00DC2201"/>
    <w:rsid w:val="00DD1EF7"/>
    <w:rsid w:val="00DE5DF8"/>
    <w:rsid w:val="00E06E79"/>
    <w:rsid w:val="00E32E42"/>
    <w:rsid w:val="00E564D9"/>
    <w:rsid w:val="00E63C9D"/>
    <w:rsid w:val="00E63F18"/>
    <w:rsid w:val="00E65643"/>
    <w:rsid w:val="00E854AB"/>
    <w:rsid w:val="00EC2E81"/>
    <w:rsid w:val="00ED01C4"/>
    <w:rsid w:val="00EF4236"/>
    <w:rsid w:val="00F0053A"/>
    <w:rsid w:val="00F124A8"/>
    <w:rsid w:val="00F34680"/>
    <w:rsid w:val="00F45063"/>
    <w:rsid w:val="00F63045"/>
    <w:rsid w:val="00FC67EB"/>
    <w:rsid w:val="00FF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FBB1F"/>
  <w15:chartTrackingRefBased/>
  <w15:docId w15:val="{EAD9D87F-CDFB-4BBB-9273-5B205E66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329"/>
    <w:rPr>
      <w:rFonts w:ascii="Segoe UI" w:hAnsi="Segoe UI" w:cs="Segoe UI"/>
      <w:sz w:val="18"/>
      <w:szCs w:val="18"/>
    </w:rPr>
  </w:style>
  <w:style w:type="paragraph" w:styleId="NoSpacing">
    <w:name w:val="No Spacing"/>
    <w:uiPriority w:val="1"/>
    <w:qFormat/>
    <w:rsid w:val="00741BDB"/>
    <w:pPr>
      <w:spacing w:after="0" w:line="240" w:lineRule="auto"/>
    </w:pPr>
  </w:style>
  <w:style w:type="paragraph" w:styleId="ListParagraph">
    <w:name w:val="List Paragraph"/>
    <w:basedOn w:val="Normal"/>
    <w:uiPriority w:val="34"/>
    <w:qFormat/>
    <w:rsid w:val="00E65643"/>
    <w:pPr>
      <w:ind w:left="720"/>
      <w:contextualSpacing/>
    </w:pPr>
  </w:style>
  <w:style w:type="paragraph" w:styleId="Header">
    <w:name w:val="header"/>
    <w:basedOn w:val="Normal"/>
    <w:link w:val="HeaderChar"/>
    <w:uiPriority w:val="99"/>
    <w:unhideWhenUsed/>
    <w:rsid w:val="005A0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F7"/>
  </w:style>
  <w:style w:type="paragraph" w:styleId="Footer">
    <w:name w:val="footer"/>
    <w:basedOn w:val="Normal"/>
    <w:link w:val="FooterChar"/>
    <w:uiPriority w:val="99"/>
    <w:unhideWhenUsed/>
    <w:rsid w:val="005A0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F7"/>
  </w:style>
  <w:style w:type="table" w:styleId="TableGrid">
    <w:name w:val="Table Grid"/>
    <w:basedOn w:val="TableNormal"/>
    <w:uiPriority w:val="39"/>
    <w:rsid w:val="00540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52539">
      <w:bodyDiv w:val="1"/>
      <w:marLeft w:val="0"/>
      <w:marRight w:val="0"/>
      <w:marTop w:val="0"/>
      <w:marBottom w:val="0"/>
      <w:divBdr>
        <w:top w:val="none" w:sz="0" w:space="0" w:color="auto"/>
        <w:left w:val="none" w:sz="0" w:space="0" w:color="auto"/>
        <w:bottom w:val="none" w:sz="0" w:space="0" w:color="auto"/>
        <w:right w:val="none" w:sz="0" w:space="0" w:color="auto"/>
      </w:divBdr>
    </w:div>
    <w:div w:id="616571741">
      <w:bodyDiv w:val="1"/>
      <w:marLeft w:val="0"/>
      <w:marRight w:val="0"/>
      <w:marTop w:val="0"/>
      <w:marBottom w:val="0"/>
      <w:divBdr>
        <w:top w:val="none" w:sz="0" w:space="0" w:color="auto"/>
        <w:left w:val="none" w:sz="0" w:space="0" w:color="auto"/>
        <w:bottom w:val="none" w:sz="0" w:space="0" w:color="auto"/>
        <w:right w:val="none" w:sz="0" w:space="0" w:color="auto"/>
      </w:divBdr>
    </w:div>
    <w:div w:id="752243958">
      <w:bodyDiv w:val="1"/>
      <w:marLeft w:val="0"/>
      <w:marRight w:val="0"/>
      <w:marTop w:val="0"/>
      <w:marBottom w:val="0"/>
      <w:divBdr>
        <w:top w:val="none" w:sz="0" w:space="0" w:color="auto"/>
        <w:left w:val="none" w:sz="0" w:space="0" w:color="auto"/>
        <w:bottom w:val="none" w:sz="0" w:space="0" w:color="auto"/>
        <w:right w:val="none" w:sz="0" w:space="0" w:color="auto"/>
      </w:divBdr>
    </w:div>
    <w:div w:id="1116750790">
      <w:bodyDiv w:val="1"/>
      <w:marLeft w:val="0"/>
      <w:marRight w:val="0"/>
      <w:marTop w:val="0"/>
      <w:marBottom w:val="0"/>
      <w:divBdr>
        <w:top w:val="none" w:sz="0" w:space="0" w:color="auto"/>
        <w:left w:val="none" w:sz="0" w:space="0" w:color="auto"/>
        <w:bottom w:val="none" w:sz="0" w:space="0" w:color="auto"/>
        <w:right w:val="none" w:sz="0" w:space="0" w:color="auto"/>
      </w:divBdr>
    </w:div>
    <w:div w:id="1174497428">
      <w:bodyDiv w:val="1"/>
      <w:marLeft w:val="0"/>
      <w:marRight w:val="0"/>
      <w:marTop w:val="0"/>
      <w:marBottom w:val="0"/>
      <w:divBdr>
        <w:top w:val="none" w:sz="0" w:space="0" w:color="auto"/>
        <w:left w:val="none" w:sz="0" w:space="0" w:color="auto"/>
        <w:bottom w:val="none" w:sz="0" w:space="0" w:color="auto"/>
        <w:right w:val="none" w:sz="0" w:space="0" w:color="auto"/>
      </w:divBdr>
    </w:div>
    <w:div w:id="20581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City</dc:creator>
  <cp:keywords/>
  <dc:description/>
  <cp:lastModifiedBy>Alicia Hills</cp:lastModifiedBy>
  <cp:revision>16</cp:revision>
  <cp:lastPrinted>2026-03-02T22:57:00Z</cp:lastPrinted>
  <dcterms:created xsi:type="dcterms:W3CDTF">2026-03-02T22:49:00Z</dcterms:created>
  <dcterms:modified xsi:type="dcterms:W3CDTF">2026-03-06T03:56:00Z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e9142def6b8e8f59676182970f4ecf7a14184092d73463d922ba4f4e9eb6ca1b</vt:lpwstr>
  </property>
</Properties>
</file>