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8F67" w14:textId="77777777" w:rsidR="00716800" w:rsidRDefault="00716800" w:rsidP="00716800">
      <w:pPr>
        <w:spacing w:after="0"/>
        <w:ind w:left="1980"/>
        <w:rPr>
          <w:b/>
          <w:bCs/>
          <w:sz w:val="24"/>
          <w:szCs w:val="24"/>
        </w:rPr>
      </w:pPr>
      <w:r>
        <w:rPr>
          <w:noProof/>
        </w:rPr>
        <w:drawing>
          <wp:anchor distT="0" distB="0" distL="114300" distR="114300" simplePos="0" relativeHeight="251659264" behindDoc="0" locked="0" layoutInCell="1" allowOverlap="1" wp14:anchorId="77065ADC" wp14:editId="49D8AFE5">
            <wp:simplePos x="0" y="0"/>
            <wp:positionH relativeFrom="column">
              <wp:posOffset>-273050</wp:posOffset>
            </wp:positionH>
            <wp:positionV relativeFrom="paragraph">
              <wp:posOffset>-291465</wp:posOffset>
            </wp:positionV>
            <wp:extent cx="1447800" cy="1181100"/>
            <wp:effectExtent l="0" t="0" r="0" b="0"/>
            <wp:wrapNone/>
            <wp:docPr id="1684931333"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ck tower in front of a building&#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181100"/>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 xml:space="preserve">PLANNING COMMISSION </w:t>
      </w:r>
    </w:p>
    <w:p w14:paraId="5CF164F1" w14:textId="6E139C2D" w:rsidR="00716800" w:rsidRDefault="00716800" w:rsidP="00716800">
      <w:pPr>
        <w:spacing w:after="0"/>
        <w:ind w:left="1980"/>
        <w:rPr>
          <w:b/>
          <w:bCs/>
          <w:sz w:val="24"/>
          <w:szCs w:val="24"/>
        </w:rPr>
      </w:pPr>
      <w:r>
        <w:rPr>
          <w:b/>
          <w:bCs/>
          <w:sz w:val="24"/>
          <w:szCs w:val="24"/>
        </w:rPr>
        <w:t xml:space="preserve">November 12, 2025 </w:t>
      </w:r>
    </w:p>
    <w:p w14:paraId="33BA5B6D" w14:textId="77777777" w:rsidR="00716800" w:rsidRDefault="00716800" w:rsidP="00716800">
      <w:pPr>
        <w:spacing w:after="0"/>
        <w:ind w:left="1980"/>
        <w:rPr>
          <w:b/>
          <w:bCs/>
          <w:sz w:val="24"/>
          <w:szCs w:val="24"/>
        </w:rPr>
      </w:pPr>
      <w:r>
        <w:rPr>
          <w:b/>
          <w:bCs/>
          <w:sz w:val="24"/>
          <w:szCs w:val="24"/>
        </w:rPr>
        <w:t>City Council Chambers at 38 West Center Street</w:t>
      </w:r>
    </w:p>
    <w:p w14:paraId="0F523154" w14:textId="77777777" w:rsidR="00716800" w:rsidRDefault="00716800" w:rsidP="00716800">
      <w:pPr>
        <w:rPr>
          <w:sz w:val="24"/>
          <w:szCs w:val="24"/>
        </w:rPr>
      </w:pPr>
    </w:p>
    <w:p w14:paraId="5F3B16FD" w14:textId="77777777" w:rsidR="00716800" w:rsidRDefault="00716800" w:rsidP="00716800">
      <w:pPr>
        <w:rPr>
          <w:sz w:val="24"/>
          <w:szCs w:val="24"/>
        </w:rPr>
      </w:pPr>
    </w:p>
    <w:p w14:paraId="78EDDFF1" w14:textId="77777777" w:rsidR="00716800" w:rsidRDefault="00716800" w:rsidP="00716800">
      <w:pPr>
        <w:rPr>
          <w:sz w:val="24"/>
          <w:szCs w:val="24"/>
        </w:rPr>
      </w:pPr>
      <w:r>
        <w:rPr>
          <w:b/>
          <w:bCs/>
          <w:sz w:val="24"/>
          <w:szCs w:val="24"/>
        </w:rPr>
        <w:t>Start Time</w:t>
      </w:r>
      <w:r>
        <w:rPr>
          <w:sz w:val="24"/>
          <w:szCs w:val="24"/>
        </w:rPr>
        <w:t>: 7:00</w:t>
      </w:r>
    </w:p>
    <w:p w14:paraId="58B5204D" w14:textId="381B8663" w:rsidR="00716800" w:rsidRPr="00902F54" w:rsidRDefault="00716800" w:rsidP="00716800">
      <w:r>
        <w:rPr>
          <w:b/>
          <w:bCs/>
          <w:sz w:val="24"/>
          <w:szCs w:val="24"/>
        </w:rPr>
        <w:t>Roll Call</w:t>
      </w:r>
      <w:r>
        <w:rPr>
          <w:sz w:val="24"/>
          <w:szCs w:val="24"/>
        </w:rPr>
        <w:t xml:space="preserve">: </w:t>
      </w:r>
      <w:r w:rsidRPr="00902F54">
        <w:t xml:space="preserve">Commissioners </w:t>
      </w:r>
      <w:r>
        <w:t>Debbie</w:t>
      </w:r>
      <w:r w:rsidRPr="00902F54">
        <w:t xml:space="preserve"> Greener</w:t>
      </w:r>
      <w:r>
        <w:t>, Vern</w:t>
      </w:r>
      <w:r w:rsidRPr="00902F54">
        <w:t xml:space="preserve"> Miller</w:t>
      </w:r>
      <w:r>
        <w:t xml:space="preserve">, </w:t>
      </w:r>
      <w:r w:rsidR="00AC03B0">
        <w:t>Thomas Bore</w:t>
      </w:r>
      <w:r>
        <w:t>,</w:t>
      </w:r>
      <w:r w:rsidR="00AC03B0">
        <w:t xml:space="preserve"> Steven Saulter,</w:t>
      </w:r>
      <w:r>
        <w:t xml:space="preserve"> </w:t>
      </w:r>
      <w:r w:rsidRPr="00902F54">
        <w:t>and</w:t>
      </w:r>
      <w:r>
        <w:t xml:space="preserve"> Jill</w:t>
      </w:r>
      <w:r w:rsidRPr="00902F54">
        <w:t xml:space="preserve"> White</w:t>
      </w:r>
      <w:r>
        <w:t xml:space="preserve"> </w:t>
      </w:r>
      <w:r w:rsidRPr="00902F54">
        <w:t>were present.</w:t>
      </w:r>
    </w:p>
    <w:p w14:paraId="37A51EA3" w14:textId="28FC62A8" w:rsidR="00716800" w:rsidRDefault="00716800" w:rsidP="00716800">
      <w:pPr>
        <w:rPr>
          <w:sz w:val="24"/>
          <w:szCs w:val="24"/>
        </w:rPr>
      </w:pPr>
      <w:r>
        <w:rPr>
          <w:b/>
          <w:bCs/>
          <w:sz w:val="24"/>
          <w:szCs w:val="24"/>
        </w:rPr>
        <w:t>Others Present</w:t>
      </w:r>
      <w:r>
        <w:rPr>
          <w:sz w:val="24"/>
          <w:szCs w:val="24"/>
        </w:rPr>
        <w:t xml:space="preserve">: </w:t>
      </w:r>
      <w:r w:rsidRPr="00902F54">
        <w:t>City Treasurer</w:t>
      </w:r>
      <w:r>
        <w:t xml:space="preserve"> Mandi</w:t>
      </w:r>
      <w:r w:rsidRPr="00902F54">
        <w:t xml:space="preserve"> Buege,</w:t>
      </w:r>
      <w:r>
        <w:t xml:space="preserve"> Dennis Marker, Albert Park with A&amp;M, Construction, </w:t>
      </w:r>
      <w:r w:rsidR="006E1070">
        <w:t xml:space="preserve">Eric Hammer, Sam Roach, </w:t>
      </w:r>
      <w:r w:rsidR="004136C0">
        <w:t>Glen Begay</w:t>
      </w:r>
    </w:p>
    <w:p w14:paraId="549525EF" w14:textId="4B4AC216" w:rsidR="00716800" w:rsidRDefault="00716800" w:rsidP="00716800">
      <w:pPr>
        <w:rPr>
          <w:sz w:val="24"/>
          <w:szCs w:val="24"/>
        </w:rPr>
      </w:pPr>
      <w:r>
        <w:rPr>
          <w:b/>
          <w:bCs/>
          <w:sz w:val="24"/>
          <w:szCs w:val="24"/>
        </w:rPr>
        <w:t xml:space="preserve">Invocation/inspirational thought </w:t>
      </w:r>
      <w:r w:rsidR="00AC03B0">
        <w:t>Steven Saulter</w:t>
      </w:r>
    </w:p>
    <w:p w14:paraId="78DD300A" w14:textId="77777777" w:rsidR="00716800" w:rsidRDefault="00716800" w:rsidP="00716800">
      <w:r>
        <w:rPr>
          <w:b/>
          <w:bCs/>
          <w:sz w:val="24"/>
          <w:szCs w:val="24"/>
        </w:rPr>
        <w:t xml:space="preserve">Pledge of Allegiance </w:t>
      </w:r>
      <w:r w:rsidRPr="00902F54">
        <w:t xml:space="preserve">Commissioner </w:t>
      </w:r>
      <w:r>
        <w:t>Greener</w:t>
      </w:r>
    </w:p>
    <w:p w14:paraId="5888F740" w14:textId="77777777" w:rsidR="00716800" w:rsidRDefault="00716800" w:rsidP="00716800"/>
    <w:p w14:paraId="198249C3" w14:textId="77777777" w:rsidR="00716800" w:rsidRPr="0012647E" w:rsidRDefault="00716800" w:rsidP="00716800">
      <w:pPr>
        <w:rPr>
          <w:b/>
          <w:bCs/>
          <w:sz w:val="28"/>
          <w:szCs w:val="28"/>
          <w:u w:val="single"/>
        </w:rPr>
      </w:pPr>
      <w:r w:rsidRPr="0012647E">
        <w:rPr>
          <w:b/>
          <w:bCs/>
          <w:sz w:val="28"/>
          <w:szCs w:val="28"/>
          <w:u w:val="single"/>
        </w:rPr>
        <w:t>Public Forum</w:t>
      </w:r>
    </w:p>
    <w:p w14:paraId="64AAF2A2" w14:textId="66090E5E" w:rsidR="00716800" w:rsidRPr="007E16BF" w:rsidRDefault="00716800" w:rsidP="00716800">
      <w:pPr>
        <w:rPr>
          <w:sz w:val="24"/>
          <w:szCs w:val="24"/>
        </w:rPr>
      </w:pPr>
      <w:r>
        <w:rPr>
          <w:sz w:val="24"/>
          <w:szCs w:val="24"/>
        </w:rPr>
        <w:t>No public comment was made.</w:t>
      </w:r>
    </w:p>
    <w:p w14:paraId="0D2B2059" w14:textId="77777777" w:rsidR="00716800" w:rsidRDefault="00716800" w:rsidP="00716800">
      <w:pPr>
        <w:rPr>
          <w:b/>
          <w:bCs/>
          <w:sz w:val="28"/>
          <w:szCs w:val="28"/>
          <w:u w:val="single"/>
        </w:rPr>
      </w:pPr>
      <w:r>
        <w:rPr>
          <w:b/>
          <w:bCs/>
          <w:sz w:val="28"/>
          <w:szCs w:val="28"/>
          <w:u w:val="single"/>
        </w:rPr>
        <w:t>Public Hearing</w:t>
      </w:r>
    </w:p>
    <w:p w14:paraId="4459C57B" w14:textId="77777777" w:rsidR="002718DF" w:rsidRPr="002718DF" w:rsidRDefault="002718DF" w:rsidP="002718DF">
      <w:pPr>
        <w:rPr>
          <w:sz w:val="24"/>
          <w:szCs w:val="24"/>
        </w:rPr>
      </w:pPr>
      <w:r w:rsidRPr="002718DF">
        <w:rPr>
          <w:sz w:val="24"/>
          <w:szCs w:val="24"/>
        </w:rPr>
        <w:t>Albert Park addressed the Commission and stated that the request was to allow construction of townhomes instead of duplexes. He explained that the proposed development would consist of the same style of buildings with additional units and that the intent was to help meet the need for affordable housing in the area. He noted that there had been limited new housing development in the community over the past 20 years.</w:t>
      </w:r>
    </w:p>
    <w:p w14:paraId="42F9D2EE" w14:textId="77777777" w:rsidR="002718DF" w:rsidRPr="002718DF" w:rsidRDefault="002718DF" w:rsidP="002718DF">
      <w:pPr>
        <w:rPr>
          <w:sz w:val="24"/>
          <w:szCs w:val="24"/>
        </w:rPr>
      </w:pPr>
      <w:r w:rsidRPr="002718DF">
        <w:rPr>
          <w:sz w:val="24"/>
          <w:szCs w:val="24"/>
        </w:rPr>
        <w:t>Mr. Park stated that the proposed townhomes would not be large structures and would be slab-on-grade, modern-style units with approximately 2,000 square feet of living space and two-car garages. He indicated that the target price point would be approximately $300,000, which he believed was affordable for new construction in the area.</w:t>
      </w:r>
    </w:p>
    <w:p w14:paraId="5A4FCB4F" w14:textId="0AEAA001" w:rsidR="006E1070" w:rsidRPr="007E16BF" w:rsidRDefault="002718DF" w:rsidP="00716800">
      <w:pPr>
        <w:rPr>
          <w:sz w:val="24"/>
          <w:szCs w:val="24"/>
        </w:rPr>
      </w:pPr>
      <w:r w:rsidRPr="002718DF">
        <w:rPr>
          <w:sz w:val="24"/>
          <w:szCs w:val="24"/>
        </w:rPr>
        <w:t>He further explained that the property was located near existing multi-family developments, including apartments across the street, and stated that he believed the location was appropriate for higher-density housing. He indicated that the lot size and surrounding development supported the proposed rezoning and that the project would be consistent with ongoing growth in the area.</w:t>
      </w:r>
    </w:p>
    <w:p w14:paraId="4A84B499" w14:textId="36E71650" w:rsidR="00716800" w:rsidRPr="0046499C" w:rsidRDefault="00716800" w:rsidP="00716800">
      <w:pPr>
        <w:rPr>
          <w:b/>
          <w:bCs/>
          <w:sz w:val="24"/>
          <w:szCs w:val="24"/>
        </w:rPr>
      </w:pPr>
      <w:r w:rsidRPr="0046499C">
        <w:rPr>
          <w:b/>
          <w:bCs/>
          <w:sz w:val="24"/>
          <w:szCs w:val="24"/>
        </w:rPr>
        <w:t>Motion to open the public hearing made by Commissioner</w:t>
      </w:r>
      <w:r w:rsidR="00D00CE6">
        <w:rPr>
          <w:b/>
          <w:bCs/>
          <w:sz w:val="24"/>
          <w:szCs w:val="24"/>
        </w:rPr>
        <w:t xml:space="preserve"> Saulter</w:t>
      </w:r>
      <w:r>
        <w:rPr>
          <w:b/>
          <w:bCs/>
          <w:sz w:val="24"/>
          <w:szCs w:val="24"/>
        </w:rPr>
        <w:t xml:space="preserve"> </w:t>
      </w:r>
      <w:r w:rsidRPr="0046499C">
        <w:rPr>
          <w:b/>
          <w:bCs/>
          <w:sz w:val="24"/>
          <w:szCs w:val="24"/>
        </w:rPr>
        <w:t>and seconded by Commissioner</w:t>
      </w:r>
      <w:r w:rsidR="00D00CE6">
        <w:rPr>
          <w:b/>
          <w:bCs/>
          <w:sz w:val="24"/>
          <w:szCs w:val="24"/>
        </w:rPr>
        <w:t xml:space="preserve"> White</w:t>
      </w:r>
      <w:r w:rsidRPr="0046499C">
        <w:rPr>
          <w:b/>
          <w:bCs/>
          <w:sz w:val="24"/>
          <w:szCs w:val="24"/>
        </w:rPr>
        <w:t>.</w:t>
      </w:r>
    </w:p>
    <w:p w14:paraId="6011293F" w14:textId="77777777" w:rsidR="00716800" w:rsidRPr="0046499C" w:rsidRDefault="00716800" w:rsidP="00716800">
      <w:pPr>
        <w:rPr>
          <w:b/>
          <w:bCs/>
          <w:sz w:val="24"/>
          <w:szCs w:val="24"/>
        </w:rPr>
      </w:pPr>
      <w:r w:rsidRPr="0046499C">
        <w:rPr>
          <w:b/>
          <w:bCs/>
          <w:sz w:val="24"/>
          <w:szCs w:val="24"/>
        </w:rPr>
        <w:t>The vote was unanimous</w:t>
      </w:r>
    </w:p>
    <w:p w14:paraId="79F4984F" w14:textId="271FD6E3" w:rsidR="00716800" w:rsidRPr="00716800" w:rsidRDefault="00716800" w:rsidP="00716800">
      <w:pPr>
        <w:ind w:left="1440"/>
        <w:rPr>
          <w:b/>
          <w:bCs/>
          <w:sz w:val="28"/>
          <w:szCs w:val="28"/>
          <w:u w:val="single"/>
        </w:rPr>
      </w:pPr>
      <w:r w:rsidRPr="00716800">
        <w:rPr>
          <w:b/>
          <w:bCs/>
          <w:sz w:val="28"/>
          <w:szCs w:val="28"/>
          <w:u w:val="single"/>
        </w:rPr>
        <w:lastRenderedPageBreak/>
        <w:t>Rezoning of property at 130 West 400 North from R-2 to R-4</w:t>
      </w:r>
    </w:p>
    <w:p w14:paraId="30250EF3" w14:textId="77777777" w:rsidR="006E1070" w:rsidRPr="007E16BF" w:rsidRDefault="006E1070" w:rsidP="006E1070">
      <w:pPr>
        <w:rPr>
          <w:sz w:val="24"/>
          <w:szCs w:val="24"/>
        </w:rPr>
      </w:pPr>
      <w:r w:rsidRPr="007E16BF">
        <w:rPr>
          <w:sz w:val="24"/>
          <w:szCs w:val="24"/>
        </w:rPr>
        <w:t>The Chair invited representatives from A&amp;M Building LLC to address the Commission and explain the request for those not present at the prior month’s presentation.</w:t>
      </w:r>
    </w:p>
    <w:p w14:paraId="18BB4FA1" w14:textId="77777777" w:rsidR="006E1070" w:rsidRPr="007E16BF" w:rsidRDefault="006E1070" w:rsidP="006E1070">
      <w:pPr>
        <w:rPr>
          <w:sz w:val="24"/>
          <w:szCs w:val="24"/>
        </w:rPr>
      </w:pPr>
      <w:r w:rsidRPr="007E16BF">
        <w:rPr>
          <w:sz w:val="24"/>
          <w:szCs w:val="24"/>
        </w:rPr>
        <w:t>Albert Park addressed the Commission and stated that the request was to allow the construction of townhomes instead of duplexes. He explained that the proposed development would consist of similar building styles but with additional units and that the goal was to help address the need for affordable housing in the community. He noted that there had been limited new housing development in the area over the past 20 years.</w:t>
      </w:r>
    </w:p>
    <w:p w14:paraId="64EA94AD" w14:textId="77777777" w:rsidR="006E1070" w:rsidRPr="007E16BF" w:rsidRDefault="006E1070" w:rsidP="006E1070">
      <w:pPr>
        <w:rPr>
          <w:sz w:val="24"/>
          <w:szCs w:val="24"/>
        </w:rPr>
      </w:pPr>
      <w:r w:rsidRPr="007E16BF">
        <w:rPr>
          <w:sz w:val="24"/>
          <w:szCs w:val="24"/>
        </w:rPr>
        <w:t>Mr. Park stated that the proposed townhomes would be slab-on-grade, modern-style units of approximately 2,000 square feet, each with a two-car garage. He indicated that the anticipated price point would be approximately $300,000, which he believed was affordable for new construction in the area.</w:t>
      </w:r>
    </w:p>
    <w:p w14:paraId="16568BBD" w14:textId="77777777" w:rsidR="006E1070" w:rsidRPr="007E16BF" w:rsidRDefault="006E1070" w:rsidP="006E1070">
      <w:pPr>
        <w:rPr>
          <w:sz w:val="24"/>
          <w:szCs w:val="24"/>
        </w:rPr>
      </w:pPr>
      <w:r w:rsidRPr="007E16BF">
        <w:rPr>
          <w:sz w:val="24"/>
          <w:szCs w:val="24"/>
        </w:rPr>
        <w:t>Mr. Park further explained that the property is located near existing multi-family developments, including apartments across the street, and stated that the location was appropriate for higher-density housing. He indicated that the lot size and surrounding development supported the proposed rezoning and that the project would be consistent with growth patterns in the area.</w:t>
      </w:r>
    </w:p>
    <w:p w14:paraId="6183B686" w14:textId="77777777" w:rsidR="006E1070" w:rsidRPr="007E16BF" w:rsidRDefault="006E1070" w:rsidP="006E1070">
      <w:pPr>
        <w:rPr>
          <w:sz w:val="24"/>
          <w:szCs w:val="24"/>
        </w:rPr>
      </w:pPr>
      <w:r w:rsidRPr="007E16BF">
        <w:rPr>
          <w:sz w:val="24"/>
          <w:szCs w:val="24"/>
        </w:rPr>
        <w:t>The Commission discussed infrastructure requirements and the developer’s responsibility to comply with all applicable standards, including potential roadway improvements. Prior discussions referencing possible costs of approximately $10,000 and cost-sharing arrangements were noted, though no decisions were made.</w:t>
      </w:r>
    </w:p>
    <w:p w14:paraId="14FE11EB" w14:textId="77777777" w:rsidR="006E1070" w:rsidRPr="007E16BF" w:rsidRDefault="006E1070" w:rsidP="006E1070">
      <w:pPr>
        <w:rPr>
          <w:sz w:val="24"/>
          <w:szCs w:val="24"/>
        </w:rPr>
      </w:pPr>
      <w:r w:rsidRPr="007E16BF">
        <w:rPr>
          <w:sz w:val="24"/>
          <w:szCs w:val="24"/>
        </w:rPr>
        <w:t>The Commission reviewed the zoning map and surrounding zoning designations and discussed the potential for future development and its cumulative impacts. Concerns were expressed regarding congestion, neighborhood livability, and pedestrian safety as development increases, particularly given the likelihood of young families with children.</w:t>
      </w:r>
    </w:p>
    <w:p w14:paraId="720212AD" w14:textId="77777777" w:rsidR="006E1070" w:rsidRPr="007E16BF" w:rsidRDefault="006E1070" w:rsidP="006E1070">
      <w:pPr>
        <w:rPr>
          <w:sz w:val="24"/>
          <w:szCs w:val="24"/>
        </w:rPr>
      </w:pPr>
      <w:r w:rsidRPr="007E16BF">
        <w:rPr>
          <w:sz w:val="24"/>
          <w:szCs w:val="24"/>
        </w:rPr>
        <w:t>While Commissioners expressed support for thoughtful growth and attainable housing, concerns were noted regarding long-term safety, traffic interaction points, and neighborhood compatibility.</w:t>
      </w:r>
    </w:p>
    <w:p w14:paraId="65BFA898" w14:textId="77777777" w:rsidR="006E1070" w:rsidRPr="007E16BF" w:rsidRDefault="006E1070" w:rsidP="006E1070">
      <w:pPr>
        <w:rPr>
          <w:sz w:val="24"/>
          <w:szCs w:val="24"/>
        </w:rPr>
      </w:pPr>
      <w:r w:rsidRPr="007E16BF">
        <w:rPr>
          <w:b/>
          <w:bCs/>
          <w:sz w:val="24"/>
          <w:szCs w:val="24"/>
        </w:rPr>
        <w:t>Sam Roach</w:t>
      </w:r>
      <w:r w:rsidRPr="007E16BF">
        <w:rPr>
          <w:sz w:val="24"/>
          <w:szCs w:val="24"/>
        </w:rPr>
        <w:t xml:space="preserve"> addressed the Commission and stated that he and his wife owned property adjacent to and across from the subject parcel. He expressed opposition to the rezoning request, citing concerns about increased traffic, child safety near school bus stops, and overall traffic volumes. He questioned occupancy levels of nearby housing and stated that the property should remain as currently </w:t>
      </w:r>
      <w:proofErr w:type="gramStart"/>
      <w:r w:rsidRPr="007E16BF">
        <w:rPr>
          <w:sz w:val="24"/>
          <w:szCs w:val="24"/>
        </w:rPr>
        <w:t>zoned</w:t>
      </w:r>
      <w:proofErr w:type="gramEnd"/>
      <w:r w:rsidRPr="007E16BF">
        <w:rPr>
          <w:sz w:val="24"/>
          <w:szCs w:val="24"/>
        </w:rPr>
        <w:t>.</w:t>
      </w:r>
    </w:p>
    <w:p w14:paraId="04B3B3DA" w14:textId="77777777" w:rsidR="006E1070" w:rsidRPr="007E16BF" w:rsidRDefault="006E1070" w:rsidP="006E1070">
      <w:pPr>
        <w:rPr>
          <w:sz w:val="24"/>
          <w:szCs w:val="24"/>
        </w:rPr>
      </w:pPr>
      <w:r w:rsidRPr="007E16BF">
        <w:rPr>
          <w:b/>
          <w:bCs/>
          <w:sz w:val="24"/>
          <w:szCs w:val="24"/>
        </w:rPr>
        <w:t>Eric Hammer</w:t>
      </w:r>
      <w:r w:rsidRPr="007E16BF">
        <w:rPr>
          <w:sz w:val="24"/>
          <w:szCs w:val="24"/>
        </w:rPr>
        <w:t xml:space="preserve"> addressed the Commission and stated that he lived adjacent to the area. He expressed concerns regarding existing road conditions, noting that portions of the roadway were unpaved and became muddy, posing safety concerns for children. He stated that when he built his home approximately five years earlier, he had been told the road would </w:t>
      </w:r>
      <w:r w:rsidRPr="007E16BF">
        <w:rPr>
          <w:sz w:val="24"/>
          <w:szCs w:val="24"/>
        </w:rPr>
        <w:lastRenderedPageBreak/>
        <w:t>be paved, but that had not occurred. He asked whether roadway improvements would be required if the development were approved.</w:t>
      </w:r>
    </w:p>
    <w:p w14:paraId="68A15014" w14:textId="351AC7BA" w:rsidR="006E1070" w:rsidRPr="007E16BF" w:rsidRDefault="006E1070" w:rsidP="006E1070">
      <w:pPr>
        <w:rPr>
          <w:sz w:val="24"/>
          <w:szCs w:val="24"/>
        </w:rPr>
      </w:pPr>
      <w:r w:rsidRPr="007E16BF">
        <w:rPr>
          <w:sz w:val="24"/>
          <w:szCs w:val="24"/>
        </w:rPr>
        <w:t xml:space="preserve">Mr. Hammer also raised concerns regarding grading, building height, setbacks, and potential impacts on neighboring properties. He asked whether rezoning approval could allow </w:t>
      </w:r>
      <w:r w:rsidR="007E16BF" w:rsidRPr="007E16BF">
        <w:rPr>
          <w:sz w:val="24"/>
          <w:szCs w:val="24"/>
        </w:rPr>
        <w:t>higher density</w:t>
      </w:r>
      <w:r w:rsidRPr="007E16BF">
        <w:rPr>
          <w:sz w:val="24"/>
          <w:szCs w:val="24"/>
        </w:rPr>
        <w:t xml:space="preserve"> uses such as apartments in the future and whether approval could be conditional. Additional questions were raised regarding HOA formation, owner-occupancy versus rental use, and whether restrictions could be placed on rental percentages.</w:t>
      </w:r>
    </w:p>
    <w:p w14:paraId="0F8A056F" w14:textId="77777777" w:rsidR="006E1070" w:rsidRPr="007E16BF" w:rsidRDefault="006E1070" w:rsidP="006E1070">
      <w:pPr>
        <w:rPr>
          <w:sz w:val="24"/>
          <w:szCs w:val="24"/>
        </w:rPr>
      </w:pPr>
      <w:r w:rsidRPr="007E16BF">
        <w:rPr>
          <w:sz w:val="24"/>
          <w:szCs w:val="24"/>
        </w:rPr>
        <w:t>The applicant clarified that the townhomes were intended for sale rather than long-term rental. It was noted that nearby Valley West Apartments and Foxwood Apartments were single-owner rental properties and that an existing R-4 development in the area utilized a private road.</w:t>
      </w:r>
    </w:p>
    <w:p w14:paraId="3CFF1D0F" w14:textId="6D4E45DF" w:rsidR="006E1070" w:rsidRPr="007E16BF" w:rsidRDefault="004136C0" w:rsidP="006E1070">
      <w:pPr>
        <w:rPr>
          <w:sz w:val="24"/>
          <w:szCs w:val="24"/>
        </w:rPr>
      </w:pPr>
      <w:r>
        <w:rPr>
          <w:sz w:val="24"/>
          <w:szCs w:val="24"/>
        </w:rPr>
        <w:t xml:space="preserve">Dennis </w:t>
      </w:r>
      <w:r w:rsidR="006E1070" w:rsidRPr="007E16BF">
        <w:rPr>
          <w:sz w:val="24"/>
          <w:szCs w:val="24"/>
        </w:rPr>
        <w:t>confirmed that affected property owners had been properly notified and that public notice had been posted in accordance with state and city requirements.</w:t>
      </w:r>
    </w:p>
    <w:p w14:paraId="1C025605" w14:textId="3DC6C95E" w:rsidR="003621FF" w:rsidRPr="007E16BF" w:rsidRDefault="006E1070" w:rsidP="006E1070">
      <w:pPr>
        <w:rPr>
          <w:sz w:val="24"/>
          <w:szCs w:val="24"/>
        </w:rPr>
      </w:pPr>
      <w:r w:rsidRPr="007E16BF">
        <w:rPr>
          <w:sz w:val="24"/>
          <w:szCs w:val="24"/>
        </w:rPr>
        <w:t>No additional public comments were offered.</w:t>
      </w:r>
    </w:p>
    <w:p w14:paraId="1CD0AB5B" w14:textId="1F327ECD" w:rsidR="00716800" w:rsidRDefault="00716800" w:rsidP="00716800">
      <w:pPr>
        <w:jc w:val="both"/>
        <w:rPr>
          <w:b/>
          <w:bCs/>
          <w:sz w:val="24"/>
          <w:szCs w:val="24"/>
        </w:rPr>
      </w:pPr>
      <w:r>
        <w:rPr>
          <w:b/>
          <w:bCs/>
          <w:sz w:val="24"/>
          <w:szCs w:val="24"/>
        </w:rPr>
        <w:t>Motion to close the public hearing made by Commissioner</w:t>
      </w:r>
      <w:r w:rsidR="003E5DA0">
        <w:rPr>
          <w:b/>
          <w:bCs/>
          <w:sz w:val="24"/>
          <w:szCs w:val="24"/>
        </w:rPr>
        <w:t xml:space="preserve"> Bore</w:t>
      </w:r>
      <w:r>
        <w:rPr>
          <w:b/>
          <w:bCs/>
          <w:sz w:val="24"/>
          <w:szCs w:val="24"/>
        </w:rPr>
        <w:t xml:space="preserve"> and seconded by Commissioner</w:t>
      </w:r>
      <w:r w:rsidR="003E5DA0">
        <w:rPr>
          <w:b/>
          <w:bCs/>
          <w:sz w:val="24"/>
          <w:szCs w:val="24"/>
        </w:rPr>
        <w:t xml:space="preserve"> Miller</w:t>
      </w:r>
      <w:r>
        <w:rPr>
          <w:b/>
          <w:bCs/>
          <w:sz w:val="24"/>
          <w:szCs w:val="24"/>
        </w:rPr>
        <w:t>.</w:t>
      </w:r>
    </w:p>
    <w:p w14:paraId="0C4A8A71" w14:textId="77777777" w:rsidR="00716800" w:rsidRDefault="00716800" w:rsidP="00716800">
      <w:pPr>
        <w:jc w:val="both"/>
        <w:rPr>
          <w:b/>
          <w:bCs/>
          <w:sz w:val="24"/>
          <w:szCs w:val="24"/>
        </w:rPr>
      </w:pPr>
      <w:r>
        <w:rPr>
          <w:b/>
          <w:bCs/>
          <w:sz w:val="24"/>
          <w:szCs w:val="24"/>
        </w:rPr>
        <w:t>The vote was unanimously in favor.</w:t>
      </w:r>
    </w:p>
    <w:p w14:paraId="22B38A3C" w14:textId="6FAFCCB7" w:rsidR="00EC236F" w:rsidRPr="00EC236F" w:rsidRDefault="00EC236F" w:rsidP="00EC236F">
      <w:pPr>
        <w:rPr>
          <w:b/>
          <w:bCs/>
        </w:rPr>
      </w:pPr>
      <w:r w:rsidRPr="00BB66FF">
        <w:rPr>
          <w:b/>
          <w:bCs/>
        </w:rPr>
        <w:t>Post-Hearing Commission Discussion</w:t>
      </w:r>
    </w:p>
    <w:p w14:paraId="358BD08F" w14:textId="61BC0ACB" w:rsidR="00EC236F" w:rsidRPr="007E16BF" w:rsidRDefault="00EC236F" w:rsidP="00EC236F">
      <w:pPr>
        <w:rPr>
          <w:sz w:val="24"/>
          <w:szCs w:val="24"/>
        </w:rPr>
      </w:pPr>
      <w:r w:rsidRPr="007E16BF">
        <w:rPr>
          <w:sz w:val="24"/>
          <w:szCs w:val="24"/>
        </w:rPr>
        <w:t>Following the closure of the public hearing, the Commission discussed limitations within the City’s existing code regarding conditions that could be imposed. It was noted that some potential conditions, including ownership or occupancy requirements, may require further review by the City Council.</w:t>
      </w:r>
    </w:p>
    <w:p w14:paraId="4FCCCF78" w14:textId="40FF1AE9" w:rsidR="00EC236F" w:rsidRPr="007E16BF" w:rsidRDefault="00EC236F" w:rsidP="00EC236F">
      <w:pPr>
        <w:rPr>
          <w:sz w:val="24"/>
          <w:szCs w:val="24"/>
        </w:rPr>
      </w:pPr>
      <w:r w:rsidRPr="007E16BF">
        <w:rPr>
          <w:sz w:val="24"/>
          <w:szCs w:val="24"/>
        </w:rPr>
        <w:t>Commission members discussed potential recommendations to the City Council, including fencing along property boundaries, establishment of a homeowner’s association (HOA), consideration of owner-occupancy requirements, landscaping standards, and roadway improvements. Commissioners emphasized the importance of long-term neighborhood quality and compatibility.</w:t>
      </w:r>
    </w:p>
    <w:p w14:paraId="49E6A209" w14:textId="485BF085" w:rsidR="00EC236F" w:rsidRPr="007E16BF" w:rsidRDefault="00EC236F" w:rsidP="007E16BF">
      <w:pPr>
        <w:rPr>
          <w:sz w:val="24"/>
          <w:szCs w:val="24"/>
        </w:rPr>
      </w:pPr>
      <w:r w:rsidRPr="007E16BF">
        <w:rPr>
          <w:sz w:val="24"/>
          <w:szCs w:val="24"/>
        </w:rPr>
        <w:t>Dennis confirmed that concerns raised could be incorporated into recommended findings and conditions within the staff report.</w:t>
      </w:r>
    </w:p>
    <w:p w14:paraId="22ADD65D" w14:textId="71F11D65" w:rsidR="00716800" w:rsidRDefault="00716800" w:rsidP="00716800">
      <w:pPr>
        <w:pStyle w:val="BodyText"/>
        <w:spacing w:after="0"/>
        <w:ind w:left="0"/>
        <w:rPr>
          <w:rFonts w:asciiTheme="minorHAnsi" w:hAnsiTheme="minorHAnsi"/>
          <w:b/>
          <w:bCs/>
          <w:sz w:val="24"/>
          <w:szCs w:val="24"/>
        </w:rPr>
      </w:pPr>
      <w:r>
        <w:rPr>
          <w:rFonts w:asciiTheme="minorHAnsi" w:hAnsiTheme="minorHAnsi"/>
          <w:b/>
          <w:bCs/>
          <w:sz w:val="24"/>
          <w:szCs w:val="24"/>
        </w:rPr>
        <w:t>Commissioner</w:t>
      </w:r>
      <w:r w:rsidR="00AF3D2F">
        <w:rPr>
          <w:rFonts w:asciiTheme="minorHAnsi" w:hAnsiTheme="minorHAnsi"/>
          <w:b/>
          <w:bCs/>
          <w:sz w:val="24"/>
          <w:szCs w:val="24"/>
        </w:rPr>
        <w:t xml:space="preserve"> Miller</w:t>
      </w:r>
      <w:r>
        <w:rPr>
          <w:rFonts w:asciiTheme="minorHAnsi" w:hAnsiTheme="minorHAnsi"/>
          <w:b/>
          <w:bCs/>
          <w:sz w:val="24"/>
          <w:szCs w:val="24"/>
        </w:rPr>
        <w:t xml:space="preserve"> made a motion to </w:t>
      </w:r>
      <w:r w:rsidR="00AF3D2F">
        <w:rPr>
          <w:rFonts w:asciiTheme="minorHAnsi" w:hAnsiTheme="minorHAnsi"/>
          <w:b/>
          <w:bCs/>
          <w:sz w:val="24"/>
          <w:szCs w:val="24"/>
        </w:rPr>
        <w:t xml:space="preserve">positively recommend to city council </w:t>
      </w:r>
      <w:r w:rsidR="00EC236F">
        <w:rPr>
          <w:rFonts w:asciiTheme="minorHAnsi" w:hAnsiTheme="minorHAnsi"/>
          <w:b/>
          <w:bCs/>
          <w:sz w:val="24"/>
          <w:szCs w:val="24"/>
        </w:rPr>
        <w:t xml:space="preserve">based on the findings and conditions outlined in the staff report along </w:t>
      </w:r>
      <w:r w:rsidR="00AF3D2F">
        <w:rPr>
          <w:rFonts w:asciiTheme="minorHAnsi" w:hAnsiTheme="minorHAnsi"/>
          <w:b/>
          <w:bCs/>
          <w:sz w:val="24"/>
          <w:szCs w:val="24"/>
        </w:rPr>
        <w:t>with the conditions of the discussion for a fence around the property, the HOA</w:t>
      </w:r>
      <w:r w:rsidR="006E5BC5">
        <w:rPr>
          <w:rFonts w:asciiTheme="minorHAnsi" w:hAnsiTheme="minorHAnsi"/>
          <w:b/>
          <w:bCs/>
          <w:sz w:val="24"/>
          <w:szCs w:val="24"/>
        </w:rPr>
        <w:t xml:space="preserve"> to be reviewed by the city</w:t>
      </w:r>
      <w:r w:rsidR="00AF3D2F">
        <w:rPr>
          <w:rFonts w:asciiTheme="minorHAnsi" w:hAnsiTheme="minorHAnsi"/>
          <w:b/>
          <w:bCs/>
          <w:sz w:val="24"/>
          <w:szCs w:val="24"/>
        </w:rPr>
        <w:t>, and % of home be owners occupied</w:t>
      </w:r>
      <w:r w:rsidR="006E5BC5">
        <w:rPr>
          <w:rFonts w:asciiTheme="minorHAnsi" w:hAnsiTheme="minorHAnsi"/>
          <w:b/>
          <w:bCs/>
          <w:sz w:val="24"/>
          <w:szCs w:val="24"/>
        </w:rPr>
        <w:t xml:space="preserve">. </w:t>
      </w:r>
      <w:r w:rsidR="007E16BF">
        <w:rPr>
          <w:rFonts w:asciiTheme="minorHAnsi" w:hAnsiTheme="minorHAnsi"/>
          <w:b/>
          <w:bCs/>
          <w:sz w:val="24"/>
          <w:szCs w:val="24"/>
        </w:rPr>
        <w:t>Also,</w:t>
      </w:r>
      <w:r w:rsidR="006E5BC5">
        <w:rPr>
          <w:rFonts w:asciiTheme="minorHAnsi" w:hAnsiTheme="minorHAnsi"/>
          <w:b/>
          <w:bCs/>
          <w:sz w:val="24"/>
          <w:szCs w:val="24"/>
        </w:rPr>
        <w:t xml:space="preserve"> they comply with the city’s building and landscaping development standards.</w:t>
      </w:r>
      <w:r>
        <w:rPr>
          <w:rFonts w:asciiTheme="minorHAnsi" w:hAnsiTheme="minorHAnsi"/>
          <w:b/>
          <w:bCs/>
          <w:sz w:val="24"/>
          <w:szCs w:val="24"/>
        </w:rPr>
        <w:t xml:space="preserve"> </w:t>
      </w:r>
      <w:r w:rsidR="00EC236F">
        <w:rPr>
          <w:rFonts w:asciiTheme="minorHAnsi" w:hAnsiTheme="minorHAnsi"/>
          <w:b/>
          <w:bCs/>
          <w:sz w:val="24"/>
          <w:szCs w:val="24"/>
        </w:rPr>
        <w:t>T</w:t>
      </w:r>
      <w:r>
        <w:rPr>
          <w:rFonts w:asciiTheme="minorHAnsi" w:hAnsiTheme="minorHAnsi"/>
          <w:b/>
          <w:bCs/>
          <w:sz w:val="24"/>
          <w:szCs w:val="24"/>
        </w:rPr>
        <w:t>he motion was seconded by Commissioner</w:t>
      </w:r>
      <w:r w:rsidR="00AF3D2F">
        <w:rPr>
          <w:rFonts w:asciiTheme="minorHAnsi" w:hAnsiTheme="minorHAnsi"/>
          <w:b/>
          <w:bCs/>
          <w:sz w:val="24"/>
          <w:szCs w:val="24"/>
        </w:rPr>
        <w:t xml:space="preserve"> Bore</w:t>
      </w:r>
      <w:r>
        <w:rPr>
          <w:rFonts w:asciiTheme="minorHAnsi" w:hAnsiTheme="minorHAnsi"/>
          <w:b/>
          <w:bCs/>
          <w:sz w:val="24"/>
          <w:szCs w:val="24"/>
        </w:rPr>
        <w:t>.</w:t>
      </w:r>
    </w:p>
    <w:p w14:paraId="020561F0" w14:textId="77777777" w:rsidR="00716800" w:rsidRDefault="00716800" w:rsidP="00716800">
      <w:pPr>
        <w:pStyle w:val="BodyText"/>
        <w:spacing w:after="0"/>
        <w:ind w:left="0"/>
        <w:rPr>
          <w:rFonts w:asciiTheme="minorHAnsi" w:hAnsiTheme="minorHAnsi"/>
          <w:b/>
          <w:bCs/>
          <w:sz w:val="24"/>
          <w:szCs w:val="24"/>
        </w:rPr>
      </w:pPr>
    </w:p>
    <w:p w14:paraId="41D4B604" w14:textId="0A44921E" w:rsidR="00716800" w:rsidRDefault="00716800" w:rsidP="00716800">
      <w:pPr>
        <w:pStyle w:val="BodyText"/>
        <w:spacing w:after="0"/>
        <w:ind w:left="0"/>
        <w:rPr>
          <w:rFonts w:asciiTheme="minorHAnsi" w:hAnsiTheme="minorHAnsi"/>
          <w:b/>
          <w:bCs/>
          <w:sz w:val="24"/>
          <w:szCs w:val="24"/>
        </w:rPr>
      </w:pPr>
      <w:r>
        <w:rPr>
          <w:rFonts w:asciiTheme="minorHAnsi" w:hAnsiTheme="minorHAnsi"/>
          <w:b/>
          <w:bCs/>
          <w:sz w:val="24"/>
          <w:szCs w:val="24"/>
        </w:rPr>
        <w:lastRenderedPageBreak/>
        <w:t xml:space="preserve">The vote is unanimous </w:t>
      </w:r>
      <w:r w:rsidR="00AF3D2F">
        <w:rPr>
          <w:rFonts w:asciiTheme="minorHAnsi" w:hAnsiTheme="minorHAnsi"/>
          <w:b/>
          <w:bCs/>
          <w:sz w:val="24"/>
          <w:szCs w:val="24"/>
        </w:rPr>
        <w:t>in favor.</w:t>
      </w:r>
    </w:p>
    <w:p w14:paraId="18578AA1" w14:textId="77777777" w:rsidR="00716800" w:rsidRDefault="00716800" w:rsidP="00716800">
      <w:pPr>
        <w:rPr>
          <w:b/>
          <w:bCs/>
          <w:sz w:val="24"/>
          <w:szCs w:val="24"/>
          <w:u w:val="single"/>
        </w:rPr>
      </w:pPr>
    </w:p>
    <w:p w14:paraId="39FB4285" w14:textId="77777777" w:rsidR="00EC236F" w:rsidRDefault="00EC236F" w:rsidP="00EC236F">
      <w:pPr>
        <w:rPr>
          <w:b/>
          <w:bCs/>
          <w:sz w:val="28"/>
          <w:szCs w:val="28"/>
          <w:u w:val="single"/>
        </w:rPr>
      </w:pPr>
      <w:r w:rsidRPr="00AD12C3">
        <w:rPr>
          <w:b/>
          <w:bCs/>
          <w:sz w:val="28"/>
          <w:szCs w:val="28"/>
          <w:u w:val="single"/>
        </w:rPr>
        <w:t xml:space="preserve">Review and approval of Minutes </w:t>
      </w:r>
      <w:r>
        <w:rPr>
          <w:b/>
          <w:bCs/>
          <w:sz w:val="28"/>
          <w:szCs w:val="28"/>
          <w:u w:val="single"/>
        </w:rPr>
        <w:t>for the October 22</w:t>
      </w:r>
      <w:r w:rsidRPr="00716800">
        <w:rPr>
          <w:b/>
          <w:bCs/>
          <w:sz w:val="28"/>
          <w:szCs w:val="28"/>
          <w:u w:val="single"/>
          <w:vertAlign w:val="superscript"/>
        </w:rPr>
        <w:t>nd</w:t>
      </w:r>
      <w:r>
        <w:rPr>
          <w:b/>
          <w:bCs/>
          <w:sz w:val="28"/>
          <w:szCs w:val="28"/>
          <w:u w:val="single"/>
        </w:rPr>
        <w:t xml:space="preserve">  meeting</w:t>
      </w:r>
    </w:p>
    <w:p w14:paraId="7733BAF6" w14:textId="269E4EC3" w:rsidR="00EC236F" w:rsidRDefault="00EC236F" w:rsidP="00EC236F">
      <w:pPr>
        <w:rPr>
          <w:b/>
          <w:bCs/>
          <w:sz w:val="24"/>
          <w:szCs w:val="24"/>
        </w:rPr>
      </w:pPr>
      <w:r w:rsidRPr="000F5409">
        <w:rPr>
          <w:b/>
          <w:bCs/>
          <w:sz w:val="24"/>
          <w:szCs w:val="24"/>
        </w:rPr>
        <w:t xml:space="preserve">Motion to approve the minutes </w:t>
      </w:r>
      <w:r w:rsidR="007E16BF">
        <w:rPr>
          <w:b/>
          <w:bCs/>
          <w:sz w:val="24"/>
          <w:szCs w:val="24"/>
        </w:rPr>
        <w:t>from October 22</w:t>
      </w:r>
      <w:r w:rsidR="007E16BF" w:rsidRPr="007E16BF">
        <w:rPr>
          <w:b/>
          <w:bCs/>
          <w:sz w:val="24"/>
          <w:szCs w:val="24"/>
          <w:vertAlign w:val="superscript"/>
        </w:rPr>
        <w:t>nd</w:t>
      </w:r>
      <w:r w:rsidR="007E16BF">
        <w:rPr>
          <w:b/>
          <w:bCs/>
          <w:sz w:val="24"/>
          <w:szCs w:val="24"/>
        </w:rPr>
        <w:t xml:space="preserve"> , 2025 was </w:t>
      </w:r>
      <w:r w:rsidRPr="000F5409">
        <w:rPr>
          <w:b/>
          <w:bCs/>
          <w:sz w:val="24"/>
          <w:szCs w:val="24"/>
        </w:rPr>
        <w:t>made by Commissioner</w:t>
      </w:r>
      <w:r>
        <w:rPr>
          <w:b/>
          <w:bCs/>
          <w:sz w:val="24"/>
          <w:szCs w:val="24"/>
        </w:rPr>
        <w:t xml:space="preserve"> Greener and seconded by Commissioner White. Commissioner Saulter abstained from the vote</w:t>
      </w:r>
      <w:r w:rsidR="007E16BF">
        <w:rPr>
          <w:b/>
          <w:bCs/>
          <w:sz w:val="24"/>
          <w:szCs w:val="24"/>
        </w:rPr>
        <w:t>.</w:t>
      </w:r>
    </w:p>
    <w:p w14:paraId="1E97A0A9" w14:textId="0A26F829" w:rsidR="00EC236F" w:rsidRPr="007E16BF" w:rsidRDefault="00EC236F" w:rsidP="00716800">
      <w:pPr>
        <w:rPr>
          <w:b/>
          <w:bCs/>
          <w:sz w:val="24"/>
          <w:szCs w:val="24"/>
        </w:rPr>
      </w:pPr>
      <w:r>
        <w:rPr>
          <w:b/>
          <w:bCs/>
          <w:sz w:val="24"/>
          <w:szCs w:val="24"/>
        </w:rPr>
        <w:t>The vote was in favor.</w:t>
      </w:r>
    </w:p>
    <w:p w14:paraId="716DF5D0" w14:textId="660CD580" w:rsidR="00716800" w:rsidRDefault="00716800" w:rsidP="00716800">
      <w:pPr>
        <w:rPr>
          <w:b/>
          <w:bCs/>
          <w:sz w:val="28"/>
          <w:szCs w:val="28"/>
          <w:u w:val="single"/>
        </w:rPr>
      </w:pPr>
      <w:r>
        <w:rPr>
          <w:b/>
          <w:bCs/>
          <w:sz w:val="28"/>
          <w:szCs w:val="28"/>
          <w:u w:val="single"/>
        </w:rPr>
        <w:t>Discussion Item</w:t>
      </w:r>
    </w:p>
    <w:p w14:paraId="522BE6FA" w14:textId="77777777" w:rsidR="00716800" w:rsidRDefault="00716800" w:rsidP="00716800">
      <w:pPr>
        <w:ind w:left="1440"/>
        <w:rPr>
          <w:b/>
          <w:bCs/>
          <w:sz w:val="24"/>
          <w:szCs w:val="24"/>
        </w:rPr>
      </w:pPr>
      <w:r w:rsidRPr="00716800">
        <w:rPr>
          <w:b/>
          <w:bCs/>
          <w:sz w:val="24"/>
          <w:szCs w:val="24"/>
        </w:rPr>
        <w:t>Construction Standards Modification – Private Roads</w:t>
      </w:r>
    </w:p>
    <w:p w14:paraId="664718AD" w14:textId="77777777" w:rsidR="00EC236F" w:rsidRPr="007E16BF" w:rsidRDefault="00EC236F" w:rsidP="00EC236F">
      <w:pPr>
        <w:rPr>
          <w:sz w:val="24"/>
          <w:szCs w:val="24"/>
        </w:rPr>
      </w:pPr>
      <w:r w:rsidRPr="007E16BF">
        <w:rPr>
          <w:sz w:val="24"/>
          <w:szCs w:val="24"/>
        </w:rPr>
        <w:t>The Commission discussed construction standards related to private roads. Staff noted that two proposed residential developments were seeking to utilize private roads and referenced the previously approved Peterson development agreement, which included a private road standard based on minimum International Fire Code (IFC) requirements.</w:t>
      </w:r>
    </w:p>
    <w:p w14:paraId="508A85E1" w14:textId="1DDF7B17" w:rsidR="00EC236F" w:rsidRPr="007E16BF" w:rsidRDefault="00EC236F" w:rsidP="00EC236F">
      <w:pPr>
        <w:rPr>
          <w:sz w:val="24"/>
          <w:szCs w:val="24"/>
        </w:rPr>
      </w:pPr>
      <w:r w:rsidRPr="007E16BF">
        <w:rPr>
          <w:sz w:val="24"/>
          <w:szCs w:val="24"/>
        </w:rPr>
        <w:t>Dennis Marker explained that state law requires development standards to be treated as land use regulations, and any modification would require a formal code amendment and public hearing process. No action was taken.</w:t>
      </w:r>
    </w:p>
    <w:p w14:paraId="6D3EEB31" w14:textId="561D3056" w:rsidR="00EC236F" w:rsidRPr="007E16BF" w:rsidRDefault="00EC236F" w:rsidP="00EC236F">
      <w:pPr>
        <w:rPr>
          <w:sz w:val="24"/>
          <w:szCs w:val="24"/>
        </w:rPr>
      </w:pPr>
      <w:r w:rsidRPr="007E16BF">
        <w:rPr>
          <w:sz w:val="24"/>
          <w:szCs w:val="24"/>
        </w:rPr>
        <w:t>Discussion included fire hydrant requirements, fire apparatus access, minimum road widths, turnaround requirements, parking restrictions, signage, red curb markings, planter strips, sidewalk placement, emergency vehicle access, traffic calming measures, and the lack of existing city standards for speed bumps. Dennis noted that MUTCD standards generally discourage speed bumps.</w:t>
      </w:r>
    </w:p>
    <w:p w14:paraId="4AB6C771" w14:textId="77777777" w:rsidR="00716800" w:rsidRPr="0043513B" w:rsidRDefault="00716800" w:rsidP="00716800">
      <w:pPr>
        <w:rPr>
          <w:b/>
          <w:bCs/>
          <w:sz w:val="24"/>
          <w:szCs w:val="24"/>
        </w:rPr>
      </w:pPr>
    </w:p>
    <w:p w14:paraId="610E0FB1" w14:textId="77777777" w:rsidR="00716800" w:rsidRDefault="00716800" w:rsidP="00716800">
      <w:pPr>
        <w:rPr>
          <w:b/>
          <w:bCs/>
          <w:sz w:val="28"/>
          <w:szCs w:val="28"/>
          <w:u w:val="single"/>
        </w:rPr>
      </w:pPr>
      <w:r w:rsidRPr="0012647E">
        <w:rPr>
          <w:b/>
          <w:bCs/>
          <w:sz w:val="28"/>
          <w:szCs w:val="28"/>
          <w:u w:val="single"/>
        </w:rPr>
        <w:t>General Discussion and Staff Reports</w:t>
      </w:r>
    </w:p>
    <w:p w14:paraId="1A99708A" w14:textId="77777777" w:rsidR="00716800" w:rsidRPr="003874C8" w:rsidRDefault="00716800" w:rsidP="00716800">
      <w:pPr>
        <w:numPr>
          <w:ilvl w:val="0"/>
          <w:numId w:val="1"/>
        </w:numPr>
        <w:rPr>
          <w:sz w:val="24"/>
          <w:szCs w:val="24"/>
        </w:rPr>
      </w:pPr>
      <w:r w:rsidRPr="003874C8">
        <w:rPr>
          <w:b/>
          <w:bCs/>
          <w:sz w:val="24"/>
          <w:szCs w:val="24"/>
        </w:rPr>
        <w:t>Conclusion</w:t>
      </w:r>
    </w:p>
    <w:p w14:paraId="2B57EC87" w14:textId="77777777" w:rsidR="00716800" w:rsidRPr="000F5409" w:rsidRDefault="00716800" w:rsidP="00716800">
      <w:pPr>
        <w:rPr>
          <w:sz w:val="28"/>
          <w:szCs w:val="28"/>
          <w:u w:val="single"/>
        </w:rPr>
      </w:pPr>
      <w:r w:rsidRPr="000F5409">
        <w:rPr>
          <w:b/>
          <w:bCs/>
          <w:sz w:val="28"/>
          <w:szCs w:val="28"/>
          <w:u w:val="single"/>
        </w:rPr>
        <w:t xml:space="preserve">Adjournment </w:t>
      </w:r>
    </w:p>
    <w:p w14:paraId="6719C544" w14:textId="2CEF2708" w:rsidR="00716800" w:rsidRPr="000F5409" w:rsidRDefault="00716800" w:rsidP="00716800">
      <w:pPr>
        <w:rPr>
          <w:b/>
          <w:bCs/>
          <w:sz w:val="24"/>
          <w:szCs w:val="24"/>
        </w:rPr>
      </w:pPr>
      <w:r w:rsidRPr="000F5409">
        <w:rPr>
          <w:b/>
          <w:bCs/>
          <w:sz w:val="24"/>
          <w:szCs w:val="24"/>
        </w:rPr>
        <w:t xml:space="preserve">Motion to adjourn by Commissioner </w:t>
      </w:r>
      <w:r w:rsidR="00F644D1">
        <w:rPr>
          <w:b/>
          <w:bCs/>
          <w:sz w:val="24"/>
          <w:szCs w:val="24"/>
        </w:rPr>
        <w:t xml:space="preserve">Miller </w:t>
      </w:r>
      <w:r w:rsidRPr="000F5409">
        <w:rPr>
          <w:b/>
          <w:bCs/>
          <w:sz w:val="24"/>
          <w:szCs w:val="24"/>
        </w:rPr>
        <w:t>and seconded by Commissioner</w:t>
      </w:r>
      <w:r w:rsidR="00F644D1">
        <w:rPr>
          <w:b/>
          <w:bCs/>
          <w:sz w:val="24"/>
          <w:szCs w:val="24"/>
        </w:rPr>
        <w:t xml:space="preserve"> Saulter</w:t>
      </w:r>
      <w:r>
        <w:rPr>
          <w:b/>
          <w:bCs/>
          <w:sz w:val="24"/>
          <w:szCs w:val="24"/>
        </w:rPr>
        <w:t>.</w:t>
      </w:r>
    </w:p>
    <w:p w14:paraId="62B1B3D1" w14:textId="77777777" w:rsidR="00716800" w:rsidRPr="000F5409" w:rsidRDefault="00716800" w:rsidP="00716800">
      <w:pPr>
        <w:rPr>
          <w:b/>
          <w:bCs/>
          <w:sz w:val="24"/>
          <w:szCs w:val="24"/>
        </w:rPr>
      </w:pPr>
      <w:r w:rsidRPr="000F5409">
        <w:rPr>
          <w:b/>
          <w:bCs/>
          <w:sz w:val="24"/>
          <w:szCs w:val="24"/>
        </w:rPr>
        <w:t>The vote was unanimously approved</w:t>
      </w:r>
    </w:p>
    <w:p w14:paraId="564C4B44" w14:textId="75770DBD" w:rsidR="00716800" w:rsidRPr="00E6135C" w:rsidRDefault="00716800" w:rsidP="00716800">
      <w:pPr>
        <w:pBdr>
          <w:bottom w:val="single" w:sz="12" w:space="1" w:color="auto"/>
        </w:pBdr>
        <w:rPr>
          <w:b/>
          <w:bCs/>
          <w:sz w:val="24"/>
          <w:szCs w:val="24"/>
        </w:rPr>
      </w:pPr>
      <w:r w:rsidRPr="00FD64C7">
        <w:rPr>
          <w:sz w:val="24"/>
          <w:szCs w:val="24"/>
        </w:rPr>
        <w:t>The meeting was adjourned at</w:t>
      </w:r>
      <w:r w:rsidRPr="00E6135C">
        <w:rPr>
          <w:b/>
          <w:bCs/>
          <w:sz w:val="24"/>
          <w:szCs w:val="24"/>
        </w:rPr>
        <w:t xml:space="preserve"> </w:t>
      </w:r>
      <w:r w:rsidRPr="0012647E">
        <w:rPr>
          <w:b/>
          <w:bCs/>
          <w:sz w:val="24"/>
          <w:szCs w:val="24"/>
          <w:highlight w:val="yellow"/>
        </w:rPr>
        <w:t xml:space="preserve"> </w:t>
      </w:r>
      <w:r>
        <w:rPr>
          <w:b/>
          <w:bCs/>
          <w:sz w:val="24"/>
          <w:szCs w:val="24"/>
          <w:highlight w:val="yellow"/>
        </w:rPr>
        <w:t>8:3</w:t>
      </w:r>
      <w:r w:rsidR="00F644D1">
        <w:rPr>
          <w:b/>
          <w:bCs/>
          <w:sz w:val="24"/>
          <w:szCs w:val="24"/>
          <w:highlight w:val="yellow"/>
        </w:rPr>
        <w:t>6</w:t>
      </w:r>
      <w:r>
        <w:rPr>
          <w:b/>
          <w:bCs/>
          <w:sz w:val="24"/>
          <w:szCs w:val="24"/>
          <w:highlight w:val="yellow"/>
        </w:rPr>
        <w:t xml:space="preserve"> P.M</w:t>
      </w:r>
      <w:r w:rsidRPr="00E6135C">
        <w:rPr>
          <w:b/>
          <w:bCs/>
          <w:sz w:val="24"/>
          <w:szCs w:val="24"/>
          <w:highlight w:val="yellow"/>
        </w:rPr>
        <w:t>.</w:t>
      </w:r>
    </w:p>
    <w:p w14:paraId="47F05096" w14:textId="5F6CEC5B" w:rsidR="00716800" w:rsidRPr="007E16BF" w:rsidRDefault="00716800" w:rsidP="00716800">
      <w:r>
        <w:rPr>
          <w:sz w:val="24"/>
          <w:szCs w:val="24"/>
        </w:rPr>
        <w:t xml:space="preserve"> </w:t>
      </w:r>
    </w:p>
    <w:p w14:paraId="69505F02" w14:textId="77777777" w:rsidR="00716800" w:rsidRDefault="00716800" w:rsidP="00716800">
      <w:pPr>
        <w:spacing w:after="0"/>
        <w:rPr>
          <w:sz w:val="24"/>
          <w:szCs w:val="24"/>
        </w:rPr>
      </w:pPr>
      <w:r>
        <w:rPr>
          <w:sz w:val="24"/>
          <w:szCs w:val="24"/>
        </w:rPr>
        <w:t>Prepared by: _______________________</w:t>
      </w:r>
      <w:r>
        <w:rPr>
          <w:sz w:val="24"/>
          <w:szCs w:val="24"/>
        </w:rPr>
        <w:tab/>
        <w:t>Approved: _______________________________</w:t>
      </w:r>
    </w:p>
    <w:p w14:paraId="4B59CBBC" w14:textId="77777777" w:rsidR="00716800" w:rsidRDefault="00716800" w:rsidP="00716800">
      <w:pPr>
        <w:spacing w:after="0"/>
        <w:rPr>
          <w:sz w:val="24"/>
          <w:szCs w:val="24"/>
        </w:rPr>
      </w:pPr>
      <w:r>
        <w:rPr>
          <w:sz w:val="24"/>
          <w:szCs w:val="24"/>
        </w:rPr>
        <w:tab/>
      </w:r>
      <w:r>
        <w:rPr>
          <w:sz w:val="24"/>
          <w:szCs w:val="24"/>
        </w:rPr>
        <w:tab/>
        <w:t>Mandi</w:t>
      </w:r>
      <w:r>
        <w:rPr>
          <w:sz w:val="24"/>
          <w:szCs w:val="24"/>
        </w:rPr>
        <w:tab/>
        <w:t>Buege</w:t>
      </w:r>
      <w:r>
        <w:rPr>
          <w:sz w:val="24"/>
          <w:szCs w:val="24"/>
        </w:rPr>
        <w:tab/>
      </w:r>
      <w:r>
        <w:rPr>
          <w:sz w:val="24"/>
          <w:szCs w:val="24"/>
        </w:rPr>
        <w:tab/>
      </w:r>
      <w:r>
        <w:rPr>
          <w:sz w:val="24"/>
          <w:szCs w:val="24"/>
        </w:rPr>
        <w:tab/>
      </w:r>
      <w:r>
        <w:rPr>
          <w:sz w:val="24"/>
          <w:szCs w:val="24"/>
        </w:rPr>
        <w:tab/>
        <w:t>Debbie Greener</w:t>
      </w:r>
    </w:p>
    <w:p w14:paraId="1A445939" w14:textId="70B44B54" w:rsidR="002718DF" w:rsidRPr="007E16BF" w:rsidRDefault="00716800">
      <w:pPr>
        <w:rPr>
          <w:sz w:val="24"/>
          <w:szCs w:val="24"/>
        </w:rPr>
      </w:pPr>
      <w:r>
        <w:rPr>
          <w:sz w:val="24"/>
          <w:szCs w:val="24"/>
        </w:rPr>
        <w:tab/>
      </w:r>
      <w:r>
        <w:rPr>
          <w:sz w:val="24"/>
          <w:szCs w:val="24"/>
        </w:rPr>
        <w:tab/>
      </w:r>
      <w:r w:rsidRPr="00783B14">
        <w:rPr>
          <w:sz w:val="24"/>
          <w:szCs w:val="24"/>
        </w:rPr>
        <w:t>City Treasurer</w:t>
      </w:r>
      <w:r w:rsidRPr="00783B14">
        <w:rPr>
          <w:sz w:val="24"/>
          <w:szCs w:val="24"/>
        </w:rPr>
        <w:tab/>
      </w:r>
      <w:r w:rsidRPr="00783B14">
        <w:rPr>
          <w:sz w:val="24"/>
          <w:szCs w:val="24"/>
        </w:rPr>
        <w:tab/>
      </w:r>
      <w:r w:rsidRPr="00783B14">
        <w:rPr>
          <w:sz w:val="24"/>
          <w:szCs w:val="24"/>
        </w:rPr>
        <w:tab/>
        <w:t>Commission Chair</w:t>
      </w:r>
    </w:p>
    <w:sectPr w:rsidR="002718DF" w:rsidRPr="007E1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355"/>
    <w:multiLevelType w:val="multilevel"/>
    <w:tmpl w:val="913AE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757B2"/>
    <w:multiLevelType w:val="hybridMultilevel"/>
    <w:tmpl w:val="44AE178C"/>
    <w:lvl w:ilvl="0" w:tplc="5AB40A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0283821">
    <w:abstractNumId w:val="0"/>
  </w:num>
  <w:num w:numId="2" w16cid:durableId="2108502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00"/>
    <w:rsid w:val="001D0876"/>
    <w:rsid w:val="002718DF"/>
    <w:rsid w:val="002851BF"/>
    <w:rsid w:val="003621FF"/>
    <w:rsid w:val="003C4B9C"/>
    <w:rsid w:val="003D2CA4"/>
    <w:rsid w:val="003E5DA0"/>
    <w:rsid w:val="004136C0"/>
    <w:rsid w:val="006717FD"/>
    <w:rsid w:val="006E1070"/>
    <w:rsid w:val="006E5BC5"/>
    <w:rsid w:val="00716800"/>
    <w:rsid w:val="00766153"/>
    <w:rsid w:val="007E16BF"/>
    <w:rsid w:val="00944D3E"/>
    <w:rsid w:val="00A0653D"/>
    <w:rsid w:val="00AC03B0"/>
    <w:rsid w:val="00AF3D2F"/>
    <w:rsid w:val="00B1282D"/>
    <w:rsid w:val="00B82FB5"/>
    <w:rsid w:val="00BB66FF"/>
    <w:rsid w:val="00C1596B"/>
    <w:rsid w:val="00CE6E85"/>
    <w:rsid w:val="00D00CE6"/>
    <w:rsid w:val="00D56032"/>
    <w:rsid w:val="00D6617E"/>
    <w:rsid w:val="00EC236F"/>
    <w:rsid w:val="00F353EB"/>
    <w:rsid w:val="00F644D1"/>
    <w:rsid w:val="00FC37F1"/>
    <w:rsid w:val="00FD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9401"/>
  <w15:chartTrackingRefBased/>
  <w15:docId w15:val="{35B37263-B076-4F4B-A3F3-0447BB0D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00"/>
    <w:pPr>
      <w:spacing w:line="254" w:lineRule="auto"/>
    </w:pPr>
    <w:rPr>
      <w:kern w:val="0"/>
      <w:sz w:val="22"/>
      <w:szCs w:val="22"/>
      <w14:ligatures w14:val="none"/>
    </w:rPr>
  </w:style>
  <w:style w:type="paragraph" w:styleId="Heading1">
    <w:name w:val="heading 1"/>
    <w:basedOn w:val="Normal"/>
    <w:next w:val="Normal"/>
    <w:link w:val="Heading1Char"/>
    <w:uiPriority w:val="9"/>
    <w:qFormat/>
    <w:rsid w:val="0071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800"/>
    <w:rPr>
      <w:rFonts w:eastAsiaTheme="majorEastAsia" w:cstheme="majorBidi"/>
      <w:color w:val="272727" w:themeColor="text1" w:themeTint="D8"/>
    </w:rPr>
  </w:style>
  <w:style w:type="paragraph" w:styleId="Title">
    <w:name w:val="Title"/>
    <w:basedOn w:val="Normal"/>
    <w:next w:val="Normal"/>
    <w:link w:val="TitleChar"/>
    <w:uiPriority w:val="10"/>
    <w:qFormat/>
    <w:rsid w:val="0071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800"/>
    <w:pPr>
      <w:spacing w:before="160"/>
      <w:jc w:val="center"/>
    </w:pPr>
    <w:rPr>
      <w:i/>
      <w:iCs/>
      <w:color w:val="404040" w:themeColor="text1" w:themeTint="BF"/>
    </w:rPr>
  </w:style>
  <w:style w:type="character" w:customStyle="1" w:styleId="QuoteChar">
    <w:name w:val="Quote Char"/>
    <w:basedOn w:val="DefaultParagraphFont"/>
    <w:link w:val="Quote"/>
    <w:uiPriority w:val="29"/>
    <w:rsid w:val="00716800"/>
    <w:rPr>
      <w:i/>
      <w:iCs/>
      <w:color w:val="404040" w:themeColor="text1" w:themeTint="BF"/>
    </w:rPr>
  </w:style>
  <w:style w:type="paragraph" w:styleId="ListParagraph">
    <w:name w:val="List Paragraph"/>
    <w:basedOn w:val="Normal"/>
    <w:uiPriority w:val="34"/>
    <w:qFormat/>
    <w:rsid w:val="00716800"/>
    <w:pPr>
      <w:ind w:left="720"/>
      <w:contextualSpacing/>
    </w:pPr>
  </w:style>
  <w:style w:type="character" w:styleId="IntenseEmphasis">
    <w:name w:val="Intense Emphasis"/>
    <w:basedOn w:val="DefaultParagraphFont"/>
    <w:uiPriority w:val="21"/>
    <w:qFormat/>
    <w:rsid w:val="00716800"/>
    <w:rPr>
      <w:i/>
      <w:iCs/>
      <w:color w:val="0F4761" w:themeColor="accent1" w:themeShade="BF"/>
    </w:rPr>
  </w:style>
  <w:style w:type="paragraph" w:styleId="IntenseQuote">
    <w:name w:val="Intense Quote"/>
    <w:basedOn w:val="Normal"/>
    <w:next w:val="Normal"/>
    <w:link w:val="IntenseQuoteChar"/>
    <w:uiPriority w:val="30"/>
    <w:qFormat/>
    <w:rsid w:val="0071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800"/>
    <w:rPr>
      <w:i/>
      <w:iCs/>
      <w:color w:val="0F4761" w:themeColor="accent1" w:themeShade="BF"/>
    </w:rPr>
  </w:style>
  <w:style w:type="character" w:styleId="IntenseReference">
    <w:name w:val="Intense Reference"/>
    <w:basedOn w:val="DefaultParagraphFont"/>
    <w:uiPriority w:val="32"/>
    <w:qFormat/>
    <w:rsid w:val="00716800"/>
    <w:rPr>
      <w:b/>
      <w:bCs/>
      <w:smallCaps/>
      <w:color w:val="0F4761" w:themeColor="accent1" w:themeShade="BF"/>
      <w:spacing w:val="5"/>
    </w:rPr>
  </w:style>
  <w:style w:type="paragraph" w:styleId="BodyText">
    <w:name w:val="Body Text"/>
    <w:basedOn w:val="Normal"/>
    <w:link w:val="BodyTextChar"/>
    <w:rsid w:val="00716800"/>
    <w:pPr>
      <w:spacing w:after="220" w:line="180" w:lineRule="atLeast"/>
      <w:ind w:left="835" w:righ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716800"/>
    <w:rPr>
      <w:rFonts w:ascii="Arial" w:eastAsia="Times New Roman" w:hAnsi="Arial" w:cs="Times New Roman"/>
      <w:spacing w:val="-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1315</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Buege</dc:creator>
  <cp:keywords/>
  <dc:description/>
  <cp:lastModifiedBy>Mandi Buege</cp:lastModifiedBy>
  <cp:revision>6</cp:revision>
  <dcterms:created xsi:type="dcterms:W3CDTF">2025-11-13T00:29:00Z</dcterms:created>
  <dcterms:modified xsi:type="dcterms:W3CDTF">2026-01-28T23:05:00Z</dcterms:modified>
</cp:coreProperties>
</file>