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10980" w:type="dxa"/>
        <w:tblInd w:w="-813" w:type="dxa"/>
        <w:tblBorders>
          <w:top w:val="single" w:sz="4" w:space="0" w:color="E8E8E8"/>
          <w:left w:val="single" w:sz="4" w:space="0" w:color="E8E8E8"/>
          <w:bottom w:val="single" w:sz="4" w:space="0" w:color="E8E8E8"/>
          <w:right w:val="single" w:sz="4" w:space="0" w:color="E8E8E8"/>
          <w:insideH w:val="single" w:sz="4" w:space="0" w:color="E8E8E8"/>
          <w:insideV w:val="single" w:sz="4" w:space="0" w:color="E8E8E8"/>
        </w:tblBorders>
        <w:tblLayout w:type="fixed"/>
        <w:tblLook w:val="0400" w:firstRow="0" w:lastRow="0" w:firstColumn="0" w:lastColumn="0" w:noHBand="0" w:noVBand="1"/>
      </w:tblPr>
      <w:tblGrid>
        <w:gridCol w:w="1078"/>
        <w:gridCol w:w="9902"/>
      </w:tblGrid>
      <w:tr w:rsidR="00985F2E" w14:paraId="3F9144FD" w14:textId="77777777" w:rsidTr="00FB7802">
        <w:tc>
          <w:tcPr>
            <w:tcW w:w="1078" w:type="dxa"/>
            <w:tcMar>
              <w:top w:w="43" w:type="dxa"/>
              <w:left w:w="115" w:type="dxa"/>
              <w:bottom w:w="43" w:type="dxa"/>
              <w:right w:w="115" w:type="dxa"/>
            </w:tcMar>
          </w:tcPr>
          <w:p w14:paraId="00000002"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w:t>
            </w:r>
          </w:p>
        </w:tc>
        <w:tc>
          <w:tcPr>
            <w:tcW w:w="9902" w:type="dxa"/>
            <w:tcMar>
              <w:top w:w="43" w:type="dxa"/>
              <w:left w:w="115" w:type="dxa"/>
              <w:bottom w:w="43" w:type="dxa"/>
              <w:right w:w="115" w:type="dxa"/>
            </w:tcMar>
          </w:tcPr>
          <w:p w14:paraId="00000004"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Multiple-Use (MU) Zone</w:t>
            </w:r>
          </w:p>
        </w:tc>
      </w:tr>
      <w:tr w:rsidR="00985F2E" w14:paraId="43106E02" w14:textId="77777777" w:rsidTr="00FB7802">
        <w:tc>
          <w:tcPr>
            <w:tcW w:w="1078" w:type="dxa"/>
            <w:tcMar>
              <w:top w:w="43" w:type="dxa"/>
              <w:left w:w="115" w:type="dxa"/>
              <w:bottom w:w="43" w:type="dxa"/>
              <w:right w:w="115" w:type="dxa"/>
            </w:tcMar>
          </w:tcPr>
          <w:p w14:paraId="0000000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w:t>
            </w:r>
          </w:p>
        </w:tc>
        <w:tc>
          <w:tcPr>
            <w:tcW w:w="9902" w:type="dxa"/>
            <w:tcMar>
              <w:top w:w="43" w:type="dxa"/>
              <w:left w:w="115" w:type="dxa"/>
              <w:bottom w:w="43" w:type="dxa"/>
              <w:right w:w="115" w:type="dxa"/>
            </w:tcMar>
          </w:tcPr>
          <w:p w14:paraId="00000007"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Purpose</w:t>
            </w:r>
          </w:p>
        </w:tc>
      </w:tr>
      <w:tr w:rsidR="00985F2E" w14:paraId="6859233B" w14:textId="77777777" w:rsidTr="006B6754">
        <w:tc>
          <w:tcPr>
            <w:tcW w:w="1078" w:type="dxa"/>
            <w:tcMar>
              <w:top w:w="43" w:type="dxa"/>
              <w:left w:w="115" w:type="dxa"/>
              <w:bottom w:w="43" w:type="dxa"/>
              <w:right w:w="115" w:type="dxa"/>
            </w:tcMar>
          </w:tcPr>
          <w:p w14:paraId="0000000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09"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purpose of the </w:t>
            </w:r>
            <w:proofErr w:type="gramStart"/>
            <w:r>
              <w:rPr>
                <w:rFonts w:ascii="Arial" w:eastAsia="Arial" w:hAnsi="Arial" w:cs="Arial"/>
                <w:color w:val="000000"/>
              </w:rPr>
              <w:t>Multi-Use</w:t>
            </w:r>
            <w:proofErr w:type="gramEnd"/>
            <w:r>
              <w:rPr>
                <w:rFonts w:ascii="Arial" w:eastAsia="Arial" w:hAnsi="Arial" w:cs="Arial"/>
                <w:color w:val="000000"/>
              </w:rPr>
              <w:t xml:space="preserve"> </w:t>
            </w:r>
            <w:r>
              <w:rPr>
                <w:rFonts w:ascii="Arial" w:eastAsia="Arial" w:hAnsi="Arial" w:cs="Arial"/>
              </w:rPr>
              <w:t>z</w:t>
            </w:r>
            <w:r>
              <w:rPr>
                <w:rFonts w:ascii="Arial" w:eastAsia="Arial" w:hAnsi="Arial" w:cs="Arial"/>
                <w:color w:val="000000"/>
              </w:rPr>
              <w:t xml:space="preserve">one (MU </w:t>
            </w:r>
            <w:r>
              <w:rPr>
                <w:rFonts w:ascii="Arial" w:eastAsia="Arial" w:hAnsi="Arial" w:cs="Arial"/>
              </w:rPr>
              <w:t>z</w:t>
            </w:r>
            <w:r>
              <w:rPr>
                <w:rFonts w:ascii="Arial" w:eastAsia="Arial" w:hAnsi="Arial" w:cs="Arial"/>
                <w:color w:val="000000"/>
              </w:rPr>
              <w:t xml:space="preserve">one) is to implement a coordinated, flexible zoning framework that supports limited, sustainable commercial growth and modest housing opportunities in Lake Point while preserving open space and the community’s rural character. </w:t>
            </w:r>
          </w:p>
        </w:tc>
      </w:tr>
      <w:tr w:rsidR="00985F2E" w14:paraId="3EA98CD7" w14:textId="77777777" w:rsidTr="006B6754">
        <w:tc>
          <w:tcPr>
            <w:tcW w:w="1078" w:type="dxa"/>
            <w:tcMar>
              <w:top w:w="43" w:type="dxa"/>
              <w:left w:w="115" w:type="dxa"/>
              <w:bottom w:w="43" w:type="dxa"/>
              <w:right w:w="115" w:type="dxa"/>
            </w:tcMar>
          </w:tcPr>
          <w:p w14:paraId="0000000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0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Consistent with the Lake Point General Plan, the MU </w:t>
            </w:r>
            <w:r>
              <w:rPr>
                <w:rFonts w:ascii="Arial" w:eastAsia="Arial" w:hAnsi="Arial" w:cs="Arial"/>
              </w:rPr>
              <w:t>z</w:t>
            </w:r>
            <w:r>
              <w:rPr>
                <w:rFonts w:ascii="Arial" w:eastAsia="Arial" w:hAnsi="Arial" w:cs="Arial"/>
                <w:color w:val="000000"/>
              </w:rPr>
              <w:t xml:space="preserve">one promotes attractive and practical combinations of residential and small-scale commercial uses—both horizontally and vertically—such as live-work buildings with optional ground-floor businesses, to foster entrepreneurship, walkability, and vibrant community spaces. </w:t>
            </w:r>
          </w:p>
        </w:tc>
      </w:tr>
      <w:tr w:rsidR="00985F2E" w14:paraId="098CD7FF" w14:textId="77777777" w:rsidTr="006B6754">
        <w:tc>
          <w:tcPr>
            <w:tcW w:w="1078" w:type="dxa"/>
            <w:tcMar>
              <w:top w:w="43" w:type="dxa"/>
              <w:left w:w="115" w:type="dxa"/>
              <w:bottom w:w="43" w:type="dxa"/>
              <w:right w:w="115" w:type="dxa"/>
            </w:tcMar>
          </w:tcPr>
          <w:p w14:paraId="0000000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00F"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MU </w:t>
            </w:r>
            <w:r>
              <w:rPr>
                <w:rFonts w:ascii="Arial" w:eastAsia="Arial" w:hAnsi="Arial" w:cs="Arial"/>
              </w:rPr>
              <w:t>z</w:t>
            </w:r>
            <w:r>
              <w:rPr>
                <w:rFonts w:ascii="Arial" w:eastAsia="Arial" w:hAnsi="Arial" w:cs="Arial"/>
                <w:color w:val="000000"/>
              </w:rPr>
              <w:t>one is intended to facilitate the orderly and intentional expansion of commercial activity from existing centers, ensure access to collector streets, require concurrent development of commercial and residential components, and reduce land-use conflicts by ensuring compatibility between uses, thereby supporting local businesses, community facilities, and a balanced, cohesive development pattern.</w:t>
            </w:r>
          </w:p>
        </w:tc>
      </w:tr>
      <w:tr w:rsidR="00511040" w14:paraId="7D7B1283" w14:textId="77777777" w:rsidTr="006B6754">
        <w:tc>
          <w:tcPr>
            <w:tcW w:w="1078" w:type="dxa"/>
            <w:tcMar>
              <w:top w:w="43" w:type="dxa"/>
              <w:left w:w="115" w:type="dxa"/>
              <w:bottom w:w="43" w:type="dxa"/>
              <w:right w:w="115" w:type="dxa"/>
            </w:tcMar>
          </w:tcPr>
          <w:p w14:paraId="5635C1BE" w14:textId="75822B57" w:rsidR="00511040" w:rsidRDefault="00511040">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2" w:type="dxa"/>
            <w:tcMar>
              <w:top w:w="43" w:type="dxa"/>
              <w:left w:w="115" w:type="dxa"/>
              <w:bottom w:w="43" w:type="dxa"/>
              <w:right w:w="115" w:type="dxa"/>
            </w:tcMar>
          </w:tcPr>
          <w:p w14:paraId="675686B7" w14:textId="250E832B" w:rsidR="00511040" w:rsidRDefault="00D428BF">
            <w:pPr>
              <w:pBdr>
                <w:top w:val="nil"/>
                <w:left w:val="nil"/>
                <w:bottom w:val="nil"/>
                <w:right w:val="nil"/>
                <w:between w:val="nil"/>
              </w:pBdr>
              <w:rPr>
                <w:rFonts w:ascii="Arial" w:eastAsia="Arial" w:hAnsi="Arial" w:cs="Arial"/>
                <w:color w:val="000000"/>
              </w:rPr>
            </w:pPr>
            <w:r w:rsidRPr="00500E1D">
              <w:rPr>
                <w:rFonts w:ascii="Arial" w:eastAsia="Arial" w:hAnsi="Arial" w:cs="Arial"/>
                <w:color w:val="000000" w:themeColor="text1"/>
              </w:rPr>
              <w:t>Consistent with the Lake Point General Plan, development within the MU Zone shall incorporate commercial uses as an integral component of the project and is intended to avoid developments that function primarily as high-density residential.</w:t>
            </w:r>
          </w:p>
        </w:tc>
      </w:tr>
      <w:tr w:rsidR="00985F2E" w14:paraId="7B46F47A" w14:textId="77777777" w:rsidTr="00FB7802">
        <w:tc>
          <w:tcPr>
            <w:tcW w:w="1078" w:type="dxa"/>
            <w:tcMar>
              <w:top w:w="43" w:type="dxa"/>
              <w:left w:w="115" w:type="dxa"/>
              <w:bottom w:w="43" w:type="dxa"/>
              <w:right w:w="115" w:type="dxa"/>
            </w:tcMar>
          </w:tcPr>
          <w:p w14:paraId="00000011"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13.11.2</w:t>
            </w:r>
          </w:p>
        </w:tc>
        <w:tc>
          <w:tcPr>
            <w:tcW w:w="9902" w:type="dxa"/>
            <w:tcMar>
              <w:top w:w="43" w:type="dxa"/>
              <w:left w:w="115" w:type="dxa"/>
              <w:bottom w:w="43" w:type="dxa"/>
              <w:right w:w="115" w:type="dxa"/>
            </w:tcMar>
          </w:tcPr>
          <w:p w14:paraId="00000013"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Applicability; Relationship to Other Regulations</w:t>
            </w:r>
          </w:p>
        </w:tc>
      </w:tr>
      <w:tr w:rsidR="00985F2E" w14:paraId="6C1DD7EA" w14:textId="77777777" w:rsidTr="006B6754">
        <w:tc>
          <w:tcPr>
            <w:tcW w:w="1078" w:type="dxa"/>
            <w:tcMar>
              <w:top w:w="43" w:type="dxa"/>
              <w:left w:w="115" w:type="dxa"/>
              <w:bottom w:w="43" w:type="dxa"/>
              <w:right w:w="115" w:type="dxa"/>
            </w:tcMar>
          </w:tcPr>
          <w:p w14:paraId="0000001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15"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This Chapter applies to all development, redevelopment, and phased development within the MU </w:t>
            </w:r>
            <w:r>
              <w:rPr>
                <w:rFonts w:ascii="Arial" w:eastAsia="Arial" w:hAnsi="Arial" w:cs="Arial"/>
              </w:rPr>
              <w:t>z</w:t>
            </w:r>
            <w:r>
              <w:rPr>
                <w:rFonts w:ascii="Arial" w:eastAsia="Arial" w:hAnsi="Arial" w:cs="Arial"/>
                <w:color w:val="000000"/>
              </w:rPr>
              <w:t>one.</w:t>
            </w:r>
          </w:p>
        </w:tc>
      </w:tr>
      <w:tr w:rsidR="00985F2E" w14:paraId="4FF125EA" w14:textId="77777777" w:rsidTr="006B6754">
        <w:tc>
          <w:tcPr>
            <w:tcW w:w="1078" w:type="dxa"/>
            <w:tcMar>
              <w:top w:w="43" w:type="dxa"/>
              <w:left w:w="115" w:type="dxa"/>
              <w:bottom w:w="43" w:type="dxa"/>
              <w:right w:w="115" w:type="dxa"/>
            </w:tcMar>
          </w:tcPr>
          <w:p w14:paraId="0000001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1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requirements in this Section are minimum requirements. Where other provisions of Chapter 13 (Land Uses) and/or Chapter 14 (Design and Construction Standards) impose additional requirements applicable to a development, those requirements apply in addition to this Section.</w:t>
            </w:r>
          </w:p>
        </w:tc>
      </w:tr>
      <w:tr w:rsidR="00985F2E" w14:paraId="7148703A" w14:textId="77777777" w:rsidTr="00FB7802">
        <w:tc>
          <w:tcPr>
            <w:tcW w:w="1078" w:type="dxa"/>
            <w:tcMar>
              <w:top w:w="43" w:type="dxa"/>
              <w:left w:w="115" w:type="dxa"/>
              <w:bottom w:w="43" w:type="dxa"/>
              <w:right w:w="115" w:type="dxa"/>
            </w:tcMar>
          </w:tcPr>
          <w:p w14:paraId="0000001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13.11.3</w:t>
            </w:r>
          </w:p>
        </w:tc>
        <w:tc>
          <w:tcPr>
            <w:tcW w:w="9902" w:type="dxa"/>
            <w:tcMar>
              <w:top w:w="43" w:type="dxa"/>
              <w:left w:w="115" w:type="dxa"/>
              <w:bottom w:w="43" w:type="dxa"/>
              <w:right w:w="115" w:type="dxa"/>
            </w:tcMar>
          </w:tcPr>
          <w:p w14:paraId="0000001C"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Permitted and Prohibited Uses</w:t>
            </w:r>
          </w:p>
        </w:tc>
      </w:tr>
      <w:tr w:rsidR="00985F2E" w14:paraId="03064255" w14:textId="77777777" w:rsidTr="006B6754">
        <w:tc>
          <w:tcPr>
            <w:tcW w:w="1078" w:type="dxa"/>
            <w:tcMar>
              <w:top w:w="43" w:type="dxa"/>
              <w:left w:w="115" w:type="dxa"/>
              <w:bottom w:w="43" w:type="dxa"/>
              <w:right w:w="115" w:type="dxa"/>
            </w:tcMar>
          </w:tcPr>
          <w:p w14:paraId="0000001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1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Permitted and prohibited uses in the MU </w:t>
            </w:r>
            <w:r>
              <w:rPr>
                <w:rFonts w:ascii="Arial" w:eastAsia="Arial" w:hAnsi="Arial" w:cs="Arial"/>
              </w:rPr>
              <w:t>z</w:t>
            </w:r>
            <w:r>
              <w:rPr>
                <w:rFonts w:ascii="Arial" w:eastAsia="Arial" w:hAnsi="Arial" w:cs="Arial"/>
                <w:color w:val="000000"/>
              </w:rPr>
              <w:t>one shall be as provided in Section 13.5.1 (Commercial and Industrial Zoning District Standards), as amended. Uses not expressly permitted are prohibited.</w:t>
            </w:r>
          </w:p>
        </w:tc>
      </w:tr>
      <w:tr w:rsidR="00985F2E" w14:paraId="754E85BB" w14:textId="77777777" w:rsidTr="00FB7802">
        <w:tc>
          <w:tcPr>
            <w:tcW w:w="1078" w:type="dxa"/>
            <w:tcMar>
              <w:top w:w="43" w:type="dxa"/>
              <w:left w:w="115" w:type="dxa"/>
              <w:bottom w:w="43" w:type="dxa"/>
              <w:right w:w="115" w:type="dxa"/>
            </w:tcMar>
          </w:tcPr>
          <w:p w14:paraId="00000023"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13.11.4</w:t>
            </w:r>
          </w:p>
        </w:tc>
        <w:tc>
          <w:tcPr>
            <w:tcW w:w="9902" w:type="dxa"/>
            <w:tcMar>
              <w:top w:w="43" w:type="dxa"/>
              <w:left w:w="115" w:type="dxa"/>
              <w:bottom w:w="43" w:type="dxa"/>
              <w:right w:w="115" w:type="dxa"/>
            </w:tcMar>
          </w:tcPr>
          <w:p w14:paraId="0000002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Rezoning/Annexation into MU Zone</w:t>
            </w:r>
          </w:p>
        </w:tc>
      </w:tr>
      <w:tr w:rsidR="00985F2E" w14:paraId="606D5902" w14:textId="77777777" w:rsidTr="006B6754">
        <w:tc>
          <w:tcPr>
            <w:tcW w:w="1078" w:type="dxa"/>
            <w:tcMar>
              <w:top w:w="43" w:type="dxa"/>
              <w:left w:w="115" w:type="dxa"/>
              <w:bottom w:w="43" w:type="dxa"/>
              <w:right w:w="115" w:type="dxa"/>
            </w:tcMar>
          </w:tcPr>
          <w:p w14:paraId="00000026"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2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Property proposed for rezoning or annexation into the MU </w:t>
            </w:r>
            <w:r>
              <w:rPr>
                <w:rFonts w:ascii="Arial" w:eastAsia="Arial" w:hAnsi="Arial" w:cs="Arial"/>
              </w:rPr>
              <w:t>z</w:t>
            </w:r>
            <w:r>
              <w:rPr>
                <w:rFonts w:ascii="Arial" w:eastAsia="Arial" w:hAnsi="Arial" w:cs="Arial"/>
                <w:color w:val="000000"/>
              </w:rPr>
              <w:t>one shall contain at least fifteen (15) contiguous acres in common ownership at the time of application.</w:t>
            </w:r>
          </w:p>
        </w:tc>
      </w:tr>
      <w:tr w:rsidR="00985F2E" w14:paraId="6CB01C5A" w14:textId="77777777" w:rsidTr="006B6754">
        <w:tc>
          <w:tcPr>
            <w:tcW w:w="1078" w:type="dxa"/>
            <w:tcMar>
              <w:top w:w="43" w:type="dxa"/>
              <w:left w:w="115" w:type="dxa"/>
              <w:bottom w:w="43" w:type="dxa"/>
              <w:right w:w="115" w:type="dxa"/>
            </w:tcMar>
          </w:tcPr>
          <w:p w14:paraId="00000029" w14:textId="77777777" w:rsidR="00985F2E" w:rsidRDefault="00000000">
            <w:pPr>
              <w:pBdr>
                <w:top w:val="nil"/>
                <w:left w:val="nil"/>
                <w:bottom w:val="nil"/>
                <w:right w:val="nil"/>
                <w:between w:val="nil"/>
              </w:pBdr>
              <w:rPr>
                <w:rFonts w:ascii="Arial" w:eastAsia="Arial" w:hAnsi="Arial" w:cs="Arial"/>
                <w:color w:val="000000"/>
              </w:rPr>
            </w:pPr>
            <w:sdt>
              <w:sdtPr>
                <w:tag w:val="goog_rdk_0"/>
                <w:id w:val="-647491596"/>
              </w:sdtPr>
              <w:sdtContent/>
            </w:sdt>
            <w:r w:rsidR="006E28A7">
              <w:rPr>
                <w:rFonts w:ascii="Arial" w:eastAsia="Arial" w:hAnsi="Arial" w:cs="Arial"/>
                <w:color w:val="000000"/>
              </w:rPr>
              <w:t>2</w:t>
            </w:r>
          </w:p>
        </w:tc>
        <w:tc>
          <w:tcPr>
            <w:tcW w:w="9902" w:type="dxa"/>
            <w:tcMar>
              <w:top w:w="43" w:type="dxa"/>
              <w:left w:w="115" w:type="dxa"/>
              <w:bottom w:w="43" w:type="dxa"/>
              <w:right w:w="115" w:type="dxa"/>
            </w:tcMar>
          </w:tcPr>
          <w:p w14:paraId="0000002A" w14:textId="6492259A"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Development Agreement shall accompany any applications for property proposed for rezoning or annexation into the MU </w:t>
            </w:r>
            <w:r>
              <w:rPr>
                <w:rFonts w:ascii="Arial" w:eastAsia="Arial" w:hAnsi="Arial" w:cs="Arial"/>
              </w:rPr>
              <w:t>z</w:t>
            </w:r>
            <w:r>
              <w:rPr>
                <w:rFonts w:ascii="Arial" w:eastAsia="Arial" w:hAnsi="Arial" w:cs="Arial"/>
                <w:color w:val="000000"/>
              </w:rPr>
              <w:t>one.</w:t>
            </w:r>
            <w:r w:rsidR="00DB24C5">
              <w:rPr>
                <w:rFonts w:ascii="Arial" w:eastAsia="Arial" w:hAnsi="Arial" w:cs="Arial"/>
                <w:color w:val="000000"/>
              </w:rPr>
              <w:t xml:space="preserve"> The Development Agreement shall </w:t>
            </w:r>
            <w:r w:rsidR="00997916">
              <w:rPr>
                <w:rFonts w:ascii="Arial" w:eastAsia="Arial" w:hAnsi="Arial" w:cs="Arial"/>
                <w:color w:val="000000"/>
              </w:rPr>
              <w:t xml:space="preserve">include a Development </w:t>
            </w:r>
            <w:r w:rsidR="00DB24C5">
              <w:rPr>
                <w:rFonts w:ascii="Arial" w:eastAsia="Arial" w:hAnsi="Arial" w:cs="Arial"/>
                <w:color w:val="000000"/>
              </w:rPr>
              <w:t>Master Plan (reference 13.11.5)</w:t>
            </w:r>
            <w:r w:rsidR="0097609D">
              <w:rPr>
                <w:rFonts w:ascii="Arial" w:eastAsia="Arial" w:hAnsi="Arial" w:cs="Arial"/>
                <w:color w:val="000000"/>
              </w:rPr>
              <w:t>.</w:t>
            </w:r>
          </w:p>
        </w:tc>
      </w:tr>
      <w:tr w:rsidR="00985F2E" w14:paraId="3B3C8F7F" w14:textId="77777777" w:rsidTr="00FB7802">
        <w:tc>
          <w:tcPr>
            <w:tcW w:w="1078" w:type="dxa"/>
            <w:tcMar>
              <w:top w:w="43" w:type="dxa"/>
              <w:left w:w="115" w:type="dxa"/>
              <w:bottom w:w="43" w:type="dxa"/>
              <w:right w:w="115" w:type="dxa"/>
            </w:tcMar>
          </w:tcPr>
          <w:p w14:paraId="0000002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13.11.5</w:t>
            </w:r>
          </w:p>
        </w:tc>
        <w:tc>
          <w:tcPr>
            <w:tcW w:w="9902" w:type="dxa"/>
            <w:tcMar>
              <w:top w:w="43" w:type="dxa"/>
              <w:left w:w="115" w:type="dxa"/>
              <w:bottom w:w="43" w:type="dxa"/>
              <w:right w:w="115" w:type="dxa"/>
            </w:tcMar>
          </w:tcPr>
          <w:p w14:paraId="0000002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Plans Required for Multiple-Use (MU) Developments</w:t>
            </w:r>
          </w:p>
        </w:tc>
      </w:tr>
      <w:tr w:rsidR="00FB7802" w14:paraId="6FFA8698" w14:textId="77777777" w:rsidTr="00FB7802">
        <w:tc>
          <w:tcPr>
            <w:tcW w:w="1078" w:type="dxa"/>
            <w:tcMar>
              <w:top w:w="43" w:type="dxa"/>
              <w:left w:w="115" w:type="dxa"/>
              <w:bottom w:w="43" w:type="dxa"/>
              <w:right w:w="115" w:type="dxa"/>
            </w:tcMar>
          </w:tcPr>
          <w:p w14:paraId="301DA647" w14:textId="791FD4FA" w:rsidR="00FB7802" w:rsidRPr="00FB7802" w:rsidRDefault="00FB7802" w:rsidP="00FB7802">
            <w:pPr>
              <w:pBdr>
                <w:top w:val="nil"/>
                <w:left w:val="nil"/>
                <w:bottom w:val="nil"/>
                <w:right w:val="nil"/>
                <w:between w:val="nil"/>
              </w:pBdr>
              <w:rPr>
                <w:rFonts w:ascii="Arial" w:eastAsia="Arial" w:hAnsi="Arial" w:cs="Arial"/>
                <w:color w:val="000000"/>
              </w:rPr>
            </w:pPr>
            <w:r w:rsidRPr="00FB7802">
              <w:rPr>
                <w:rFonts w:ascii="Arial" w:eastAsia="Arial" w:hAnsi="Arial" w:cs="Arial"/>
                <w:color w:val="000000"/>
              </w:rPr>
              <w:t>1</w:t>
            </w:r>
          </w:p>
        </w:tc>
        <w:tc>
          <w:tcPr>
            <w:tcW w:w="9902" w:type="dxa"/>
            <w:tcMar>
              <w:top w:w="43" w:type="dxa"/>
              <w:left w:w="115" w:type="dxa"/>
              <w:bottom w:w="43" w:type="dxa"/>
              <w:right w:w="115" w:type="dxa"/>
            </w:tcMar>
          </w:tcPr>
          <w:p w14:paraId="14D4920B" w14:textId="77777777" w:rsidR="00FB7802" w:rsidRDefault="00FB7802" w:rsidP="00FB780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Development Agreement: A detailed, regulatory plan submitted for approval that establishes the specific layout, density, mix of uses, and development standards for a </w:t>
            </w:r>
            <w:r>
              <w:rPr>
                <w:rFonts w:ascii="Arial" w:eastAsia="Arial" w:hAnsi="Arial" w:cs="Arial"/>
              </w:rPr>
              <w:t>m</w:t>
            </w:r>
            <w:r>
              <w:rPr>
                <w:rFonts w:ascii="Arial" w:eastAsia="Arial" w:hAnsi="Arial" w:cs="Arial"/>
                <w:color w:val="000000"/>
              </w:rPr>
              <w:t>ultiple-</w:t>
            </w:r>
            <w:r>
              <w:rPr>
                <w:rFonts w:ascii="Arial" w:eastAsia="Arial" w:hAnsi="Arial" w:cs="Arial"/>
              </w:rPr>
              <w:t>u</w:t>
            </w:r>
            <w:r>
              <w:rPr>
                <w:rFonts w:ascii="Arial" w:eastAsia="Arial" w:hAnsi="Arial" w:cs="Arial"/>
                <w:color w:val="000000"/>
              </w:rPr>
              <w:t xml:space="preserve">se (MU) development or a defined phase thereof. </w:t>
            </w:r>
            <w:r w:rsidR="00411A15">
              <w:rPr>
                <w:rFonts w:ascii="Arial" w:eastAsia="Arial" w:hAnsi="Arial" w:cs="Arial"/>
                <w:color w:val="000000"/>
              </w:rPr>
              <w:t>The Development Agreement shall include a Development Master Plan</w:t>
            </w:r>
            <w:r>
              <w:rPr>
                <w:rFonts w:ascii="Arial" w:eastAsia="Arial" w:hAnsi="Arial" w:cs="Arial"/>
                <w:color w:val="000000"/>
              </w:rPr>
              <w:t>.</w:t>
            </w:r>
          </w:p>
          <w:p w14:paraId="7C80B05B" w14:textId="0ED5AE71" w:rsidR="00BC7BA0" w:rsidRPr="00BC7BA0" w:rsidRDefault="00BC7BA0" w:rsidP="00FB7802">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Per </w:t>
            </w:r>
            <w:r w:rsidR="00A07FC7">
              <w:rPr>
                <w:rFonts w:ascii="Arial" w:eastAsia="Arial" w:hAnsi="Arial" w:cs="Arial"/>
                <w:color w:val="000000"/>
              </w:rPr>
              <w:t>Chapter 12.2.2, “</w:t>
            </w:r>
            <w:r w:rsidRPr="00BC7BA0">
              <w:rPr>
                <w:rFonts w:ascii="Arial" w:eastAsia="Arial" w:hAnsi="Arial" w:cs="Arial"/>
                <w:color w:val="000000"/>
              </w:rPr>
              <w:t>A written agreement or amendment to a written agreement between the City and one (1) or more parties that regulates or controls the use or development of a specific area of land. The development agreement does not include an improvement completion assurance.</w:t>
            </w:r>
            <w:r w:rsidR="00A07FC7">
              <w:rPr>
                <w:rFonts w:ascii="Arial" w:eastAsia="Arial" w:hAnsi="Arial" w:cs="Arial"/>
                <w:color w:val="000000"/>
              </w:rPr>
              <w:t>”</w:t>
            </w:r>
          </w:p>
        </w:tc>
      </w:tr>
      <w:tr w:rsidR="00FB7802" w14:paraId="477A2400" w14:textId="77777777" w:rsidTr="00FB7802">
        <w:tc>
          <w:tcPr>
            <w:tcW w:w="1078" w:type="dxa"/>
            <w:tcMar>
              <w:top w:w="43" w:type="dxa"/>
              <w:left w:w="115" w:type="dxa"/>
              <w:bottom w:w="43" w:type="dxa"/>
              <w:right w:w="115" w:type="dxa"/>
            </w:tcMar>
          </w:tcPr>
          <w:p w14:paraId="5BC75F50" w14:textId="3B5CF4C5" w:rsidR="00FB7802" w:rsidRPr="00FB7802" w:rsidRDefault="00FB7802" w:rsidP="00FB7802">
            <w:pPr>
              <w:pBdr>
                <w:top w:val="nil"/>
                <w:left w:val="nil"/>
                <w:bottom w:val="nil"/>
                <w:right w:val="nil"/>
                <w:between w:val="nil"/>
              </w:pBdr>
              <w:rPr>
                <w:rFonts w:ascii="Arial" w:eastAsia="Arial" w:hAnsi="Arial" w:cs="Arial"/>
                <w:color w:val="000000"/>
              </w:rPr>
            </w:pPr>
            <w:r w:rsidRPr="00FB7802">
              <w:rPr>
                <w:rFonts w:ascii="Arial" w:eastAsia="Arial" w:hAnsi="Arial" w:cs="Arial"/>
                <w:color w:val="000000"/>
              </w:rPr>
              <w:lastRenderedPageBreak/>
              <w:t>1.1</w:t>
            </w:r>
          </w:p>
        </w:tc>
        <w:tc>
          <w:tcPr>
            <w:tcW w:w="9902" w:type="dxa"/>
            <w:tcMar>
              <w:top w:w="43" w:type="dxa"/>
              <w:left w:w="115" w:type="dxa"/>
              <w:bottom w:w="43" w:type="dxa"/>
              <w:right w:w="115" w:type="dxa"/>
            </w:tcMar>
          </w:tcPr>
          <w:p w14:paraId="0AA06CC9" w14:textId="08E29087" w:rsidR="00FB7802" w:rsidRDefault="00FB7802" w:rsidP="00FB7802">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Development Agreement shall identify permitted commercial and residential uses, building footprints or development areas, maximum gross floor area, height and massing parameters, access and circulation, parking strategy (including shared or phased parking), open space allocation, buffering and compatibility measures, and phasing and concurrency requirements, including the requirement that commercial components be constructed concurrently with residential components unless otherwise approved. Approval of a Development Agreement shall establish binding development standards for the subject property but shall not authorize construction absent approval of a Site Plan.</w:t>
            </w:r>
          </w:p>
        </w:tc>
      </w:tr>
      <w:tr w:rsidR="00985F2E" w14:paraId="1D59DD12" w14:textId="77777777" w:rsidTr="006B6754">
        <w:tc>
          <w:tcPr>
            <w:tcW w:w="1078" w:type="dxa"/>
            <w:tcMar>
              <w:top w:w="43" w:type="dxa"/>
              <w:left w:w="115" w:type="dxa"/>
              <w:bottom w:w="43" w:type="dxa"/>
              <w:right w:w="115" w:type="dxa"/>
            </w:tcMar>
          </w:tcPr>
          <w:p w14:paraId="0000002F" w14:textId="4FD019FE" w:rsidR="00985F2E" w:rsidRDefault="006B6754">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30" w14:textId="53900B53"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Master Plan: A planning document that establishes the overall vision, framework, and guiding principles for the development of land within the </w:t>
            </w:r>
            <w:r>
              <w:rPr>
                <w:rFonts w:ascii="Arial" w:eastAsia="Arial" w:hAnsi="Arial" w:cs="Arial"/>
              </w:rPr>
              <w:t>m</w:t>
            </w:r>
            <w:r>
              <w:rPr>
                <w:rFonts w:ascii="Arial" w:eastAsia="Arial" w:hAnsi="Arial" w:cs="Arial"/>
                <w:color w:val="000000"/>
              </w:rPr>
              <w:t>ultiple-</w:t>
            </w:r>
            <w:r>
              <w:rPr>
                <w:rFonts w:ascii="Arial" w:eastAsia="Arial" w:hAnsi="Arial" w:cs="Arial"/>
              </w:rPr>
              <w:t>u</w:t>
            </w:r>
            <w:r>
              <w:rPr>
                <w:rFonts w:ascii="Arial" w:eastAsia="Arial" w:hAnsi="Arial" w:cs="Arial"/>
                <w:color w:val="000000"/>
              </w:rPr>
              <w:t xml:space="preserve">se (MU) </w:t>
            </w:r>
            <w:r>
              <w:rPr>
                <w:rFonts w:ascii="Arial" w:eastAsia="Arial" w:hAnsi="Arial" w:cs="Arial"/>
              </w:rPr>
              <w:t>z</w:t>
            </w:r>
            <w:r>
              <w:rPr>
                <w:rFonts w:ascii="Arial" w:eastAsia="Arial" w:hAnsi="Arial" w:cs="Arial"/>
                <w:color w:val="000000"/>
              </w:rPr>
              <w:t xml:space="preserve">one or a designated portion thereof. A Master Plan is intended to demonstrate general consistency with the </w:t>
            </w:r>
            <w:r w:rsidR="000C690A">
              <w:rPr>
                <w:rFonts w:ascii="Arial" w:eastAsia="Arial" w:hAnsi="Arial" w:cs="Arial"/>
                <w:color w:val="000000"/>
              </w:rPr>
              <w:t xml:space="preserve">Lake Point </w:t>
            </w:r>
            <w:r>
              <w:rPr>
                <w:rFonts w:ascii="Arial" w:eastAsia="Arial" w:hAnsi="Arial" w:cs="Arial"/>
                <w:color w:val="000000"/>
              </w:rPr>
              <w:t>General Plan and to guide the preparation of subsequent Site Plan</w:t>
            </w:r>
            <w:r w:rsidR="00FB7802">
              <w:rPr>
                <w:rFonts w:ascii="Arial" w:eastAsia="Arial" w:hAnsi="Arial" w:cs="Arial"/>
                <w:color w:val="000000"/>
              </w:rPr>
              <w:t>(</w:t>
            </w:r>
            <w:r>
              <w:rPr>
                <w:rFonts w:ascii="Arial" w:eastAsia="Arial" w:hAnsi="Arial" w:cs="Arial"/>
                <w:color w:val="000000"/>
              </w:rPr>
              <w:t>s</w:t>
            </w:r>
            <w:r w:rsidR="00FB7802">
              <w:rPr>
                <w:rFonts w:ascii="Arial" w:eastAsia="Arial" w:hAnsi="Arial" w:cs="Arial"/>
                <w:color w:val="000000"/>
              </w:rPr>
              <w:t>)</w:t>
            </w:r>
            <w:r>
              <w:rPr>
                <w:rFonts w:ascii="Arial" w:eastAsia="Arial" w:hAnsi="Arial" w:cs="Arial"/>
                <w:color w:val="000000"/>
              </w:rPr>
              <w:t>.</w:t>
            </w:r>
            <w:r w:rsidR="000C690A">
              <w:rPr>
                <w:rFonts w:ascii="Arial" w:eastAsia="Arial" w:hAnsi="Arial" w:cs="Arial"/>
                <w:color w:val="000000"/>
              </w:rPr>
              <w:t xml:space="preserve"> A Master Plan is an Exhibit of the Development Agreement.</w:t>
            </w:r>
          </w:p>
        </w:tc>
      </w:tr>
      <w:tr w:rsidR="00985F2E" w14:paraId="01D4035C" w14:textId="77777777" w:rsidTr="006B6754">
        <w:tc>
          <w:tcPr>
            <w:tcW w:w="1078" w:type="dxa"/>
            <w:tcMar>
              <w:top w:w="43" w:type="dxa"/>
              <w:left w:w="115" w:type="dxa"/>
              <w:bottom w:w="43" w:type="dxa"/>
              <w:right w:w="115" w:type="dxa"/>
            </w:tcMar>
          </w:tcPr>
          <w:p w14:paraId="00000032" w14:textId="7D8F7F70" w:rsidR="00985F2E" w:rsidRDefault="006B6754">
            <w:p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sidR="006E28A7">
              <w:rPr>
                <w:rFonts w:ascii="Arial" w:eastAsia="Arial" w:hAnsi="Arial" w:cs="Arial"/>
                <w:color w:val="000000"/>
              </w:rPr>
              <w:t>.1</w:t>
            </w:r>
          </w:p>
        </w:tc>
        <w:tc>
          <w:tcPr>
            <w:tcW w:w="9902" w:type="dxa"/>
            <w:tcMar>
              <w:top w:w="43" w:type="dxa"/>
              <w:left w:w="115" w:type="dxa"/>
              <w:bottom w:w="43" w:type="dxa"/>
              <w:right w:w="115" w:type="dxa"/>
            </w:tcMar>
          </w:tcPr>
          <w:p w14:paraId="00000033" w14:textId="77777777" w:rsidR="00985F2E" w:rsidRDefault="00000000">
            <w:pPr>
              <w:pBdr>
                <w:top w:val="nil"/>
                <w:left w:val="nil"/>
                <w:bottom w:val="nil"/>
                <w:right w:val="nil"/>
                <w:between w:val="nil"/>
              </w:pBdr>
              <w:rPr>
                <w:rFonts w:ascii="Arial" w:eastAsia="Arial" w:hAnsi="Arial" w:cs="Arial"/>
                <w:color w:val="000000"/>
              </w:rPr>
            </w:pPr>
            <w:sdt>
              <w:sdtPr>
                <w:tag w:val="goog_rdk_2"/>
                <w:id w:val="-1479656931"/>
              </w:sdtPr>
              <w:sdtContent/>
            </w:sdt>
            <w:r w:rsidR="006E28A7">
              <w:rPr>
                <w:rFonts w:ascii="Arial" w:eastAsia="Arial" w:hAnsi="Arial" w:cs="Arial"/>
                <w:color w:val="000000"/>
              </w:rPr>
              <w:t>A Master Plan may include, but is not limited to, conceptual land-use diagrams, general location and relationship of commercial and residential uses, anticipated densities and intensities, circulation and access concepts, open space and community gathering areas, design character themes, and an overall phasing strategy. A Master Plan shall be illustrative in nature and shall not authorize construction, confer vested development rights, or substitute for required Development Plan or Site Plan approvals.</w:t>
            </w:r>
          </w:p>
        </w:tc>
      </w:tr>
      <w:tr w:rsidR="00985F2E" w14:paraId="48FE0959" w14:textId="77777777" w:rsidTr="006B6754">
        <w:tc>
          <w:tcPr>
            <w:tcW w:w="1078" w:type="dxa"/>
            <w:tcMar>
              <w:top w:w="43" w:type="dxa"/>
              <w:left w:w="115" w:type="dxa"/>
              <w:bottom w:w="43" w:type="dxa"/>
              <w:right w:w="115" w:type="dxa"/>
            </w:tcMar>
          </w:tcPr>
          <w:p w14:paraId="0000003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03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Site Plan: A detailed, parcel- or building-specific plan that illustrates the precise design and physical development of a site in accordance with an approved Development Plan and applicable zoning, engineering, and design standards. A Site Plan shall provide sufficient detail to allow review for compliance and issuance of construction-related permits.</w:t>
            </w:r>
          </w:p>
        </w:tc>
      </w:tr>
      <w:tr w:rsidR="00985F2E" w14:paraId="54B97DA3" w14:textId="77777777" w:rsidTr="006B6754">
        <w:tc>
          <w:tcPr>
            <w:tcW w:w="1078" w:type="dxa"/>
            <w:tcMar>
              <w:top w:w="43" w:type="dxa"/>
              <w:left w:w="115" w:type="dxa"/>
              <w:bottom w:w="43" w:type="dxa"/>
              <w:right w:w="115" w:type="dxa"/>
            </w:tcMar>
          </w:tcPr>
          <w:p w14:paraId="0000003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3.1</w:t>
            </w:r>
          </w:p>
        </w:tc>
        <w:tc>
          <w:tcPr>
            <w:tcW w:w="9902" w:type="dxa"/>
            <w:tcMar>
              <w:top w:w="43" w:type="dxa"/>
              <w:left w:w="115" w:type="dxa"/>
              <w:bottom w:w="43" w:type="dxa"/>
              <w:right w:w="115" w:type="dxa"/>
            </w:tcMar>
          </w:tcPr>
          <w:p w14:paraId="0000003F"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Site plans shall comply with Chapter 13.9 and shall include, as applicable, exact building locations and dimensions, architectural elevations, parking layout and counts, landscaping and buffering, pedestrian and vehicular circulation, utilities, grading and drainage, lighting, and other site improvements. Site Plan approval shall authorize construction only for the development shown and shall not modify or supersede the approved Development Plan.</w:t>
            </w:r>
          </w:p>
        </w:tc>
      </w:tr>
      <w:tr w:rsidR="00985F2E" w14:paraId="6B15BC0A" w14:textId="77777777" w:rsidTr="00FB7802">
        <w:tc>
          <w:tcPr>
            <w:tcW w:w="1078" w:type="dxa"/>
            <w:tcMar>
              <w:top w:w="43" w:type="dxa"/>
              <w:left w:w="115" w:type="dxa"/>
              <w:bottom w:w="43" w:type="dxa"/>
              <w:right w:w="115" w:type="dxa"/>
            </w:tcMar>
          </w:tcPr>
          <w:p w14:paraId="00000041"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13.11.6</w:t>
            </w:r>
          </w:p>
        </w:tc>
        <w:tc>
          <w:tcPr>
            <w:tcW w:w="9902" w:type="dxa"/>
            <w:tcMar>
              <w:top w:w="43" w:type="dxa"/>
              <w:left w:w="115" w:type="dxa"/>
              <w:bottom w:w="43" w:type="dxa"/>
              <w:right w:w="115" w:type="dxa"/>
            </w:tcMar>
          </w:tcPr>
          <w:p w14:paraId="0000004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Permit Sequencing</w:t>
            </w:r>
            <w:r>
              <w:rPr>
                <w:rFonts w:ascii="Arial" w:eastAsia="Arial" w:hAnsi="Arial" w:cs="Arial"/>
                <w:color w:val="000000"/>
              </w:rPr>
              <w:t xml:space="preserve"> </w:t>
            </w:r>
          </w:p>
        </w:tc>
      </w:tr>
      <w:tr w:rsidR="00985F2E" w14:paraId="3BDBC611" w14:textId="77777777" w:rsidTr="006B6754">
        <w:tc>
          <w:tcPr>
            <w:tcW w:w="1078" w:type="dxa"/>
            <w:tcMar>
              <w:top w:w="43" w:type="dxa"/>
              <w:left w:w="115" w:type="dxa"/>
              <w:bottom w:w="43" w:type="dxa"/>
              <w:right w:w="115" w:type="dxa"/>
            </w:tcMar>
          </w:tcPr>
          <w:p w14:paraId="0000004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45"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Site plan approval is required prior to issuance of building permits. Building permit applications may be submitted concurrently with a site plan; however, no building permit shall be issued prior to site plan approval.</w:t>
            </w:r>
          </w:p>
        </w:tc>
      </w:tr>
      <w:tr w:rsidR="00985F2E" w14:paraId="794A4C85" w14:textId="77777777" w:rsidTr="006B6754">
        <w:tc>
          <w:tcPr>
            <w:tcW w:w="1078" w:type="dxa"/>
            <w:tcMar>
              <w:top w:w="43" w:type="dxa"/>
              <w:left w:w="115" w:type="dxa"/>
              <w:bottom w:w="43" w:type="dxa"/>
              <w:right w:w="115" w:type="dxa"/>
            </w:tcMar>
          </w:tcPr>
          <w:p w14:paraId="0000004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4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To ensure timely construction of the commercial component, the applicant shall apply for commercial building permits prior to or concurrently with residential building permits in a manner that is proportional to the approved phasing plan and total project buildout.</w:t>
            </w:r>
          </w:p>
        </w:tc>
      </w:tr>
      <w:tr w:rsidR="00985F2E" w14:paraId="32667C0F" w14:textId="77777777" w:rsidTr="006B6754">
        <w:tc>
          <w:tcPr>
            <w:tcW w:w="1078" w:type="dxa"/>
            <w:tcMar>
              <w:top w:w="43" w:type="dxa"/>
              <w:left w:w="115" w:type="dxa"/>
              <w:bottom w:w="43" w:type="dxa"/>
              <w:right w:w="115" w:type="dxa"/>
            </w:tcMar>
          </w:tcPr>
          <w:p w14:paraId="0000004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04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City may withhold, suspend, or deny building permits for any building(s) within a development where the applicant fails to comply with this Chapter, an approved site plan, an approved multiple-use master plan, conditions of approval, or a development agreement.</w:t>
            </w:r>
          </w:p>
        </w:tc>
      </w:tr>
      <w:tr w:rsidR="00985F2E" w14:paraId="6BC66B24" w14:textId="77777777" w:rsidTr="00FB7802">
        <w:tc>
          <w:tcPr>
            <w:tcW w:w="1078" w:type="dxa"/>
            <w:tcMar>
              <w:top w:w="43" w:type="dxa"/>
              <w:left w:w="115" w:type="dxa"/>
              <w:bottom w:w="43" w:type="dxa"/>
              <w:right w:w="115" w:type="dxa"/>
            </w:tcMar>
          </w:tcPr>
          <w:p w14:paraId="0000004D"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13.11.7</w:t>
            </w:r>
          </w:p>
        </w:tc>
        <w:tc>
          <w:tcPr>
            <w:tcW w:w="9902" w:type="dxa"/>
            <w:tcMar>
              <w:top w:w="43" w:type="dxa"/>
              <w:left w:w="115" w:type="dxa"/>
              <w:bottom w:w="43" w:type="dxa"/>
              <w:right w:w="115" w:type="dxa"/>
            </w:tcMar>
          </w:tcPr>
          <w:p w14:paraId="0000004F" w14:textId="77777777" w:rsidR="00985F2E" w:rsidRDefault="00000000">
            <w:pPr>
              <w:pBdr>
                <w:top w:val="nil"/>
                <w:left w:val="nil"/>
                <w:bottom w:val="nil"/>
                <w:right w:val="nil"/>
                <w:between w:val="nil"/>
              </w:pBdr>
              <w:rPr>
                <w:rFonts w:ascii="Arial" w:eastAsia="Arial" w:hAnsi="Arial" w:cs="Arial"/>
                <w:b/>
                <w:bCs/>
                <w:color w:val="000000"/>
              </w:rPr>
            </w:pPr>
            <w:sdt>
              <w:sdtPr>
                <w:tag w:val="goog_rdk_3"/>
                <w:id w:val="-811854978"/>
              </w:sdtPr>
              <w:sdtContent/>
            </w:sdt>
            <w:r w:rsidR="006E28A7">
              <w:rPr>
                <w:rFonts w:ascii="Arial" w:eastAsia="Arial" w:hAnsi="Arial" w:cs="Arial"/>
                <w:b/>
                <w:bCs/>
                <w:color w:val="000000"/>
              </w:rPr>
              <w:t>Use and Space Thresholds</w:t>
            </w:r>
          </w:p>
        </w:tc>
      </w:tr>
      <w:tr w:rsidR="00985F2E" w14:paraId="360934D9" w14:textId="77777777" w:rsidTr="006B6754">
        <w:tc>
          <w:tcPr>
            <w:tcW w:w="1078" w:type="dxa"/>
            <w:tcMar>
              <w:top w:w="43" w:type="dxa"/>
              <w:left w:w="115" w:type="dxa"/>
              <w:bottom w:w="43" w:type="dxa"/>
              <w:right w:w="115" w:type="dxa"/>
            </w:tcMar>
          </w:tcPr>
          <w:p w14:paraId="0000005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5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This Section establishes minimum commercial thresholds for MU developments. Compliance may be achieved through horizontal multiple-use, vertical/integrated multiple-use, or a combination.</w:t>
            </w:r>
          </w:p>
        </w:tc>
      </w:tr>
      <w:tr w:rsidR="00985F2E" w14:paraId="0FE9B121" w14:textId="77777777" w:rsidTr="006B6754">
        <w:tc>
          <w:tcPr>
            <w:tcW w:w="1078" w:type="dxa"/>
            <w:tcMar>
              <w:top w:w="43" w:type="dxa"/>
              <w:left w:w="115" w:type="dxa"/>
              <w:bottom w:w="43" w:type="dxa"/>
              <w:right w:w="115" w:type="dxa"/>
            </w:tcMar>
          </w:tcPr>
          <w:p w14:paraId="0000005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54" w14:textId="77777777" w:rsidR="00985F2E" w:rsidRDefault="00000000">
            <w:pPr>
              <w:pBdr>
                <w:top w:val="nil"/>
                <w:left w:val="nil"/>
                <w:bottom w:val="nil"/>
                <w:right w:val="nil"/>
                <w:between w:val="nil"/>
              </w:pBdr>
              <w:rPr>
                <w:rFonts w:ascii="Arial" w:eastAsia="Arial" w:hAnsi="Arial" w:cs="Arial"/>
                <w:color w:val="000000"/>
              </w:rPr>
            </w:pPr>
            <w:sdt>
              <w:sdtPr>
                <w:tag w:val="goog_rdk_4"/>
                <w:id w:val="1434697748"/>
              </w:sdtPr>
              <w:sdtContent/>
            </w:sdt>
            <w:sdt>
              <w:sdtPr>
                <w:tag w:val="goog_rdk_5"/>
                <w:id w:val="1783637664"/>
              </w:sdtPr>
              <w:sdtContent/>
            </w:sdt>
            <w:r w:rsidR="006E28A7">
              <w:rPr>
                <w:rFonts w:ascii="Arial" w:eastAsia="Arial" w:hAnsi="Arial" w:cs="Arial"/>
                <w:color w:val="000000"/>
              </w:rPr>
              <w:t>The City may approve deviations to these thresholds upon written findings that: the commercial component remains sufficient in size and configuration to serve the development and surrounding area; the project maintains a balanced multiple-use character; and the project does not function primarily as a residential subdivision.</w:t>
            </w:r>
          </w:p>
        </w:tc>
      </w:tr>
      <w:tr w:rsidR="00985F2E" w14:paraId="133D07AC" w14:textId="77777777" w:rsidTr="00FB7802">
        <w:tc>
          <w:tcPr>
            <w:tcW w:w="1078" w:type="dxa"/>
            <w:tcMar>
              <w:top w:w="43" w:type="dxa"/>
              <w:left w:w="115" w:type="dxa"/>
              <w:bottom w:w="43" w:type="dxa"/>
              <w:right w:w="115" w:type="dxa"/>
            </w:tcMar>
          </w:tcPr>
          <w:p w14:paraId="00000056"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13.11.7.1</w:t>
            </w:r>
          </w:p>
        </w:tc>
        <w:tc>
          <w:tcPr>
            <w:tcW w:w="9902" w:type="dxa"/>
            <w:tcMar>
              <w:top w:w="43" w:type="dxa"/>
              <w:left w:w="115" w:type="dxa"/>
              <w:bottom w:w="43" w:type="dxa"/>
              <w:right w:w="115" w:type="dxa"/>
            </w:tcMar>
          </w:tcPr>
          <w:p w14:paraId="00000058"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Horizontal Multiple-Use</w:t>
            </w:r>
          </w:p>
        </w:tc>
      </w:tr>
      <w:tr w:rsidR="00985F2E" w14:paraId="275C0C4E" w14:textId="77777777" w:rsidTr="006B6754">
        <w:tc>
          <w:tcPr>
            <w:tcW w:w="1078" w:type="dxa"/>
            <w:tcMar>
              <w:top w:w="43" w:type="dxa"/>
              <w:left w:w="115" w:type="dxa"/>
              <w:bottom w:w="43" w:type="dxa"/>
              <w:right w:w="115" w:type="dxa"/>
            </w:tcMar>
          </w:tcPr>
          <w:p w14:paraId="00000059"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5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Where commercial and residential uses </w:t>
            </w:r>
            <w:proofErr w:type="gramStart"/>
            <w:r>
              <w:rPr>
                <w:rFonts w:ascii="Arial" w:eastAsia="Arial" w:hAnsi="Arial" w:cs="Arial"/>
                <w:color w:val="000000"/>
              </w:rPr>
              <w:t>are located in</w:t>
            </w:r>
            <w:proofErr w:type="gramEnd"/>
            <w:r>
              <w:rPr>
                <w:rFonts w:ascii="Arial" w:eastAsia="Arial" w:hAnsi="Arial" w:cs="Arial"/>
                <w:color w:val="000000"/>
              </w:rPr>
              <w:t xml:space="preserve"> separate buildings, commercial uses shall occupy land area at a minimum ratio of one (1) acre of commercial land area for every four (4) acres of residential land area within the development.</w:t>
            </w:r>
          </w:p>
        </w:tc>
      </w:tr>
      <w:tr w:rsidR="00985F2E" w14:paraId="653C994E" w14:textId="77777777" w:rsidTr="006B6754">
        <w:tc>
          <w:tcPr>
            <w:tcW w:w="1078" w:type="dxa"/>
            <w:tcMar>
              <w:top w:w="43" w:type="dxa"/>
              <w:left w:w="115" w:type="dxa"/>
              <w:bottom w:w="43" w:type="dxa"/>
              <w:right w:w="115" w:type="dxa"/>
            </w:tcMar>
          </w:tcPr>
          <w:p w14:paraId="0000005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5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Land area shall be based on </w:t>
            </w:r>
            <w:sdt>
              <w:sdtPr>
                <w:tag w:val="goog_rdk_6"/>
                <w:id w:val="-1329992937"/>
              </w:sdtPr>
              <w:sdtContent/>
            </w:sdt>
            <w:r>
              <w:rPr>
                <w:rFonts w:ascii="Arial" w:eastAsia="Arial" w:hAnsi="Arial" w:cs="Arial"/>
                <w:color w:val="000000"/>
              </w:rPr>
              <w:t>net developable area and shall exclude public rights-of-way, perimeter setbacks, and required open space, unless otherwise approved by the City.</w:t>
            </w:r>
          </w:p>
        </w:tc>
      </w:tr>
      <w:tr w:rsidR="00985F2E" w14:paraId="6D8AD193" w14:textId="77777777" w:rsidTr="00FB7802">
        <w:tc>
          <w:tcPr>
            <w:tcW w:w="1078" w:type="dxa"/>
            <w:tcMar>
              <w:top w:w="43" w:type="dxa"/>
              <w:left w:w="115" w:type="dxa"/>
              <w:bottom w:w="43" w:type="dxa"/>
              <w:right w:w="115" w:type="dxa"/>
            </w:tcMar>
          </w:tcPr>
          <w:p w14:paraId="0000005F"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13.11.7.2</w:t>
            </w:r>
          </w:p>
        </w:tc>
        <w:tc>
          <w:tcPr>
            <w:tcW w:w="9902" w:type="dxa"/>
            <w:tcMar>
              <w:top w:w="43" w:type="dxa"/>
              <w:left w:w="115" w:type="dxa"/>
              <w:bottom w:w="43" w:type="dxa"/>
              <w:right w:w="115" w:type="dxa"/>
            </w:tcMar>
          </w:tcPr>
          <w:p w14:paraId="00000061" w14:textId="77777777" w:rsidR="00985F2E" w:rsidRDefault="00000000">
            <w:pPr>
              <w:pBdr>
                <w:top w:val="nil"/>
                <w:left w:val="nil"/>
                <w:bottom w:val="nil"/>
                <w:right w:val="nil"/>
                <w:between w:val="nil"/>
              </w:pBdr>
              <w:rPr>
                <w:rFonts w:ascii="Arial" w:eastAsia="Arial" w:hAnsi="Arial" w:cs="Arial"/>
                <w:color w:val="000000"/>
              </w:rPr>
            </w:pPr>
            <w:sdt>
              <w:sdtPr>
                <w:tag w:val="goog_rdk_7"/>
                <w:id w:val="-2077016892"/>
              </w:sdtPr>
              <w:sdtContent/>
            </w:sdt>
            <w:sdt>
              <w:sdtPr>
                <w:tag w:val="goog_rdk_8"/>
                <w:id w:val="881576370"/>
              </w:sdtPr>
              <w:sdtContent/>
            </w:sdt>
            <w:r w:rsidR="006E28A7">
              <w:rPr>
                <w:rFonts w:ascii="Arial" w:eastAsia="Arial" w:hAnsi="Arial" w:cs="Arial"/>
                <w:b/>
                <w:bCs/>
                <w:color w:val="000000"/>
              </w:rPr>
              <w:t>Vertical Multiple-Use</w:t>
            </w:r>
          </w:p>
        </w:tc>
      </w:tr>
      <w:tr w:rsidR="00985F2E" w14:paraId="0196F369" w14:textId="77777777" w:rsidTr="006B6754">
        <w:tc>
          <w:tcPr>
            <w:tcW w:w="1078" w:type="dxa"/>
            <w:tcMar>
              <w:top w:w="43" w:type="dxa"/>
              <w:left w:w="115" w:type="dxa"/>
              <w:bottom w:w="43" w:type="dxa"/>
              <w:right w:w="115" w:type="dxa"/>
            </w:tcMar>
          </w:tcPr>
          <w:p w14:paraId="00000062"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6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Where one or more buildings contain both commercial and residential uses, commercial uses shall comprise not less than twenty percent (20%) and not more than thirty percent (30%) of the total gross floor area of all buildings within the development.</w:t>
            </w:r>
          </w:p>
        </w:tc>
      </w:tr>
      <w:tr w:rsidR="00985F2E" w14:paraId="1704B221" w14:textId="77777777" w:rsidTr="00FB7802">
        <w:tc>
          <w:tcPr>
            <w:tcW w:w="1078" w:type="dxa"/>
            <w:tcMar>
              <w:top w:w="43" w:type="dxa"/>
              <w:left w:w="115" w:type="dxa"/>
              <w:bottom w:w="43" w:type="dxa"/>
              <w:right w:w="115" w:type="dxa"/>
            </w:tcMar>
          </w:tcPr>
          <w:p w14:paraId="0000006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13.11.7.2.1</w:t>
            </w:r>
          </w:p>
        </w:tc>
        <w:tc>
          <w:tcPr>
            <w:tcW w:w="9902" w:type="dxa"/>
            <w:tcMar>
              <w:top w:w="43" w:type="dxa"/>
              <w:left w:w="115" w:type="dxa"/>
              <w:bottom w:w="43" w:type="dxa"/>
              <w:right w:w="115" w:type="dxa"/>
            </w:tcMar>
          </w:tcPr>
          <w:p w14:paraId="00000067"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Dedicated Vertical Multiple-Use Units</w:t>
            </w:r>
          </w:p>
        </w:tc>
      </w:tr>
      <w:tr w:rsidR="00985F2E" w14:paraId="2A324B32" w14:textId="77777777" w:rsidTr="006B6754">
        <w:tc>
          <w:tcPr>
            <w:tcW w:w="1078" w:type="dxa"/>
            <w:tcMar>
              <w:top w:w="43" w:type="dxa"/>
              <w:left w:w="115" w:type="dxa"/>
              <w:bottom w:w="43" w:type="dxa"/>
              <w:right w:w="115" w:type="dxa"/>
            </w:tcMar>
          </w:tcPr>
          <w:p w14:paraId="0000006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69"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dedicated multiple-use unit shall contain dedicated space that is solely residential and dedicated space that is solely commercial. </w:t>
            </w:r>
          </w:p>
        </w:tc>
      </w:tr>
      <w:tr w:rsidR="00985F2E" w14:paraId="667B8CC6" w14:textId="77777777" w:rsidTr="006B6754">
        <w:tc>
          <w:tcPr>
            <w:tcW w:w="1078" w:type="dxa"/>
            <w:tcMar>
              <w:top w:w="43" w:type="dxa"/>
              <w:left w:w="115" w:type="dxa"/>
              <w:bottom w:w="43" w:type="dxa"/>
              <w:right w:w="115" w:type="dxa"/>
            </w:tcMar>
          </w:tcPr>
          <w:p w14:paraId="0000006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6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These dedicated spaces may be owned or leased by separate entities or by a single entity, but they are fundamentally separate units which must each have their own dedicated access points, bathroom facilities, and utilities.</w:t>
            </w:r>
          </w:p>
        </w:tc>
      </w:tr>
      <w:tr w:rsidR="00985F2E" w14:paraId="2CD474B1" w14:textId="77777777" w:rsidTr="006B6754">
        <w:tc>
          <w:tcPr>
            <w:tcW w:w="1078" w:type="dxa"/>
            <w:tcMar>
              <w:top w:w="43" w:type="dxa"/>
              <w:left w:w="115" w:type="dxa"/>
              <w:bottom w:w="43" w:type="dxa"/>
              <w:right w:w="115" w:type="dxa"/>
            </w:tcMar>
          </w:tcPr>
          <w:p w14:paraId="0000006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06F"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dedicated vertical multiple-use units, commercial floor area shall be located on the ground floor or in other street-oriented or publicly accessible locations unless the City determines an alternative configuration better meets the intent of the MU </w:t>
            </w:r>
            <w:r>
              <w:rPr>
                <w:rFonts w:ascii="Arial" w:eastAsia="Arial" w:hAnsi="Arial" w:cs="Arial"/>
              </w:rPr>
              <w:t>z</w:t>
            </w:r>
            <w:r>
              <w:rPr>
                <w:rFonts w:ascii="Arial" w:eastAsia="Arial" w:hAnsi="Arial" w:cs="Arial"/>
                <w:color w:val="000000"/>
              </w:rPr>
              <w:t>one.</w:t>
            </w:r>
          </w:p>
        </w:tc>
      </w:tr>
      <w:tr w:rsidR="00985F2E" w14:paraId="6D8D638B" w14:textId="77777777" w:rsidTr="00FB7802">
        <w:tc>
          <w:tcPr>
            <w:tcW w:w="1078" w:type="dxa"/>
            <w:tcMar>
              <w:top w:w="43" w:type="dxa"/>
              <w:left w:w="115" w:type="dxa"/>
              <w:bottom w:w="43" w:type="dxa"/>
              <w:right w:w="115" w:type="dxa"/>
            </w:tcMar>
          </w:tcPr>
          <w:p w14:paraId="0000007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13.11.7.2.2</w:t>
            </w:r>
          </w:p>
        </w:tc>
        <w:tc>
          <w:tcPr>
            <w:tcW w:w="9902" w:type="dxa"/>
            <w:tcMar>
              <w:top w:w="43" w:type="dxa"/>
              <w:left w:w="115" w:type="dxa"/>
              <w:bottom w:w="43" w:type="dxa"/>
              <w:right w:w="115" w:type="dxa"/>
            </w:tcMar>
          </w:tcPr>
          <w:p w14:paraId="0000007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Flexible Vertical Multiple-Use Units </w:t>
            </w:r>
          </w:p>
        </w:tc>
      </w:tr>
      <w:tr w:rsidR="00985F2E" w14:paraId="6430C301" w14:textId="77777777" w:rsidTr="006B6754">
        <w:tc>
          <w:tcPr>
            <w:tcW w:w="1078" w:type="dxa"/>
            <w:tcMar>
              <w:top w:w="43" w:type="dxa"/>
              <w:left w:w="115" w:type="dxa"/>
              <w:bottom w:w="43" w:type="dxa"/>
              <w:right w:w="115" w:type="dxa"/>
            </w:tcMar>
          </w:tcPr>
          <w:p w14:paraId="0000007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7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flexible multiple-use unit shall contain a dedicated space that is solely residential and a flexible space which may be used for either commercial or residential purposes</w:t>
            </w:r>
          </w:p>
        </w:tc>
      </w:tr>
      <w:tr w:rsidR="00985F2E" w14:paraId="3DB5F2C7" w14:textId="77777777" w:rsidTr="006B6754">
        <w:tc>
          <w:tcPr>
            <w:tcW w:w="1078" w:type="dxa"/>
            <w:tcMar>
              <w:top w:w="43" w:type="dxa"/>
              <w:left w:w="115" w:type="dxa"/>
              <w:bottom w:w="43" w:type="dxa"/>
              <w:right w:w="115" w:type="dxa"/>
            </w:tcMar>
          </w:tcPr>
          <w:p w14:paraId="0000007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7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may be sub-leased to a separate entity but is fundamentally part of the same unit which contains the dedicated residential space.</w:t>
            </w:r>
          </w:p>
        </w:tc>
      </w:tr>
      <w:tr w:rsidR="00985F2E" w14:paraId="082F87F9" w14:textId="77777777" w:rsidTr="006B6754">
        <w:tc>
          <w:tcPr>
            <w:tcW w:w="1078" w:type="dxa"/>
            <w:tcMar>
              <w:top w:w="43" w:type="dxa"/>
              <w:left w:w="115" w:type="dxa"/>
              <w:bottom w:w="43" w:type="dxa"/>
              <w:right w:w="115" w:type="dxa"/>
            </w:tcMar>
          </w:tcPr>
          <w:p w14:paraId="0000007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2.1</w:t>
            </w:r>
          </w:p>
        </w:tc>
        <w:tc>
          <w:tcPr>
            <w:tcW w:w="9902" w:type="dxa"/>
            <w:tcMar>
              <w:top w:w="43" w:type="dxa"/>
              <w:left w:w="115" w:type="dxa"/>
              <w:bottom w:w="43" w:type="dxa"/>
              <w:right w:w="115" w:type="dxa"/>
            </w:tcMar>
          </w:tcPr>
          <w:p w14:paraId="0000007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Under no circumstances shall a flexible space be sub-leased to a separate entity for use as a dedicated residential space (multi-family residential unit).</w:t>
            </w:r>
          </w:p>
        </w:tc>
      </w:tr>
      <w:tr w:rsidR="00985F2E" w14:paraId="22802078" w14:textId="77777777" w:rsidTr="006B6754">
        <w:tc>
          <w:tcPr>
            <w:tcW w:w="1078" w:type="dxa"/>
            <w:tcMar>
              <w:top w:w="43" w:type="dxa"/>
              <w:left w:w="115" w:type="dxa"/>
              <w:bottom w:w="43" w:type="dxa"/>
              <w:right w:w="115" w:type="dxa"/>
            </w:tcMar>
          </w:tcPr>
          <w:p w14:paraId="0000007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3</w:t>
            </w:r>
          </w:p>
        </w:tc>
        <w:tc>
          <w:tcPr>
            <w:tcW w:w="9902" w:type="dxa"/>
            <w:tcMar>
              <w:top w:w="43" w:type="dxa"/>
              <w:left w:w="115" w:type="dxa"/>
              <w:bottom w:w="43" w:type="dxa"/>
              <w:right w:w="115" w:type="dxa"/>
            </w:tcMar>
          </w:tcPr>
          <w:p w14:paraId="0000007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count toward the required commercial floor area within a development only when the space has a dedicated access point, dedicated bathroom facilities, and a lockable door separating it from the dedicated residential space.</w:t>
            </w:r>
          </w:p>
        </w:tc>
      </w:tr>
      <w:tr w:rsidR="00985F2E" w14:paraId="286A5A3C" w14:textId="77777777" w:rsidTr="006B6754">
        <w:tc>
          <w:tcPr>
            <w:tcW w:w="1078" w:type="dxa"/>
            <w:tcMar>
              <w:top w:w="43" w:type="dxa"/>
              <w:left w:w="115" w:type="dxa"/>
              <w:bottom w:w="43" w:type="dxa"/>
              <w:right w:w="115" w:type="dxa"/>
            </w:tcMar>
          </w:tcPr>
          <w:p w14:paraId="0000008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2" w:type="dxa"/>
            <w:tcMar>
              <w:top w:w="43" w:type="dxa"/>
              <w:left w:w="115" w:type="dxa"/>
              <w:bottom w:w="43" w:type="dxa"/>
              <w:right w:w="115" w:type="dxa"/>
            </w:tcMar>
          </w:tcPr>
          <w:p w14:paraId="0000008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be designed and constructed to reasonably accommodate conversion among permitted commercial and residential uses without structural modification.</w:t>
            </w:r>
          </w:p>
        </w:tc>
      </w:tr>
      <w:tr w:rsidR="00985F2E" w14:paraId="131483F2" w14:textId="77777777" w:rsidTr="006B6754">
        <w:tc>
          <w:tcPr>
            <w:tcW w:w="1078" w:type="dxa"/>
            <w:tcMar>
              <w:top w:w="43" w:type="dxa"/>
              <w:left w:w="115" w:type="dxa"/>
              <w:bottom w:w="43" w:type="dxa"/>
              <w:right w:w="115" w:type="dxa"/>
            </w:tcMar>
          </w:tcPr>
          <w:p w14:paraId="0000008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9902" w:type="dxa"/>
            <w:tcMar>
              <w:top w:w="43" w:type="dxa"/>
              <w:left w:w="115" w:type="dxa"/>
              <w:bottom w:w="43" w:type="dxa"/>
              <w:right w:w="115" w:type="dxa"/>
            </w:tcMar>
          </w:tcPr>
          <w:p w14:paraId="0000008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flexible space shall be located on the ground floor unless the City determines an alternative configuration better meets the intent of the MU </w:t>
            </w:r>
            <w:r>
              <w:rPr>
                <w:rFonts w:ascii="Arial" w:eastAsia="Arial" w:hAnsi="Arial" w:cs="Arial"/>
              </w:rPr>
              <w:t>z</w:t>
            </w:r>
            <w:r>
              <w:rPr>
                <w:rFonts w:ascii="Arial" w:eastAsia="Arial" w:hAnsi="Arial" w:cs="Arial"/>
                <w:color w:val="000000"/>
              </w:rPr>
              <w:t>one.</w:t>
            </w:r>
          </w:p>
        </w:tc>
      </w:tr>
      <w:tr w:rsidR="00985F2E" w14:paraId="15168DB8" w14:textId="77777777" w:rsidTr="006B6754">
        <w:tc>
          <w:tcPr>
            <w:tcW w:w="1078" w:type="dxa"/>
            <w:tcMar>
              <w:top w:w="43" w:type="dxa"/>
              <w:left w:w="115" w:type="dxa"/>
              <w:bottom w:w="43" w:type="dxa"/>
              <w:right w:w="115" w:type="dxa"/>
            </w:tcMar>
          </w:tcPr>
          <w:p w14:paraId="00000086"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c>
          <w:tcPr>
            <w:tcW w:w="9902" w:type="dxa"/>
            <w:tcMar>
              <w:top w:w="43" w:type="dxa"/>
              <w:left w:w="115" w:type="dxa"/>
              <w:bottom w:w="43" w:type="dxa"/>
              <w:right w:w="115" w:type="dxa"/>
            </w:tcMar>
          </w:tcPr>
          <w:p w14:paraId="0000008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flexible space shall comply with applicable commercial parking, fire, and building code requirements in effect at the time of conversion.</w:t>
            </w:r>
          </w:p>
        </w:tc>
      </w:tr>
      <w:tr w:rsidR="00985F2E" w14:paraId="1D47852B" w14:textId="77777777" w:rsidTr="00FB7802">
        <w:tc>
          <w:tcPr>
            <w:tcW w:w="1078" w:type="dxa"/>
            <w:tcMar>
              <w:top w:w="43" w:type="dxa"/>
              <w:left w:w="115" w:type="dxa"/>
              <w:bottom w:w="43" w:type="dxa"/>
              <w:right w:w="115" w:type="dxa"/>
            </w:tcMar>
          </w:tcPr>
          <w:p w14:paraId="00000089"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13.11.8</w:t>
            </w:r>
          </w:p>
        </w:tc>
        <w:tc>
          <w:tcPr>
            <w:tcW w:w="9902" w:type="dxa"/>
            <w:tcMar>
              <w:top w:w="43" w:type="dxa"/>
              <w:left w:w="115" w:type="dxa"/>
              <w:bottom w:w="43" w:type="dxa"/>
              <w:right w:w="115" w:type="dxa"/>
            </w:tcMar>
          </w:tcPr>
          <w:p w14:paraId="0000008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Phasing; Requirement for Commercial Construction</w:t>
            </w:r>
          </w:p>
        </w:tc>
      </w:tr>
      <w:tr w:rsidR="00985F2E" w14:paraId="5BCC745F" w14:textId="77777777" w:rsidTr="006B6754">
        <w:tc>
          <w:tcPr>
            <w:tcW w:w="1078" w:type="dxa"/>
            <w:tcMar>
              <w:top w:w="43" w:type="dxa"/>
              <w:left w:w="115" w:type="dxa"/>
              <w:bottom w:w="43" w:type="dxa"/>
              <w:right w:w="115" w:type="dxa"/>
            </w:tcMar>
          </w:tcPr>
          <w:p w14:paraId="0000008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8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Commercial uses shall be constructed concurrently with or prior to residential development unless otherwise approved through a development agreement.</w:t>
            </w:r>
          </w:p>
        </w:tc>
      </w:tr>
      <w:tr w:rsidR="00985F2E" w14:paraId="4D9951BA" w14:textId="77777777" w:rsidTr="006B6754">
        <w:tc>
          <w:tcPr>
            <w:tcW w:w="1078" w:type="dxa"/>
            <w:tcMar>
              <w:top w:w="43" w:type="dxa"/>
              <w:left w:w="115" w:type="dxa"/>
              <w:bottom w:w="43" w:type="dxa"/>
              <w:right w:w="115" w:type="dxa"/>
            </w:tcMar>
          </w:tcPr>
          <w:p w14:paraId="0000008F"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9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A parcel or lot may not rely on commercial uses located on other parcels or lots unless such parcels or lots are part of a unified multi-lot development agreement.</w:t>
            </w:r>
          </w:p>
        </w:tc>
      </w:tr>
      <w:tr w:rsidR="00985F2E" w14:paraId="0DE13805" w14:textId="77777777" w:rsidTr="00FB7802">
        <w:tc>
          <w:tcPr>
            <w:tcW w:w="1078" w:type="dxa"/>
            <w:tcMar>
              <w:top w:w="43" w:type="dxa"/>
              <w:left w:w="115" w:type="dxa"/>
              <w:bottom w:w="43" w:type="dxa"/>
              <w:right w:w="115" w:type="dxa"/>
            </w:tcMar>
          </w:tcPr>
          <w:p w14:paraId="00000092"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13.11.9</w:t>
            </w:r>
          </w:p>
        </w:tc>
        <w:tc>
          <w:tcPr>
            <w:tcW w:w="9902" w:type="dxa"/>
            <w:tcMar>
              <w:top w:w="43" w:type="dxa"/>
              <w:left w:w="115" w:type="dxa"/>
              <w:bottom w:w="43" w:type="dxa"/>
              <w:right w:w="115" w:type="dxa"/>
            </w:tcMar>
          </w:tcPr>
          <w:p w14:paraId="00000094"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Residential Transition Areas</w:t>
            </w:r>
          </w:p>
        </w:tc>
      </w:tr>
      <w:tr w:rsidR="00985F2E" w14:paraId="142EDD6E" w14:textId="77777777" w:rsidTr="006B6754">
        <w:tc>
          <w:tcPr>
            <w:tcW w:w="1078" w:type="dxa"/>
            <w:tcMar>
              <w:top w:w="43" w:type="dxa"/>
              <w:left w:w="115" w:type="dxa"/>
              <w:bottom w:w="43" w:type="dxa"/>
              <w:right w:w="115" w:type="dxa"/>
            </w:tcMar>
          </w:tcPr>
          <w:p w14:paraId="0000009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96"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development in an MU zone adjacent to existing single-family residential zones shall be designed to reduce conflicts related to scale, noise, lighting, and service impacts.</w:t>
            </w:r>
          </w:p>
        </w:tc>
      </w:tr>
      <w:tr w:rsidR="00985F2E" w14:paraId="64F16E9F" w14:textId="77777777" w:rsidTr="006B6754">
        <w:tc>
          <w:tcPr>
            <w:tcW w:w="1078" w:type="dxa"/>
            <w:tcMar>
              <w:top w:w="43" w:type="dxa"/>
              <w:left w:w="115" w:type="dxa"/>
              <w:bottom w:w="43" w:type="dxa"/>
              <w:right w:w="115" w:type="dxa"/>
            </w:tcMar>
          </w:tcPr>
          <w:p w14:paraId="0000009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p>
        </w:tc>
        <w:tc>
          <w:tcPr>
            <w:tcW w:w="9902" w:type="dxa"/>
            <w:tcMar>
              <w:top w:w="43" w:type="dxa"/>
              <w:left w:w="115" w:type="dxa"/>
              <w:bottom w:w="43" w:type="dxa"/>
              <w:right w:w="115" w:type="dxa"/>
            </w:tcMar>
          </w:tcPr>
          <w:p w14:paraId="00000099"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In the MU zone, the building(s) nearest the residential zone property line shall be residential in use; or where non-residential buildings are located nearest the residential zone property line, the development shall provide:</w:t>
            </w:r>
          </w:p>
        </w:tc>
      </w:tr>
      <w:tr w:rsidR="00985F2E" w14:paraId="1D2DA34E" w14:textId="77777777" w:rsidTr="006B6754">
        <w:tc>
          <w:tcPr>
            <w:tcW w:w="1078" w:type="dxa"/>
            <w:tcMar>
              <w:top w:w="43" w:type="dxa"/>
              <w:left w:w="115" w:type="dxa"/>
              <w:bottom w:w="43" w:type="dxa"/>
              <w:right w:w="115" w:type="dxa"/>
            </w:tcMar>
          </w:tcPr>
          <w:p w14:paraId="0000009B"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1.1.1</w:t>
            </w:r>
          </w:p>
        </w:tc>
        <w:tc>
          <w:tcPr>
            <w:tcW w:w="9902" w:type="dxa"/>
            <w:tcMar>
              <w:top w:w="43" w:type="dxa"/>
              <w:left w:w="115" w:type="dxa"/>
              <w:bottom w:w="43" w:type="dxa"/>
              <w:right w:w="115" w:type="dxa"/>
            </w:tcMar>
          </w:tcPr>
          <w:p w14:paraId="0000009C"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ten-foot (10') landscaped buffer;</w:t>
            </w:r>
          </w:p>
        </w:tc>
      </w:tr>
      <w:tr w:rsidR="00985F2E" w14:paraId="129E7CE0" w14:textId="77777777" w:rsidTr="006B6754">
        <w:tc>
          <w:tcPr>
            <w:tcW w:w="1078" w:type="dxa"/>
            <w:tcMar>
              <w:top w:w="43" w:type="dxa"/>
              <w:left w:w="115" w:type="dxa"/>
              <w:bottom w:w="43" w:type="dxa"/>
              <w:right w:w="115" w:type="dxa"/>
            </w:tcMar>
          </w:tcPr>
          <w:p w14:paraId="0000009E"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1.1.2</w:t>
            </w:r>
          </w:p>
        </w:tc>
        <w:tc>
          <w:tcPr>
            <w:tcW w:w="9902" w:type="dxa"/>
            <w:tcMar>
              <w:top w:w="43" w:type="dxa"/>
              <w:left w:w="115" w:type="dxa"/>
              <w:bottom w:w="43" w:type="dxa"/>
              <w:right w:w="115" w:type="dxa"/>
            </w:tcMar>
          </w:tcPr>
          <w:p w14:paraId="0000009F" w14:textId="55D09B30" w:rsidR="00985F2E" w:rsidRDefault="00000000">
            <w:pPr>
              <w:pBdr>
                <w:top w:val="nil"/>
                <w:left w:val="nil"/>
                <w:bottom w:val="nil"/>
                <w:right w:val="nil"/>
                <w:between w:val="nil"/>
              </w:pBdr>
              <w:rPr>
                <w:rFonts w:ascii="Arial" w:eastAsia="Arial" w:hAnsi="Arial" w:cs="Arial"/>
                <w:b/>
                <w:bCs/>
                <w:color w:val="000000"/>
              </w:rPr>
            </w:pPr>
            <w:sdt>
              <w:sdtPr>
                <w:tag w:val="goog_rdk_9"/>
                <w:id w:val="-57180272"/>
              </w:sdtPr>
              <w:sdtContent/>
            </w:sdt>
            <w:sdt>
              <w:sdtPr>
                <w:tag w:val="goog_rdk_10"/>
                <w:id w:val="553568560"/>
              </w:sdtPr>
              <w:sdtContent/>
            </w:sdt>
            <w:r w:rsidR="006E28A7">
              <w:rPr>
                <w:rFonts w:ascii="Arial" w:eastAsia="Arial" w:hAnsi="Arial" w:cs="Arial"/>
                <w:color w:val="000000"/>
              </w:rPr>
              <w:t>A</w:t>
            </w:r>
            <w:r w:rsidR="004C230F">
              <w:rPr>
                <w:rFonts w:ascii="Arial" w:eastAsia="Arial" w:hAnsi="Arial" w:cs="Arial"/>
                <w:color w:val="000000"/>
              </w:rPr>
              <w:t>n eight</w:t>
            </w:r>
            <w:r w:rsidR="006E28A7">
              <w:rPr>
                <w:rFonts w:ascii="Arial" w:eastAsia="Arial" w:hAnsi="Arial" w:cs="Arial"/>
                <w:color w:val="000000"/>
              </w:rPr>
              <w:t>-foot (</w:t>
            </w:r>
            <w:r w:rsidR="004C230F">
              <w:rPr>
                <w:rFonts w:ascii="Arial" w:eastAsia="Arial" w:hAnsi="Arial" w:cs="Arial"/>
                <w:color w:val="000000"/>
              </w:rPr>
              <w:t>8</w:t>
            </w:r>
            <w:r w:rsidR="006E28A7">
              <w:rPr>
                <w:rFonts w:ascii="Arial" w:eastAsia="Arial" w:hAnsi="Arial" w:cs="Arial"/>
                <w:color w:val="000000"/>
              </w:rPr>
              <w:t xml:space="preserve">') sight-obscuring </w:t>
            </w:r>
            <w:r w:rsidR="003931AB">
              <w:rPr>
                <w:rFonts w:ascii="Arial" w:eastAsia="Arial" w:hAnsi="Arial" w:cs="Arial"/>
                <w:color w:val="000000"/>
              </w:rPr>
              <w:t xml:space="preserve">and noise-dampening masonry </w:t>
            </w:r>
            <w:r w:rsidR="006E28A7">
              <w:rPr>
                <w:rFonts w:ascii="Arial" w:eastAsia="Arial" w:hAnsi="Arial" w:cs="Arial"/>
                <w:color w:val="000000"/>
              </w:rPr>
              <w:t>fence;</w:t>
            </w:r>
          </w:p>
        </w:tc>
      </w:tr>
      <w:tr w:rsidR="00985F2E" w14:paraId="652957D1" w14:textId="77777777" w:rsidTr="006B6754">
        <w:tc>
          <w:tcPr>
            <w:tcW w:w="1078" w:type="dxa"/>
            <w:tcMar>
              <w:top w:w="43" w:type="dxa"/>
              <w:left w:w="115" w:type="dxa"/>
              <w:bottom w:w="43" w:type="dxa"/>
              <w:right w:w="115" w:type="dxa"/>
            </w:tcMar>
          </w:tcPr>
          <w:p w14:paraId="000000A1"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1.1.3</w:t>
            </w:r>
          </w:p>
        </w:tc>
        <w:tc>
          <w:tcPr>
            <w:tcW w:w="9902" w:type="dxa"/>
            <w:tcMar>
              <w:top w:w="43" w:type="dxa"/>
              <w:left w:w="115" w:type="dxa"/>
              <w:bottom w:w="43" w:type="dxa"/>
              <w:right w:w="115" w:type="dxa"/>
            </w:tcMar>
          </w:tcPr>
          <w:p w14:paraId="000000A2"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A maximum building height of thirty-five (35) feet, measured from finished grade, for the first row of buildings directly adjacent to the residential zone property line;</w:t>
            </w:r>
          </w:p>
        </w:tc>
      </w:tr>
      <w:tr w:rsidR="00985F2E" w14:paraId="7E1AE0D6" w14:textId="77777777" w:rsidTr="006B6754">
        <w:tc>
          <w:tcPr>
            <w:tcW w:w="1078" w:type="dxa"/>
            <w:tcMar>
              <w:top w:w="43" w:type="dxa"/>
              <w:left w:w="115" w:type="dxa"/>
              <w:bottom w:w="43" w:type="dxa"/>
              <w:right w:w="115" w:type="dxa"/>
            </w:tcMar>
          </w:tcPr>
          <w:p w14:paraId="000000A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1.1.4</w:t>
            </w:r>
          </w:p>
        </w:tc>
        <w:tc>
          <w:tcPr>
            <w:tcW w:w="9902" w:type="dxa"/>
            <w:tcMar>
              <w:top w:w="43" w:type="dxa"/>
              <w:left w:w="115" w:type="dxa"/>
              <w:bottom w:w="43" w:type="dxa"/>
              <w:right w:w="115" w:type="dxa"/>
            </w:tcMar>
          </w:tcPr>
          <w:p w14:paraId="000000A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Loading zones, loading docks, and noise/vibration producing utilities shall be set back at least fifty (50) feet from the nearest residential property line;</w:t>
            </w:r>
          </w:p>
        </w:tc>
      </w:tr>
      <w:tr w:rsidR="00985F2E" w14:paraId="683071DE" w14:textId="77777777" w:rsidTr="006B6754">
        <w:tc>
          <w:tcPr>
            <w:tcW w:w="1078" w:type="dxa"/>
            <w:tcMar>
              <w:top w:w="43" w:type="dxa"/>
              <w:left w:w="115" w:type="dxa"/>
              <w:bottom w:w="43" w:type="dxa"/>
              <w:right w:w="115" w:type="dxa"/>
            </w:tcMar>
          </w:tcPr>
          <w:p w14:paraId="000000A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1.1.5</w:t>
            </w:r>
          </w:p>
        </w:tc>
        <w:tc>
          <w:tcPr>
            <w:tcW w:w="9902" w:type="dxa"/>
            <w:tcMar>
              <w:top w:w="43" w:type="dxa"/>
              <w:left w:w="115" w:type="dxa"/>
              <w:bottom w:w="43" w:type="dxa"/>
              <w:right w:w="115" w:type="dxa"/>
            </w:tcMar>
          </w:tcPr>
          <w:p w14:paraId="000000A8"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Rooftop mechanical and antenna equipment shall be screened; and</w:t>
            </w:r>
          </w:p>
        </w:tc>
      </w:tr>
      <w:tr w:rsidR="00985F2E" w14:paraId="258D42DE" w14:textId="77777777" w:rsidTr="006B6754">
        <w:tc>
          <w:tcPr>
            <w:tcW w:w="1078" w:type="dxa"/>
            <w:tcMar>
              <w:top w:w="43" w:type="dxa"/>
              <w:left w:w="115" w:type="dxa"/>
              <w:bottom w:w="43" w:type="dxa"/>
              <w:right w:w="115" w:type="dxa"/>
            </w:tcMar>
          </w:tcPr>
          <w:p w14:paraId="000000A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1.1.6</w:t>
            </w:r>
          </w:p>
        </w:tc>
        <w:tc>
          <w:tcPr>
            <w:tcW w:w="9902" w:type="dxa"/>
            <w:tcMar>
              <w:top w:w="43" w:type="dxa"/>
              <w:left w:w="115" w:type="dxa"/>
              <w:bottom w:w="43" w:type="dxa"/>
              <w:right w:w="115" w:type="dxa"/>
            </w:tcMar>
          </w:tcPr>
          <w:p w14:paraId="000000AB"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color w:val="000000"/>
              </w:rPr>
              <w:t>Noise, vibration, smoke, dust, odor, glare, and similar impacts shall not be discernible beyond the premises except for normal traffic movements.</w:t>
            </w:r>
          </w:p>
        </w:tc>
      </w:tr>
      <w:tr w:rsidR="00985F2E" w14:paraId="14F17C4F" w14:textId="77777777" w:rsidTr="00FB7802">
        <w:tc>
          <w:tcPr>
            <w:tcW w:w="1078" w:type="dxa"/>
            <w:tcMar>
              <w:top w:w="43" w:type="dxa"/>
              <w:left w:w="115" w:type="dxa"/>
              <w:bottom w:w="43" w:type="dxa"/>
              <w:right w:w="115" w:type="dxa"/>
            </w:tcMar>
          </w:tcPr>
          <w:p w14:paraId="000000AD" w14:textId="77777777" w:rsidR="00985F2E" w:rsidRDefault="00000000">
            <w:pPr>
              <w:pBdr>
                <w:top w:val="nil"/>
                <w:left w:val="nil"/>
                <w:bottom w:val="nil"/>
                <w:right w:val="nil"/>
                <w:between w:val="nil"/>
              </w:pBdr>
              <w:rPr>
                <w:rFonts w:ascii="Arial" w:eastAsia="Arial" w:hAnsi="Arial" w:cs="Arial"/>
                <w:b/>
                <w:bCs/>
                <w:color w:val="000000"/>
              </w:rPr>
            </w:pPr>
            <w:sdt>
              <w:sdtPr>
                <w:tag w:val="goog_rdk_11"/>
                <w:id w:val="-241285759"/>
              </w:sdtPr>
              <w:sdtContent/>
            </w:sdt>
            <w:sdt>
              <w:sdtPr>
                <w:tag w:val="goog_rdk_12"/>
                <w:id w:val="1217567081"/>
              </w:sdtPr>
              <w:sdtContent/>
            </w:sdt>
            <w:r w:rsidR="006E28A7">
              <w:rPr>
                <w:rFonts w:ascii="Arial" w:eastAsia="Arial" w:hAnsi="Arial" w:cs="Arial"/>
                <w:b/>
                <w:bCs/>
                <w:color w:val="000000"/>
              </w:rPr>
              <w:t>13.11.10</w:t>
            </w:r>
          </w:p>
        </w:tc>
        <w:tc>
          <w:tcPr>
            <w:tcW w:w="9902" w:type="dxa"/>
            <w:tcMar>
              <w:top w:w="43" w:type="dxa"/>
              <w:left w:w="115" w:type="dxa"/>
              <w:bottom w:w="43" w:type="dxa"/>
              <w:right w:w="115" w:type="dxa"/>
            </w:tcMar>
          </w:tcPr>
          <w:p w14:paraId="000000AF"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Density</w:t>
            </w:r>
          </w:p>
        </w:tc>
      </w:tr>
      <w:tr w:rsidR="00985F2E" w14:paraId="3F2D07A5" w14:textId="77777777" w:rsidTr="006B6754">
        <w:tc>
          <w:tcPr>
            <w:tcW w:w="1078" w:type="dxa"/>
            <w:tcMar>
              <w:top w:w="43" w:type="dxa"/>
              <w:left w:w="115" w:type="dxa"/>
              <w:bottom w:w="43" w:type="dxa"/>
              <w:right w:w="115" w:type="dxa"/>
            </w:tcMar>
          </w:tcPr>
          <w:p w14:paraId="000000B0" w14:textId="77777777" w:rsidR="00985F2E" w:rsidRDefault="00000000">
            <w:pPr>
              <w:pBdr>
                <w:top w:val="nil"/>
                <w:left w:val="nil"/>
                <w:bottom w:val="nil"/>
                <w:right w:val="nil"/>
                <w:between w:val="nil"/>
              </w:pBdr>
              <w:rPr>
                <w:rFonts w:ascii="Arial" w:eastAsia="Arial" w:hAnsi="Arial" w:cs="Arial"/>
                <w:color w:val="000000"/>
              </w:rPr>
            </w:pPr>
            <w:sdt>
              <w:sdtPr>
                <w:tag w:val="goog_rdk_13"/>
                <w:id w:val="-426049683"/>
              </w:sdtPr>
              <w:sdtContent/>
            </w:sdt>
            <w:sdt>
              <w:sdtPr>
                <w:tag w:val="goog_rdk_14"/>
                <w:id w:val="1870900388"/>
              </w:sdtPr>
              <w:sdtContent/>
            </w:sdt>
            <w:r w:rsidR="006E28A7">
              <w:rPr>
                <w:rFonts w:ascii="Arial" w:eastAsia="Arial" w:hAnsi="Arial" w:cs="Arial"/>
                <w:color w:val="000000"/>
              </w:rPr>
              <w:t>1</w:t>
            </w:r>
          </w:p>
        </w:tc>
        <w:tc>
          <w:tcPr>
            <w:tcW w:w="9902" w:type="dxa"/>
            <w:tcMar>
              <w:top w:w="43" w:type="dxa"/>
              <w:left w:w="115" w:type="dxa"/>
              <w:bottom w:w="43" w:type="dxa"/>
              <w:right w:w="115" w:type="dxa"/>
            </w:tcMar>
          </w:tcPr>
          <w:p w14:paraId="000000B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Residential density in the MU </w:t>
            </w:r>
            <w:r>
              <w:rPr>
                <w:rFonts w:ascii="Arial" w:eastAsia="Arial" w:hAnsi="Arial" w:cs="Arial"/>
              </w:rPr>
              <w:t>z</w:t>
            </w:r>
            <w:r>
              <w:rPr>
                <w:rFonts w:ascii="Arial" w:eastAsia="Arial" w:hAnsi="Arial" w:cs="Arial"/>
                <w:color w:val="000000"/>
              </w:rPr>
              <w:t xml:space="preserve">one shall not exceed ten (10) dwelling units (DU) per acre within areas designated for residential use on the master plan, unless otherwise approved through a development agreement. </w:t>
            </w:r>
          </w:p>
        </w:tc>
      </w:tr>
      <w:tr w:rsidR="00985F2E" w14:paraId="3D8B11AB" w14:textId="77777777" w:rsidTr="006B6754">
        <w:trPr>
          <w:trHeight w:val="537"/>
        </w:trPr>
        <w:tc>
          <w:tcPr>
            <w:tcW w:w="1078" w:type="dxa"/>
            <w:tcMar>
              <w:top w:w="43" w:type="dxa"/>
              <w:left w:w="115" w:type="dxa"/>
              <w:bottom w:w="43" w:type="dxa"/>
              <w:right w:w="115" w:type="dxa"/>
            </w:tcMar>
          </w:tcPr>
          <w:p w14:paraId="000000B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0B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The guidelines in Table 1 and the example in Figure 1 should be used as a guidance to ensure a density pattern that provides appropriate transitions adjacent to existing residential zoning districts.</w:t>
            </w:r>
          </w:p>
        </w:tc>
      </w:tr>
      <w:tr w:rsidR="00985F2E" w14:paraId="1B31A6F6" w14:textId="77777777" w:rsidTr="006B6754">
        <w:trPr>
          <w:trHeight w:val="32"/>
        </w:trPr>
        <w:tc>
          <w:tcPr>
            <w:tcW w:w="1078" w:type="dxa"/>
            <w:tcMar>
              <w:top w:w="43" w:type="dxa"/>
              <w:left w:w="115" w:type="dxa"/>
              <w:bottom w:w="43" w:type="dxa"/>
              <w:right w:w="115" w:type="dxa"/>
            </w:tcMar>
          </w:tcPr>
          <w:p w14:paraId="000000B6" w14:textId="77777777" w:rsidR="00985F2E" w:rsidRDefault="00985F2E">
            <w:pPr>
              <w:pBdr>
                <w:top w:val="nil"/>
                <w:left w:val="nil"/>
                <w:bottom w:val="nil"/>
                <w:right w:val="nil"/>
                <w:between w:val="nil"/>
              </w:pBdr>
              <w:rPr>
                <w:rFonts w:ascii="Arial" w:eastAsia="Arial" w:hAnsi="Arial" w:cs="Arial"/>
                <w:color w:val="000000"/>
              </w:rPr>
            </w:pPr>
          </w:p>
        </w:tc>
        <w:tc>
          <w:tcPr>
            <w:tcW w:w="9902" w:type="dxa"/>
            <w:tcMar>
              <w:top w:w="43" w:type="dxa"/>
              <w:left w:w="115" w:type="dxa"/>
              <w:bottom w:w="43" w:type="dxa"/>
              <w:right w:w="115" w:type="dxa"/>
            </w:tcMar>
          </w:tcPr>
          <w:p w14:paraId="000000B7"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Table 1:</w:t>
            </w:r>
          </w:p>
        </w:tc>
      </w:tr>
      <w:tr w:rsidR="00985F2E" w14:paraId="72242EBE" w14:textId="77777777">
        <w:trPr>
          <w:trHeight w:val="1842"/>
        </w:trPr>
        <w:tc>
          <w:tcPr>
            <w:tcW w:w="10980" w:type="dxa"/>
            <w:gridSpan w:val="2"/>
            <w:tcMar>
              <w:top w:w="43" w:type="dxa"/>
              <w:left w:w="115" w:type="dxa"/>
              <w:bottom w:w="43" w:type="dxa"/>
              <w:right w:w="115" w:type="dxa"/>
            </w:tcMar>
            <w:vAlign w:val="center"/>
          </w:tcPr>
          <w:p w14:paraId="000000B9" w14:textId="77777777" w:rsidR="00985F2E" w:rsidRDefault="00985F2E">
            <w:pPr>
              <w:widowControl w:val="0"/>
              <w:pBdr>
                <w:top w:val="nil"/>
                <w:left w:val="nil"/>
                <w:bottom w:val="nil"/>
                <w:right w:val="nil"/>
                <w:between w:val="nil"/>
              </w:pBdr>
              <w:spacing w:line="276" w:lineRule="auto"/>
              <w:rPr>
                <w:rFonts w:ascii="Arial" w:eastAsia="Arial" w:hAnsi="Arial" w:cs="Arial"/>
                <w:b/>
                <w:bCs/>
                <w:color w:val="000000"/>
              </w:rPr>
            </w:pPr>
          </w:p>
          <w:tbl>
            <w:tblPr>
              <w:tblStyle w:val="a9"/>
              <w:tblW w:w="10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
              <w:gridCol w:w="1370"/>
              <w:gridCol w:w="2402"/>
              <w:gridCol w:w="6555"/>
            </w:tblGrid>
            <w:tr w:rsidR="00985F2E" w14:paraId="5ADEFD0A" w14:textId="77777777">
              <w:tc>
                <w:tcPr>
                  <w:tcW w:w="350" w:type="dxa"/>
                </w:tcPr>
                <w:p w14:paraId="000000BA" w14:textId="77777777" w:rsidR="00985F2E" w:rsidRDefault="00985F2E">
                  <w:pPr>
                    <w:pBdr>
                      <w:top w:val="nil"/>
                      <w:left w:val="nil"/>
                      <w:bottom w:val="nil"/>
                      <w:right w:val="nil"/>
                      <w:between w:val="nil"/>
                    </w:pBdr>
                    <w:jc w:val="center"/>
                    <w:rPr>
                      <w:rFonts w:ascii="Arial" w:eastAsia="Arial" w:hAnsi="Arial" w:cs="Arial"/>
                      <w:b/>
                      <w:bCs/>
                      <w:color w:val="000000"/>
                    </w:rPr>
                  </w:pPr>
                </w:p>
              </w:tc>
              <w:tc>
                <w:tcPr>
                  <w:tcW w:w="1370" w:type="dxa"/>
                </w:tcPr>
                <w:p w14:paraId="000000BB"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 / Acre</w:t>
                  </w:r>
                </w:p>
              </w:tc>
              <w:tc>
                <w:tcPr>
                  <w:tcW w:w="2402" w:type="dxa"/>
                </w:tcPr>
                <w:p w14:paraId="000000BC"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Location</w:t>
                  </w:r>
                </w:p>
              </w:tc>
              <w:tc>
                <w:tcPr>
                  <w:tcW w:w="6555" w:type="dxa"/>
                </w:tcPr>
                <w:p w14:paraId="000000BD"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Rationale</w:t>
                  </w:r>
                </w:p>
              </w:tc>
            </w:tr>
            <w:tr w:rsidR="00985F2E" w14:paraId="379E4206" w14:textId="77777777">
              <w:tc>
                <w:tcPr>
                  <w:tcW w:w="350" w:type="dxa"/>
                  <w:vAlign w:val="center"/>
                </w:tcPr>
                <w:p w14:paraId="000000BE"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1</w:t>
                  </w:r>
                </w:p>
              </w:tc>
              <w:tc>
                <w:tcPr>
                  <w:tcW w:w="1370" w:type="dxa"/>
                  <w:vAlign w:val="center"/>
                </w:tcPr>
                <w:p w14:paraId="000000BF"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1-3</w:t>
                  </w:r>
                </w:p>
              </w:tc>
              <w:tc>
                <w:tcPr>
                  <w:tcW w:w="2402" w:type="dxa"/>
                  <w:vAlign w:val="center"/>
                </w:tcPr>
                <w:p w14:paraId="000000C0"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Low-Density (e.g. single-family homes)</w:t>
                  </w:r>
                </w:p>
              </w:tc>
              <w:tc>
                <w:tcPr>
                  <w:tcW w:w="6555" w:type="dxa"/>
                  <w:vAlign w:val="center"/>
                </w:tcPr>
                <w:p w14:paraId="000000C1"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Appropriate for areas bordering existing dedicated residential zoning </w:t>
                  </w:r>
                  <w:proofErr w:type="gramStart"/>
                  <w:r>
                    <w:rPr>
                      <w:rFonts w:ascii="Arial" w:eastAsia="Arial" w:hAnsi="Arial" w:cs="Arial"/>
                      <w:color w:val="000000"/>
                    </w:rPr>
                    <w:t>in order to</w:t>
                  </w:r>
                  <w:proofErr w:type="gramEnd"/>
                  <w:r>
                    <w:rPr>
                      <w:rFonts w:ascii="Arial" w:eastAsia="Arial" w:hAnsi="Arial" w:cs="Arial"/>
                      <w:color w:val="000000"/>
                    </w:rPr>
                    <w:t xml:space="preserve"> maintain open space and rural character of abutting area(s).</w:t>
                  </w:r>
                </w:p>
              </w:tc>
            </w:tr>
            <w:tr w:rsidR="00985F2E" w14:paraId="4D57AE68" w14:textId="77777777">
              <w:tc>
                <w:tcPr>
                  <w:tcW w:w="350" w:type="dxa"/>
                  <w:vAlign w:val="center"/>
                </w:tcPr>
                <w:p w14:paraId="000000C2"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2</w:t>
                  </w:r>
                </w:p>
              </w:tc>
              <w:tc>
                <w:tcPr>
                  <w:tcW w:w="1370" w:type="dxa"/>
                  <w:vAlign w:val="center"/>
                </w:tcPr>
                <w:p w14:paraId="000000C3"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4-6</w:t>
                  </w:r>
                </w:p>
              </w:tc>
              <w:tc>
                <w:tcPr>
                  <w:tcW w:w="2402" w:type="dxa"/>
                  <w:vAlign w:val="center"/>
                </w:tcPr>
                <w:p w14:paraId="000000C4"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Mid-Density (e.g. townhomes / condos)</w:t>
                  </w:r>
                </w:p>
              </w:tc>
              <w:tc>
                <w:tcPr>
                  <w:tcW w:w="6555" w:type="dxa"/>
                  <w:vAlign w:val="center"/>
                </w:tcPr>
                <w:p w14:paraId="000000C5"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Appropriate for areas in the center of the multiple-use development, providing a buffer between the Low-Density multiple-use and the Higher-Density multiple-use areas. Dense enough to support small-scale retail and local services without introducing urban scale.</w:t>
                  </w:r>
                </w:p>
              </w:tc>
            </w:tr>
            <w:tr w:rsidR="00985F2E" w14:paraId="37CA9789" w14:textId="77777777">
              <w:tc>
                <w:tcPr>
                  <w:tcW w:w="350" w:type="dxa"/>
                  <w:vAlign w:val="center"/>
                </w:tcPr>
                <w:p w14:paraId="000000C6"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3</w:t>
                  </w:r>
                </w:p>
              </w:tc>
              <w:tc>
                <w:tcPr>
                  <w:tcW w:w="1370" w:type="dxa"/>
                  <w:vAlign w:val="center"/>
                </w:tcPr>
                <w:p w14:paraId="000000C7"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7-12</w:t>
                  </w:r>
                </w:p>
              </w:tc>
              <w:tc>
                <w:tcPr>
                  <w:tcW w:w="2402" w:type="dxa"/>
                  <w:vAlign w:val="center"/>
                </w:tcPr>
                <w:p w14:paraId="000000C8"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Mid-Density (e.g. mixed-use)</w:t>
                  </w:r>
                </w:p>
              </w:tc>
              <w:tc>
                <w:tcPr>
                  <w:tcW w:w="6555" w:type="dxa"/>
                  <w:vAlign w:val="center"/>
                </w:tcPr>
                <w:p w14:paraId="000000C9"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Appropriate for limited areas near major intersections, collector roads, or civic anchors. Located furthest away from residential zones.</w:t>
                  </w:r>
                </w:p>
              </w:tc>
            </w:tr>
          </w:tbl>
          <w:p w14:paraId="000000CA" w14:textId="77777777" w:rsidR="00985F2E" w:rsidRDefault="00985F2E">
            <w:pPr>
              <w:pBdr>
                <w:top w:val="nil"/>
                <w:left w:val="nil"/>
                <w:bottom w:val="nil"/>
                <w:right w:val="nil"/>
                <w:between w:val="nil"/>
              </w:pBdr>
              <w:rPr>
                <w:rFonts w:ascii="Arial" w:eastAsia="Arial" w:hAnsi="Arial" w:cs="Arial"/>
                <w:color w:val="000000"/>
              </w:rPr>
            </w:pPr>
          </w:p>
        </w:tc>
      </w:tr>
      <w:tr w:rsidR="00985F2E" w14:paraId="71223644" w14:textId="77777777">
        <w:tc>
          <w:tcPr>
            <w:tcW w:w="10980" w:type="dxa"/>
            <w:gridSpan w:val="2"/>
            <w:tcMar>
              <w:top w:w="43" w:type="dxa"/>
              <w:left w:w="115" w:type="dxa"/>
              <w:bottom w:w="43" w:type="dxa"/>
              <w:right w:w="115" w:type="dxa"/>
            </w:tcMar>
            <w:vAlign w:val="center"/>
          </w:tcPr>
          <w:p w14:paraId="000000CD"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Figure 1:</w:t>
            </w:r>
          </w:p>
        </w:tc>
      </w:tr>
      <w:tr w:rsidR="00985F2E" w14:paraId="4888C9A9" w14:textId="77777777">
        <w:tc>
          <w:tcPr>
            <w:tcW w:w="10980" w:type="dxa"/>
            <w:gridSpan w:val="2"/>
            <w:tcMar>
              <w:top w:w="43" w:type="dxa"/>
              <w:left w:w="115" w:type="dxa"/>
              <w:bottom w:w="43" w:type="dxa"/>
              <w:right w:w="115" w:type="dxa"/>
            </w:tcMar>
            <w:vAlign w:val="center"/>
          </w:tcPr>
          <w:p w14:paraId="000000D0"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14:anchorId="4C1DC2A3" wp14:editId="2CC0D0F1">
                  <wp:extent cx="6908948" cy="3531976"/>
                  <wp:effectExtent l="0" t="0" r="0" b="0"/>
                  <wp:docPr id="1963278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08948" cy="3531976"/>
                          </a:xfrm>
                          <a:prstGeom prst="rect">
                            <a:avLst/>
                          </a:prstGeom>
                          <a:ln/>
                        </pic:spPr>
                      </pic:pic>
                    </a:graphicData>
                  </a:graphic>
                </wp:inline>
              </w:drawing>
            </w:r>
          </w:p>
        </w:tc>
      </w:tr>
      <w:tr w:rsidR="00985F2E" w14:paraId="42AD3515" w14:textId="77777777">
        <w:tc>
          <w:tcPr>
            <w:tcW w:w="10980" w:type="dxa"/>
            <w:gridSpan w:val="2"/>
            <w:tcMar>
              <w:top w:w="43" w:type="dxa"/>
              <w:left w:w="115" w:type="dxa"/>
              <w:bottom w:w="43" w:type="dxa"/>
              <w:right w:w="115" w:type="dxa"/>
            </w:tcMar>
            <w:vAlign w:val="center"/>
          </w:tcPr>
          <w:p w14:paraId="000000D3" w14:textId="77777777" w:rsidR="00985F2E" w:rsidRDefault="00985F2E">
            <w:pPr>
              <w:pBdr>
                <w:top w:val="nil"/>
                <w:left w:val="nil"/>
                <w:bottom w:val="nil"/>
                <w:right w:val="nil"/>
                <w:between w:val="nil"/>
              </w:pBdr>
              <w:rPr>
                <w:rFonts w:ascii="Arial" w:eastAsia="Arial" w:hAnsi="Arial" w:cs="Arial"/>
                <w:color w:val="000000"/>
              </w:rPr>
            </w:pPr>
          </w:p>
        </w:tc>
      </w:tr>
      <w:tr w:rsidR="00985F2E" w14:paraId="2795FE7B" w14:textId="77777777">
        <w:tc>
          <w:tcPr>
            <w:tcW w:w="10980" w:type="dxa"/>
            <w:gridSpan w:val="2"/>
            <w:tcMar>
              <w:top w:w="43" w:type="dxa"/>
              <w:left w:w="115" w:type="dxa"/>
              <w:bottom w:w="43" w:type="dxa"/>
              <w:right w:w="115" w:type="dxa"/>
            </w:tcMar>
            <w:vAlign w:val="center"/>
          </w:tcPr>
          <w:p w14:paraId="000000D6" w14:textId="77777777" w:rsidR="00985F2E" w:rsidRDefault="00000000">
            <w:pPr>
              <w:pBdr>
                <w:top w:val="nil"/>
                <w:left w:val="nil"/>
                <w:bottom w:val="nil"/>
                <w:right w:val="nil"/>
                <w:between w:val="nil"/>
              </w:pBdr>
              <w:rPr>
                <w:rFonts w:ascii="Arial" w:eastAsia="Arial" w:hAnsi="Arial" w:cs="Arial"/>
                <w:color w:val="000000"/>
              </w:rPr>
            </w:pPr>
            <w:sdt>
              <w:sdtPr>
                <w:tag w:val="goog_rdk_15"/>
                <w:id w:val="-1629675565"/>
              </w:sdtPr>
              <w:sdtContent/>
            </w:sdt>
            <w:sdt>
              <w:sdtPr>
                <w:tag w:val="goog_rdk_16"/>
                <w:id w:val="1732569313"/>
              </w:sdtPr>
              <w:sdtContent/>
            </w:sdt>
            <w:r w:rsidR="006E28A7">
              <w:rPr>
                <w:rFonts w:ascii="Arial" w:eastAsia="Arial" w:hAnsi="Arial" w:cs="Arial"/>
                <w:color w:val="000000"/>
              </w:rPr>
              <w:t>The figures below show conceptual examples of a multiple-use development in a rural town:</w:t>
            </w:r>
          </w:p>
        </w:tc>
      </w:tr>
      <w:tr w:rsidR="00985F2E" w14:paraId="40506DB4" w14:textId="77777777">
        <w:tc>
          <w:tcPr>
            <w:tcW w:w="10980" w:type="dxa"/>
            <w:gridSpan w:val="2"/>
            <w:tcMar>
              <w:top w:w="43" w:type="dxa"/>
              <w:left w:w="115" w:type="dxa"/>
              <w:bottom w:w="43" w:type="dxa"/>
              <w:right w:w="115" w:type="dxa"/>
            </w:tcMar>
            <w:vAlign w:val="center"/>
          </w:tcPr>
          <w:p w14:paraId="000000D9"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Figure 2:</w:t>
            </w:r>
          </w:p>
        </w:tc>
      </w:tr>
      <w:tr w:rsidR="00985F2E" w14:paraId="688D74FE" w14:textId="77777777">
        <w:tc>
          <w:tcPr>
            <w:tcW w:w="10980" w:type="dxa"/>
            <w:gridSpan w:val="2"/>
            <w:tcMar>
              <w:top w:w="43" w:type="dxa"/>
              <w:left w:w="115" w:type="dxa"/>
              <w:bottom w:w="43" w:type="dxa"/>
              <w:right w:w="115" w:type="dxa"/>
            </w:tcMar>
            <w:vAlign w:val="center"/>
          </w:tcPr>
          <w:p w14:paraId="000000D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noProof/>
                <w:color w:val="000000"/>
              </w:rPr>
              <w:lastRenderedPageBreak/>
              <w:drawing>
                <wp:inline distT="0" distB="0" distL="0" distR="0" wp14:anchorId="7C1C6C56" wp14:editId="697527AF">
                  <wp:extent cx="6836991" cy="3679412"/>
                  <wp:effectExtent l="0" t="0" r="0" b="0"/>
                  <wp:docPr id="19632789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12818" t="7847" r="28925" b="36414"/>
                          <a:stretch>
                            <a:fillRect/>
                          </a:stretch>
                        </pic:blipFill>
                        <pic:spPr>
                          <a:xfrm>
                            <a:off x="0" y="0"/>
                            <a:ext cx="6836991" cy="3679412"/>
                          </a:xfrm>
                          <a:prstGeom prst="rect">
                            <a:avLst/>
                          </a:prstGeom>
                          <a:ln/>
                        </pic:spPr>
                      </pic:pic>
                    </a:graphicData>
                  </a:graphic>
                </wp:inline>
              </w:drawing>
            </w:r>
          </w:p>
        </w:tc>
      </w:tr>
      <w:tr w:rsidR="00985F2E" w14:paraId="15CE35FA" w14:textId="77777777">
        <w:tc>
          <w:tcPr>
            <w:tcW w:w="10980" w:type="dxa"/>
            <w:gridSpan w:val="2"/>
            <w:tcMar>
              <w:top w:w="43" w:type="dxa"/>
              <w:left w:w="115" w:type="dxa"/>
              <w:bottom w:w="43" w:type="dxa"/>
              <w:right w:w="115" w:type="dxa"/>
            </w:tcMar>
            <w:vAlign w:val="center"/>
          </w:tcPr>
          <w:p w14:paraId="000000DF"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Figure 3:</w:t>
            </w:r>
          </w:p>
        </w:tc>
      </w:tr>
      <w:tr w:rsidR="00985F2E" w14:paraId="22F97B68" w14:textId="77777777">
        <w:tc>
          <w:tcPr>
            <w:tcW w:w="10980" w:type="dxa"/>
            <w:gridSpan w:val="2"/>
            <w:tcMar>
              <w:top w:w="43" w:type="dxa"/>
              <w:left w:w="115" w:type="dxa"/>
              <w:bottom w:w="43" w:type="dxa"/>
              <w:right w:w="115" w:type="dxa"/>
            </w:tcMar>
            <w:vAlign w:val="center"/>
          </w:tcPr>
          <w:p w14:paraId="000000E2"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inline distT="0" distB="0" distL="0" distR="0" wp14:anchorId="4E805BEF" wp14:editId="2D53C73A">
                  <wp:extent cx="6806071" cy="3490292"/>
                  <wp:effectExtent l="0" t="0" r="0" b="0"/>
                  <wp:docPr id="196327898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b="8831"/>
                          <a:stretch>
                            <a:fillRect/>
                          </a:stretch>
                        </pic:blipFill>
                        <pic:spPr>
                          <a:xfrm>
                            <a:off x="0" y="0"/>
                            <a:ext cx="6806071" cy="3490292"/>
                          </a:xfrm>
                          <a:prstGeom prst="rect">
                            <a:avLst/>
                          </a:prstGeom>
                          <a:ln/>
                        </pic:spPr>
                      </pic:pic>
                    </a:graphicData>
                  </a:graphic>
                </wp:inline>
              </w:drawing>
            </w:r>
          </w:p>
        </w:tc>
      </w:tr>
      <w:tr w:rsidR="00985F2E" w14:paraId="5800187A" w14:textId="77777777">
        <w:tc>
          <w:tcPr>
            <w:tcW w:w="10980" w:type="dxa"/>
            <w:gridSpan w:val="2"/>
            <w:tcMar>
              <w:top w:w="43" w:type="dxa"/>
              <w:left w:w="115" w:type="dxa"/>
              <w:bottom w:w="43" w:type="dxa"/>
              <w:right w:w="115" w:type="dxa"/>
            </w:tcMar>
            <w:vAlign w:val="center"/>
          </w:tcPr>
          <w:p w14:paraId="000000E5" w14:textId="77777777" w:rsidR="00985F2E" w:rsidRDefault="00985F2E">
            <w:pPr>
              <w:pBdr>
                <w:top w:val="nil"/>
                <w:left w:val="nil"/>
                <w:bottom w:val="nil"/>
                <w:right w:val="nil"/>
                <w:between w:val="nil"/>
              </w:pBdr>
              <w:rPr>
                <w:rFonts w:ascii="Arial" w:eastAsia="Arial" w:hAnsi="Arial" w:cs="Arial"/>
                <w:color w:val="000000"/>
              </w:rPr>
            </w:pPr>
          </w:p>
        </w:tc>
      </w:tr>
      <w:tr w:rsidR="00985F2E" w14:paraId="16B7D60B" w14:textId="77777777">
        <w:tc>
          <w:tcPr>
            <w:tcW w:w="10980" w:type="dxa"/>
            <w:gridSpan w:val="2"/>
            <w:tcMar>
              <w:top w:w="43" w:type="dxa"/>
              <w:left w:w="115" w:type="dxa"/>
              <w:bottom w:w="43" w:type="dxa"/>
              <w:right w:w="115" w:type="dxa"/>
            </w:tcMar>
            <w:vAlign w:val="center"/>
          </w:tcPr>
          <w:p w14:paraId="000000E8" w14:textId="77777777" w:rsidR="00985F2E" w:rsidRDefault="006E28A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Figure 4:</w:t>
            </w:r>
          </w:p>
        </w:tc>
      </w:tr>
      <w:tr w:rsidR="00985F2E" w14:paraId="259B0FAE" w14:textId="77777777">
        <w:tc>
          <w:tcPr>
            <w:tcW w:w="10980" w:type="dxa"/>
            <w:gridSpan w:val="2"/>
            <w:tcMar>
              <w:top w:w="43" w:type="dxa"/>
              <w:left w:w="115" w:type="dxa"/>
              <w:bottom w:w="43" w:type="dxa"/>
              <w:right w:w="115" w:type="dxa"/>
            </w:tcMar>
            <w:vAlign w:val="center"/>
          </w:tcPr>
          <w:p w14:paraId="000000E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noProof/>
                <w:color w:val="000000"/>
              </w:rPr>
              <w:lastRenderedPageBreak/>
              <w:drawing>
                <wp:inline distT="0" distB="0" distL="0" distR="0" wp14:anchorId="020EC907" wp14:editId="0C42B390">
                  <wp:extent cx="6863832" cy="3619600"/>
                  <wp:effectExtent l="0" t="0" r="0" b="0"/>
                  <wp:docPr id="19632789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6250"/>
                          <a:stretch>
                            <a:fillRect/>
                          </a:stretch>
                        </pic:blipFill>
                        <pic:spPr>
                          <a:xfrm>
                            <a:off x="0" y="0"/>
                            <a:ext cx="6863832" cy="3619600"/>
                          </a:xfrm>
                          <a:prstGeom prst="rect">
                            <a:avLst/>
                          </a:prstGeom>
                          <a:ln/>
                        </pic:spPr>
                      </pic:pic>
                    </a:graphicData>
                  </a:graphic>
                </wp:inline>
              </w:drawing>
            </w:r>
          </w:p>
        </w:tc>
      </w:tr>
      <w:tr w:rsidR="00985F2E" w14:paraId="48B55C14" w14:textId="77777777">
        <w:tc>
          <w:tcPr>
            <w:tcW w:w="10980" w:type="dxa"/>
            <w:gridSpan w:val="2"/>
            <w:tcMar>
              <w:top w:w="43" w:type="dxa"/>
              <w:left w:w="115" w:type="dxa"/>
              <w:bottom w:w="43" w:type="dxa"/>
              <w:right w:w="115" w:type="dxa"/>
            </w:tcMar>
            <w:vAlign w:val="center"/>
          </w:tcPr>
          <w:p w14:paraId="000000EE" w14:textId="77777777" w:rsidR="00985F2E" w:rsidRDefault="00985F2E">
            <w:pPr>
              <w:pBdr>
                <w:top w:val="nil"/>
                <w:left w:val="nil"/>
                <w:bottom w:val="nil"/>
                <w:right w:val="nil"/>
                <w:between w:val="nil"/>
              </w:pBdr>
              <w:rPr>
                <w:rFonts w:ascii="Arial" w:eastAsia="Arial" w:hAnsi="Arial" w:cs="Arial"/>
                <w:color w:val="000000"/>
              </w:rPr>
            </w:pPr>
          </w:p>
        </w:tc>
      </w:tr>
      <w:tr w:rsidR="00985F2E" w14:paraId="709A4B3F" w14:textId="77777777">
        <w:tc>
          <w:tcPr>
            <w:tcW w:w="10980" w:type="dxa"/>
            <w:gridSpan w:val="2"/>
            <w:tcMar>
              <w:top w:w="43" w:type="dxa"/>
              <w:left w:w="115" w:type="dxa"/>
              <w:bottom w:w="43" w:type="dxa"/>
              <w:right w:w="115" w:type="dxa"/>
            </w:tcMar>
            <w:vAlign w:val="center"/>
          </w:tcPr>
          <w:p w14:paraId="000000F1" w14:textId="77777777" w:rsidR="00985F2E" w:rsidRDefault="006E28A7">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Figure 5:</w:t>
            </w:r>
          </w:p>
        </w:tc>
      </w:tr>
      <w:tr w:rsidR="00985F2E" w14:paraId="6A45A3E0" w14:textId="77777777">
        <w:tc>
          <w:tcPr>
            <w:tcW w:w="10980" w:type="dxa"/>
            <w:gridSpan w:val="2"/>
            <w:tcMar>
              <w:top w:w="43" w:type="dxa"/>
              <w:left w:w="115" w:type="dxa"/>
              <w:bottom w:w="43" w:type="dxa"/>
              <w:right w:w="115" w:type="dxa"/>
            </w:tcMar>
            <w:vAlign w:val="center"/>
          </w:tcPr>
          <w:p w14:paraId="000000F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inline distT="0" distB="0" distL="0" distR="0" wp14:anchorId="75EF609F" wp14:editId="7B5AA544">
                  <wp:extent cx="6863452" cy="3695706"/>
                  <wp:effectExtent l="0" t="0" r="0" b="0"/>
                  <wp:docPr id="19632789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b="4273"/>
                          <a:stretch>
                            <a:fillRect/>
                          </a:stretch>
                        </pic:blipFill>
                        <pic:spPr>
                          <a:xfrm>
                            <a:off x="0" y="0"/>
                            <a:ext cx="6863452" cy="3695706"/>
                          </a:xfrm>
                          <a:prstGeom prst="rect">
                            <a:avLst/>
                          </a:prstGeom>
                          <a:ln/>
                        </pic:spPr>
                      </pic:pic>
                    </a:graphicData>
                  </a:graphic>
                </wp:inline>
              </w:drawing>
            </w:r>
          </w:p>
        </w:tc>
      </w:tr>
      <w:tr w:rsidR="00985F2E" w14:paraId="0CACA91C" w14:textId="77777777">
        <w:tc>
          <w:tcPr>
            <w:tcW w:w="10980" w:type="dxa"/>
            <w:gridSpan w:val="2"/>
            <w:tcMar>
              <w:top w:w="43" w:type="dxa"/>
              <w:left w:w="115" w:type="dxa"/>
              <w:bottom w:w="43" w:type="dxa"/>
              <w:right w:w="115" w:type="dxa"/>
            </w:tcMar>
            <w:vAlign w:val="center"/>
          </w:tcPr>
          <w:p w14:paraId="000000F7" w14:textId="77777777" w:rsidR="00985F2E" w:rsidRDefault="00985F2E">
            <w:pPr>
              <w:pBdr>
                <w:top w:val="nil"/>
                <w:left w:val="nil"/>
                <w:bottom w:val="nil"/>
                <w:right w:val="nil"/>
                <w:between w:val="nil"/>
              </w:pBdr>
              <w:rPr>
                <w:rFonts w:ascii="Arial" w:eastAsia="Arial" w:hAnsi="Arial" w:cs="Arial"/>
                <w:color w:val="000000"/>
              </w:rPr>
            </w:pPr>
          </w:p>
        </w:tc>
      </w:tr>
      <w:tr w:rsidR="00985F2E" w14:paraId="56E05DC1" w14:textId="77777777" w:rsidTr="00FB7802">
        <w:tc>
          <w:tcPr>
            <w:tcW w:w="1078" w:type="dxa"/>
            <w:tcMar>
              <w:top w:w="43" w:type="dxa"/>
              <w:left w:w="115" w:type="dxa"/>
              <w:bottom w:w="43" w:type="dxa"/>
              <w:right w:w="115" w:type="dxa"/>
            </w:tcMar>
          </w:tcPr>
          <w:p w14:paraId="000000FA"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13.11.11</w:t>
            </w:r>
          </w:p>
        </w:tc>
        <w:tc>
          <w:tcPr>
            <w:tcW w:w="9902" w:type="dxa"/>
            <w:tcMar>
              <w:top w:w="43" w:type="dxa"/>
              <w:left w:w="115" w:type="dxa"/>
              <w:bottom w:w="43" w:type="dxa"/>
              <w:right w:w="115" w:type="dxa"/>
            </w:tcMar>
          </w:tcPr>
          <w:p w14:paraId="000000FC"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Site Design and Development Standards</w:t>
            </w:r>
          </w:p>
        </w:tc>
      </w:tr>
      <w:tr w:rsidR="00985F2E" w14:paraId="787992FF" w14:textId="77777777" w:rsidTr="006B6754">
        <w:tc>
          <w:tcPr>
            <w:tcW w:w="1078" w:type="dxa"/>
            <w:tcMar>
              <w:top w:w="43" w:type="dxa"/>
              <w:left w:w="115" w:type="dxa"/>
              <w:bottom w:w="43" w:type="dxa"/>
              <w:right w:w="115" w:type="dxa"/>
            </w:tcMar>
          </w:tcPr>
          <w:p w14:paraId="000000F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0F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Open Space: At least 20% of a multiple-use development shall be open space, including but not limited to landscaped areas and improved amenities (e.g. trails, benches, lighting, recreation features) supporting passive or active use.</w:t>
            </w:r>
          </w:p>
        </w:tc>
      </w:tr>
      <w:tr w:rsidR="00985F2E" w14:paraId="6B093154" w14:textId="77777777" w:rsidTr="006B6754">
        <w:tc>
          <w:tcPr>
            <w:tcW w:w="1078" w:type="dxa"/>
            <w:tcMar>
              <w:top w:w="43" w:type="dxa"/>
              <w:left w:w="115" w:type="dxa"/>
              <w:bottom w:w="43" w:type="dxa"/>
              <w:right w:w="115" w:type="dxa"/>
            </w:tcMar>
          </w:tcPr>
          <w:p w14:paraId="0000010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10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Maximum Lot Coverage: No more that 50% of a lot may be covered by building(s).</w:t>
            </w:r>
          </w:p>
        </w:tc>
      </w:tr>
      <w:tr w:rsidR="00985F2E" w14:paraId="5AB6448C" w14:textId="77777777" w:rsidTr="006B6754">
        <w:tc>
          <w:tcPr>
            <w:tcW w:w="1078" w:type="dxa"/>
            <w:tcMar>
              <w:top w:w="43" w:type="dxa"/>
              <w:left w:w="115" w:type="dxa"/>
              <w:bottom w:w="43" w:type="dxa"/>
              <w:right w:w="115" w:type="dxa"/>
            </w:tcMar>
          </w:tcPr>
          <w:p w14:paraId="00000103"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10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Maximum building height in the multiple-use </w:t>
            </w:r>
            <w:r>
              <w:rPr>
                <w:rFonts w:ascii="Arial" w:eastAsia="Arial" w:hAnsi="Arial" w:cs="Arial"/>
              </w:rPr>
              <w:t>development</w:t>
            </w:r>
            <w:r>
              <w:rPr>
                <w:rFonts w:ascii="Arial" w:eastAsia="Arial" w:hAnsi="Arial" w:cs="Arial"/>
                <w:color w:val="000000"/>
              </w:rPr>
              <w:t xml:space="preserve"> shall be forty (40) feet, unless a greater height is approved through a development agreement or other process authorized by Lake Point Municipal Code.</w:t>
            </w:r>
          </w:p>
        </w:tc>
      </w:tr>
      <w:tr w:rsidR="00985F2E" w14:paraId="1D709164" w14:textId="77777777" w:rsidTr="006B6754">
        <w:tc>
          <w:tcPr>
            <w:tcW w:w="1078" w:type="dxa"/>
            <w:tcMar>
              <w:top w:w="43" w:type="dxa"/>
              <w:left w:w="115" w:type="dxa"/>
              <w:bottom w:w="43" w:type="dxa"/>
              <w:right w:w="115" w:type="dxa"/>
            </w:tcMar>
          </w:tcPr>
          <w:p w14:paraId="00000106"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2" w:type="dxa"/>
            <w:tcMar>
              <w:top w:w="43" w:type="dxa"/>
              <w:left w:w="115" w:type="dxa"/>
              <w:bottom w:w="43" w:type="dxa"/>
              <w:right w:w="115" w:type="dxa"/>
            </w:tcMar>
          </w:tcPr>
          <w:p w14:paraId="0000010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No uninterrupted wall length may exceed seventy-five (75) feet without façade articulation or architectural features.</w:t>
            </w:r>
          </w:p>
        </w:tc>
      </w:tr>
      <w:tr w:rsidR="00985F2E" w14:paraId="02867DB4" w14:textId="77777777" w:rsidTr="006B6754">
        <w:tc>
          <w:tcPr>
            <w:tcW w:w="1078" w:type="dxa"/>
            <w:tcMar>
              <w:top w:w="43" w:type="dxa"/>
              <w:left w:w="115" w:type="dxa"/>
              <w:bottom w:w="43" w:type="dxa"/>
              <w:right w:w="115" w:type="dxa"/>
            </w:tcMar>
          </w:tcPr>
          <w:p w14:paraId="00000109"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9902" w:type="dxa"/>
            <w:tcMar>
              <w:top w:w="43" w:type="dxa"/>
              <w:left w:w="115" w:type="dxa"/>
              <w:bottom w:w="43" w:type="dxa"/>
              <w:right w:w="115" w:type="dxa"/>
            </w:tcMar>
          </w:tcPr>
          <w:p w14:paraId="0000010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Building design shall comply with applicable design standards in Chapter 13. Buildings shall demonstrate a unified architectural style. Public street-facing façades shall use durable materials (e.g. stucco, fiber cement board, brick, stone). Vinyl, aluminum, and steel siding are prohibited on street-facing façades except soffits and fascia. Stucco-only façades are prohibited. </w:t>
            </w:r>
          </w:p>
        </w:tc>
      </w:tr>
      <w:tr w:rsidR="00985F2E" w14:paraId="7C9103BB" w14:textId="77777777" w:rsidTr="00FB7802">
        <w:tc>
          <w:tcPr>
            <w:tcW w:w="1078" w:type="dxa"/>
            <w:tcMar>
              <w:top w:w="43" w:type="dxa"/>
              <w:left w:w="115" w:type="dxa"/>
              <w:bottom w:w="43" w:type="dxa"/>
              <w:right w:w="115" w:type="dxa"/>
            </w:tcMar>
          </w:tcPr>
          <w:p w14:paraId="0000010C"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13.11.12</w:t>
            </w:r>
          </w:p>
        </w:tc>
        <w:tc>
          <w:tcPr>
            <w:tcW w:w="9902" w:type="dxa"/>
            <w:tcMar>
              <w:top w:w="43" w:type="dxa"/>
              <w:left w:w="115" w:type="dxa"/>
              <w:bottom w:w="43" w:type="dxa"/>
              <w:right w:w="115" w:type="dxa"/>
            </w:tcMar>
          </w:tcPr>
          <w:p w14:paraId="0000010E"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Setbacks</w:t>
            </w:r>
          </w:p>
        </w:tc>
      </w:tr>
      <w:tr w:rsidR="00985F2E" w14:paraId="6249169E" w14:textId="77777777" w:rsidTr="006B6754">
        <w:tc>
          <w:tcPr>
            <w:tcW w:w="1078" w:type="dxa"/>
            <w:tcMar>
              <w:top w:w="43" w:type="dxa"/>
              <w:left w:w="115" w:type="dxa"/>
              <w:bottom w:w="43" w:type="dxa"/>
              <w:right w:w="115" w:type="dxa"/>
            </w:tcMar>
          </w:tcPr>
          <w:p w14:paraId="0000010F"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11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Setbacks shall comply with Chapter 13.2 for Residential and Chapter 13.5 for Commercial and Mixed-Use unless otherwise modified through site plan approval.</w:t>
            </w:r>
          </w:p>
        </w:tc>
      </w:tr>
      <w:tr w:rsidR="00985F2E" w14:paraId="28F59BB8" w14:textId="77777777" w:rsidTr="00FB7802">
        <w:tc>
          <w:tcPr>
            <w:tcW w:w="1078" w:type="dxa"/>
            <w:tcMar>
              <w:top w:w="43" w:type="dxa"/>
              <w:left w:w="115" w:type="dxa"/>
              <w:bottom w:w="43" w:type="dxa"/>
              <w:right w:w="115" w:type="dxa"/>
            </w:tcMar>
          </w:tcPr>
          <w:p w14:paraId="00000112"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13.11.13</w:t>
            </w:r>
          </w:p>
        </w:tc>
        <w:tc>
          <w:tcPr>
            <w:tcW w:w="9902" w:type="dxa"/>
            <w:tcMar>
              <w:top w:w="43" w:type="dxa"/>
              <w:left w:w="115" w:type="dxa"/>
              <w:bottom w:w="43" w:type="dxa"/>
              <w:right w:w="115" w:type="dxa"/>
            </w:tcMar>
          </w:tcPr>
          <w:p w14:paraId="00000114"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Parking Standards</w:t>
            </w:r>
          </w:p>
        </w:tc>
      </w:tr>
      <w:tr w:rsidR="00985F2E" w14:paraId="7163A008" w14:textId="77777777" w:rsidTr="00FB7802">
        <w:tc>
          <w:tcPr>
            <w:tcW w:w="1078" w:type="dxa"/>
            <w:tcMar>
              <w:top w:w="43" w:type="dxa"/>
              <w:left w:w="115" w:type="dxa"/>
              <w:bottom w:w="43" w:type="dxa"/>
              <w:right w:w="115" w:type="dxa"/>
            </w:tcMar>
          </w:tcPr>
          <w:p w14:paraId="00000115"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13.11.13.1</w:t>
            </w:r>
          </w:p>
        </w:tc>
        <w:tc>
          <w:tcPr>
            <w:tcW w:w="9902" w:type="dxa"/>
            <w:tcMar>
              <w:top w:w="43" w:type="dxa"/>
              <w:left w:w="115" w:type="dxa"/>
              <w:bottom w:w="43" w:type="dxa"/>
              <w:right w:w="115" w:type="dxa"/>
            </w:tcMar>
          </w:tcPr>
          <w:p w14:paraId="00000117" w14:textId="77777777" w:rsidR="00985F2E" w:rsidRDefault="006E28A7">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Residential Parking</w:t>
            </w:r>
          </w:p>
        </w:tc>
      </w:tr>
      <w:tr w:rsidR="00985F2E" w14:paraId="15FF49F8" w14:textId="77777777" w:rsidTr="006B6754">
        <w:tc>
          <w:tcPr>
            <w:tcW w:w="1078" w:type="dxa"/>
            <w:tcMar>
              <w:top w:w="43" w:type="dxa"/>
              <w:left w:w="115" w:type="dxa"/>
              <w:bottom w:w="43" w:type="dxa"/>
              <w:right w:w="115" w:type="dxa"/>
            </w:tcMar>
          </w:tcPr>
          <w:p w14:paraId="0000011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119"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Residential parking shall comply with Chapter 13.2 except as modified by this Section.</w:t>
            </w:r>
          </w:p>
        </w:tc>
      </w:tr>
      <w:tr w:rsidR="00985F2E" w14:paraId="7DC57AB1" w14:textId="77777777" w:rsidTr="006B6754">
        <w:tc>
          <w:tcPr>
            <w:tcW w:w="1078" w:type="dxa"/>
            <w:tcMar>
              <w:top w:w="43" w:type="dxa"/>
              <w:left w:w="115" w:type="dxa"/>
              <w:bottom w:w="43" w:type="dxa"/>
              <w:right w:w="115" w:type="dxa"/>
            </w:tcMar>
          </w:tcPr>
          <w:p w14:paraId="0000011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11C"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Residential parking shall be designated and reserved for residential use and shall not be counted toward non-residential parking requirements.</w:t>
            </w:r>
          </w:p>
        </w:tc>
      </w:tr>
      <w:tr w:rsidR="00985F2E" w14:paraId="1C00E312" w14:textId="77777777" w:rsidTr="00FB7802">
        <w:tc>
          <w:tcPr>
            <w:tcW w:w="1078" w:type="dxa"/>
            <w:tcMar>
              <w:top w:w="43" w:type="dxa"/>
              <w:left w:w="115" w:type="dxa"/>
              <w:bottom w:w="43" w:type="dxa"/>
              <w:right w:w="115" w:type="dxa"/>
            </w:tcMar>
          </w:tcPr>
          <w:p w14:paraId="0000011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13.11.13.2</w:t>
            </w:r>
          </w:p>
        </w:tc>
        <w:tc>
          <w:tcPr>
            <w:tcW w:w="9902" w:type="dxa"/>
            <w:tcMar>
              <w:top w:w="43" w:type="dxa"/>
              <w:left w:w="115" w:type="dxa"/>
              <w:bottom w:w="43" w:type="dxa"/>
              <w:right w:w="115" w:type="dxa"/>
            </w:tcMar>
          </w:tcPr>
          <w:p w14:paraId="00000120"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b/>
                <w:bCs/>
                <w:color w:val="000000"/>
              </w:rPr>
              <w:t>Non-Residential Parking</w:t>
            </w:r>
          </w:p>
        </w:tc>
      </w:tr>
      <w:tr w:rsidR="00985F2E" w14:paraId="6913EC4C" w14:textId="77777777" w:rsidTr="006B6754">
        <w:tc>
          <w:tcPr>
            <w:tcW w:w="1078" w:type="dxa"/>
            <w:tcMar>
              <w:top w:w="43" w:type="dxa"/>
              <w:left w:w="115" w:type="dxa"/>
              <w:bottom w:w="43" w:type="dxa"/>
              <w:right w:w="115" w:type="dxa"/>
            </w:tcMar>
          </w:tcPr>
          <w:p w14:paraId="00000121"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9902" w:type="dxa"/>
            <w:tcMar>
              <w:top w:w="43" w:type="dxa"/>
              <w:left w:w="115" w:type="dxa"/>
              <w:bottom w:w="43" w:type="dxa"/>
              <w:right w:w="115" w:type="dxa"/>
            </w:tcMar>
          </w:tcPr>
          <w:p w14:paraId="00000122"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Non-residential parking shall comply with Chapter 13.6 except as modified by this Section.</w:t>
            </w:r>
          </w:p>
        </w:tc>
      </w:tr>
      <w:tr w:rsidR="00985F2E" w14:paraId="3C5D19BE" w14:textId="77777777" w:rsidTr="006B6754">
        <w:tc>
          <w:tcPr>
            <w:tcW w:w="1078" w:type="dxa"/>
            <w:tcMar>
              <w:top w:w="43" w:type="dxa"/>
              <w:left w:w="115" w:type="dxa"/>
              <w:bottom w:w="43" w:type="dxa"/>
              <w:right w:w="115" w:type="dxa"/>
            </w:tcMar>
          </w:tcPr>
          <w:p w14:paraId="00000124"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9902" w:type="dxa"/>
            <w:tcMar>
              <w:top w:w="43" w:type="dxa"/>
              <w:left w:w="115" w:type="dxa"/>
              <w:bottom w:w="43" w:type="dxa"/>
              <w:right w:w="115" w:type="dxa"/>
            </w:tcMar>
          </w:tcPr>
          <w:p w14:paraId="00000125"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Off-street parking shall be hard surfaced.</w:t>
            </w:r>
          </w:p>
        </w:tc>
      </w:tr>
      <w:tr w:rsidR="00985F2E" w14:paraId="5AB16AB5" w14:textId="77777777" w:rsidTr="006B6754">
        <w:tc>
          <w:tcPr>
            <w:tcW w:w="1078" w:type="dxa"/>
            <w:tcMar>
              <w:top w:w="43" w:type="dxa"/>
              <w:left w:w="115" w:type="dxa"/>
              <w:bottom w:w="43" w:type="dxa"/>
              <w:right w:w="115" w:type="dxa"/>
            </w:tcMar>
          </w:tcPr>
          <w:p w14:paraId="00000127"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9902" w:type="dxa"/>
            <w:tcMar>
              <w:top w:w="43" w:type="dxa"/>
              <w:left w:w="115" w:type="dxa"/>
              <w:bottom w:w="43" w:type="dxa"/>
              <w:right w:w="115" w:type="dxa"/>
            </w:tcMar>
          </w:tcPr>
          <w:p w14:paraId="00000128"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Parking shall be located and designed to minimize conflicts with residential areas through separation, signage, striping, landscaping, and screening.</w:t>
            </w:r>
          </w:p>
        </w:tc>
      </w:tr>
      <w:tr w:rsidR="00985F2E" w14:paraId="6357960A" w14:textId="77777777" w:rsidTr="006B6754">
        <w:tc>
          <w:tcPr>
            <w:tcW w:w="1078" w:type="dxa"/>
            <w:tcMar>
              <w:top w:w="43" w:type="dxa"/>
              <w:left w:w="115" w:type="dxa"/>
              <w:bottom w:w="43" w:type="dxa"/>
              <w:right w:w="115" w:type="dxa"/>
            </w:tcMar>
          </w:tcPr>
          <w:p w14:paraId="0000012A"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9902" w:type="dxa"/>
            <w:tcMar>
              <w:top w:w="43" w:type="dxa"/>
              <w:left w:w="115" w:type="dxa"/>
              <w:bottom w:w="43" w:type="dxa"/>
              <w:right w:w="115" w:type="dxa"/>
            </w:tcMar>
          </w:tcPr>
          <w:p w14:paraId="0000012B"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Shared parking among non-residential uses shall not exceed 25% and is permitted only where the applicant demonstrates different peak demand periods and submits an analysis for approval through a development agreement and subsequent site plans.</w:t>
            </w:r>
          </w:p>
        </w:tc>
      </w:tr>
      <w:tr w:rsidR="00985F2E" w14:paraId="3223FA3D" w14:textId="77777777" w:rsidTr="006B6754">
        <w:tc>
          <w:tcPr>
            <w:tcW w:w="1078" w:type="dxa"/>
            <w:tcMar>
              <w:top w:w="43" w:type="dxa"/>
              <w:left w:w="115" w:type="dxa"/>
              <w:bottom w:w="43" w:type="dxa"/>
              <w:right w:w="115" w:type="dxa"/>
            </w:tcMar>
          </w:tcPr>
          <w:p w14:paraId="0000012D"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4.1</w:t>
            </w:r>
          </w:p>
        </w:tc>
        <w:tc>
          <w:tcPr>
            <w:tcW w:w="9902" w:type="dxa"/>
            <w:tcMar>
              <w:top w:w="43" w:type="dxa"/>
              <w:left w:w="115" w:type="dxa"/>
              <w:bottom w:w="43" w:type="dxa"/>
              <w:right w:w="115" w:type="dxa"/>
            </w:tcMar>
          </w:tcPr>
          <w:p w14:paraId="0000012E" w14:textId="77777777" w:rsidR="00985F2E" w:rsidRDefault="006E28A7">
            <w:pPr>
              <w:pBdr>
                <w:top w:val="nil"/>
                <w:left w:val="nil"/>
                <w:bottom w:val="nil"/>
                <w:right w:val="nil"/>
                <w:between w:val="nil"/>
              </w:pBdr>
              <w:rPr>
                <w:rFonts w:ascii="Arial" w:eastAsia="Arial" w:hAnsi="Arial" w:cs="Arial"/>
                <w:color w:val="000000"/>
              </w:rPr>
            </w:pPr>
            <w:r>
              <w:rPr>
                <w:rFonts w:ascii="Arial" w:eastAsia="Arial" w:hAnsi="Arial" w:cs="Arial"/>
                <w:color w:val="000000"/>
              </w:rPr>
              <w:t>If a use is intensified or modified such that parking demand materially changes, previously approved reductions may be reevaluated for compliance.</w:t>
            </w:r>
          </w:p>
        </w:tc>
      </w:tr>
    </w:tbl>
    <w:p w14:paraId="00000130" w14:textId="77777777" w:rsidR="00985F2E" w:rsidRDefault="006E28A7">
      <w:pPr>
        <w:pBdr>
          <w:top w:val="nil"/>
          <w:left w:val="nil"/>
          <w:bottom w:val="nil"/>
          <w:right w:val="nil"/>
          <w:between w:val="nil"/>
        </w:pBdr>
        <w:spacing w:after="0" w:line="240" w:lineRule="auto"/>
        <w:rPr>
          <w:rFonts w:ascii="Arial" w:eastAsia="Arial" w:hAnsi="Arial" w:cs="Arial"/>
          <w:color w:val="000000"/>
        </w:rPr>
      </w:pPr>
      <w:r>
        <w:br w:type="page"/>
      </w:r>
    </w:p>
    <w:sectPr w:rsidR="00985F2E">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4F523" w14:textId="77777777" w:rsidR="00925277" w:rsidRDefault="00925277">
      <w:pPr>
        <w:spacing w:after="0" w:line="240" w:lineRule="auto"/>
      </w:pPr>
      <w:r>
        <w:separator/>
      </w:r>
    </w:p>
  </w:endnote>
  <w:endnote w:type="continuationSeparator" w:id="0">
    <w:p w14:paraId="6B00EB15" w14:textId="77777777" w:rsidR="00925277" w:rsidRDefault="0092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C1A178F-9740-484F-96B9-01238361E6F9}"/>
    <w:embedBold r:id="rId2" w:fontKey="{1F55CD21-FB77-8943-8630-975E728D62CD}"/>
    <w:embedItalic r:id="rId3" w:fontKey="{69A9B8B3-8D93-B542-8867-D01CBC0B50D8}"/>
  </w:font>
  <w:font w:name="Play">
    <w:panose1 w:val="020B0604020202020204"/>
    <w:charset w:val="00"/>
    <w:family w:val="auto"/>
    <w:pitch w:val="default"/>
    <w:embedRegular r:id="rId4" w:fontKey="{2BEB8DEC-437A-934E-BB66-D7C54E445103}"/>
  </w:font>
  <w:font w:name="Times New Roman">
    <w:panose1 w:val="02020603050405020304"/>
    <w:charset w:val="00"/>
    <w:family w:val="roman"/>
    <w:pitch w:val="variable"/>
    <w:sig w:usb0="E0002EFF" w:usb1="C000785B" w:usb2="00000009" w:usb3="00000000" w:csb0="000001FF" w:csb1="00000000"/>
    <w:embedRegular r:id="rId5" w:fontKey="{7EF46FB4-25F6-3440-9BFF-3FECDC41D698}"/>
    <w:embedBold r:id="rId6" w:fontKey="{A076D37B-21F4-7049-A244-AB136AB67504}"/>
    <w:embedItalic r:id="rId7" w:fontKey="{7B20FE6B-2242-3648-AC99-11BEB93C8101}"/>
  </w:font>
  <w:font w:name="Aptos Display">
    <w:panose1 w:val="020B0004020202020204"/>
    <w:charset w:val="00"/>
    <w:family w:val="swiss"/>
    <w:pitch w:val="variable"/>
    <w:sig w:usb0="20000287" w:usb1="00000003" w:usb2="00000000" w:usb3="00000000" w:csb0="0000019F" w:csb1="00000000"/>
    <w:embedRegular r:id="rId8" w:fontKey="{0FD2ED1F-A1BE-4648-9FCC-A51A6C50572A}"/>
  </w:font>
  <w:font w:name="Arial">
    <w:panose1 w:val="020B0604020202020204"/>
    <w:charset w:val="00"/>
    <w:family w:val="swiss"/>
    <w:pitch w:val="variable"/>
    <w:sig w:usb0="E0002EFF" w:usb1="C000785B" w:usb2="00000009" w:usb3="00000000" w:csb0="000001FF" w:csb1="00000000"/>
    <w:embedRegular r:id="rId9" w:fontKey="{39332C07-F624-884F-AAD5-FBB9125EAF70}"/>
    <w:embedBold r:id="rId10" w:fontKey="{5D0DF017-3C77-6D42-84BB-FC9691C210E0}"/>
  </w:font>
  <w:font w:name="Segoe UI">
    <w:panose1 w:val="020B0502040204020203"/>
    <w:charset w:val="00"/>
    <w:family w:val="swiss"/>
    <w:pitch w:val="variable"/>
    <w:sig w:usb0="E4002EFF" w:usb1="C000E47F" w:usb2="00000009" w:usb3="00000000" w:csb0="000001FF" w:csb1="00000000"/>
    <w:embedRegular r:id="rId11" w:fontKey="{AB47B2C5-0FE7-124A-A53F-AA7DF756D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47" w14:textId="30F5C671" w:rsidR="00985F2E" w:rsidRDefault="006E28A7">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0A1163">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0A1163">
      <w:rPr>
        <w:b/>
        <w:bCs/>
        <w:noProof/>
        <w:color w:val="000000"/>
      </w:rPr>
      <w:t>2</w:t>
    </w:r>
    <w:r>
      <w:rPr>
        <w:b/>
        <w:bCs/>
        <w:color w:val="000000"/>
      </w:rPr>
      <w:fldChar w:fldCharType="end"/>
    </w:r>
  </w:p>
  <w:p w14:paraId="00000A48" w14:textId="77777777" w:rsidR="00985F2E" w:rsidRDefault="00985F2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DDB13" w14:textId="77777777" w:rsidR="00925277" w:rsidRDefault="00925277">
      <w:pPr>
        <w:spacing w:after="0" w:line="240" w:lineRule="auto"/>
      </w:pPr>
      <w:r>
        <w:separator/>
      </w:r>
    </w:p>
  </w:footnote>
  <w:footnote w:type="continuationSeparator" w:id="0">
    <w:p w14:paraId="56077CF6" w14:textId="77777777" w:rsidR="00925277" w:rsidRDefault="0092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67D36"/>
    <w:multiLevelType w:val="multilevel"/>
    <w:tmpl w:val="99503EEE"/>
    <w:lvl w:ilvl="0">
      <w:start w:val="1"/>
      <w:numFmt w:val="decimal"/>
      <w:pStyle w:val="X"/>
      <w:lvlText w:val="%1."/>
      <w:lvlJc w:val="left"/>
      <w:pPr>
        <w:tabs>
          <w:tab w:val="num" w:pos="720"/>
        </w:tabs>
        <w:ind w:left="720" w:hanging="720"/>
      </w:pPr>
    </w:lvl>
    <w:lvl w:ilvl="1">
      <w:start w:val="1"/>
      <w:numFmt w:val="decimal"/>
      <w:pStyle w:val="xx"/>
      <w:lvlText w:val="%2."/>
      <w:lvlJc w:val="left"/>
      <w:pPr>
        <w:tabs>
          <w:tab w:val="num" w:pos="1440"/>
        </w:tabs>
        <w:ind w:left="1440" w:hanging="720"/>
      </w:pPr>
    </w:lvl>
    <w:lvl w:ilvl="2">
      <w:start w:val="1"/>
      <w:numFmt w:val="decimal"/>
      <w:pStyle w:val="xxx"/>
      <w:lvlText w:val="%3."/>
      <w:lvlJc w:val="left"/>
      <w:pPr>
        <w:tabs>
          <w:tab w:val="num" w:pos="2160"/>
        </w:tabs>
        <w:ind w:left="2160" w:hanging="720"/>
      </w:pPr>
    </w:lvl>
    <w:lvl w:ilvl="3">
      <w:start w:val="1"/>
      <w:numFmt w:val="decimal"/>
      <w:pStyle w:val="xxxx"/>
      <w:lvlText w:val="%4."/>
      <w:lvlJc w:val="left"/>
      <w:pPr>
        <w:tabs>
          <w:tab w:val="num" w:pos="2880"/>
        </w:tabs>
        <w:ind w:left="2880" w:hanging="720"/>
      </w:pPr>
    </w:lvl>
    <w:lvl w:ilvl="4">
      <w:start w:val="1"/>
      <w:numFmt w:val="decimal"/>
      <w:pStyle w:val="ContentList"/>
      <w:lvlText w:val="%5."/>
      <w:lvlJc w:val="left"/>
      <w:pPr>
        <w:tabs>
          <w:tab w:val="num" w:pos="3600"/>
        </w:tabs>
        <w:ind w:left="3600" w:hanging="720"/>
      </w:pPr>
    </w:lvl>
    <w:lvl w:ilvl="5">
      <w:start w:val="1"/>
      <w:numFmt w:val="decimal"/>
      <w:pStyle w:val="Content"/>
      <w:lvlText w:val="%6."/>
      <w:lvlJc w:val="left"/>
      <w:pPr>
        <w:tabs>
          <w:tab w:val="num" w:pos="4320"/>
        </w:tabs>
        <w:ind w:left="4320" w:hanging="720"/>
      </w:pPr>
    </w:lvl>
    <w:lvl w:ilvl="6">
      <w:start w:val="1"/>
      <w:numFmt w:val="decimal"/>
      <w:pStyle w:val="Bullet"/>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91664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F2E"/>
    <w:rsid w:val="000A1163"/>
    <w:rsid w:val="000C690A"/>
    <w:rsid w:val="0015279B"/>
    <w:rsid w:val="00186A59"/>
    <w:rsid w:val="002F6A6B"/>
    <w:rsid w:val="00313C5F"/>
    <w:rsid w:val="00323C55"/>
    <w:rsid w:val="003931AB"/>
    <w:rsid w:val="00411A15"/>
    <w:rsid w:val="00435BBD"/>
    <w:rsid w:val="004C230F"/>
    <w:rsid w:val="00500E1D"/>
    <w:rsid w:val="00511040"/>
    <w:rsid w:val="0054570D"/>
    <w:rsid w:val="005825D1"/>
    <w:rsid w:val="006B6754"/>
    <w:rsid w:val="006E13C3"/>
    <w:rsid w:val="006E28A7"/>
    <w:rsid w:val="00816579"/>
    <w:rsid w:val="008D76DA"/>
    <w:rsid w:val="00925277"/>
    <w:rsid w:val="0097609D"/>
    <w:rsid w:val="00985F2E"/>
    <w:rsid w:val="009925CE"/>
    <w:rsid w:val="00997916"/>
    <w:rsid w:val="009D66F9"/>
    <w:rsid w:val="00A01A5E"/>
    <w:rsid w:val="00A07FC7"/>
    <w:rsid w:val="00AB24D3"/>
    <w:rsid w:val="00B71ED3"/>
    <w:rsid w:val="00BC7BA0"/>
    <w:rsid w:val="00C861C8"/>
    <w:rsid w:val="00CF7D66"/>
    <w:rsid w:val="00D428BF"/>
    <w:rsid w:val="00DB24C5"/>
    <w:rsid w:val="00E12806"/>
    <w:rsid w:val="00E15A0A"/>
    <w:rsid w:val="00E821C8"/>
    <w:rsid w:val="00EB399E"/>
    <w:rsid w:val="00ED152A"/>
    <w:rsid w:val="00F826C9"/>
    <w:rsid w:val="00F97137"/>
    <w:rsid w:val="00FB7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55CC"/>
  <w15:docId w15:val="{2124A6FB-84FA-4F74-B405-9794950F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outlineLvl w:val="0"/>
    </w:pPr>
    <w:rPr>
      <w:b/>
      <w:bCs/>
      <w:sz w:val="28"/>
      <w:szCs w:val="2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70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65B38"/>
    <w:rPr>
      <w:b/>
      <w:bCs/>
      <w:sz w:val="28"/>
      <w:szCs w:val="28"/>
    </w:rPr>
  </w:style>
  <w:style w:type="character" w:customStyle="1" w:styleId="Heading2Char">
    <w:name w:val="Heading 2 Char"/>
    <w:basedOn w:val="DefaultParagraphFont"/>
    <w:link w:val="Heading2"/>
    <w:uiPriority w:val="9"/>
    <w:semiHidden/>
    <w:rsid w:val="00F700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0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0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0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0DC"/>
    <w:rPr>
      <w:rFonts w:eastAsiaTheme="majorEastAsia" w:cstheme="majorBidi"/>
      <w:color w:val="272727" w:themeColor="text1" w:themeTint="D8"/>
    </w:rPr>
  </w:style>
  <w:style w:type="character" w:customStyle="1" w:styleId="TitleChar">
    <w:name w:val="Title Char"/>
    <w:basedOn w:val="DefaultParagraphFont"/>
    <w:link w:val="Title"/>
    <w:uiPriority w:val="10"/>
    <w:rsid w:val="00F700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70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284"/>
    <w:pPr>
      <w:spacing w:after="0"/>
      <w:jc w:val="center"/>
    </w:pPr>
    <w:rPr>
      <w:i/>
      <w:iCs/>
      <w:color w:val="0070C0"/>
      <w:sz w:val="22"/>
    </w:rPr>
  </w:style>
  <w:style w:type="character" w:customStyle="1" w:styleId="QuoteChar">
    <w:name w:val="Quote Char"/>
    <w:basedOn w:val="DefaultParagraphFont"/>
    <w:link w:val="Quote"/>
    <w:uiPriority w:val="29"/>
    <w:rsid w:val="00330284"/>
    <w:rPr>
      <w:i/>
      <w:iCs/>
      <w:color w:val="0070C0"/>
      <w:sz w:val="22"/>
    </w:rPr>
  </w:style>
  <w:style w:type="paragraph" w:styleId="ListParagraph">
    <w:name w:val="List Paragraph"/>
    <w:basedOn w:val="Normal"/>
    <w:link w:val="ListParagraphChar"/>
    <w:uiPriority w:val="34"/>
    <w:rsid w:val="00F700DC"/>
    <w:pPr>
      <w:ind w:left="720"/>
      <w:contextualSpacing/>
    </w:pPr>
  </w:style>
  <w:style w:type="character" w:styleId="IntenseEmphasis">
    <w:name w:val="Intense Emphasis"/>
    <w:basedOn w:val="DefaultParagraphFont"/>
    <w:uiPriority w:val="21"/>
    <w:rsid w:val="00F700DC"/>
    <w:rPr>
      <w:i/>
      <w:iCs/>
      <w:color w:val="0F4761" w:themeColor="accent1" w:themeShade="BF"/>
    </w:rPr>
  </w:style>
  <w:style w:type="paragraph" w:styleId="IntenseQuote">
    <w:name w:val="Intense Quote"/>
    <w:basedOn w:val="Normal"/>
    <w:next w:val="Normal"/>
    <w:link w:val="IntenseQuoteChar"/>
    <w:uiPriority w:val="30"/>
    <w:rsid w:val="00F700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0DC"/>
    <w:rPr>
      <w:i/>
      <w:iCs/>
      <w:color w:val="0F4761" w:themeColor="accent1" w:themeShade="BF"/>
    </w:rPr>
  </w:style>
  <w:style w:type="character" w:styleId="IntenseReference">
    <w:name w:val="Intense Reference"/>
    <w:basedOn w:val="DefaultParagraphFont"/>
    <w:uiPriority w:val="32"/>
    <w:rsid w:val="00F700DC"/>
    <w:rPr>
      <w:b/>
      <w:bCs/>
      <w:smallCaps/>
      <w:color w:val="0F4761" w:themeColor="accent1" w:themeShade="BF"/>
      <w:spacing w:val="5"/>
    </w:rPr>
  </w:style>
  <w:style w:type="character" w:styleId="Hyperlink">
    <w:name w:val="Hyperlink"/>
    <w:basedOn w:val="DefaultParagraphFont"/>
    <w:uiPriority w:val="99"/>
    <w:unhideWhenUsed/>
    <w:rsid w:val="00F700DC"/>
    <w:rPr>
      <w:color w:val="467886" w:themeColor="hyperlink"/>
      <w:u w:val="single"/>
    </w:rPr>
  </w:style>
  <w:style w:type="character" w:customStyle="1" w:styleId="UnresolvedMention1">
    <w:name w:val="Unresolved Mention1"/>
    <w:basedOn w:val="DefaultParagraphFont"/>
    <w:uiPriority w:val="99"/>
    <w:semiHidden/>
    <w:unhideWhenUsed/>
    <w:rsid w:val="00F700DC"/>
    <w:rPr>
      <w:color w:val="605E5C"/>
      <w:shd w:val="clear" w:color="auto" w:fill="E1DFDD"/>
    </w:rPr>
  </w:style>
  <w:style w:type="paragraph" w:styleId="Header">
    <w:name w:val="header"/>
    <w:basedOn w:val="Normal"/>
    <w:link w:val="HeaderChar"/>
    <w:uiPriority w:val="99"/>
    <w:unhideWhenUsed/>
    <w:rsid w:val="00E03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EDF"/>
  </w:style>
  <w:style w:type="paragraph" w:styleId="Footer">
    <w:name w:val="footer"/>
    <w:basedOn w:val="Normal"/>
    <w:link w:val="FooterChar"/>
    <w:uiPriority w:val="99"/>
    <w:unhideWhenUsed/>
    <w:rsid w:val="00E03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EDF"/>
  </w:style>
  <w:style w:type="character" w:styleId="CommentReference">
    <w:name w:val="annotation reference"/>
    <w:basedOn w:val="DefaultParagraphFont"/>
    <w:uiPriority w:val="99"/>
    <w:semiHidden/>
    <w:unhideWhenUsed/>
    <w:rsid w:val="00526FB0"/>
    <w:rPr>
      <w:sz w:val="16"/>
      <w:szCs w:val="16"/>
    </w:rPr>
  </w:style>
  <w:style w:type="paragraph" w:styleId="CommentText">
    <w:name w:val="annotation text"/>
    <w:basedOn w:val="Normal"/>
    <w:link w:val="CommentTextChar"/>
    <w:uiPriority w:val="99"/>
    <w:unhideWhenUsed/>
    <w:rsid w:val="00526FB0"/>
    <w:pPr>
      <w:spacing w:line="240" w:lineRule="auto"/>
    </w:pPr>
    <w:rPr>
      <w:sz w:val="20"/>
      <w:szCs w:val="20"/>
    </w:rPr>
  </w:style>
  <w:style w:type="character" w:customStyle="1" w:styleId="CommentTextChar">
    <w:name w:val="Comment Text Char"/>
    <w:basedOn w:val="DefaultParagraphFont"/>
    <w:link w:val="CommentText"/>
    <w:uiPriority w:val="99"/>
    <w:rsid w:val="00526FB0"/>
    <w:rPr>
      <w:sz w:val="20"/>
      <w:szCs w:val="20"/>
    </w:rPr>
  </w:style>
  <w:style w:type="paragraph" w:styleId="CommentSubject">
    <w:name w:val="annotation subject"/>
    <w:basedOn w:val="CommentText"/>
    <w:next w:val="CommentText"/>
    <w:link w:val="CommentSubjectChar"/>
    <w:uiPriority w:val="99"/>
    <w:semiHidden/>
    <w:unhideWhenUsed/>
    <w:rsid w:val="00526FB0"/>
    <w:rPr>
      <w:b/>
      <w:bCs/>
    </w:rPr>
  </w:style>
  <w:style w:type="character" w:customStyle="1" w:styleId="CommentSubjectChar">
    <w:name w:val="Comment Subject Char"/>
    <w:basedOn w:val="CommentTextChar"/>
    <w:link w:val="CommentSubject"/>
    <w:uiPriority w:val="99"/>
    <w:semiHidden/>
    <w:rsid w:val="00526FB0"/>
    <w:rPr>
      <w:b/>
      <w:bCs/>
      <w:sz w:val="20"/>
      <w:szCs w:val="20"/>
    </w:rPr>
  </w:style>
  <w:style w:type="character" w:styleId="Strong">
    <w:name w:val="Strong"/>
    <w:basedOn w:val="DefaultParagraphFont"/>
    <w:uiPriority w:val="22"/>
    <w:qFormat/>
    <w:rsid w:val="003B5649"/>
    <w:rPr>
      <w:b/>
      <w:bCs/>
    </w:rPr>
  </w:style>
  <w:style w:type="table" w:styleId="TableGrid">
    <w:name w:val="Table Grid"/>
    <w:basedOn w:val="TableNormal"/>
    <w:uiPriority w:val="39"/>
    <w:rsid w:val="00952CBA"/>
    <w:pPr>
      <w:spacing w:after="0" w:line="240" w:lineRule="auto"/>
    </w:pPr>
    <w:rPr>
      <w:rFonts w:asciiTheme="minorHAnsi" w:eastAsiaTheme="minorHAnsi" w:hAnsiTheme="minorHAnsi" w:cstheme="minorBidi"/>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
    <w:name w:val="x.x.x"/>
    <w:basedOn w:val="Heading1"/>
    <w:link w:val="xxxChar"/>
    <w:qFormat/>
    <w:rsid w:val="006B105A"/>
    <w:pPr>
      <w:numPr>
        <w:ilvl w:val="2"/>
        <w:numId w:val="1"/>
      </w:numPr>
      <w:spacing w:before="120" w:after="120"/>
      <w:contextualSpacing/>
    </w:pPr>
    <w:rPr>
      <w:rFonts w:ascii="Arial" w:hAnsi="Arial" w:cs="Arial"/>
      <w:sz w:val="24"/>
      <w:szCs w:val="24"/>
      <w:lang w:val="en-US"/>
    </w:rPr>
  </w:style>
  <w:style w:type="character" w:customStyle="1" w:styleId="xxxChar">
    <w:name w:val="x.x.x Char"/>
    <w:basedOn w:val="Heading1Char"/>
    <w:link w:val="xxx"/>
    <w:rsid w:val="006B105A"/>
    <w:rPr>
      <w:rFonts w:ascii="Arial" w:hAnsi="Arial" w:cs="Arial"/>
      <w:b/>
      <w:bCs/>
      <w:sz w:val="28"/>
      <w:szCs w:val="28"/>
      <w:lang w:val="en-US"/>
    </w:rPr>
  </w:style>
  <w:style w:type="paragraph" w:customStyle="1" w:styleId="ContentText">
    <w:name w:val="Content Text"/>
    <w:basedOn w:val="Normal"/>
    <w:link w:val="ContentTextChar"/>
    <w:qFormat/>
    <w:rsid w:val="004C38B3"/>
    <w:pPr>
      <w:spacing w:after="0" w:line="240" w:lineRule="auto"/>
    </w:pPr>
    <w:rPr>
      <w:rFonts w:ascii="Arial" w:hAnsi="Arial" w:cs="Arial"/>
    </w:rPr>
  </w:style>
  <w:style w:type="character" w:customStyle="1" w:styleId="ContentTextChar">
    <w:name w:val="Content Text Char"/>
    <w:basedOn w:val="DefaultParagraphFont"/>
    <w:link w:val="ContentText"/>
    <w:rsid w:val="004C38B3"/>
    <w:rPr>
      <w:rFonts w:ascii="Arial" w:hAnsi="Arial" w:cs="Arial"/>
    </w:rPr>
  </w:style>
  <w:style w:type="paragraph" w:customStyle="1" w:styleId="xxxx">
    <w:name w:val="x.x.x.x"/>
    <w:basedOn w:val="xxx"/>
    <w:link w:val="xxxxChar"/>
    <w:qFormat/>
    <w:rsid w:val="006B105A"/>
    <w:pPr>
      <w:numPr>
        <w:ilvl w:val="3"/>
      </w:numPr>
    </w:pPr>
  </w:style>
  <w:style w:type="character" w:customStyle="1" w:styleId="xxxxChar">
    <w:name w:val="x.x.x.x Char"/>
    <w:basedOn w:val="xxxChar"/>
    <w:link w:val="xxxx"/>
    <w:rsid w:val="006B105A"/>
    <w:rPr>
      <w:rFonts w:ascii="Arial" w:hAnsi="Arial" w:cs="Arial"/>
      <w:b/>
      <w:bCs/>
      <w:sz w:val="28"/>
      <w:szCs w:val="28"/>
      <w:lang w:val="en-US"/>
    </w:rPr>
  </w:style>
  <w:style w:type="paragraph" w:customStyle="1" w:styleId="ContentList">
    <w:name w:val="Content List"/>
    <w:basedOn w:val="ContentText"/>
    <w:link w:val="ContentListChar"/>
    <w:qFormat/>
    <w:rsid w:val="006B105A"/>
    <w:pPr>
      <w:numPr>
        <w:ilvl w:val="4"/>
        <w:numId w:val="1"/>
      </w:numPr>
      <w:spacing w:before="120" w:after="120"/>
      <w:contextualSpacing/>
    </w:pPr>
  </w:style>
  <w:style w:type="character" w:customStyle="1" w:styleId="ContentListChar">
    <w:name w:val="Content List Char"/>
    <w:basedOn w:val="ContentTextChar"/>
    <w:link w:val="ContentList"/>
    <w:rsid w:val="006B105A"/>
    <w:rPr>
      <w:rFonts w:ascii="Arial" w:hAnsi="Arial" w:cs="Arial"/>
    </w:rPr>
  </w:style>
  <w:style w:type="paragraph" w:styleId="TOCHeading">
    <w:name w:val="TOC Heading"/>
    <w:basedOn w:val="Heading1"/>
    <w:next w:val="Normal"/>
    <w:uiPriority w:val="39"/>
    <w:unhideWhenUsed/>
    <w:rsid w:val="00337E82"/>
    <w:pPr>
      <w:keepNext/>
      <w:keepLines/>
      <w:spacing w:after="0" w:line="259" w:lineRule="auto"/>
      <w:outlineLvl w:val="9"/>
    </w:pPr>
    <w:rPr>
      <w:rFonts w:asciiTheme="majorHAnsi" w:eastAsiaTheme="majorEastAsia" w:hAnsiTheme="majorHAnsi" w:cstheme="majorBidi"/>
      <w:b w:val="0"/>
      <w:bCs w:val="0"/>
      <w:color w:val="0F4761" w:themeColor="accent1" w:themeShade="BF"/>
      <w:sz w:val="32"/>
      <w:szCs w:val="32"/>
      <w:lang w:val="en-US"/>
    </w:rPr>
  </w:style>
  <w:style w:type="paragraph" w:styleId="TOC1">
    <w:name w:val="toc 1"/>
    <w:basedOn w:val="Normal"/>
    <w:next w:val="Normal"/>
    <w:autoRedefine/>
    <w:uiPriority w:val="39"/>
    <w:unhideWhenUsed/>
    <w:rsid w:val="00337E82"/>
    <w:pPr>
      <w:spacing w:after="100"/>
    </w:pPr>
  </w:style>
  <w:style w:type="paragraph" w:customStyle="1" w:styleId="xx">
    <w:name w:val="x.x"/>
    <w:basedOn w:val="Heading1"/>
    <w:link w:val="xxChar"/>
    <w:qFormat/>
    <w:rsid w:val="006B105A"/>
    <w:pPr>
      <w:numPr>
        <w:ilvl w:val="1"/>
        <w:numId w:val="1"/>
      </w:numPr>
      <w:tabs>
        <w:tab w:val="left" w:pos="0"/>
      </w:tabs>
      <w:spacing w:before="120" w:after="120"/>
      <w:contextualSpacing/>
    </w:pPr>
    <w:rPr>
      <w:rFonts w:ascii="Arial" w:hAnsi="Arial" w:cs="Arial"/>
      <w:sz w:val="24"/>
      <w:szCs w:val="24"/>
    </w:rPr>
  </w:style>
  <w:style w:type="character" w:customStyle="1" w:styleId="xxChar">
    <w:name w:val="x.x Char"/>
    <w:basedOn w:val="Heading1Char"/>
    <w:link w:val="xx"/>
    <w:rsid w:val="006B105A"/>
    <w:rPr>
      <w:rFonts w:ascii="Arial" w:hAnsi="Arial" w:cs="Arial"/>
      <w:b/>
      <w:bCs/>
      <w:sz w:val="28"/>
      <w:szCs w:val="28"/>
    </w:rPr>
  </w:style>
  <w:style w:type="paragraph" w:styleId="NormalWeb">
    <w:name w:val="Normal (Web)"/>
    <w:basedOn w:val="Normal"/>
    <w:uiPriority w:val="99"/>
    <w:semiHidden/>
    <w:unhideWhenUsed/>
    <w:rsid w:val="00DB7523"/>
    <w:pPr>
      <w:spacing w:before="100" w:beforeAutospacing="1" w:after="100" w:afterAutospacing="1" w:line="240" w:lineRule="auto"/>
    </w:pPr>
    <w:rPr>
      <w:rFonts w:ascii="Times New Roman" w:eastAsia="Times New Roman" w:hAnsi="Times New Roman" w:cs="Times New Roman"/>
      <w:lang w:val="en-US"/>
    </w:rPr>
  </w:style>
  <w:style w:type="paragraph" w:customStyle="1" w:styleId="Content">
    <w:name w:val="Content"/>
    <w:basedOn w:val="ContentText"/>
    <w:link w:val="ContentChar"/>
    <w:qFormat/>
    <w:rsid w:val="006B105A"/>
    <w:pPr>
      <w:numPr>
        <w:ilvl w:val="5"/>
        <w:numId w:val="1"/>
      </w:numPr>
      <w:spacing w:before="120" w:after="120"/>
      <w:contextualSpacing/>
    </w:pPr>
    <w:rPr>
      <w:lang w:val="en-US"/>
    </w:rPr>
  </w:style>
  <w:style w:type="character" w:customStyle="1" w:styleId="ContentChar">
    <w:name w:val="Content Char"/>
    <w:basedOn w:val="ContentTextChar"/>
    <w:link w:val="Content"/>
    <w:rsid w:val="006B105A"/>
    <w:rPr>
      <w:rFonts w:ascii="Arial" w:hAnsi="Arial" w:cs="Arial"/>
      <w:lang w:val="en-US"/>
    </w:rPr>
  </w:style>
  <w:style w:type="paragraph" w:customStyle="1" w:styleId="X">
    <w:name w:val="X"/>
    <w:basedOn w:val="ListParagraph"/>
    <w:link w:val="XChar"/>
    <w:qFormat/>
    <w:rsid w:val="006B105A"/>
    <w:pPr>
      <w:numPr>
        <w:numId w:val="1"/>
      </w:numPr>
      <w:tabs>
        <w:tab w:val="left" w:pos="0"/>
      </w:tabs>
      <w:spacing w:before="120" w:after="120"/>
      <w:outlineLvl w:val="0"/>
    </w:pPr>
    <w:rPr>
      <w:b/>
      <w:bCs/>
      <w:vanish/>
      <w:sz w:val="28"/>
      <w:szCs w:val="28"/>
    </w:rPr>
  </w:style>
  <w:style w:type="character" w:customStyle="1" w:styleId="ListParagraphChar">
    <w:name w:val="List Paragraph Char"/>
    <w:basedOn w:val="DefaultParagraphFont"/>
    <w:link w:val="ListParagraph"/>
    <w:uiPriority w:val="34"/>
    <w:rsid w:val="00A87A3D"/>
  </w:style>
  <w:style w:type="character" w:customStyle="1" w:styleId="XChar">
    <w:name w:val="X Char"/>
    <w:basedOn w:val="ListParagraphChar"/>
    <w:link w:val="X"/>
    <w:rsid w:val="006B105A"/>
    <w:rPr>
      <w:b/>
      <w:bCs/>
      <w:vanish/>
      <w:sz w:val="28"/>
      <w:szCs w:val="28"/>
    </w:rPr>
  </w:style>
  <w:style w:type="paragraph" w:styleId="TOC2">
    <w:name w:val="toc 2"/>
    <w:basedOn w:val="Normal"/>
    <w:next w:val="Normal"/>
    <w:autoRedefine/>
    <w:uiPriority w:val="39"/>
    <w:unhideWhenUsed/>
    <w:rsid w:val="002101A7"/>
    <w:pPr>
      <w:spacing w:after="100"/>
      <w:ind w:left="240"/>
    </w:pPr>
  </w:style>
  <w:style w:type="paragraph" w:styleId="TOC3">
    <w:name w:val="toc 3"/>
    <w:basedOn w:val="Normal"/>
    <w:next w:val="Normal"/>
    <w:autoRedefine/>
    <w:uiPriority w:val="39"/>
    <w:unhideWhenUsed/>
    <w:rsid w:val="002101A7"/>
    <w:pPr>
      <w:spacing w:after="100"/>
      <w:ind w:left="480"/>
    </w:pPr>
  </w:style>
  <w:style w:type="paragraph" w:styleId="TOC4">
    <w:name w:val="toc 4"/>
    <w:basedOn w:val="Normal"/>
    <w:next w:val="Normal"/>
    <w:autoRedefine/>
    <w:uiPriority w:val="39"/>
    <w:unhideWhenUsed/>
    <w:rsid w:val="002101A7"/>
    <w:pPr>
      <w:spacing w:after="100"/>
      <w:ind w:left="720"/>
    </w:pPr>
  </w:style>
  <w:style w:type="paragraph" w:customStyle="1" w:styleId="Bullet">
    <w:name w:val="Bullet"/>
    <w:basedOn w:val="ListParagraph"/>
    <w:link w:val="BulletChar"/>
    <w:qFormat/>
    <w:rsid w:val="006B105A"/>
    <w:pPr>
      <w:numPr>
        <w:ilvl w:val="6"/>
        <w:numId w:val="1"/>
      </w:numPr>
      <w:spacing w:before="120" w:after="120"/>
    </w:pPr>
  </w:style>
  <w:style w:type="character" w:customStyle="1" w:styleId="BulletChar">
    <w:name w:val="Bullet Char"/>
    <w:basedOn w:val="ListParagraphChar"/>
    <w:link w:val="Bullet"/>
    <w:rsid w:val="006B105A"/>
  </w:style>
  <w:style w:type="paragraph" w:customStyle="1" w:styleId="pf0">
    <w:name w:val="pf0"/>
    <w:basedOn w:val="Normal"/>
    <w:rsid w:val="008C7416"/>
    <w:pPr>
      <w:spacing w:before="100" w:beforeAutospacing="1" w:after="100" w:afterAutospacing="1" w:line="240" w:lineRule="auto"/>
    </w:pPr>
    <w:rPr>
      <w:rFonts w:ascii="Times New Roman" w:eastAsia="Times New Roman" w:hAnsi="Times New Roman" w:cs="Times New Roman"/>
      <w:lang w:val="en-US"/>
    </w:rPr>
  </w:style>
  <w:style w:type="character" w:customStyle="1" w:styleId="cf01">
    <w:name w:val="cf01"/>
    <w:basedOn w:val="DefaultParagraphFont"/>
    <w:rsid w:val="008C7416"/>
    <w:rPr>
      <w:rFonts w:ascii="Segoe UI" w:hAnsi="Segoe UI" w:cs="Segoe UI" w:hint="default"/>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43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AA"/>
    <w:rPr>
      <w:rFonts w:ascii="Segoe UI" w:hAnsi="Segoe UI" w:cs="Segoe UI"/>
      <w:sz w:val="18"/>
      <w:szCs w:val="1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E173C1"/>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W890ZWsHWhvnPf6hFQhILyUWQw==">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Pages>
  <Words>2470</Words>
  <Characters>12157</Characters>
  <Application>Microsoft Office Word</Application>
  <DocSecurity>0</DocSecurity>
  <Lines>1105</Lines>
  <Paragraphs>1044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Erickson, Lillian</dc:creator>
  <cp:lastModifiedBy>Info Lakepoint</cp:lastModifiedBy>
  <cp:revision>35</cp:revision>
  <dcterms:created xsi:type="dcterms:W3CDTF">2026-02-10T15:43:00Z</dcterms:created>
  <dcterms:modified xsi:type="dcterms:W3CDTF">2026-02-19T23:59:00Z</dcterms:modified>
</cp:coreProperties>
</file>