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6F52A" w14:textId="77777777" w:rsidR="00BF7060" w:rsidRDefault="00BF7060" w:rsidP="00910276">
      <w:pPr>
        <w:rPr>
          <w:rFonts w:ascii="Calibri" w:hAnsi="Calibri"/>
          <w:b/>
          <w:sz w:val="28"/>
          <w:szCs w:val="28"/>
        </w:rPr>
      </w:pPr>
    </w:p>
    <w:p w14:paraId="17EA64E8" w14:textId="00D031ED" w:rsidR="009022EC" w:rsidRDefault="00857C4E" w:rsidP="009022EC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February</w:t>
      </w:r>
      <w:r w:rsidR="009A2D21">
        <w:rPr>
          <w:rFonts w:ascii="Calibri" w:hAnsi="Calibri"/>
          <w:b/>
          <w:sz w:val="22"/>
          <w:szCs w:val="22"/>
        </w:rPr>
        <w:t xml:space="preserve"> </w:t>
      </w:r>
      <w:r w:rsidR="00F84D12">
        <w:rPr>
          <w:rFonts w:ascii="Calibri" w:hAnsi="Calibri"/>
          <w:b/>
          <w:sz w:val="22"/>
          <w:szCs w:val="22"/>
        </w:rPr>
        <w:t>2</w:t>
      </w:r>
      <w:r>
        <w:rPr>
          <w:rFonts w:ascii="Calibri" w:hAnsi="Calibri"/>
          <w:b/>
          <w:sz w:val="22"/>
          <w:szCs w:val="22"/>
        </w:rPr>
        <w:t>3rd</w:t>
      </w:r>
      <w:r w:rsidR="009937F3">
        <w:rPr>
          <w:rFonts w:ascii="Calibri" w:hAnsi="Calibri"/>
          <w:b/>
          <w:sz w:val="22"/>
          <w:szCs w:val="22"/>
        </w:rPr>
        <w:t xml:space="preserve">, </w:t>
      </w:r>
      <w:r w:rsidR="00396E38">
        <w:rPr>
          <w:rFonts w:ascii="Calibri" w:hAnsi="Calibri"/>
          <w:b/>
          <w:sz w:val="22"/>
          <w:szCs w:val="22"/>
        </w:rPr>
        <w:t>2025,</w:t>
      </w:r>
      <w:r w:rsidR="006E508F">
        <w:rPr>
          <w:rFonts w:ascii="Calibri" w:hAnsi="Calibri"/>
          <w:b/>
          <w:sz w:val="22"/>
          <w:szCs w:val="22"/>
        </w:rPr>
        <w:t xml:space="preserve"> </w:t>
      </w:r>
      <w:r w:rsidR="00CB11BC">
        <w:rPr>
          <w:rFonts w:ascii="Calibri" w:hAnsi="Calibri"/>
          <w:b/>
          <w:sz w:val="22"/>
          <w:szCs w:val="22"/>
        </w:rPr>
        <w:t>| Meeting</w:t>
      </w:r>
      <w:r w:rsidR="00BF7060" w:rsidRPr="00BF7060">
        <w:rPr>
          <w:rFonts w:ascii="Calibri" w:hAnsi="Calibri"/>
          <w:b/>
          <w:sz w:val="22"/>
          <w:szCs w:val="22"/>
        </w:rPr>
        <w:t xml:space="preserve"> Minutes</w:t>
      </w:r>
      <w:r w:rsidR="009022EC" w:rsidRPr="00BF7060">
        <w:rPr>
          <w:rFonts w:ascii="Calibri" w:hAnsi="Calibri"/>
          <w:b/>
          <w:sz w:val="22"/>
          <w:szCs w:val="22"/>
        </w:rPr>
        <w:t xml:space="preserve"> </w:t>
      </w:r>
    </w:p>
    <w:tbl>
      <w:tblPr>
        <w:tblStyle w:val="TableGrid"/>
        <w:tblW w:w="9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95"/>
      </w:tblGrid>
      <w:tr w:rsidR="006A7F17" w:rsidRPr="006A7F17" w14:paraId="50B9247B" w14:textId="77777777" w:rsidTr="004D7E6E">
        <w:trPr>
          <w:trHeight w:val="192"/>
        </w:trPr>
        <w:tc>
          <w:tcPr>
            <w:tcW w:w="9795" w:type="dxa"/>
          </w:tcPr>
          <w:p w14:paraId="07C94DC5" w14:textId="52CEC987" w:rsidR="006A7F17" w:rsidRPr="006A7F17" w:rsidRDefault="006A7F17" w:rsidP="005833F2">
            <w:pPr>
              <w:tabs>
                <w:tab w:val="left" w:pos="54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A7F17">
              <w:rPr>
                <w:rFonts w:asciiTheme="minorHAnsi" w:hAnsiTheme="minorHAnsi" w:cstheme="minorHAnsi"/>
                <w:b/>
              </w:rPr>
              <w:t xml:space="preserve"> </w:t>
            </w:r>
            <w:r w:rsidRPr="006A7F17">
              <w:rPr>
                <w:rFonts w:asciiTheme="minorHAnsi" w:hAnsiTheme="minorHAnsi" w:cstheme="minorHAnsi"/>
                <w:b/>
                <w:u w:val="single"/>
              </w:rPr>
              <w:t>Attendee</w:t>
            </w:r>
            <w:r w:rsidR="003F055C">
              <w:rPr>
                <w:rFonts w:asciiTheme="minorHAnsi" w:hAnsiTheme="minorHAnsi" w:cstheme="minorHAnsi"/>
                <w:b/>
                <w:u w:val="single"/>
              </w:rPr>
              <w:t>s</w:t>
            </w:r>
          </w:p>
        </w:tc>
      </w:tr>
      <w:tr w:rsidR="006A7F17" w:rsidRPr="006A7F17" w14:paraId="069B184E" w14:textId="77777777" w:rsidTr="004D7E6E">
        <w:trPr>
          <w:trHeight w:val="185"/>
        </w:trPr>
        <w:tc>
          <w:tcPr>
            <w:tcW w:w="9795" w:type="dxa"/>
          </w:tcPr>
          <w:p w14:paraId="5D82B7A3" w14:textId="1C777C3C" w:rsidR="006A7F17" w:rsidRDefault="0051449E" w:rsidP="00202610">
            <w:pPr>
              <w:tabs>
                <w:tab w:val="left" w:pos="54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Ann Garcia</w:t>
            </w:r>
            <w:r w:rsidR="007336C6">
              <w:rPr>
                <w:rFonts w:asciiTheme="minorHAnsi" w:hAnsiTheme="minorHAnsi" w:cstheme="minorHAnsi"/>
                <w:sz w:val="22"/>
                <w:szCs w:val="22"/>
              </w:rPr>
              <w:t xml:space="preserve"> - Holladay </w:t>
            </w:r>
          </w:p>
          <w:p w14:paraId="30C47899" w14:textId="1C65E83B" w:rsidR="0051449E" w:rsidRDefault="0051449E" w:rsidP="00202610">
            <w:pPr>
              <w:tabs>
                <w:tab w:val="left" w:pos="54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Steve Lyon</w:t>
            </w:r>
            <w:r w:rsidR="007336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33478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7336C6">
              <w:rPr>
                <w:rFonts w:asciiTheme="minorHAnsi" w:hAnsiTheme="minorHAnsi" w:cstheme="minorHAnsi"/>
                <w:sz w:val="22"/>
                <w:szCs w:val="22"/>
              </w:rPr>
              <w:t>South Salt Lake</w:t>
            </w:r>
          </w:p>
          <w:p w14:paraId="2E540D5E" w14:textId="3C81E84B" w:rsidR="007336C6" w:rsidRDefault="00156F00" w:rsidP="00202610">
            <w:pPr>
              <w:tabs>
                <w:tab w:val="left" w:pos="54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Wendy Thomas</w:t>
            </w:r>
            <w:r w:rsidR="007336C6">
              <w:rPr>
                <w:rFonts w:asciiTheme="minorHAnsi" w:hAnsiTheme="minorHAnsi" w:cstheme="minorHAnsi"/>
                <w:sz w:val="22"/>
                <w:szCs w:val="22"/>
              </w:rPr>
              <w:t xml:space="preserve"> – Herriman</w:t>
            </w:r>
            <w:r w:rsidR="00D47FD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811699E" w14:textId="04CE873F" w:rsidR="007336C6" w:rsidRDefault="007336C6" w:rsidP="00202610">
            <w:pPr>
              <w:tabs>
                <w:tab w:val="left" w:pos="54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Molly Austin – Alta</w:t>
            </w:r>
            <w:r w:rsidR="00D47FD8">
              <w:rPr>
                <w:rFonts w:asciiTheme="minorHAnsi" w:hAnsiTheme="minorHAnsi" w:cstheme="minorHAnsi"/>
                <w:sz w:val="22"/>
                <w:szCs w:val="22"/>
              </w:rPr>
              <w:t xml:space="preserve"> (virtual)</w:t>
            </w:r>
          </w:p>
          <w:p w14:paraId="2578B32F" w14:textId="628060BF" w:rsidR="007336C6" w:rsidRDefault="007336C6" w:rsidP="00202610">
            <w:pPr>
              <w:tabs>
                <w:tab w:val="left" w:pos="54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Kris Land – Millcreek</w:t>
            </w:r>
            <w:r w:rsidR="00D47FD8">
              <w:rPr>
                <w:rFonts w:asciiTheme="minorHAnsi" w:hAnsiTheme="minorHAnsi" w:cstheme="minorHAnsi"/>
                <w:sz w:val="22"/>
                <w:szCs w:val="22"/>
              </w:rPr>
              <w:t xml:space="preserve"> (virtual)</w:t>
            </w:r>
          </w:p>
          <w:p w14:paraId="569C2F67" w14:textId="020F4393" w:rsidR="007336C6" w:rsidRDefault="007336C6" w:rsidP="00202610">
            <w:pPr>
              <w:tabs>
                <w:tab w:val="left" w:pos="54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Tyler Huish – White City</w:t>
            </w:r>
            <w:r w:rsidR="00D47FD8">
              <w:rPr>
                <w:rFonts w:asciiTheme="minorHAnsi" w:hAnsiTheme="minorHAnsi" w:cstheme="minorHAnsi"/>
                <w:sz w:val="22"/>
                <w:szCs w:val="22"/>
              </w:rPr>
              <w:t xml:space="preserve"> (virtual)</w:t>
            </w:r>
          </w:p>
          <w:p w14:paraId="1595F6F5" w14:textId="7D813734" w:rsidR="007336C6" w:rsidRDefault="007336C6" w:rsidP="00202610">
            <w:pPr>
              <w:tabs>
                <w:tab w:val="left" w:pos="54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Moira Gray – Midvale</w:t>
            </w:r>
            <w:r w:rsidR="00D47FD8">
              <w:rPr>
                <w:rFonts w:asciiTheme="minorHAnsi" w:hAnsiTheme="minorHAnsi" w:cstheme="minorHAnsi"/>
                <w:sz w:val="22"/>
                <w:szCs w:val="22"/>
              </w:rPr>
              <w:t xml:space="preserve"> (virtual)</w:t>
            </w:r>
          </w:p>
          <w:p w14:paraId="6B2527D8" w14:textId="5FF08034" w:rsidR="007336C6" w:rsidRDefault="00623EC0" w:rsidP="00202610">
            <w:pPr>
              <w:tabs>
                <w:tab w:val="left" w:pos="54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Shannon Smith</w:t>
            </w:r>
            <w:r w:rsidR="007336C6">
              <w:rPr>
                <w:rFonts w:asciiTheme="minorHAnsi" w:hAnsiTheme="minorHAnsi" w:cstheme="minorHAnsi"/>
                <w:sz w:val="22"/>
                <w:szCs w:val="22"/>
              </w:rPr>
              <w:t xml:space="preserve"> – Riverton</w:t>
            </w:r>
            <w:r w:rsidR="00D47FD8">
              <w:rPr>
                <w:rFonts w:asciiTheme="minorHAnsi" w:hAnsiTheme="minorHAnsi" w:cstheme="minorHAnsi"/>
                <w:sz w:val="22"/>
                <w:szCs w:val="22"/>
              </w:rPr>
              <w:t xml:space="preserve"> (virtual)</w:t>
            </w:r>
          </w:p>
          <w:p w14:paraId="1768C025" w14:textId="3BF21E0E" w:rsidR="00F81B0D" w:rsidRDefault="00F81B0D" w:rsidP="00202610">
            <w:pPr>
              <w:tabs>
                <w:tab w:val="left" w:pos="54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Grant Cowell - Bluffdale</w:t>
            </w:r>
          </w:p>
          <w:p w14:paraId="69B95913" w14:textId="60F14975" w:rsidR="0051449E" w:rsidRPr="006A7F17" w:rsidRDefault="0051449E" w:rsidP="00202610">
            <w:pPr>
              <w:tabs>
                <w:tab w:val="left" w:pos="54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7F17" w:rsidRPr="006A7F17" w14:paraId="37BC0F20" w14:textId="77777777" w:rsidTr="004D7E6E">
        <w:trPr>
          <w:trHeight w:val="1696"/>
        </w:trPr>
        <w:tc>
          <w:tcPr>
            <w:tcW w:w="9795" w:type="dxa"/>
          </w:tcPr>
          <w:p w14:paraId="0A47C9E1" w14:textId="77777777" w:rsidR="006A7F17" w:rsidRPr="006A7F17" w:rsidRDefault="006A7F17" w:rsidP="00202610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6A7F17">
              <w:rPr>
                <w:rFonts w:asciiTheme="minorHAnsi" w:hAnsiTheme="minorHAnsi" w:cstheme="minorHAnsi"/>
                <w:b/>
                <w:bCs/>
                <w:u w:val="single"/>
              </w:rPr>
              <w:t xml:space="preserve">Staff in Attendance </w:t>
            </w:r>
          </w:p>
          <w:p w14:paraId="37A2C7A9" w14:textId="7A8C5A2B" w:rsidR="0051449E" w:rsidRDefault="0051449E" w:rsidP="002F46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Tallie Viteri</w:t>
            </w:r>
          </w:p>
          <w:p w14:paraId="5590756C" w14:textId="77777777" w:rsidR="0051449E" w:rsidRDefault="0051449E" w:rsidP="002F46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Dan Tisdale (virtual)</w:t>
            </w:r>
          </w:p>
          <w:p w14:paraId="4CD5D35F" w14:textId="77777777" w:rsidR="0051449E" w:rsidRDefault="0051449E" w:rsidP="002F46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Deri</w:t>
            </w:r>
            <w:r w:rsidR="00045FBD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 Davis </w:t>
            </w:r>
          </w:p>
          <w:p w14:paraId="25B5B75F" w14:textId="77777777" w:rsidR="00623EC0" w:rsidRDefault="00623EC0" w:rsidP="002F46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Smita Patel (virtual)</w:t>
            </w:r>
          </w:p>
          <w:p w14:paraId="503B0197" w14:textId="77777777" w:rsidR="002E29BB" w:rsidRDefault="002E29BB" w:rsidP="002F46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Madeline Martinez (virtual)</w:t>
            </w:r>
          </w:p>
          <w:p w14:paraId="29D050E4" w14:textId="61534B31" w:rsidR="002E29BB" w:rsidRPr="0051449E" w:rsidRDefault="002E29BB" w:rsidP="002F46E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8F4C778" w14:textId="78B457FF" w:rsidR="00CF03E0" w:rsidRDefault="00DD4CA7" w:rsidP="009D596F">
      <w:pPr>
        <w:rPr>
          <w:b/>
        </w:rPr>
      </w:pPr>
      <w:r>
        <w:rPr>
          <w:b/>
        </w:rPr>
        <w:t>W</w:t>
      </w:r>
      <w:r w:rsidR="009D596F" w:rsidRPr="006650F6">
        <w:rPr>
          <w:b/>
        </w:rPr>
        <w:t xml:space="preserve">elcome &amp; </w:t>
      </w:r>
      <w:r w:rsidR="0051449E">
        <w:rPr>
          <w:b/>
        </w:rPr>
        <w:t>Introductions:</w:t>
      </w:r>
    </w:p>
    <w:p w14:paraId="3481BB01" w14:textId="664BB589" w:rsidR="00554834" w:rsidRDefault="008312DF" w:rsidP="00C72516">
      <w:pPr>
        <w:ind w:left="720"/>
        <w:rPr>
          <w:bCs/>
        </w:rPr>
      </w:pPr>
      <w:r w:rsidRPr="008312DF">
        <w:rPr>
          <w:bCs/>
        </w:rPr>
        <w:t>Tallie</w:t>
      </w:r>
      <w:r w:rsidR="004D7E6E">
        <w:rPr>
          <w:bCs/>
        </w:rPr>
        <w:t xml:space="preserve"> welcomed everyone, verified a quorum, and started the meeting at 1:03.</w:t>
      </w:r>
      <w:r w:rsidR="00784993">
        <w:rPr>
          <w:bCs/>
        </w:rPr>
        <w:t xml:space="preserve"> Tallie asked those with requests to speak on their projects.</w:t>
      </w:r>
    </w:p>
    <w:p w14:paraId="13FB28DB" w14:textId="77777777" w:rsidR="008312DF" w:rsidRPr="008312DF" w:rsidRDefault="008312DF" w:rsidP="009D596F">
      <w:pPr>
        <w:rPr>
          <w:bCs/>
        </w:rPr>
      </w:pPr>
    </w:p>
    <w:p w14:paraId="5F4070C1" w14:textId="39FF4EB3" w:rsidR="00E25678" w:rsidRDefault="00E25678" w:rsidP="009D596F">
      <w:pPr>
        <w:rPr>
          <w:b/>
        </w:rPr>
      </w:pPr>
      <w:r>
        <w:rPr>
          <w:b/>
        </w:rPr>
        <w:t>Overview of CDBG Funds, past and current projects:</w:t>
      </w:r>
    </w:p>
    <w:p w14:paraId="110797B0" w14:textId="602188AC" w:rsidR="00D47FD8" w:rsidRDefault="00297C79" w:rsidP="00297C79">
      <w:pPr>
        <w:pStyle w:val="ListParagraph"/>
        <w:numPr>
          <w:ilvl w:val="0"/>
          <w:numId w:val="25"/>
        </w:numPr>
        <w:rPr>
          <w:bCs/>
        </w:rPr>
      </w:pPr>
      <w:r>
        <w:rPr>
          <w:bCs/>
        </w:rPr>
        <w:t>Total Amount Available: $1,000,000.00</w:t>
      </w:r>
    </w:p>
    <w:p w14:paraId="688BBF17" w14:textId="749BD972" w:rsidR="00297C79" w:rsidRDefault="00297C79" w:rsidP="00297C79">
      <w:pPr>
        <w:pStyle w:val="ListParagraph"/>
        <w:numPr>
          <w:ilvl w:val="0"/>
          <w:numId w:val="25"/>
        </w:numPr>
        <w:rPr>
          <w:bCs/>
        </w:rPr>
      </w:pPr>
      <w:r>
        <w:rPr>
          <w:bCs/>
        </w:rPr>
        <w:t>Total Requests: $1,440,125.00</w:t>
      </w:r>
    </w:p>
    <w:p w14:paraId="7112FD85" w14:textId="5262DC3F" w:rsidR="00297C79" w:rsidRDefault="00297C79" w:rsidP="00297C79">
      <w:pPr>
        <w:pStyle w:val="ListParagraph"/>
        <w:numPr>
          <w:ilvl w:val="1"/>
          <w:numId w:val="25"/>
        </w:numPr>
        <w:rPr>
          <w:bCs/>
        </w:rPr>
      </w:pPr>
      <w:r>
        <w:rPr>
          <w:bCs/>
        </w:rPr>
        <w:t>Herriman – Community Center $220,000.00</w:t>
      </w:r>
    </w:p>
    <w:p w14:paraId="18C0A7EA" w14:textId="317665F1" w:rsidR="009805DF" w:rsidRDefault="009805DF" w:rsidP="009805DF">
      <w:pPr>
        <w:pStyle w:val="ListParagraph"/>
        <w:numPr>
          <w:ilvl w:val="2"/>
          <w:numId w:val="25"/>
        </w:numPr>
        <w:rPr>
          <w:bCs/>
        </w:rPr>
      </w:pPr>
      <w:r>
        <w:rPr>
          <w:bCs/>
        </w:rPr>
        <w:t>Wendy</w:t>
      </w:r>
      <w:r w:rsidR="00E66134">
        <w:rPr>
          <w:bCs/>
        </w:rPr>
        <w:t xml:space="preserve"> spoke on Herriman’s plan to finalize their community center project.</w:t>
      </w:r>
      <w:r w:rsidR="00105A34">
        <w:rPr>
          <w:bCs/>
        </w:rPr>
        <w:t xml:space="preserve"> </w:t>
      </w:r>
      <w:r w:rsidR="00EC0D68">
        <w:rPr>
          <w:bCs/>
        </w:rPr>
        <w:t xml:space="preserve">They hope to move in in April. </w:t>
      </w:r>
      <w:r w:rsidR="00EF2AFC">
        <w:rPr>
          <w:bCs/>
        </w:rPr>
        <w:t>Retrofitting the old city hall to become the new community center. The final phase will be the roof, handrail upgrades, and a kitchen remodel.</w:t>
      </w:r>
    </w:p>
    <w:p w14:paraId="13115AAF" w14:textId="65EE53D7" w:rsidR="00297C79" w:rsidRDefault="00297C79" w:rsidP="00297C79">
      <w:pPr>
        <w:pStyle w:val="ListParagraph"/>
        <w:numPr>
          <w:ilvl w:val="1"/>
          <w:numId w:val="25"/>
        </w:numPr>
        <w:rPr>
          <w:bCs/>
        </w:rPr>
      </w:pPr>
      <w:r>
        <w:rPr>
          <w:bCs/>
        </w:rPr>
        <w:t>Holladay – Rental &amp; Security Deposit Assistance: $100,000.00</w:t>
      </w:r>
    </w:p>
    <w:p w14:paraId="34B95207" w14:textId="517A8B66" w:rsidR="009805DF" w:rsidRDefault="009805DF" w:rsidP="009805DF">
      <w:pPr>
        <w:pStyle w:val="ListParagraph"/>
        <w:numPr>
          <w:ilvl w:val="2"/>
          <w:numId w:val="25"/>
        </w:numPr>
        <w:rPr>
          <w:bCs/>
        </w:rPr>
      </w:pPr>
      <w:r w:rsidRPr="00E14A0A">
        <w:rPr>
          <w:bCs/>
        </w:rPr>
        <w:t>Ann</w:t>
      </w:r>
      <w:r w:rsidR="00E66134">
        <w:rPr>
          <w:bCs/>
        </w:rPr>
        <w:t xml:space="preserve"> spoke on Holladay’s rental assistance to help with security deposits, arrears payments, </w:t>
      </w:r>
      <w:r w:rsidR="00E66134" w:rsidRPr="00094BB7">
        <w:rPr>
          <w:bCs/>
        </w:rPr>
        <w:t>and</w:t>
      </w:r>
      <w:r w:rsidR="00094BB7" w:rsidRPr="00094BB7">
        <w:rPr>
          <w:bCs/>
        </w:rPr>
        <w:t xml:space="preserve"> current rent</w:t>
      </w:r>
      <w:r w:rsidR="00E66134" w:rsidRPr="00094BB7">
        <w:rPr>
          <w:bCs/>
        </w:rPr>
        <w:t>.</w:t>
      </w:r>
      <w:r w:rsidR="00E66134">
        <w:rPr>
          <w:bCs/>
        </w:rPr>
        <w:t xml:space="preserve"> This is for 6 months of </w:t>
      </w:r>
      <w:r w:rsidR="00474E87">
        <w:rPr>
          <w:bCs/>
        </w:rPr>
        <w:t>a</w:t>
      </w:r>
      <w:r w:rsidR="00821AE7">
        <w:rPr>
          <w:bCs/>
        </w:rPr>
        <w:t>ssistance in a 1</w:t>
      </w:r>
      <w:r w:rsidR="009644D5">
        <w:rPr>
          <w:bCs/>
        </w:rPr>
        <w:t>2-month</w:t>
      </w:r>
      <w:r w:rsidR="00474E87">
        <w:rPr>
          <w:bCs/>
        </w:rPr>
        <w:t xml:space="preserve"> period</w:t>
      </w:r>
      <w:r w:rsidR="00E66134">
        <w:rPr>
          <w:bCs/>
        </w:rPr>
        <w:t>.</w:t>
      </w:r>
    </w:p>
    <w:p w14:paraId="140F06FE" w14:textId="29C690F2" w:rsidR="00297C79" w:rsidRDefault="00297C79" w:rsidP="00297C79">
      <w:pPr>
        <w:pStyle w:val="ListParagraph"/>
        <w:numPr>
          <w:ilvl w:val="1"/>
          <w:numId w:val="25"/>
        </w:numPr>
        <w:rPr>
          <w:bCs/>
        </w:rPr>
      </w:pPr>
      <w:r>
        <w:rPr>
          <w:bCs/>
        </w:rPr>
        <w:t>Midvale – Home Repair Loans: $100,000.00</w:t>
      </w:r>
    </w:p>
    <w:p w14:paraId="3058A805" w14:textId="35518573" w:rsidR="009805DF" w:rsidRDefault="009805DF" w:rsidP="009805DF">
      <w:pPr>
        <w:pStyle w:val="ListParagraph"/>
        <w:numPr>
          <w:ilvl w:val="2"/>
          <w:numId w:val="25"/>
        </w:numPr>
        <w:rPr>
          <w:bCs/>
        </w:rPr>
      </w:pPr>
      <w:r w:rsidRPr="00E250D9">
        <w:rPr>
          <w:bCs/>
        </w:rPr>
        <w:t>Moira</w:t>
      </w:r>
      <w:r w:rsidR="009644D5">
        <w:rPr>
          <w:bCs/>
        </w:rPr>
        <w:t xml:space="preserve"> spoke on Midvale’s home repair program. </w:t>
      </w:r>
      <w:r w:rsidR="00946BBD">
        <w:rPr>
          <w:bCs/>
        </w:rPr>
        <w:t>It’s a five-year forgivable loan of up to $</w:t>
      </w:r>
      <w:r w:rsidR="009644D5">
        <w:rPr>
          <w:bCs/>
        </w:rPr>
        <w:t xml:space="preserve">15,000. They do have an RDA match of $150K. </w:t>
      </w:r>
      <w:r w:rsidR="00946BBD">
        <w:rPr>
          <w:bCs/>
        </w:rPr>
        <w:t>average of 52% AMI. Twelve loans last year</w:t>
      </w:r>
      <w:r w:rsidR="00696621">
        <w:rPr>
          <w:bCs/>
        </w:rPr>
        <w:t>,</w:t>
      </w:r>
      <w:r w:rsidR="00946BBD">
        <w:rPr>
          <w:bCs/>
        </w:rPr>
        <w:t xml:space="preserve"> </w:t>
      </w:r>
      <w:r w:rsidR="00696621">
        <w:rPr>
          <w:bCs/>
        </w:rPr>
        <w:t>four</w:t>
      </w:r>
      <w:r w:rsidR="00946BBD">
        <w:rPr>
          <w:bCs/>
        </w:rPr>
        <w:t xml:space="preserve"> last month.</w:t>
      </w:r>
    </w:p>
    <w:p w14:paraId="170E4A42" w14:textId="55FB3F4A" w:rsidR="00297C79" w:rsidRDefault="00297C79" w:rsidP="00297C79">
      <w:pPr>
        <w:pStyle w:val="ListParagraph"/>
        <w:numPr>
          <w:ilvl w:val="1"/>
          <w:numId w:val="25"/>
        </w:numPr>
        <w:rPr>
          <w:bCs/>
        </w:rPr>
      </w:pPr>
      <w:r>
        <w:rPr>
          <w:bCs/>
        </w:rPr>
        <w:t>Millcreek – Jordan River Adventure Trail: $227,000.00</w:t>
      </w:r>
    </w:p>
    <w:p w14:paraId="2A5A8B79" w14:textId="0342FB54" w:rsidR="004D7E6E" w:rsidRDefault="004D7E6E" w:rsidP="004D7E6E">
      <w:pPr>
        <w:pStyle w:val="ListParagraph"/>
        <w:numPr>
          <w:ilvl w:val="2"/>
          <w:numId w:val="25"/>
        </w:numPr>
        <w:rPr>
          <w:bCs/>
        </w:rPr>
      </w:pPr>
      <w:r>
        <w:rPr>
          <w:bCs/>
        </w:rPr>
        <w:t xml:space="preserve">Kris said that Millcreek </w:t>
      </w:r>
      <w:r w:rsidR="00CC5993">
        <w:rPr>
          <w:bCs/>
        </w:rPr>
        <w:t xml:space="preserve">won’t be prioritizing this project anymore and </w:t>
      </w:r>
      <w:r>
        <w:rPr>
          <w:bCs/>
        </w:rPr>
        <w:t>would be rescinding their application</w:t>
      </w:r>
      <w:r w:rsidR="00E250D9">
        <w:rPr>
          <w:bCs/>
        </w:rPr>
        <w:t xml:space="preserve"> and </w:t>
      </w:r>
      <w:r w:rsidR="0016744E">
        <w:rPr>
          <w:bCs/>
        </w:rPr>
        <w:t xml:space="preserve">looking for a higher funding amount in the future. </w:t>
      </w:r>
    </w:p>
    <w:p w14:paraId="0564024A" w14:textId="16B52A4F" w:rsidR="00297C79" w:rsidRDefault="00297C79" w:rsidP="00297C79">
      <w:pPr>
        <w:pStyle w:val="ListParagraph"/>
        <w:numPr>
          <w:ilvl w:val="1"/>
          <w:numId w:val="25"/>
        </w:numPr>
        <w:rPr>
          <w:bCs/>
        </w:rPr>
      </w:pPr>
      <w:r>
        <w:rPr>
          <w:bCs/>
        </w:rPr>
        <w:lastRenderedPageBreak/>
        <w:t>Riverton – ADA Ramps: $238,125.00</w:t>
      </w:r>
    </w:p>
    <w:p w14:paraId="24AA1BB2" w14:textId="78E4B4D4" w:rsidR="009805DF" w:rsidRDefault="009805DF" w:rsidP="009805DF">
      <w:pPr>
        <w:pStyle w:val="ListParagraph"/>
        <w:numPr>
          <w:ilvl w:val="2"/>
          <w:numId w:val="25"/>
        </w:numPr>
        <w:rPr>
          <w:bCs/>
        </w:rPr>
      </w:pPr>
      <w:r w:rsidRPr="00643919">
        <w:rPr>
          <w:bCs/>
        </w:rPr>
        <w:t>Shannon</w:t>
      </w:r>
      <w:r w:rsidR="0007124D">
        <w:rPr>
          <w:bCs/>
        </w:rPr>
        <w:t xml:space="preserve"> </w:t>
      </w:r>
      <w:r w:rsidR="00EA3E0B">
        <w:rPr>
          <w:bCs/>
        </w:rPr>
        <w:t xml:space="preserve">spoke on Riverton’s ADA ramp project. </w:t>
      </w:r>
      <w:r w:rsidR="001D3350">
        <w:rPr>
          <w:bCs/>
        </w:rPr>
        <w:t xml:space="preserve">They are looking to do </w:t>
      </w:r>
      <w:r w:rsidR="00141352">
        <w:rPr>
          <w:bCs/>
        </w:rPr>
        <w:t>several ramps in the city</w:t>
      </w:r>
      <w:r w:rsidR="001D3350">
        <w:rPr>
          <w:bCs/>
        </w:rPr>
        <w:t>.</w:t>
      </w:r>
      <w:r w:rsidR="00141352">
        <w:rPr>
          <w:bCs/>
        </w:rPr>
        <w:t xml:space="preserve"> </w:t>
      </w:r>
      <w:r w:rsidR="001D3350">
        <w:rPr>
          <w:bCs/>
        </w:rPr>
        <w:t xml:space="preserve"> </w:t>
      </w:r>
    </w:p>
    <w:p w14:paraId="02AE0108" w14:textId="58B12810" w:rsidR="00297C79" w:rsidRDefault="00297C79" w:rsidP="00297C79">
      <w:pPr>
        <w:pStyle w:val="ListParagraph"/>
        <w:numPr>
          <w:ilvl w:val="1"/>
          <w:numId w:val="25"/>
        </w:numPr>
        <w:rPr>
          <w:bCs/>
        </w:rPr>
      </w:pPr>
      <w:r>
        <w:rPr>
          <w:bCs/>
        </w:rPr>
        <w:t>Riverton – Boiler: $130,000.00</w:t>
      </w:r>
    </w:p>
    <w:p w14:paraId="2BE8AB70" w14:textId="4227100A" w:rsidR="009805DF" w:rsidRDefault="009805DF" w:rsidP="009805DF">
      <w:pPr>
        <w:pStyle w:val="ListParagraph"/>
        <w:numPr>
          <w:ilvl w:val="2"/>
          <w:numId w:val="25"/>
        </w:numPr>
        <w:rPr>
          <w:bCs/>
        </w:rPr>
      </w:pPr>
      <w:r w:rsidRPr="00643919">
        <w:rPr>
          <w:bCs/>
        </w:rPr>
        <w:t>Shannon</w:t>
      </w:r>
      <w:r w:rsidR="00EA3E0B">
        <w:rPr>
          <w:bCs/>
        </w:rPr>
        <w:t xml:space="preserve"> spoke on the need for a new boiler.</w:t>
      </w:r>
      <w:r w:rsidR="00643919">
        <w:rPr>
          <w:bCs/>
        </w:rPr>
        <w:t xml:space="preserve"> The boiler is a high priority.</w:t>
      </w:r>
      <w:r w:rsidR="00B2385C">
        <w:rPr>
          <w:bCs/>
        </w:rPr>
        <w:t xml:space="preserve"> The</w:t>
      </w:r>
      <w:r w:rsidR="00643919">
        <w:rPr>
          <w:bCs/>
        </w:rPr>
        <w:t xml:space="preserve"> Riverton senior center is also used by Bluffdale. Because Riverton maintains the building, it can’t expect any financial assistance from the other cities. </w:t>
      </w:r>
    </w:p>
    <w:p w14:paraId="78BB6290" w14:textId="31050D8E" w:rsidR="00297C79" w:rsidRDefault="00297C79" w:rsidP="00297C79">
      <w:pPr>
        <w:pStyle w:val="ListParagraph"/>
        <w:numPr>
          <w:ilvl w:val="1"/>
          <w:numId w:val="25"/>
        </w:numPr>
        <w:rPr>
          <w:bCs/>
        </w:rPr>
      </w:pPr>
      <w:r>
        <w:rPr>
          <w:bCs/>
        </w:rPr>
        <w:t>South Salt Lake – Homeownership Partnership Program: $425,000.00</w:t>
      </w:r>
    </w:p>
    <w:p w14:paraId="2AFF7465" w14:textId="361DCDF1" w:rsidR="009805DF" w:rsidRDefault="009805DF" w:rsidP="009805DF">
      <w:pPr>
        <w:pStyle w:val="ListParagraph"/>
        <w:numPr>
          <w:ilvl w:val="2"/>
          <w:numId w:val="25"/>
        </w:numPr>
        <w:rPr>
          <w:bCs/>
        </w:rPr>
      </w:pPr>
      <w:r w:rsidRPr="0012486B">
        <w:rPr>
          <w:bCs/>
        </w:rPr>
        <w:t>Steve</w:t>
      </w:r>
      <w:r w:rsidR="00EA3E0B" w:rsidRPr="0012486B">
        <w:rPr>
          <w:bCs/>
        </w:rPr>
        <w:t xml:space="preserve"> spoke</w:t>
      </w:r>
      <w:r w:rsidR="00EA3E0B">
        <w:rPr>
          <w:bCs/>
        </w:rPr>
        <w:t xml:space="preserve"> on South Salt Lake’s homeownership program. </w:t>
      </w:r>
      <w:r w:rsidR="00E177C4">
        <w:rPr>
          <w:bCs/>
        </w:rPr>
        <w:t>Purchasing dilapidated and vacant homes and converting them into long-term ownership.</w:t>
      </w:r>
      <w:r w:rsidR="0073579B">
        <w:rPr>
          <w:bCs/>
        </w:rPr>
        <w:t xml:space="preserve"> SSL is in the process of creating a CLT where the homes would be kept. The city has purchased two homes and is looking at purchasing five more.</w:t>
      </w:r>
      <w:r w:rsidR="007C054B">
        <w:rPr>
          <w:bCs/>
        </w:rPr>
        <w:t xml:space="preserve"> </w:t>
      </w:r>
    </w:p>
    <w:p w14:paraId="70D70654" w14:textId="76F340B0" w:rsidR="00297C79" w:rsidRDefault="00297C79" w:rsidP="00297C79">
      <w:pPr>
        <w:pStyle w:val="ListParagraph"/>
        <w:numPr>
          <w:ilvl w:val="0"/>
          <w:numId w:val="25"/>
        </w:numPr>
        <w:rPr>
          <w:bCs/>
        </w:rPr>
      </w:pPr>
      <w:r>
        <w:rPr>
          <w:bCs/>
        </w:rPr>
        <w:t>Establishing Priorities Discussion</w:t>
      </w:r>
    </w:p>
    <w:p w14:paraId="76BA0A4E" w14:textId="18C1FCCE" w:rsidR="0007124D" w:rsidRDefault="0007124D" w:rsidP="0007124D">
      <w:pPr>
        <w:pStyle w:val="ListParagraph"/>
        <w:numPr>
          <w:ilvl w:val="1"/>
          <w:numId w:val="25"/>
        </w:numPr>
        <w:rPr>
          <w:bCs/>
        </w:rPr>
      </w:pPr>
      <w:r>
        <w:rPr>
          <w:bCs/>
        </w:rPr>
        <w:t xml:space="preserve">Tyler said that they should prioritize health and safety in the approvals. Herriman, Riverton, and South Salt Lake agreed to accept a lower amount to ensure the request matched the available funds. </w:t>
      </w:r>
      <w:r w:rsidR="002520B4">
        <w:rPr>
          <w:bCs/>
        </w:rPr>
        <w:t>The committee discussed changes in funding to bring the total to $1</w:t>
      </w:r>
      <w:r w:rsidR="009E6B25">
        <w:rPr>
          <w:bCs/>
        </w:rPr>
        <w:t>m</w:t>
      </w:r>
      <w:r w:rsidR="002520B4">
        <w:rPr>
          <w:bCs/>
        </w:rPr>
        <w:t xml:space="preserve">illion. </w:t>
      </w:r>
      <w:r>
        <w:rPr>
          <w:bCs/>
        </w:rPr>
        <w:t xml:space="preserve">Steve motioned to approve the funding as listed </w:t>
      </w:r>
      <w:r w:rsidR="00DD7E33">
        <w:rPr>
          <w:bCs/>
        </w:rPr>
        <w:t>and</w:t>
      </w:r>
      <w:r>
        <w:rPr>
          <w:bCs/>
        </w:rPr>
        <w:t xml:space="preserve"> prioritize </w:t>
      </w:r>
      <w:r w:rsidR="0020037F">
        <w:rPr>
          <w:bCs/>
        </w:rPr>
        <w:t>it</w:t>
      </w:r>
      <w:r>
        <w:rPr>
          <w:bCs/>
        </w:rPr>
        <w:t xml:space="preserve"> for Riverton, Herriman, and Millcreek for next year. Wendy seconded the motion. All in favor, none opposed. Motion passed.</w:t>
      </w:r>
    </w:p>
    <w:tbl>
      <w:tblPr>
        <w:tblW w:w="6629" w:type="dxa"/>
        <w:tblInd w:w="1902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498"/>
        <w:gridCol w:w="2384"/>
        <w:gridCol w:w="1747"/>
      </w:tblGrid>
      <w:tr w:rsidR="0007124D" w14:paraId="7D79E8DE" w14:textId="77777777" w:rsidTr="00F4350D">
        <w:trPr>
          <w:trHeight w:val="289"/>
        </w:trPr>
        <w:tc>
          <w:tcPr>
            <w:tcW w:w="662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FC372" w14:textId="1F08A7E5" w:rsidR="0007124D" w:rsidRDefault="00F4350D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bCs/>
              </w:rPr>
              <w:t xml:space="preserve"> </w:t>
            </w:r>
            <w:r w:rsidR="0007124D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TOTAL URBAN COUNTY REQUESTS</w:t>
            </w:r>
          </w:p>
        </w:tc>
      </w:tr>
      <w:tr w:rsidR="0007124D" w14:paraId="74614C64" w14:textId="77777777" w:rsidTr="00F4350D">
        <w:trPr>
          <w:trHeight w:val="243"/>
        </w:trPr>
        <w:tc>
          <w:tcPr>
            <w:tcW w:w="662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78189" w14:textId="77777777" w:rsidR="0007124D" w:rsidRDefault="0007124D">
            <w:pPr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Total Amount Available: $1,000,000</w:t>
            </w:r>
          </w:p>
        </w:tc>
      </w:tr>
      <w:tr w:rsidR="0007124D" w14:paraId="2590CFBC" w14:textId="77777777" w:rsidTr="00F4350D">
        <w:trPr>
          <w:trHeight w:val="230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BCA08C" w14:textId="77777777" w:rsidR="0007124D" w:rsidRDefault="0007124D">
            <w:pPr>
              <w:rPr>
                <w:rFonts w:ascii="Calibri" w:hAnsi="Calibri" w:cs="Calibri"/>
                <w:i/>
                <w:iCs/>
                <w:color w:val="000000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7FD65" w14:textId="77777777" w:rsidR="0007124D" w:rsidRDefault="0007124D">
            <w:pPr>
              <w:rPr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0B9B2" w14:textId="77777777" w:rsidR="0007124D" w:rsidRDefault="0007124D">
            <w:pPr>
              <w:rPr>
                <w:sz w:val="20"/>
                <w:szCs w:val="20"/>
              </w:rPr>
            </w:pPr>
          </w:p>
        </w:tc>
      </w:tr>
      <w:tr w:rsidR="0007124D" w14:paraId="4D316FA4" w14:textId="77777777" w:rsidTr="00F4350D">
        <w:trPr>
          <w:trHeight w:val="243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7E329E" w14:textId="77777777" w:rsidR="0007124D" w:rsidRDefault="0007124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City/Project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8B0A3" w14:textId="77777777" w:rsidR="0007124D" w:rsidRDefault="0007124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Requested Amount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64D43DE" w14:textId="77777777" w:rsidR="0007124D" w:rsidRDefault="0007124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Final Amount </w:t>
            </w:r>
          </w:p>
        </w:tc>
      </w:tr>
      <w:tr w:rsidR="0007124D" w14:paraId="2D1BC5EA" w14:textId="77777777" w:rsidTr="00F4350D">
        <w:trPr>
          <w:trHeight w:val="486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94D82B" w14:textId="77777777" w:rsidR="0007124D" w:rsidRDefault="000712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Herriman-Community Center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5D18B" w14:textId="77777777" w:rsidR="0007124D" w:rsidRDefault="000712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$264,000.00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CB4BF4D" w14:textId="77777777" w:rsidR="0007124D" w:rsidRDefault="000712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$182,000.00</w:t>
            </w:r>
          </w:p>
        </w:tc>
      </w:tr>
      <w:tr w:rsidR="0007124D" w14:paraId="13753616" w14:textId="77777777" w:rsidTr="00F4350D">
        <w:trPr>
          <w:trHeight w:val="486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846CCA" w14:textId="77777777" w:rsidR="0007124D" w:rsidRDefault="000712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Holladay-Rental &amp; Security Deposit Assistance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E3F7F" w14:textId="77777777" w:rsidR="0007124D" w:rsidRDefault="000712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$100,000.00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0E6DB3A" w14:textId="77777777" w:rsidR="0007124D" w:rsidRDefault="000712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$100,000.00</w:t>
            </w:r>
          </w:p>
        </w:tc>
      </w:tr>
      <w:tr w:rsidR="0007124D" w14:paraId="663787A9" w14:textId="77777777" w:rsidTr="00F4350D">
        <w:trPr>
          <w:trHeight w:val="486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A8A0B1" w14:textId="77777777" w:rsidR="0007124D" w:rsidRDefault="000712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Midvale-Home Repair Loans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970B4" w14:textId="77777777" w:rsidR="0007124D" w:rsidRDefault="000712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$100,000.00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2D59164" w14:textId="77777777" w:rsidR="0007124D" w:rsidRDefault="000712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$100,000.00</w:t>
            </w:r>
          </w:p>
        </w:tc>
      </w:tr>
      <w:tr w:rsidR="0007124D" w14:paraId="7A020BCF" w14:textId="77777777" w:rsidTr="00F4350D">
        <w:trPr>
          <w:trHeight w:val="486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5C5288" w14:textId="77777777" w:rsidR="0007124D" w:rsidRDefault="000712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Millcreek- Jordan River Adventure Trail Path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71A14" w14:textId="77777777" w:rsidR="0007124D" w:rsidRDefault="000712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$227,000.00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A102FAF" w14:textId="77777777" w:rsidR="0007124D" w:rsidRDefault="000712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$0.00</w:t>
            </w:r>
          </w:p>
        </w:tc>
      </w:tr>
      <w:tr w:rsidR="0007124D" w14:paraId="49061322" w14:textId="77777777" w:rsidTr="00F4350D">
        <w:trPr>
          <w:trHeight w:val="243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8C1017" w14:textId="77777777" w:rsidR="0007124D" w:rsidRDefault="000712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Riverton- ADA Ramps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220FE" w14:textId="77777777" w:rsidR="0007124D" w:rsidRDefault="000712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$238,125.00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4C8738E" w14:textId="77777777" w:rsidR="0007124D" w:rsidRDefault="000712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$119,062.50</w:t>
            </w:r>
          </w:p>
        </w:tc>
      </w:tr>
      <w:tr w:rsidR="0007124D" w14:paraId="6036C337" w14:textId="77777777" w:rsidTr="00F4350D">
        <w:trPr>
          <w:trHeight w:val="243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18E5A2" w14:textId="77777777" w:rsidR="0007124D" w:rsidRDefault="000712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Riverton- Boiler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E2902" w14:textId="77777777" w:rsidR="0007124D" w:rsidRDefault="000712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$130,000.00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4E7EB32" w14:textId="77777777" w:rsidR="0007124D" w:rsidRDefault="000712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$130,000.00</w:t>
            </w:r>
          </w:p>
        </w:tc>
      </w:tr>
      <w:tr w:rsidR="0007124D" w14:paraId="61AA3EA9" w14:textId="77777777" w:rsidTr="00F4350D">
        <w:trPr>
          <w:trHeight w:val="730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EBFDF5" w14:textId="77777777" w:rsidR="0007124D" w:rsidRDefault="000712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South Salt Lake- Homeowner Partnership Program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A65D7" w14:textId="77777777" w:rsidR="0007124D" w:rsidRDefault="000712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$425,000.00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1A1A7AB" w14:textId="77777777" w:rsidR="0007124D" w:rsidRDefault="000712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$368,937.50</w:t>
            </w:r>
          </w:p>
        </w:tc>
      </w:tr>
      <w:tr w:rsidR="0007124D" w14:paraId="62F4A581" w14:textId="77777777" w:rsidTr="00F4350D">
        <w:trPr>
          <w:trHeight w:val="243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32B6D4" w14:textId="77777777" w:rsidR="0007124D" w:rsidRDefault="0007124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CD043" w14:textId="77777777" w:rsidR="0007124D" w:rsidRDefault="0007124D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$1,484,125.00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1EE6DBB" w14:textId="77777777" w:rsidR="0007124D" w:rsidRDefault="0007124D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$1,000,000.00</w:t>
            </w:r>
          </w:p>
        </w:tc>
      </w:tr>
      <w:tr w:rsidR="00F4350D" w14:paraId="4758D1A3" w14:textId="77777777" w:rsidTr="00F4350D">
        <w:trPr>
          <w:gridAfter w:val="1"/>
          <w:wAfter w:w="1747" w:type="dxa"/>
          <w:trHeight w:val="243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7E2864" w14:textId="77777777" w:rsidR="00F4350D" w:rsidRDefault="00F4350D" w:rsidP="006D3BD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E07F10" w14:textId="2A1DB6A3" w:rsidR="00F4350D" w:rsidRDefault="00F4350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7124D" w14:paraId="372BAE41" w14:textId="77777777" w:rsidTr="00F4350D">
        <w:trPr>
          <w:trHeight w:val="243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6F3375" w14:textId="77777777" w:rsidR="0007124D" w:rsidRDefault="0007124D">
            <w:pPr>
              <w:rPr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15CFCC" w14:textId="50F458C4" w:rsidR="0007124D" w:rsidRDefault="0007124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D172BE" w14:textId="77777777" w:rsidR="0007124D" w:rsidRDefault="0007124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7124D" w14:paraId="79A25D2B" w14:textId="77777777" w:rsidTr="00F4350D">
        <w:trPr>
          <w:trHeight w:val="243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C8B52D" w14:textId="77777777" w:rsidR="0007124D" w:rsidRDefault="0007124D">
            <w:pPr>
              <w:rPr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DB56B7" w14:textId="48FE30F8" w:rsidR="0007124D" w:rsidRDefault="0007124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9A7C61" w14:textId="77777777" w:rsidR="0007124D" w:rsidRDefault="0007124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14:paraId="0D084961" w14:textId="08459309" w:rsidR="00297C79" w:rsidRPr="00297C79" w:rsidRDefault="00297C79" w:rsidP="00297C79">
      <w:pPr>
        <w:pStyle w:val="ListParagraph"/>
        <w:numPr>
          <w:ilvl w:val="0"/>
          <w:numId w:val="25"/>
        </w:numPr>
        <w:rPr>
          <w:bCs/>
        </w:rPr>
      </w:pPr>
      <w:r>
        <w:rPr>
          <w:bCs/>
        </w:rPr>
        <w:t>Next Steps</w:t>
      </w:r>
    </w:p>
    <w:p w14:paraId="611CFA19" w14:textId="624B1EC0" w:rsidR="00E25678" w:rsidRDefault="00DD4CA7" w:rsidP="00DD4CA7">
      <w:pPr>
        <w:pStyle w:val="ListParagraph"/>
        <w:numPr>
          <w:ilvl w:val="0"/>
          <w:numId w:val="26"/>
        </w:numPr>
        <w:rPr>
          <w:bCs/>
        </w:rPr>
      </w:pPr>
      <w:r w:rsidRPr="00DD4CA7">
        <w:rPr>
          <w:bCs/>
        </w:rPr>
        <w:t xml:space="preserve">March </w:t>
      </w:r>
      <w:r>
        <w:rPr>
          <w:bCs/>
        </w:rPr>
        <w:t>11</w:t>
      </w:r>
      <w:r w:rsidRPr="00DD4CA7">
        <w:rPr>
          <w:bCs/>
          <w:vertAlign w:val="superscript"/>
        </w:rPr>
        <w:t>th</w:t>
      </w:r>
      <w:r>
        <w:rPr>
          <w:bCs/>
        </w:rPr>
        <w:t>: Citizen Advisory Committee (CAC) makes final recommendations for remaining CDBG funds ($915,000.00)</w:t>
      </w:r>
    </w:p>
    <w:p w14:paraId="274B575A" w14:textId="360B1860" w:rsidR="00DD4CA7" w:rsidRDefault="00DD4CA7" w:rsidP="00DD4CA7">
      <w:pPr>
        <w:pStyle w:val="ListParagraph"/>
        <w:numPr>
          <w:ilvl w:val="0"/>
          <w:numId w:val="26"/>
        </w:numPr>
        <w:rPr>
          <w:bCs/>
        </w:rPr>
      </w:pPr>
      <w:r>
        <w:rPr>
          <w:bCs/>
        </w:rPr>
        <w:t>March 16</w:t>
      </w:r>
      <w:r w:rsidRPr="00DD4CA7">
        <w:rPr>
          <w:bCs/>
          <w:vertAlign w:val="superscript"/>
        </w:rPr>
        <w:t>th</w:t>
      </w:r>
      <w:r>
        <w:rPr>
          <w:bCs/>
        </w:rPr>
        <w:t>: CAC Recommendations announced publicly, begin 30-day public comment period</w:t>
      </w:r>
    </w:p>
    <w:p w14:paraId="5D533564" w14:textId="77777777" w:rsidR="00DD4CA7" w:rsidRDefault="00DD4CA7" w:rsidP="00DD4CA7">
      <w:pPr>
        <w:pStyle w:val="ListParagraph"/>
        <w:numPr>
          <w:ilvl w:val="0"/>
          <w:numId w:val="26"/>
        </w:numPr>
        <w:rPr>
          <w:bCs/>
        </w:rPr>
      </w:pPr>
      <w:r>
        <w:rPr>
          <w:bCs/>
        </w:rPr>
        <w:t>April 2</w:t>
      </w:r>
      <w:r w:rsidRPr="00DD4CA7">
        <w:rPr>
          <w:bCs/>
          <w:vertAlign w:val="superscript"/>
        </w:rPr>
        <w:t>nd</w:t>
      </w:r>
      <w:r>
        <w:rPr>
          <w:bCs/>
        </w:rPr>
        <w:t>: Public Hearing</w:t>
      </w:r>
    </w:p>
    <w:p w14:paraId="2C5E539F" w14:textId="7FEB4C6A" w:rsidR="00DD4CA7" w:rsidRDefault="00DD4CA7" w:rsidP="00DD4CA7">
      <w:pPr>
        <w:pStyle w:val="ListParagraph"/>
        <w:numPr>
          <w:ilvl w:val="0"/>
          <w:numId w:val="26"/>
        </w:numPr>
        <w:rPr>
          <w:bCs/>
        </w:rPr>
      </w:pPr>
      <w:r>
        <w:rPr>
          <w:bCs/>
        </w:rPr>
        <w:t>April 15</w:t>
      </w:r>
      <w:r w:rsidRPr="00DD4CA7">
        <w:rPr>
          <w:bCs/>
          <w:vertAlign w:val="superscript"/>
        </w:rPr>
        <w:t>th</w:t>
      </w:r>
      <w:r>
        <w:rPr>
          <w:bCs/>
        </w:rPr>
        <w:t xml:space="preserve">: End of 30-day public comment period </w:t>
      </w:r>
    </w:p>
    <w:p w14:paraId="17F32A8A" w14:textId="38FEBE41" w:rsidR="00DD4CA7" w:rsidRPr="00DD4CA7" w:rsidRDefault="00DD4CA7" w:rsidP="00DD4CA7">
      <w:pPr>
        <w:pStyle w:val="ListParagraph"/>
        <w:numPr>
          <w:ilvl w:val="0"/>
          <w:numId w:val="26"/>
        </w:numPr>
        <w:rPr>
          <w:b/>
        </w:rPr>
      </w:pPr>
      <w:r w:rsidRPr="00DD4CA7">
        <w:rPr>
          <w:b/>
        </w:rPr>
        <w:t>Week of April 20</w:t>
      </w:r>
      <w:r w:rsidRPr="00DD4CA7">
        <w:rPr>
          <w:b/>
          <w:vertAlign w:val="superscript"/>
        </w:rPr>
        <w:t>th</w:t>
      </w:r>
      <w:r w:rsidRPr="00DD4CA7">
        <w:rPr>
          <w:b/>
        </w:rPr>
        <w:t>: Urban County Final Approval</w:t>
      </w:r>
    </w:p>
    <w:p w14:paraId="5D82854A" w14:textId="26D800AD" w:rsidR="00DD4CA7" w:rsidRDefault="00DD4CA7" w:rsidP="00DD4CA7">
      <w:pPr>
        <w:pStyle w:val="ListParagraph"/>
        <w:numPr>
          <w:ilvl w:val="1"/>
          <w:numId w:val="26"/>
        </w:numPr>
        <w:rPr>
          <w:b/>
          <w:u w:val="single"/>
        </w:rPr>
      </w:pPr>
      <w:r w:rsidRPr="00DD4CA7">
        <w:rPr>
          <w:b/>
          <w:u w:val="single"/>
        </w:rPr>
        <w:t>Schedule date/time</w:t>
      </w:r>
    </w:p>
    <w:p w14:paraId="4E5E0A0C" w14:textId="77777777" w:rsidR="00F4350D" w:rsidRPr="00F4350D" w:rsidRDefault="00F4350D" w:rsidP="00F4350D">
      <w:pPr>
        <w:ind w:left="2520"/>
        <w:rPr>
          <w:b/>
          <w:u w:val="single"/>
        </w:rPr>
      </w:pPr>
    </w:p>
    <w:p w14:paraId="7D73BBDE" w14:textId="1353404D" w:rsidR="002520B4" w:rsidRPr="002520B4" w:rsidRDefault="002520B4" w:rsidP="002520B4">
      <w:pPr>
        <w:pStyle w:val="ListParagraph"/>
        <w:numPr>
          <w:ilvl w:val="0"/>
          <w:numId w:val="25"/>
        </w:numPr>
        <w:rPr>
          <w:bCs/>
        </w:rPr>
      </w:pPr>
      <w:r>
        <w:rPr>
          <w:bCs/>
        </w:rPr>
        <w:t>Tallie said the CAC will make recommendations on March 11</w:t>
      </w:r>
      <w:r w:rsidRPr="002520B4">
        <w:rPr>
          <w:bCs/>
          <w:vertAlign w:val="superscript"/>
        </w:rPr>
        <w:t>th</w:t>
      </w:r>
      <w:r>
        <w:rPr>
          <w:bCs/>
        </w:rPr>
        <w:t>. The public hearing will be on April 2</w:t>
      </w:r>
      <w:r w:rsidRPr="002520B4">
        <w:rPr>
          <w:bCs/>
          <w:vertAlign w:val="superscript"/>
        </w:rPr>
        <w:t>nd</w:t>
      </w:r>
      <w:r>
        <w:rPr>
          <w:bCs/>
        </w:rPr>
        <w:t>. April 1</w:t>
      </w:r>
      <w:r w:rsidR="00BA06F8">
        <w:rPr>
          <w:bCs/>
        </w:rPr>
        <w:t>6</w:t>
      </w:r>
      <w:r w:rsidRPr="002520B4">
        <w:rPr>
          <w:bCs/>
          <w:vertAlign w:val="superscript"/>
        </w:rPr>
        <w:t>th</w:t>
      </w:r>
      <w:r>
        <w:rPr>
          <w:bCs/>
        </w:rPr>
        <w:t xml:space="preserve"> will be the end of the 30-day comment period. The Urban County will reconvene on April 20</w:t>
      </w:r>
      <w:r w:rsidRPr="002520B4">
        <w:rPr>
          <w:bCs/>
          <w:vertAlign w:val="superscript"/>
        </w:rPr>
        <w:t>th</w:t>
      </w:r>
      <w:r>
        <w:rPr>
          <w:bCs/>
        </w:rPr>
        <w:t xml:space="preserve"> for </w:t>
      </w:r>
      <w:r w:rsidR="00F4350D">
        <w:rPr>
          <w:bCs/>
        </w:rPr>
        <w:t>final</w:t>
      </w:r>
      <w:r>
        <w:rPr>
          <w:bCs/>
        </w:rPr>
        <w:t xml:space="preserve"> approval.</w:t>
      </w:r>
    </w:p>
    <w:p w14:paraId="3BC875CB" w14:textId="77777777" w:rsidR="00D47FD8" w:rsidRDefault="00D47FD8" w:rsidP="009D596F">
      <w:pPr>
        <w:rPr>
          <w:b/>
        </w:rPr>
      </w:pPr>
    </w:p>
    <w:p w14:paraId="46E4FD74" w14:textId="723E2BBB" w:rsidR="00910276" w:rsidRDefault="00263D35" w:rsidP="006E508F">
      <w:pPr>
        <w:rPr>
          <w:b/>
          <w:sz w:val="22"/>
          <w:szCs w:val="22"/>
        </w:rPr>
      </w:pPr>
      <w:r>
        <w:rPr>
          <w:b/>
          <w:sz w:val="22"/>
          <w:szCs w:val="22"/>
        </w:rPr>
        <w:t>The meeting</w:t>
      </w:r>
      <w:r w:rsidR="00FB6681" w:rsidRPr="007E1D27">
        <w:rPr>
          <w:b/>
          <w:sz w:val="22"/>
          <w:szCs w:val="22"/>
        </w:rPr>
        <w:t xml:space="preserve"> was adjourned</w:t>
      </w:r>
      <w:r w:rsidR="00AC3634" w:rsidRPr="007E1D27">
        <w:rPr>
          <w:b/>
          <w:sz w:val="22"/>
          <w:szCs w:val="22"/>
        </w:rPr>
        <w:t xml:space="preserve"> at </w:t>
      </w:r>
      <w:r w:rsidR="0051449E">
        <w:rPr>
          <w:b/>
          <w:sz w:val="22"/>
          <w:szCs w:val="22"/>
        </w:rPr>
        <w:t>1:</w:t>
      </w:r>
      <w:r w:rsidR="00ED56E7">
        <w:rPr>
          <w:b/>
          <w:sz w:val="22"/>
          <w:szCs w:val="22"/>
        </w:rPr>
        <w:t>53</w:t>
      </w:r>
      <w:r w:rsidR="0051449E">
        <w:rPr>
          <w:b/>
          <w:sz w:val="22"/>
          <w:szCs w:val="22"/>
        </w:rPr>
        <w:t xml:space="preserve"> pm</w:t>
      </w:r>
    </w:p>
    <w:p w14:paraId="6B63F926" w14:textId="77777777" w:rsidR="006E508F" w:rsidRPr="00876F24" w:rsidRDefault="006E508F" w:rsidP="006E508F">
      <w:pPr>
        <w:ind w:left="720"/>
        <w:rPr>
          <w:bCs/>
          <w:sz w:val="22"/>
          <w:szCs w:val="22"/>
        </w:rPr>
      </w:pPr>
    </w:p>
    <w:p w14:paraId="21AE0D46" w14:textId="25693560" w:rsidR="005764A0" w:rsidRDefault="00263D35" w:rsidP="006E508F">
      <w:pPr>
        <w:rPr>
          <w:b/>
          <w:sz w:val="22"/>
          <w:szCs w:val="22"/>
        </w:rPr>
      </w:pPr>
      <w:r>
        <w:rPr>
          <w:b/>
          <w:sz w:val="22"/>
          <w:szCs w:val="22"/>
        </w:rPr>
        <w:t>The next</w:t>
      </w:r>
      <w:r w:rsidR="005764A0" w:rsidRPr="007E1D27">
        <w:rPr>
          <w:b/>
          <w:sz w:val="22"/>
          <w:szCs w:val="22"/>
        </w:rPr>
        <w:t xml:space="preserve"> meeting will be </w:t>
      </w:r>
      <w:r w:rsidR="007C1F06">
        <w:rPr>
          <w:b/>
          <w:sz w:val="22"/>
          <w:szCs w:val="22"/>
        </w:rPr>
        <w:t>on April 20</w:t>
      </w:r>
      <w:r w:rsidR="007C1F06" w:rsidRPr="007C1F06">
        <w:rPr>
          <w:b/>
          <w:sz w:val="22"/>
          <w:szCs w:val="22"/>
          <w:vertAlign w:val="superscript"/>
        </w:rPr>
        <w:t>th</w:t>
      </w:r>
      <w:r w:rsidR="007C1F06">
        <w:rPr>
          <w:b/>
          <w:sz w:val="22"/>
          <w:szCs w:val="22"/>
        </w:rPr>
        <w:t xml:space="preserve"> at </w:t>
      </w:r>
      <w:r w:rsidR="0030247C">
        <w:rPr>
          <w:b/>
          <w:sz w:val="22"/>
          <w:szCs w:val="22"/>
        </w:rPr>
        <w:t>1 pm</w:t>
      </w:r>
      <w:r w:rsidR="00E72024" w:rsidRPr="007E1D27">
        <w:rPr>
          <w:b/>
          <w:sz w:val="22"/>
          <w:szCs w:val="22"/>
        </w:rPr>
        <w:t>.</w:t>
      </w:r>
    </w:p>
    <w:p w14:paraId="1A0D6A09" w14:textId="77777777" w:rsidR="00263D35" w:rsidRPr="00D70F33" w:rsidRDefault="00263D35" w:rsidP="006E508F">
      <w:pPr>
        <w:rPr>
          <w:b/>
          <w:sz w:val="22"/>
          <w:szCs w:val="22"/>
        </w:rPr>
      </w:pPr>
    </w:p>
    <w:p w14:paraId="07A25DA2" w14:textId="11A049DF" w:rsidR="00AA1F64" w:rsidRPr="00D70F33" w:rsidRDefault="00AA1F64" w:rsidP="006E508F">
      <w:pPr>
        <w:ind w:left="720"/>
        <w:rPr>
          <w:sz w:val="22"/>
          <w:szCs w:val="22"/>
        </w:rPr>
      </w:pPr>
    </w:p>
    <w:sectPr w:rsidR="00AA1F64" w:rsidRPr="00D70F33" w:rsidSect="007D213D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D839F" w14:textId="77777777" w:rsidR="00980FE2" w:rsidRDefault="00980FE2">
      <w:r>
        <w:separator/>
      </w:r>
    </w:p>
  </w:endnote>
  <w:endnote w:type="continuationSeparator" w:id="0">
    <w:p w14:paraId="0113088D" w14:textId="77777777" w:rsidR="00980FE2" w:rsidRDefault="00980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C5FF0" w14:textId="68CB1623" w:rsidR="001407F4" w:rsidRPr="00D8754A" w:rsidRDefault="001407F4" w:rsidP="00AE0839">
    <w:pPr>
      <w:pStyle w:val="Footer"/>
      <w:tabs>
        <w:tab w:val="clear" w:pos="8640"/>
        <w:tab w:val="right" w:pos="9360"/>
      </w:tabs>
      <w:rPr>
        <w:rFonts w:ascii="Calibri" w:hAnsi="Calibri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5D949" w14:textId="77777777" w:rsidR="00980FE2" w:rsidRDefault="00980FE2">
      <w:r>
        <w:separator/>
      </w:r>
    </w:p>
  </w:footnote>
  <w:footnote w:type="continuationSeparator" w:id="0">
    <w:p w14:paraId="2B22BE5F" w14:textId="77777777" w:rsidR="00980FE2" w:rsidRDefault="00980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CD171" w14:textId="15A5BB9A" w:rsidR="00B82363" w:rsidRDefault="00000000">
    <w:pPr>
      <w:pStyle w:val="Header"/>
    </w:pPr>
    <w:r>
      <w:rPr>
        <w:noProof/>
      </w:rPr>
      <w:pict w14:anchorId="708767C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6525032" o:spid="_x0000_s1026" type="#_x0000_t136" style="position:absolute;margin-left:0;margin-top:0;width:565.55pt;height:94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NOT APPROV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38FCB" w14:textId="77777777" w:rsidR="00910276" w:rsidRDefault="00910276" w:rsidP="00910276">
    <w:pPr>
      <w:jc w:val="center"/>
      <w:rPr>
        <w:rFonts w:ascii="Calibri" w:hAnsi="Calibri"/>
        <w:sz w:val="22"/>
        <w:szCs w:val="22"/>
      </w:rPr>
    </w:pPr>
    <w:r w:rsidRPr="006C7551">
      <w:rPr>
        <w:rFonts w:ascii="Calibri" w:hAnsi="Calibri"/>
        <w:sz w:val="22"/>
        <w:szCs w:val="22"/>
      </w:rPr>
      <w:t>Salt Lake County</w:t>
    </w:r>
    <w:r>
      <w:rPr>
        <w:rFonts w:ascii="Calibri" w:hAnsi="Calibri"/>
        <w:sz w:val="22"/>
        <w:szCs w:val="22"/>
      </w:rPr>
      <w:t xml:space="preserve"> Office of Regional Development</w:t>
    </w:r>
  </w:p>
  <w:p w14:paraId="39E03BCF" w14:textId="1D5DD5A3" w:rsidR="00910276" w:rsidRDefault="00910276" w:rsidP="00910276">
    <w:pPr>
      <w:jc w:val="center"/>
      <w:rPr>
        <w:rFonts w:ascii="Calibri" w:hAnsi="Calibri"/>
        <w:sz w:val="22"/>
        <w:szCs w:val="22"/>
      </w:rPr>
    </w:pPr>
    <w:r w:rsidRPr="007F3EDC">
      <w:rPr>
        <w:rFonts w:ascii="Calibri" w:hAnsi="Calibri"/>
        <w:sz w:val="22"/>
        <w:szCs w:val="22"/>
      </w:rPr>
      <w:t>County Government Center</w:t>
    </w:r>
    <w:r>
      <w:rPr>
        <w:rFonts w:ascii="Calibri" w:hAnsi="Calibri"/>
        <w:sz w:val="22"/>
        <w:szCs w:val="22"/>
      </w:rPr>
      <w:t>, 2001 South State Street,</w:t>
    </w:r>
    <w:r w:rsidR="0051449E">
      <w:rPr>
        <w:rFonts w:ascii="Calibri" w:hAnsi="Calibri"/>
        <w:sz w:val="22"/>
        <w:szCs w:val="22"/>
      </w:rPr>
      <w:t xml:space="preserve"> North Building N</w:t>
    </w:r>
    <w:r w:rsidR="00857C4E">
      <w:rPr>
        <w:rFonts w:ascii="Calibri" w:hAnsi="Calibri"/>
        <w:sz w:val="22"/>
        <w:szCs w:val="22"/>
      </w:rPr>
      <w:t>3-617 Parley’s</w:t>
    </w:r>
  </w:p>
  <w:p w14:paraId="6A633E9A" w14:textId="77777777" w:rsidR="00910276" w:rsidRPr="006C7551" w:rsidRDefault="00910276" w:rsidP="00910276">
    <w:pPr>
      <w:jc w:val="center"/>
      <w:rPr>
        <w:rFonts w:ascii="Calibri" w:hAnsi="Calibri"/>
        <w:sz w:val="16"/>
        <w:szCs w:val="16"/>
      </w:rPr>
    </w:pPr>
  </w:p>
  <w:p w14:paraId="35900EDE" w14:textId="77777777" w:rsidR="0051449E" w:rsidRDefault="0051449E" w:rsidP="0051449E">
    <w:pPr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>Urban County Discussion</w:t>
    </w:r>
  </w:p>
  <w:p w14:paraId="2AE9B35D" w14:textId="34803578" w:rsidR="00B82363" w:rsidRDefault="00000000" w:rsidP="0051449E">
    <w:pPr>
      <w:jc w:val="center"/>
    </w:pPr>
    <w:r>
      <w:rPr>
        <w:noProof/>
      </w:rPr>
      <w:pict w14:anchorId="232FBFB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6525033" o:spid="_x0000_s1027" type="#_x0000_t136" style="position:absolute;left:0;text-align:left;margin-left:0;margin-top:0;width:565.55pt;height:94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NOT APPROVE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FEE3A" w14:textId="77E1FF14" w:rsidR="00B82363" w:rsidRDefault="00000000">
    <w:pPr>
      <w:pStyle w:val="Header"/>
    </w:pPr>
    <w:r>
      <w:rPr>
        <w:noProof/>
      </w:rPr>
      <w:pict w14:anchorId="5BD43AD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6525031" o:spid="_x0000_s1025" type="#_x0000_t136" style="position:absolute;margin-left:0;margin-top:0;width:565.55pt;height:94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NOT APPROV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941FD"/>
    <w:multiLevelType w:val="hybridMultilevel"/>
    <w:tmpl w:val="9F18F6EC"/>
    <w:lvl w:ilvl="0" w:tplc="2ACAF420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E34F1"/>
    <w:multiLevelType w:val="hybridMultilevel"/>
    <w:tmpl w:val="597A2D5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59573A2"/>
    <w:multiLevelType w:val="hybridMultilevel"/>
    <w:tmpl w:val="D5082F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7396760"/>
    <w:multiLevelType w:val="hybridMultilevel"/>
    <w:tmpl w:val="A5AEA4F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8440376"/>
    <w:multiLevelType w:val="hybridMultilevel"/>
    <w:tmpl w:val="84D09ED6"/>
    <w:lvl w:ilvl="0" w:tplc="6BC4CAF0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73911"/>
    <w:multiLevelType w:val="hybridMultilevel"/>
    <w:tmpl w:val="07F8FF66"/>
    <w:lvl w:ilvl="0" w:tplc="6BC4CAF0">
      <w:start w:val="1"/>
      <w:numFmt w:val="bullet"/>
      <w:lvlText w:val="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CE17586"/>
    <w:multiLevelType w:val="hybridMultilevel"/>
    <w:tmpl w:val="A8E62B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9B0637A"/>
    <w:multiLevelType w:val="hybridMultilevel"/>
    <w:tmpl w:val="26AC00B8"/>
    <w:lvl w:ilvl="0" w:tplc="6BC4CAF0">
      <w:start w:val="1"/>
      <w:numFmt w:val="bullet"/>
      <w:lvlText w:val="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B7B2370"/>
    <w:multiLevelType w:val="hybridMultilevel"/>
    <w:tmpl w:val="82DE21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36145D"/>
    <w:multiLevelType w:val="hybridMultilevel"/>
    <w:tmpl w:val="3B36ED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C32340"/>
    <w:multiLevelType w:val="hybridMultilevel"/>
    <w:tmpl w:val="2AE271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74A26EB"/>
    <w:multiLevelType w:val="hybridMultilevel"/>
    <w:tmpl w:val="79BCC5D2"/>
    <w:lvl w:ilvl="0" w:tplc="C7B869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B65278"/>
    <w:multiLevelType w:val="hybridMultilevel"/>
    <w:tmpl w:val="90D84B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C6A3A09"/>
    <w:multiLevelType w:val="hybridMultilevel"/>
    <w:tmpl w:val="775C6D50"/>
    <w:lvl w:ilvl="0" w:tplc="6BC4CAF0">
      <w:start w:val="1"/>
      <w:numFmt w:val="bullet"/>
      <w:lvlText w:val="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67C11C6"/>
    <w:multiLevelType w:val="hybridMultilevel"/>
    <w:tmpl w:val="3A5E8422"/>
    <w:lvl w:ilvl="0" w:tplc="2926F446">
      <w:start w:val="20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942DD2"/>
    <w:multiLevelType w:val="hybridMultilevel"/>
    <w:tmpl w:val="37B206FA"/>
    <w:lvl w:ilvl="0" w:tplc="6BC4CAF0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0A6D77"/>
    <w:multiLevelType w:val="hybridMultilevel"/>
    <w:tmpl w:val="900468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8DA61D6"/>
    <w:multiLevelType w:val="hybridMultilevel"/>
    <w:tmpl w:val="4AD8C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0D079A"/>
    <w:multiLevelType w:val="hybridMultilevel"/>
    <w:tmpl w:val="E3DE60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B7152E0"/>
    <w:multiLevelType w:val="hybridMultilevel"/>
    <w:tmpl w:val="402C5292"/>
    <w:lvl w:ilvl="0" w:tplc="6BC4CAF0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142003"/>
    <w:multiLevelType w:val="hybridMultilevel"/>
    <w:tmpl w:val="951E3EE4"/>
    <w:lvl w:ilvl="0" w:tplc="C38C6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FF526C"/>
    <w:multiLevelType w:val="hybridMultilevel"/>
    <w:tmpl w:val="843452D6"/>
    <w:lvl w:ilvl="0" w:tplc="C38C6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174A3C"/>
    <w:multiLevelType w:val="hybridMultilevel"/>
    <w:tmpl w:val="50A2B3F2"/>
    <w:lvl w:ilvl="0" w:tplc="C38C6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FA0383"/>
    <w:multiLevelType w:val="hybridMultilevel"/>
    <w:tmpl w:val="EF9E4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521B9C"/>
    <w:multiLevelType w:val="hybridMultilevel"/>
    <w:tmpl w:val="AC7CBDCE"/>
    <w:lvl w:ilvl="0" w:tplc="C38C6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AF674D"/>
    <w:multiLevelType w:val="hybridMultilevel"/>
    <w:tmpl w:val="6242E2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336421">
    <w:abstractNumId w:val="8"/>
  </w:num>
  <w:num w:numId="2" w16cid:durableId="896941006">
    <w:abstractNumId w:val="21"/>
  </w:num>
  <w:num w:numId="3" w16cid:durableId="813989760">
    <w:abstractNumId w:val="19"/>
  </w:num>
  <w:num w:numId="4" w16cid:durableId="235437642">
    <w:abstractNumId w:val="20"/>
  </w:num>
  <w:num w:numId="5" w16cid:durableId="502286493">
    <w:abstractNumId w:val="15"/>
  </w:num>
  <w:num w:numId="6" w16cid:durableId="297029277">
    <w:abstractNumId w:val="7"/>
  </w:num>
  <w:num w:numId="7" w16cid:durableId="699429245">
    <w:abstractNumId w:val="5"/>
  </w:num>
  <w:num w:numId="8" w16cid:durableId="1342314896">
    <w:abstractNumId w:val="13"/>
  </w:num>
  <w:num w:numId="9" w16cid:durableId="279536738">
    <w:abstractNumId w:val="22"/>
  </w:num>
  <w:num w:numId="10" w16cid:durableId="1009985636">
    <w:abstractNumId w:val="24"/>
  </w:num>
  <w:num w:numId="11" w16cid:durableId="807665953">
    <w:abstractNumId w:val="17"/>
  </w:num>
  <w:num w:numId="12" w16cid:durableId="1563059886">
    <w:abstractNumId w:val="25"/>
  </w:num>
  <w:num w:numId="13" w16cid:durableId="395588189">
    <w:abstractNumId w:val="9"/>
  </w:num>
  <w:num w:numId="14" w16cid:durableId="2082024498">
    <w:abstractNumId w:val="4"/>
  </w:num>
  <w:num w:numId="15" w16cid:durableId="389153805">
    <w:abstractNumId w:val="0"/>
  </w:num>
  <w:num w:numId="16" w16cid:durableId="1608194600">
    <w:abstractNumId w:val="14"/>
  </w:num>
  <w:num w:numId="17" w16cid:durableId="1400399856">
    <w:abstractNumId w:val="11"/>
  </w:num>
  <w:num w:numId="18" w16cid:durableId="1329089820">
    <w:abstractNumId w:val="23"/>
  </w:num>
  <w:num w:numId="19" w16cid:durableId="1597209466">
    <w:abstractNumId w:val="18"/>
  </w:num>
  <w:num w:numId="20" w16cid:durableId="719019685">
    <w:abstractNumId w:val="2"/>
  </w:num>
  <w:num w:numId="21" w16cid:durableId="1704095905">
    <w:abstractNumId w:val="1"/>
  </w:num>
  <w:num w:numId="22" w16cid:durableId="687561171">
    <w:abstractNumId w:val="6"/>
  </w:num>
  <w:num w:numId="23" w16cid:durableId="44572565">
    <w:abstractNumId w:val="10"/>
  </w:num>
  <w:num w:numId="24" w16cid:durableId="1125123177">
    <w:abstractNumId w:val="16"/>
  </w:num>
  <w:num w:numId="25" w16cid:durableId="691301124">
    <w:abstractNumId w:val="12"/>
  </w:num>
  <w:num w:numId="26" w16cid:durableId="8078923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33B"/>
    <w:rsid w:val="00000F49"/>
    <w:rsid w:val="0000225A"/>
    <w:rsid w:val="00004962"/>
    <w:rsid w:val="000061BD"/>
    <w:rsid w:val="00006CF3"/>
    <w:rsid w:val="00011E61"/>
    <w:rsid w:val="00015D09"/>
    <w:rsid w:val="000213DF"/>
    <w:rsid w:val="00022DD6"/>
    <w:rsid w:val="000241CE"/>
    <w:rsid w:val="000315CD"/>
    <w:rsid w:val="000326BF"/>
    <w:rsid w:val="00034E22"/>
    <w:rsid w:val="000375C6"/>
    <w:rsid w:val="000409F2"/>
    <w:rsid w:val="00041D6C"/>
    <w:rsid w:val="00042956"/>
    <w:rsid w:val="00044E61"/>
    <w:rsid w:val="00045FBD"/>
    <w:rsid w:val="00046F0E"/>
    <w:rsid w:val="00047C97"/>
    <w:rsid w:val="0005385A"/>
    <w:rsid w:val="0006392C"/>
    <w:rsid w:val="000664DC"/>
    <w:rsid w:val="00067428"/>
    <w:rsid w:val="00071199"/>
    <w:rsid w:val="0007124D"/>
    <w:rsid w:val="0007128D"/>
    <w:rsid w:val="000730C6"/>
    <w:rsid w:val="00074A01"/>
    <w:rsid w:val="00077ABB"/>
    <w:rsid w:val="00080727"/>
    <w:rsid w:val="00083D04"/>
    <w:rsid w:val="00084ADD"/>
    <w:rsid w:val="000862E8"/>
    <w:rsid w:val="00090207"/>
    <w:rsid w:val="00094BB7"/>
    <w:rsid w:val="0009682B"/>
    <w:rsid w:val="000A1DFA"/>
    <w:rsid w:val="000A2935"/>
    <w:rsid w:val="000A7BC2"/>
    <w:rsid w:val="000B0900"/>
    <w:rsid w:val="000C01A4"/>
    <w:rsid w:val="000C0F16"/>
    <w:rsid w:val="000C1214"/>
    <w:rsid w:val="000C24DD"/>
    <w:rsid w:val="000C2B52"/>
    <w:rsid w:val="000C537D"/>
    <w:rsid w:val="000D1350"/>
    <w:rsid w:val="000D2DFE"/>
    <w:rsid w:val="000D38BB"/>
    <w:rsid w:val="000E16CE"/>
    <w:rsid w:val="000E6612"/>
    <w:rsid w:val="000E7766"/>
    <w:rsid w:val="000F052B"/>
    <w:rsid w:val="000F3FAE"/>
    <w:rsid w:val="000F56FB"/>
    <w:rsid w:val="000F609A"/>
    <w:rsid w:val="00100359"/>
    <w:rsid w:val="00100C8E"/>
    <w:rsid w:val="001016E2"/>
    <w:rsid w:val="0010279E"/>
    <w:rsid w:val="00103CF8"/>
    <w:rsid w:val="00104C58"/>
    <w:rsid w:val="001059F8"/>
    <w:rsid w:val="00105A34"/>
    <w:rsid w:val="00107958"/>
    <w:rsid w:val="00107E87"/>
    <w:rsid w:val="0011066F"/>
    <w:rsid w:val="00112B8D"/>
    <w:rsid w:val="00113982"/>
    <w:rsid w:val="00113E28"/>
    <w:rsid w:val="00121649"/>
    <w:rsid w:val="00122339"/>
    <w:rsid w:val="001230C9"/>
    <w:rsid w:val="0012486B"/>
    <w:rsid w:val="001307A5"/>
    <w:rsid w:val="00133263"/>
    <w:rsid w:val="00133438"/>
    <w:rsid w:val="00134206"/>
    <w:rsid w:val="00136942"/>
    <w:rsid w:val="001376D3"/>
    <w:rsid w:val="001407F4"/>
    <w:rsid w:val="00141352"/>
    <w:rsid w:val="0014207E"/>
    <w:rsid w:val="001437AA"/>
    <w:rsid w:val="0014483B"/>
    <w:rsid w:val="001467F8"/>
    <w:rsid w:val="00146CC4"/>
    <w:rsid w:val="001471BC"/>
    <w:rsid w:val="0015238C"/>
    <w:rsid w:val="00152658"/>
    <w:rsid w:val="00152E06"/>
    <w:rsid w:val="00156EC5"/>
    <w:rsid w:val="00156F00"/>
    <w:rsid w:val="00161DCE"/>
    <w:rsid w:val="00164525"/>
    <w:rsid w:val="00166970"/>
    <w:rsid w:val="0016744E"/>
    <w:rsid w:val="00167C6C"/>
    <w:rsid w:val="0017096E"/>
    <w:rsid w:val="00172231"/>
    <w:rsid w:val="0017568A"/>
    <w:rsid w:val="00183B6A"/>
    <w:rsid w:val="0018471F"/>
    <w:rsid w:val="00187B35"/>
    <w:rsid w:val="001A0ACF"/>
    <w:rsid w:val="001A2B0F"/>
    <w:rsid w:val="001A2F6A"/>
    <w:rsid w:val="001A6A8B"/>
    <w:rsid w:val="001B0A1B"/>
    <w:rsid w:val="001B13F1"/>
    <w:rsid w:val="001B2AC9"/>
    <w:rsid w:val="001B51B9"/>
    <w:rsid w:val="001B732E"/>
    <w:rsid w:val="001C36A9"/>
    <w:rsid w:val="001C72F8"/>
    <w:rsid w:val="001D1B97"/>
    <w:rsid w:val="001D1E05"/>
    <w:rsid w:val="001D3350"/>
    <w:rsid w:val="001D6484"/>
    <w:rsid w:val="001D661D"/>
    <w:rsid w:val="001D75EC"/>
    <w:rsid w:val="001E3688"/>
    <w:rsid w:val="001E6C89"/>
    <w:rsid w:val="001E73B5"/>
    <w:rsid w:val="001F41A4"/>
    <w:rsid w:val="001F5716"/>
    <w:rsid w:val="001F77B8"/>
    <w:rsid w:val="0020037F"/>
    <w:rsid w:val="00200E26"/>
    <w:rsid w:val="00202656"/>
    <w:rsid w:val="0020437A"/>
    <w:rsid w:val="00205926"/>
    <w:rsid w:val="00205FC5"/>
    <w:rsid w:val="0020793D"/>
    <w:rsid w:val="00212701"/>
    <w:rsid w:val="00213D98"/>
    <w:rsid w:val="00234C8C"/>
    <w:rsid w:val="0023609C"/>
    <w:rsid w:val="002502CB"/>
    <w:rsid w:val="00250F02"/>
    <w:rsid w:val="00251C9C"/>
    <w:rsid w:val="002520B4"/>
    <w:rsid w:val="00254884"/>
    <w:rsid w:val="002551F6"/>
    <w:rsid w:val="002564C0"/>
    <w:rsid w:val="00263D35"/>
    <w:rsid w:val="00272166"/>
    <w:rsid w:val="002764F8"/>
    <w:rsid w:val="002770F0"/>
    <w:rsid w:val="002773F8"/>
    <w:rsid w:val="00282BE9"/>
    <w:rsid w:val="00285000"/>
    <w:rsid w:val="00290EB4"/>
    <w:rsid w:val="00291C90"/>
    <w:rsid w:val="00293EC6"/>
    <w:rsid w:val="00294BBF"/>
    <w:rsid w:val="00294E36"/>
    <w:rsid w:val="00297C79"/>
    <w:rsid w:val="002A1854"/>
    <w:rsid w:val="002A2257"/>
    <w:rsid w:val="002A28D3"/>
    <w:rsid w:val="002A28E2"/>
    <w:rsid w:val="002A5A08"/>
    <w:rsid w:val="002A68EA"/>
    <w:rsid w:val="002B0F30"/>
    <w:rsid w:val="002B143B"/>
    <w:rsid w:val="002B473C"/>
    <w:rsid w:val="002B5F45"/>
    <w:rsid w:val="002B616A"/>
    <w:rsid w:val="002B68CF"/>
    <w:rsid w:val="002B794F"/>
    <w:rsid w:val="002C18C2"/>
    <w:rsid w:val="002C66D9"/>
    <w:rsid w:val="002D5CB5"/>
    <w:rsid w:val="002E2948"/>
    <w:rsid w:val="002E29BB"/>
    <w:rsid w:val="002E2F09"/>
    <w:rsid w:val="002E4409"/>
    <w:rsid w:val="002F46E5"/>
    <w:rsid w:val="002F4C71"/>
    <w:rsid w:val="002F6BD2"/>
    <w:rsid w:val="002F7404"/>
    <w:rsid w:val="002F7C4F"/>
    <w:rsid w:val="002F7F37"/>
    <w:rsid w:val="0030247C"/>
    <w:rsid w:val="00310D22"/>
    <w:rsid w:val="00310FD9"/>
    <w:rsid w:val="0031127D"/>
    <w:rsid w:val="003120A7"/>
    <w:rsid w:val="00316514"/>
    <w:rsid w:val="0032100E"/>
    <w:rsid w:val="0032407F"/>
    <w:rsid w:val="003249FE"/>
    <w:rsid w:val="00326EB9"/>
    <w:rsid w:val="0032786F"/>
    <w:rsid w:val="003333ED"/>
    <w:rsid w:val="003425C0"/>
    <w:rsid w:val="0034431D"/>
    <w:rsid w:val="00344E7D"/>
    <w:rsid w:val="00345BB9"/>
    <w:rsid w:val="00345FAA"/>
    <w:rsid w:val="00351AB6"/>
    <w:rsid w:val="00356807"/>
    <w:rsid w:val="003612DE"/>
    <w:rsid w:val="003640D1"/>
    <w:rsid w:val="003666A9"/>
    <w:rsid w:val="003758AF"/>
    <w:rsid w:val="0037672C"/>
    <w:rsid w:val="00377C9D"/>
    <w:rsid w:val="00380529"/>
    <w:rsid w:val="00383115"/>
    <w:rsid w:val="00386328"/>
    <w:rsid w:val="0039632D"/>
    <w:rsid w:val="00396E38"/>
    <w:rsid w:val="003A1A9E"/>
    <w:rsid w:val="003A47E8"/>
    <w:rsid w:val="003A5B75"/>
    <w:rsid w:val="003B09DB"/>
    <w:rsid w:val="003B33D5"/>
    <w:rsid w:val="003B4976"/>
    <w:rsid w:val="003C4E8C"/>
    <w:rsid w:val="003C733B"/>
    <w:rsid w:val="003D2DA8"/>
    <w:rsid w:val="003D42FF"/>
    <w:rsid w:val="003D6E3D"/>
    <w:rsid w:val="003D742F"/>
    <w:rsid w:val="003E48DF"/>
    <w:rsid w:val="003E6AD1"/>
    <w:rsid w:val="003F055C"/>
    <w:rsid w:val="003F2060"/>
    <w:rsid w:val="003F7D8F"/>
    <w:rsid w:val="003F7FEA"/>
    <w:rsid w:val="0040502C"/>
    <w:rsid w:val="00406911"/>
    <w:rsid w:val="00407EC0"/>
    <w:rsid w:val="00410EB8"/>
    <w:rsid w:val="004116EA"/>
    <w:rsid w:val="004153C7"/>
    <w:rsid w:val="00416AD7"/>
    <w:rsid w:val="00420179"/>
    <w:rsid w:val="00420ED2"/>
    <w:rsid w:val="00421A33"/>
    <w:rsid w:val="00421BE2"/>
    <w:rsid w:val="00423451"/>
    <w:rsid w:val="0042370B"/>
    <w:rsid w:val="00423BD8"/>
    <w:rsid w:val="004311BD"/>
    <w:rsid w:val="004418F1"/>
    <w:rsid w:val="00444A67"/>
    <w:rsid w:val="00447279"/>
    <w:rsid w:val="00450697"/>
    <w:rsid w:val="004565FA"/>
    <w:rsid w:val="00457120"/>
    <w:rsid w:val="0045793C"/>
    <w:rsid w:val="00463BE5"/>
    <w:rsid w:val="004657C2"/>
    <w:rsid w:val="00465C53"/>
    <w:rsid w:val="00474169"/>
    <w:rsid w:val="00474E87"/>
    <w:rsid w:val="004756E6"/>
    <w:rsid w:val="00480FA1"/>
    <w:rsid w:val="00484114"/>
    <w:rsid w:val="004877B8"/>
    <w:rsid w:val="00495F85"/>
    <w:rsid w:val="00495F8C"/>
    <w:rsid w:val="0049607D"/>
    <w:rsid w:val="004962CB"/>
    <w:rsid w:val="004A2E6E"/>
    <w:rsid w:val="004A6567"/>
    <w:rsid w:val="004A66EB"/>
    <w:rsid w:val="004A763D"/>
    <w:rsid w:val="004A7F7A"/>
    <w:rsid w:val="004B1827"/>
    <w:rsid w:val="004B27AB"/>
    <w:rsid w:val="004B35E9"/>
    <w:rsid w:val="004B688E"/>
    <w:rsid w:val="004C199C"/>
    <w:rsid w:val="004C283D"/>
    <w:rsid w:val="004C4B9D"/>
    <w:rsid w:val="004C6867"/>
    <w:rsid w:val="004D7E6E"/>
    <w:rsid w:val="004E37BE"/>
    <w:rsid w:val="004E5D82"/>
    <w:rsid w:val="004F0C48"/>
    <w:rsid w:val="004F3124"/>
    <w:rsid w:val="004F6A81"/>
    <w:rsid w:val="005007E7"/>
    <w:rsid w:val="00501F54"/>
    <w:rsid w:val="005024DE"/>
    <w:rsid w:val="0050370C"/>
    <w:rsid w:val="005048B4"/>
    <w:rsid w:val="00507452"/>
    <w:rsid w:val="005140F3"/>
    <w:rsid w:val="0051449E"/>
    <w:rsid w:val="0051531E"/>
    <w:rsid w:val="0051666E"/>
    <w:rsid w:val="005179B0"/>
    <w:rsid w:val="005205B9"/>
    <w:rsid w:val="00521141"/>
    <w:rsid w:val="005259ED"/>
    <w:rsid w:val="00527F1C"/>
    <w:rsid w:val="00534D46"/>
    <w:rsid w:val="0053579C"/>
    <w:rsid w:val="00535BE1"/>
    <w:rsid w:val="00537BCE"/>
    <w:rsid w:val="00541145"/>
    <w:rsid w:val="005464D8"/>
    <w:rsid w:val="00546DB2"/>
    <w:rsid w:val="005522EA"/>
    <w:rsid w:val="00554834"/>
    <w:rsid w:val="00554F75"/>
    <w:rsid w:val="00557891"/>
    <w:rsid w:val="00557BFD"/>
    <w:rsid w:val="00560941"/>
    <w:rsid w:val="00564701"/>
    <w:rsid w:val="0056614D"/>
    <w:rsid w:val="00570539"/>
    <w:rsid w:val="0057206C"/>
    <w:rsid w:val="00574399"/>
    <w:rsid w:val="00574CDB"/>
    <w:rsid w:val="00575DE0"/>
    <w:rsid w:val="005764A0"/>
    <w:rsid w:val="005768F3"/>
    <w:rsid w:val="005777B6"/>
    <w:rsid w:val="005833F2"/>
    <w:rsid w:val="00587301"/>
    <w:rsid w:val="005909EB"/>
    <w:rsid w:val="005914B0"/>
    <w:rsid w:val="00593E3A"/>
    <w:rsid w:val="00594A76"/>
    <w:rsid w:val="005A0C59"/>
    <w:rsid w:val="005A0D1A"/>
    <w:rsid w:val="005A55C5"/>
    <w:rsid w:val="005A5EDE"/>
    <w:rsid w:val="005A7F92"/>
    <w:rsid w:val="005B02B1"/>
    <w:rsid w:val="005B1EBC"/>
    <w:rsid w:val="005B300D"/>
    <w:rsid w:val="005B3762"/>
    <w:rsid w:val="005B4D59"/>
    <w:rsid w:val="005B6AC6"/>
    <w:rsid w:val="005C7068"/>
    <w:rsid w:val="005C7DCB"/>
    <w:rsid w:val="005D3D83"/>
    <w:rsid w:val="005D5DE5"/>
    <w:rsid w:val="005D6561"/>
    <w:rsid w:val="005D6B6E"/>
    <w:rsid w:val="005E0D56"/>
    <w:rsid w:val="005E38AE"/>
    <w:rsid w:val="005E4AEE"/>
    <w:rsid w:val="005E5FD7"/>
    <w:rsid w:val="005E6F85"/>
    <w:rsid w:val="005F59A0"/>
    <w:rsid w:val="005F7C26"/>
    <w:rsid w:val="00600979"/>
    <w:rsid w:val="00601595"/>
    <w:rsid w:val="00605DF6"/>
    <w:rsid w:val="00606358"/>
    <w:rsid w:val="006078FF"/>
    <w:rsid w:val="006117EE"/>
    <w:rsid w:val="00611AD1"/>
    <w:rsid w:val="00615397"/>
    <w:rsid w:val="00620955"/>
    <w:rsid w:val="00620D2B"/>
    <w:rsid w:val="00623EC0"/>
    <w:rsid w:val="00627370"/>
    <w:rsid w:val="00631EC1"/>
    <w:rsid w:val="00633C1F"/>
    <w:rsid w:val="006347C6"/>
    <w:rsid w:val="00634FE0"/>
    <w:rsid w:val="006367F1"/>
    <w:rsid w:val="006412C4"/>
    <w:rsid w:val="006429CF"/>
    <w:rsid w:val="00643919"/>
    <w:rsid w:val="00645D01"/>
    <w:rsid w:val="00646621"/>
    <w:rsid w:val="00647935"/>
    <w:rsid w:val="00647D1A"/>
    <w:rsid w:val="0065069D"/>
    <w:rsid w:val="00652EBD"/>
    <w:rsid w:val="00654072"/>
    <w:rsid w:val="00660272"/>
    <w:rsid w:val="00661C9B"/>
    <w:rsid w:val="00663356"/>
    <w:rsid w:val="00663568"/>
    <w:rsid w:val="006636EA"/>
    <w:rsid w:val="0066468B"/>
    <w:rsid w:val="00670FD2"/>
    <w:rsid w:val="00671511"/>
    <w:rsid w:val="00671F70"/>
    <w:rsid w:val="00680623"/>
    <w:rsid w:val="00680B77"/>
    <w:rsid w:val="006846C2"/>
    <w:rsid w:val="006861A7"/>
    <w:rsid w:val="006927B6"/>
    <w:rsid w:val="00692B77"/>
    <w:rsid w:val="00693278"/>
    <w:rsid w:val="00696621"/>
    <w:rsid w:val="006A2E24"/>
    <w:rsid w:val="006A52BA"/>
    <w:rsid w:val="006A7F17"/>
    <w:rsid w:val="006B05C0"/>
    <w:rsid w:val="006B22A6"/>
    <w:rsid w:val="006B2389"/>
    <w:rsid w:val="006B40DF"/>
    <w:rsid w:val="006B4F14"/>
    <w:rsid w:val="006B7E14"/>
    <w:rsid w:val="006C1038"/>
    <w:rsid w:val="006C132A"/>
    <w:rsid w:val="006C38BE"/>
    <w:rsid w:val="006C3A9F"/>
    <w:rsid w:val="006C3D22"/>
    <w:rsid w:val="006C3DDF"/>
    <w:rsid w:val="006C4395"/>
    <w:rsid w:val="006D3BDF"/>
    <w:rsid w:val="006D4DF4"/>
    <w:rsid w:val="006D6B66"/>
    <w:rsid w:val="006D704E"/>
    <w:rsid w:val="006D7863"/>
    <w:rsid w:val="006E07A9"/>
    <w:rsid w:val="006E508F"/>
    <w:rsid w:val="006E6C03"/>
    <w:rsid w:val="006E6C68"/>
    <w:rsid w:val="006E79B7"/>
    <w:rsid w:val="006F28E0"/>
    <w:rsid w:val="006F65F9"/>
    <w:rsid w:val="00700111"/>
    <w:rsid w:val="0070156F"/>
    <w:rsid w:val="00701A79"/>
    <w:rsid w:val="00701EA7"/>
    <w:rsid w:val="00703226"/>
    <w:rsid w:val="0070382F"/>
    <w:rsid w:val="00710814"/>
    <w:rsid w:val="007114A1"/>
    <w:rsid w:val="0071193E"/>
    <w:rsid w:val="007132EF"/>
    <w:rsid w:val="00715EB9"/>
    <w:rsid w:val="007171C6"/>
    <w:rsid w:val="0072184A"/>
    <w:rsid w:val="00722E3A"/>
    <w:rsid w:val="00724E28"/>
    <w:rsid w:val="00727448"/>
    <w:rsid w:val="00727B22"/>
    <w:rsid w:val="00730C94"/>
    <w:rsid w:val="00731C21"/>
    <w:rsid w:val="00731C70"/>
    <w:rsid w:val="007336C6"/>
    <w:rsid w:val="00733754"/>
    <w:rsid w:val="0073579B"/>
    <w:rsid w:val="007425F3"/>
    <w:rsid w:val="00743E6D"/>
    <w:rsid w:val="0074597D"/>
    <w:rsid w:val="0074757C"/>
    <w:rsid w:val="007509EB"/>
    <w:rsid w:val="00751225"/>
    <w:rsid w:val="00753AF8"/>
    <w:rsid w:val="007557D4"/>
    <w:rsid w:val="00755BD5"/>
    <w:rsid w:val="00757039"/>
    <w:rsid w:val="0075761C"/>
    <w:rsid w:val="00764655"/>
    <w:rsid w:val="00764760"/>
    <w:rsid w:val="0076660C"/>
    <w:rsid w:val="00771A20"/>
    <w:rsid w:val="00776739"/>
    <w:rsid w:val="0078247D"/>
    <w:rsid w:val="00784993"/>
    <w:rsid w:val="007961F0"/>
    <w:rsid w:val="00797ED6"/>
    <w:rsid w:val="007A0016"/>
    <w:rsid w:val="007A131B"/>
    <w:rsid w:val="007A1938"/>
    <w:rsid w:val="007A1C46"/>
    <w:rsid w:val="007B3020"/>
    <w:rsid w:val="007B3D68"/>
    <w:rsid w:val="007B53E0"/>
    <w:rsid w:val="007C054B"/>
    <w:rsid w:val="007C1F06"/>
    <w:rsid w:val="007C30A0"/>
    <w:rsid w:val="007C696B"/>
    <w:rsid w:val="007D09E9"/>
    <w:rsid w:val="007D213D"/>
    <w:rsid w:val="007D2666"/>
    <w:rsid w:val="007D4C49"/>
    <w:rsid w:val="007E0E8F"/>
    <w:rsid w:val="007E1D27"/>
    <w:rsid w:val="007E279E"/>
    <w:rsid w:val="007E3B51"/>
    <w:rsid w:val="007E6D9F"/>
    <w:rsid w:val="007F3459"/>
    <w:rsid w:val="007F4465"/>
    <w:rsid w:val="00801151"/>
    <w:rsid w:val="00804412"/>
    <w:rsid w:val="00805FA8"/>
    <w:rsid w:val="00806FF0"/>
    <w:rsid w:val="008108B3"/>
    <w:rsid w:val="00812662"/>
    <w:rsid w:val="008132F8"/>
    <w:rsid w:val="0082043A"/>
    <w:rsid w:val="00821AE7"/>
    <w:rsid w:val="00823080"/>
    <w:rsid w:val="008312DF"/>
    <w:rsid w:val="008351BB"/>
    <w:rsid w:val="00842C26"/>
    <w:rsid w:val="00847827"/>
    <w:rsid w:val="00851251"/>
    <w:rsid w:val="0085194F"/>
    <w:rsid w:val="00855088"/>
    <w:rsid w:val="00857C4E"/>
    <w:rsid w:val="008619FF"/>
    <w:rsid w:val="008623C5"/>
    <w:rsid w:val="00862413"/>
    <w:rsid w:val="0086771B"/>
    <w:rsid w:val="008711B9"/>
    <w:rsid w:val="00874648"/>
    <w:rsid w:val="008765F2"/>
    <w:rsid w:val="00876F24"/>
    <w:rsid w:val="00883A5D"/>
    <w:rsid w:val="00886799"/>
    <w:rsid w:val="008957C9"/>
    <w:rsid w:val="00896198"/>
    <w:rsid w:val="008A5DF3"/>
    <w:rsid w:val="008B177D"/>
    <w:rsid w:val="008B1DF7"/>
    <w:rsid w:val="008C1118"/>
    <w:rsid w:val="008C248E"/>
    <w:rsid w:val="008D11A3"/>
    <w:rsid w:val="008D53E3"/>
    <w:rsid w:val="008E0D9B"/>
    <w:rsid w:val="008E15FB"/>
    <w:rsid w:val="008E299E"/>
    <w:rsid w:val="008E34AC"/>
    <w:rsid w:val="008F3EE6"/>
    <w:rsid w:val="008F6358"/>
    <w:rsid w:val="009022EC"/>
    <w:rsid w:val="009064D7"/>
    <w:rsid w:val="00906BBD"/>
    <w:rsid w:val="00907A74"/>
    <w:rsid w:val="00907DF1"/>
    <w:rsid w:val="00910276"/>
    <w:rsid w:val="00910AA0"/>
    <w:rsid w:val="0091396C"/>
    <w:rsid w:val="00915753"/>
    <w:rsid w:val="00917565"/>
    <w:rsid w:val="009236A0"/>
    <w:rsid w:val="009308AD"/>
    <w:rsid w:val="00933478"/>
    <w:rsid w:val="00934EDC"/>
    <w:rsid w:val="00935A3E"/>
    <w:rsid w:val="00942BC6"/>
    <w:rsid w:val="00943443"/>
    <w:rsid w:val="009446F2"/>
    <w:rsid w:val="00945B72"/>
    <w:rsid w:val="00946BBD"/>
    <w:rsid w:val="00952DBA"/>
    <w:rsid w:val="00960B3D"/>
    <w:rsid w:val="00960BA4"/>
    <w:rsid w:val="009611BB"/>
    <w:rsid w:val="009644D5"/>
    <w:rsid w:val="0096582B"/>
    <w:rsid w:val="009666A5"/>
    <w:rsid w:val="00971E51"/>
    <w:rsid w:val="0097338E"/>
    <w:rsid w:val="009771E8"/>
    <w:rsid w:val="00977561"/>
    <w:rsid w:val="009805DF"/>
    <w:rsid w:val="00980ABE"/>
    <w:rsid w:val="00980FE2"/>
    <w:rsid w:val="00981CE4"/>
    <w:rsid w:val="009826C7"/>
    <w:rsid w:val="00982D4C"/>
    <w:rsid w:val="00985F91"/>
    <w:rsid w:val="0099016F"/>
    <w:rsid w:val="009937F3"/>
    <w:rsid w:val="009945CB"/>
    <w:rsid w:val="0099472B"/>
    <w:rsid w:val="009A2D21"/>
    <w:rsid w:val="009A6F7B"/>
    <w:rsid w:val="009B0DE9"/>
    <w:rsid w:val="009B2DB7"/>
    <w:rsid w:val="009B69C4"/>
    <w:rsid w:val="009C33A0"/>
    <w:rsid w:val="009C7840"/>
    <w:rsid w:val="009D0791"/>
    <w:rsid w:val="009D596F"/>
    <w:rsid w:val="009D67B1"/>
    <w:rsid w:val="009E5F6B"/>
    <w:rsid w:val="009E6250"/>
    <w:rsid w:val="009E6B25"/>
    <w:rsid w:val="009F0367"/>
    <w:rsid w:val="009F26F7"/>
    <w:rsid w:val="009F2D7E"/>
    <w:rsid w:val="009F6064"/>
    <w:rsid w:val="009F6265"/>
    <w:rsid w:val="009F69EE"/>
    <w:rsid w:val="009F7244"/>
    <w:rsid w:val="00A0253B"/>
    <w:rsid w:val="00A04D29"/>
    <w:rsid w:val="00A1339F"/>
    <w:rsid w:val="00A14572"/>
    <w:rsid w:val="00A20177"/>
    <w:rsid w:val="00A21B37"/>
    <w:rsid w:val="00A246DB"/>
    <w:rsid w:val="00A2586F"/>
    <w:rsid w:val="00A26830"/>
    <w:rsid w:val="00A27131"/>
    <w:rsid w:val="00A34609"/>
    <w:rsid w:val="00A4185A"/>
    <w:rsid w:val="00A45DB0"/>
    <w:rsid w:val="00A60541"/>
    <w:rsid w:val="00A63FF5"/>
    <w:rsid w:val="00A651CA"/>
    <w:rsid w:val="00A65321"/>
    <w:rsid w:val="00A72EE1"/>
    <w:rsid w:val="00A74E9B"/>
    <w:rsid w:val="00A74F92"/>
    <w:rsid w:val="00A76480"/>
    <w:rsid w:val="00A76801"/>
    <w:rsid w:val="00A77042"/>
    <w:rsid w:val="00A77B39"/>
    <w:rsid w:val="00A82D04"/>
    <w:rsid w:val="00A837D0"/>
    <w:rsid w:val="00A85101"/>
    <w:rsid w:val="00A87133"/>
    <w:rsid w:val="00A87812"/>
    <w:rsid w:val="00A9531D"/>
    <w:rsid w:val="00AA049E"/>
    <w:rsid w:val="00AA1417"/>
    <w:rsid w:val="00AA161D"/>
    <w:rsid w:val="00AA1F64"/>
    <w:rsid w:val="00AA78A0"/>
    <w:rsid w:val="00AB2AF1"/>
    <w:rsid w:val="00AB3424"/>
    <w:rsid w:val="00AB3FE5"/>
    <w:rsid w:val="00AC32C0"/>
    <w:rsid w:val="00AC3634"/>
    <w:rsid w:val="00AC5FB9"/>
    <w:rsid w:val="00AC6621"/>
    <w:rsid w:val="00AC6C39"/>
    <w:rsid w:val="00AC7880"/>
    <w:rsid w:val="00AD0125"/>
    <w:rsid w:val="00AD5043"/>
    <w:rsid w:val="00AD51A6"/>
    <w:rsid w:val="00AE0839"/>
    <w:rsid w:val="00AE1F5D"/>
    <w:rsid w:val="00AE6934"/>
    <w:rsid w:val="00AE6F7C"/>
    <w:rsid w:val="00AF016D"/>
    <w:rsid w:val="00AF28F0"/>
    <w:rsid w:val="00AF3BC9"/>
    <w:rsid w:val="00B02F50"/>
    <w:rsid w:val="00B05B2C"/>
    <w:rsid w:val="00B06918"/>
    <w:rsid w:val="00B1626C"/>
    <w:rsid w:val="00B2385C"/>
    <w:rsid w:val="00B25061"/>
    <w:rsid w:val="00B32B69"/>
    <w:rsid w:val="00B33D62"/>
    <w:rsid w:val="00B440A9"/>
    <w:rsid w:val="00B51882"/>
    <w:rsid w:val="00B53A5E"/>
    <w:rsid w:val="00B5506B"/>
    <w:rsid w:val="00B55A3E"/>
    <w:rsid w:val="00B56D8D"/>
    <w:rsid w:val="00B62F84"/>
    <w:rsid w:val="00B64662"/>
    <w:rsid w:val="00B674CE"/>
    <w:rsid w:val="00B744A5"/>
    <w:rsid w:val="00B812F4"/>
    <w:rsid w:val="00B819AA"/>
    <w:rsid w:val="00B82363"/>
    <w:rsid w:val="00B848A7"/>
    <w:rsid w:val="00B8661C"/>
    <w:rsid w:val="00B868C2"/>
    <w:rsid w:val="00B87AB8"/>
    <w:rsid w:val="00B87F20"/>
    <w:rsid w:val="00B93191"/>
    <w:rsid w:val="00B95607"/>
    <w:rsid w:val="00BA0524"/>
    <w:rsid w:val="00BA06F8"/>
    <w:rsid w:val="00BA0D38"/>
    <w:rsid w:val="00BA243F"/>
    <w:rsid w:val="00BA5F9C"/>
    <w:rsid w:val="00BB0733"/>
    <w:rsid w:val="00BB3EA2"/>
    <w:rsid w:val="00BC1760"/>
    <w:rsid w:val="00BC3585"/>
    <w:rsid w:val="00BC64A9"/>
    <w:rsid w:val="00BD5A31"/>
    <w:rsid w:val="00BD645D"/>
    <w:rsid w:val="00BD6921"/>
    <w:rsid w:val="00BE0C41"/>
    <w:rsid w:val="00BE1203"/>
    <w:rsid w:val="00BE2D09"/>
    <w:rsid w:val="00BE3978"/>
    <w:rsid w:val="00BE443D"/>
    <w:rsid w:val="00BF22C5"/>
    <w:rsid w:val="00BF7060"/>
    <w:rsid w:val="00BF71DB"/>
    <w:rsid w:val="00BF770C"/>
    <w:rsid w:val="00C00A63"/>
    <w:rsid w:val="00C026A2"/>
    <w:rsid w:val="00C03EBA"/>
    <w:rsid w:val="00C079D3"/>
    <w:rsid w:val="00C108FB"/>
    <w:rsid w:val="00C1265C"/>
    <w:rsid w:val="00C170FD"/>
    <w:rsid w:val="00C22F42"/>
    <w:rsid w:val="00C25A53"/>
    <w:rsid w:val="00C26F53"/>
    <w:rsid w:val="00C30879"/>
    <w:rsid w:val="00C34781"/>
    <w:rsid w:val="00C364D4"/>
    <w:rsid w:val="00C407EE"/>
    <w:rsid w:val="00C474BB"/>
    <w:rsid w:val="00C56179"/>
    <w:rsid w:val="00C567A4"/>
    <w:rsid w:val="00C56EC6"/>
    <w:rsid w:val="00C606E4"/>
    <w:rsid w:val="00C67C98"/>
    <w:rsid w:val="00C71DB7"/>
    <w:rsid w:val="00C720A9"/>
    <w:rsid w:val="00C72516"/>
    <w:rsid w:val="00C751C0"/>
    <w:rsid w:val="00C76186"/>
    <w:rsid w:val="00C766E5"/>
    <w:rsid w:val="00C772C0"/>
    <w:rsid w:val="00C830D6"/>
    <w:rsid w:val="00C83875"/>
    <w:rsid w:val="00C95F84"/>
    <w:rsid w:val="00C9782E"/>
    <w:rsid w:val="00CA0D2E"/>
    <w:rsid w:val="00CA3755"/>
    <w:rsid w:val="00CA4DA1"/>
    <w:rsid w:val="00CB11BC"/>
    <w:rsid w:val="00CB459E"/>
    <w:rsid w:val="00CB68BF"/>
    <w:rsid w:val="00CC2497"/>
    <w:rsid w:val="00CC25CC"/>
    <w:rsid w:val="00CC2A5E"/>
    <w:rsid w:val="00CC35D3"/>
    <w:rsid w:val="00CC5993"/>
    <w:rsid w:val="00CC71EC"/>
    <w:rsid w:val="00CC7C46"/>
    <w:rsid w:val="00CC7D1D"/>
    <w:rsid w:val="00CD61AF"/>
    <w:rsid w:val="00CD6755"/>
    <w:rsid w:val="00CE370E"/>
    <w:rsid w:val="00CE3943"/>
    <w:rsid w:val="00CE7178"/>
    <w:rsid w:val="00CE7F85"/>
    <w:rsid w:val="00CF0311"/>
    <w:rsid w:val="00CF03E0"/>
    <w:rsid w:val="00CF3906"/>
    <w:rsid w:val="00CF3CB5"/>
    <w:rsid w:val="00CF70CC"/>
    <w:rsid w:val="00D01419"/>
    <w:rsid w:val="00D04386"/>
    <w:rsid w:val="00D064F3"/>
    <w:rsid w:val="00D06C3F"/>
    <w:rsid w:val="00D070D3"/>
    <w:rsid w:val="00D116CE"/>
    <w:rsid w:val="00D12503"/>
    <w:rsid w:val="00D16880"/>
    <w:rsid w:val="00D16935"/>
    <w:rsid w:val="00D17670"/>
    <w:rsid w:val="00D21B59"/>
    <w:rsid w:val="00D22CAB"/>
    <w:rsid w:val="00D233CD"/>
    <w:rsid w:val="00D25313"/>
    <w:rsid w:val="00D256D4"/>
    <w:rsid w:val="00D26003"/>
    <w:rsid w:val="00D3194E"/>
    <w:rsid w:val="00D356E4"/>
    <w:rsid w:val="00D4362B"/>
    <w:rsid w:val="00D45984"/>
    <w:rsid w:val="00D47FD8"/>
    <w:rsid w:val="00D52FBE"/>
    <w:rsid w:val="00D55764"/>
    <w:rsid w:val="00D626C0"/>
    <w:rsid w:val="00D62BD1"/>
    <w:rsid w:val="00D64576"/>
    <w:rsid w:val="00D6536A"/>
    <w:rsid w:val="00D65B94"/>
    <w:rsid w:val="00D6796D"/>
    <w:rsid w:val="00D70F33"/>
    <w:rsid w:val="00D71F12"/>
    <w:rsid w:val="00D73D73"/>
    <w:rsid w:val="00D7633D"/>
    <w:rsid w:val="00D813C3"/>
    <w:rsid w:val="00D81DFE"/>
    <w:rsid w:val="00D836D6"/>
    <w:rsid w:val="00D8754A"/>
    <w:rsid w:val="00D93BE0"/>
    <w:rsid w:val="00D952F9"/>
    <w:rsid w:val="00D96F9A"/>
    <w:rsid w:val="00DA099C"/>
    <w:rsid w:val="00DA299A"/>
    <w:rsid w:val="00DA480A"/>
    <w:rsid w:val="00DA64A3"/>
    <w:rsid w:val="00DB0F4F"/>
    <w:rsid w:val="00DB2BD0"/>
    <w:rsid w:val="00DB332D"/>
    <w:rsid w:val="00DB457C"/>
    <w:rsid w:val="00DB4798"/>
    <w:rsid w:val="00DB6ACF"/>
    <w:rsid w:val="00DC0B4D"/>
    <w:rsid w:val="00DC16F7"/>
    <w:rsid w:val="00DC1CE3"/>
    <w:rsid w:val="00DC3386"/>
    <w:rsid w:val="00DC34D4"/>
    <w:rsid w:val="00DC35B0"/>
    <w:rsid w:val="00DC35D1"/>
    <w:rsid w:val="00DC54DD"/>
    <w:rsid w:val="00DC7E0A"/>
    <w:rsid w:val="00DD114D"/>
    <w:rsid w:val="00DD4CA7"/>
    <w:rsid w:val="00DD4FDD"/>
    <w:rsid w:val="00DD6E43"/>
    <w:rsid w:val="00DD7E33"/>
    <w:rsid w:val="00DE2C00"/>
    <w:rsid w:val="00DE52E2"/>
    <w:rsid w:val="00DE5AE4"/>
    <w:rsid w:val="00DE5DC4"/>
    <w:rsid w:val="00DF27D7"/>
    <w:rsid w:val="00DF3677"/>
    <w:rsid w:val="00DF68EC"/>
    <w:rsid w:val="00E03846"/>
    <w:rsid w:val="00E0386D"/>
    <w:rsid w:val="00E05862"/>
    <w:rsid w:val="00E11307"/>
    <w:rsid w:val="00E14A0A"/>
    <w:rsid w:val="00E15048"/>
    <w:rsid w:val="00E156A5"/>
    <w:rsid w:val="00E177C4"/>
    <w:rsid w:val="00E223FD"/>
    <w:rsid w:val="00E250D9"/>
    <w:rsid w:val="00E25678"/>
    <w:rsid w:val="00E25FB6"/>
    <w:rsid w:val="00E3013B"/>
    <w:rsid w:val="00E3170C"/>
    <w:rsid w:val="00E337B3"/>
    <w:rsid w:val="00E34C8C"/>
    <w:rsid w:val="00E35C04"/>
    <w:rsid w:val="00E36C99"/>
    <w:rsid w:val="00E42BF7"/>
    <w:rsid w:val="00E5104B"/>
    <w:rsid w:val="00E51125"/>
    <w:rsid w:val="00E517AA"/>
    <w:rsid w:val="00E518F9"/>
    <w:rsid w:val="00E52754"/>
    <w:rsid w:val="00E5731D"/>
    <w:rsid w:val="00E57C80"/>
    <w:rsid w:val="00E61EBA"/>
    <w:rsid w:val="00E6317E"/>
    <w:rsid w:val="00E6334A"/>
    <w:rsid w:val="00E63BC6"/>
    <w:rsid w:val="00E656D1"/>
    <w:rsid w:val="00E65E7A"/>
    <w:rsid w:val="00E66134"/>
    <w:rsid w:val="00E664D3"/>
    <w:rsid w:val="00E72024"/>
    <w:rsid w:val="00E72D82"/>
    <w:rsid w:val="00E733CF"/>
    <w:rsid w:val="00E77042"/>
    <w:rsid w:val="00E8279F"/>
    <w:rsid w:val="00E8500D"/>
    <w:rsid w:val="00E86343"/>
    <w:rsid w:val="00E90CBC"/>
    <w:rsid w:val="00E911F1"/>
    <w:rsid w:val="00E95102"/>
    <w:rsid w:val="00E95CC5"/>
    <w:rsid w:val="00E96342"/>
    <w:rsid w:val="00E96549"/>
    <w:rsid w:val="00EA1D12"/>
    <w:rsid w:val="00EA3E0B"/>
    <w:rsid w:val="00EA4451"/>
    <w:rsid w:val="00EA454A"/>
    <w:rsid w:val="00EA491A"/>
    <w:rsid w:val="00EA5CFF"/>
    <w:rsid w:val="00EB3342"/>
    <w:rsid w:val="00EC0D68"/>
    <w:rsid w:val="00EC38AE"/>
    <w:rsid w:val="00EC69CF"/>
    <w:rsid w:val="00EC6E6F"/>
    <w:rsid w:val="00ED016D"/>
    <w:rsid w:val="00ED3FA5"/>
    <w:rsid w:val="00ED56E7"/>
    <w:rsid w:val="00ED6862"/>
    <w:rsid w:val="00EE5B92"/>
    <w:rsid w:val="00EE7F87"/>
    <w:rsid w:val="00EF2AFC"/>
    <w:rsid w:val="00EF2BC5"/>
    <w:rsid w:val="00EF61BE"/>
    <w:rsid w:val="00F00137"/>
    <w:rsid w:val="00F03A5F"/>
    <w:rsid w:val="00F060C2"/>
    <w:rsid w:val="00F118B6"/>
    <w:rsid w:val="00F11955"/>
    <w:rsid w:val="00F161EF"/>
    <w:rsid w:val="00F17594"/>
    <w:rsid w:val="00F23925"/>
    <w:rsid w:val="00F260D9"/>
    <w:rsid w:val="00F27F99"/>
    <w:rsid w:val="00F35A05"/>
    <w:rsid w:val="00F3663E"/>
    <w:rsid w:val="00F36E19"/>
    <w:rsid w:val="00F4350D"/>
    <w:rsid w:val="00F46CB2"/>
    <w:rsid w:val="00F50DB9"/>
    <w:rsid w:val="00F52F18"/>
    <w:rsid w:val="00F62F52"/>
    <w:rsid w:val="00F6342F"/>
    <w:rsid w:val="00F66F1E"/>
    <w:rsid w:val="00F70D1A"/>
    <w:rsid w:val="00F70F5E"/>
    <w:rsid w:val="00F711B4"/>
    <w:rsid w:val="00F74415"/>
    <w:rsid w:val="00F81B0D"/>
    <w:rsid w:val="00F84D12"/>
    <w:rsid w:val="00F85443"/>
    <w:rsid w:val="00F91195"/>
    <w:rsid w:val="00F94864"/>
    <w:rsid w:val="00F960D0"/>
    <w:rsid w:val="00F970AF"/>
    <w:rsid w:val="00FA4FDF"/>
    <w:rsid w:val="00FA7117"/>
    <w:rsid w:val="00FB178E"/>
    <w:rsid w:val="00FB4CCD"/>
    <w:rsid w:val="00FB6681"/>
    <w:rsid w:val="00FB6C2A"/>
    <w:rsid w:val="00FC0453"/>
    <w:rsid w:val="00FC4962"/>
    <w:rsid w:val="00FC5634"/>
    <w:rsid w:val="00FC5D9C"/>
    <w:rsid w:val="00FC66BC"/>
    <w:rsid w:val="00FC6CDE"/>
    <w:rsid w:val="00FD078C"/>
    <w:rsid w:val="00FD15D7"/>
    <w:rsid w:val="00FD4AB2"/>
    <w:rsid w:val="00FD7494"/>
    <w:rsid w:val="00FE22E6"/>
    <w:rsid w:val="00FE250A"/>
    <w:rsid w:val="00FF08A8"/>
    <w:rsid w:val="00FF31E2"/>
    <w:rsid w:val="00FF4194"/>
    <w:rsid w:val="00FF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D82301"/>
  <w15:docId w15:val="{C75EF0A6-6E68-4D5F-8EED-A43A0422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384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B45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764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64F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54F75"/>
    <w:pPr>
      <w:ind w:left="720"/>
      <w:contextualSpacing/>
    </w:pPr>
  </w:style>
  <w:style w:type="table" w:styleId="TableGrid">
    <w:name w:val="Table Grid"/>
    <w:basedOn w:val="TableNormal"/>
    <w:uiPriority w:val="39"/>
    <w:rsid w:val="004B3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5F9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7464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52114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E517A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517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517A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517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517AA"/>
    <w:rPr>
      <w:b/>
      <w:bCs/>
    </w:rPr>
  </w:style>
  <w:style w:type="character" w:styleId="Emphasis">
    <w:name w:val="Emphasis"/>
    <w:basedOn w:val="DefaultParagraphFont"/>
    <w:qFormat/>
    <w:rsid w:val="0020592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0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WorkInProgress\Admin\Admin%20Staff\FORMS-LISTS-SIGNS-TEMPLATES\Minutes%20Templates\HTF%20Minu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9BE26E0BDF84B94B949B0AAB4F11B" ma:contentTypeVersion="2" ma:contentTypeDescription="Create a new document." ma:contentTypeScope="" ma:versionID="1ea6b60d6396171cb375e41d430097d3">
  <xsd:schema xmlns:xsd="http://www.w3.org/2001/XMLSchema" xmlns:xs="http://www.w3.org/2001/XMLSchema" xmlns:p="http://schemas.microsoft.com/office/2006/metadata/properties" xmlns:ns3="d54a681a-314b-45f4-814f-e8dcb80bf754" targetNamespace="http://schemas.microsoft.com/office/2006/metadata/properties" ma:root="true" ma:fieldsID="41573c6c1359ade15a0a9a14765be4e1" ns3:_="">
    <xsd:import namespace="d54a681a-314b-45f4-814f-e8dcb80bf7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a681a-314b-45f4-814f-e8dcb80bf7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6D180B-A0DD-4777-B310-ADFBD0D263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AFC285-CDA6-4339-BA20-928EF492AD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598136-1F7E-4847-93C6-DF3D45233F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1B17F1-82B3-4B53-A538-EA878B31A2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4a681a-314b-45f4-814f-e8dcb80bf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HTF Minutes Template</Template>
  <TotalTime>482</TotalTime>
  <Pages>3</Pages>
  <Words>632</Words>
  <Characters>3539</Characters>
  <Application>Microsoft Office Word</Application>
  <DocSecurity>0</DocSecurity>
  <Lines>136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HTF Minutes</vt:lpstr>
    </vt:vector>
  </TitlesOfParts>
  <Company>Salt Lake County</Company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HTF Minutes</dc:title>
  <dc:subject/>
  <dc:creator>Tiffany Marquez</dc:creator>
  <cp:keywords/>
  <dc:description/>
  <cp:lastModifiedBy>Derick Davis</cp:lastModifiedBy>
  <cp:revision>67</cp:revision>
  <cp:lastPrinted>2024-01-11T15:14:00Z</cp:lastPrinted>
  <dcterms:created xsi:type="dcterms:W3CDTF">2026-02-20T15:29:00Z</dcterms:created>
  <dcterms:modified xsi:type="dcterms:W3CDTF">2026-02-24T22:13:00Z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0x0101006499BE26E0BDF84B94B949B0AAB4F11B</vt:lpwstr>
  </property>
  <property fmtid="{D5CDD505-2E9C-101B-9397-08002B2CF9AE}" pid="3" name="GrammarlyDocumentId">
    <vt:lpwstr>3bd6f704de659ebfa5babb3ad1ffa8ab9f81876f0597840d7c4d9aa2802312cd</vt:lpwstr>
  </property>
</Properties>
</file>