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CellMar>
          <w:top w:w="15" w:type="dxa"/>
          <w:left w:w="15" w:type="dxa"/>
          <w:bottom w:w="15" w:type="dxa"/>
          <w:right w:w="15" w:type="dxa"/>
        </w:tblCellMar>
        <w:tblLook w:val="05E0" w:firstRow="1" w:lastRow="1" w:firstColumn="1" w:lastColumn="1" w:noHBand="0" w:noVBand="1"/>
      </w:tblPr>
      <w:tblGrid>
        <w:gridCol w:w="2700"/>
        <w:gridCol w:w="5400"/>
        <w:gridCol w:w="2700"/>
      </w:tblGrid>
      <w:tr w:rsidR="006A685D">
        <w:tc>
          <w:tcPr>
            <w:tcW w:w="1247" w:type="pct"/>
            <w:vMerge w:val="restart"/>
            <w:tcMar>
              <w:top w:w="15" w:type="dxa"/>
              <w:left w:w="20" w:type="dxa"/>
              <w:bottom w:w="15"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noProof/>
                <w:kern w:val="0"/>
                <w:sz w:val="26"/>
                <w:szCs w:val="26"/>
                <w14:ligatures w14:val="none"/>
              </w:rPr>
              <w:drawing>
                <wp:inline distT="0" distB="0" distL="0" distR="0">
                  <wp:extent cx="952500" cy="741892"/>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952500" cy="741892"/>
                          </a:xfrm>
                          <a:prstGeom prst="rect">
                            <a:avLst/>
                          </a:prstGeom>
                        </pic:spPr>
                      </pic:pic>
                    </a:graphicData>
                  </a:graphic>
                </wp:inline>
              </w:drawing>
            </w:r>
          </w:p>
        </w:tc>
        <w:tc>
          <w:tcPr>
            <w:tcW w:w="2500" w:type="pct"/>
            <w:tcMar>
              <w:top w:w="15" w:type="dxa"/>
              <w:left w:w="20" w:type="dxa"/>
              <w:bottom w:w="15" w:type="dxa"/>
              <w:right w:w="20" w:type="dxa"/>
            </w:tcMar>
            <w:hideMark/>
          </w:tcPr>
          <w:p w:rsidR="006A685D" w:rsidRDefault="00661AB2">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42"/>
                <w:szCs w:val="42"/>
                <w14:ligatures w14:val="none"/>
              </w:rPr>
              <w:t>SALT LAKE COUNTY</w:t>
            </w:r>
          </w:p>
        </w:tc>
        <w:tc>
          <w:tcPr>
            <w:tcW w:w="1250" w:type="pct"/>
            <w:tcMar>
              <w:top w:w="15" w:type="dxa"/>
              <w:left w:w="20" w:type="dxa"/>
              <w:bottom w:w="15" w:type="dxa"/>
              <w:right w:w="20" w:type="dxa"/>
            </w:tcMar>
            <w:hideMark/>
          </w:tcPr>
          <w:p w:rsidR="006A685D" w:rsidRDefault="00661AB2">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0"/>
                <w:szCs w:val="20"/>
                <w14:ligatures w14:val="none"/>
              </w:rPr>
              <w:t>2001 So. State Street</w:t>
            </w:r>
            <w:r>
              <w:rPr>
                <w:rFonts w:ascii="Times New Roman" w:eastAsia="Times New Roman" w:hAnsi="Times New Roman" w:cs="Times New Roman"/>
                <w:kern w:val="0"/>
                <w:sz w:val="20"/>
                <w:szCs w:val="20"/>
                <w14:ligatures w14:val="none"/>
              </w:rPr>
              <w:br/>
              <w:t>Salt Lake City, UT 84114</w:t>
            </w:r>
          </w:p>
        </w:tc>
      </w:tr>
      <w:tr w:rsidR="006A685D">
        <w:tc>
          <w:tcPr>
            <w:tcW w:w="0" w:type="auto"/>
            <w:vMerge/>
            <w:vAlign w:val="center"/>
            <w:hideMark/>
          </w:tcPr>
          <w:p w:rsidR="006A685D" w:rsidRDefault="006A685D">
            <w:pPr>
              <w:rPr>
                <w:rFonts w:ascii="Times New Roman" w:eastAsia="Times New Roman" w:hAnsi="Times New Roman" w:cs="Times New Roman"/>
                <w:kern w:val="0"/>
                <w:sz w:val="20"/>
                <w:szCs w:val="20"/>
                <w14:ligatures w14:val="none"/>
              </w:rPr>
            </w:pPr>
          </w:p>
        </w:tc>
        <w:tc>
          <w:tcPr>
            <w:tcW w:w="2500" w:type="pct"/>
            <w:tcMar>
              <w:top w:w="15" w:type="dxa"/>
              <w:left w:w="20" w:type="dxa"/>
              <w:bottom w:w="15" w:type="dxa"/>
              <w:right w:w="20" w:type="dxa"/>
            </w:tcMar>
            <w:hideMark/>
          </w:tcPr>
          <w:p w:rsidR="006A685D" w:rsidRDefault="00661AB2">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32"/>
                <w:szCs w:val="32"/>
                <w14:ligatures w14:val="none"/>
              </w:rPr>
              <w:t>Board of Equalization</w:t>
            </w:r>
            <w:r>
              <w:rPr>
                <w:rFonts w:ascii="Times New Roman" w:eastAsia="Times New Roman" w:hAnsi="Times New Roman" w:cs="Times New Roman"/>
                <w:b/>
                <w:bCs/>
                <w:kern w:val="0"/>
                <w:sz w:val="32"/>
                <w:szCs w:val="32"/>
                <w14:ligatures w14:val="none"/>
              </w:rPr>
              <w:br/>
              <w:t>Meeting Agenda</w:t>
            </w:r>
          </w:p>
        </w:tc>
        <w:tc>
          <w:tcPr>
            <w:tcW w:w="1250" w:type="pct"/>
            <w:tcMar>
              <w:top w:w="15" w:type="dxa"/>
              <w:left w:w="20" w:type="dxa"/>
              <w:bottom w:w="15"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r>
      <w:tr w:rsidR="006A685D">
        <w:tc>
          <w:tcPr>
            <w:tcW w:w="1250" w:type="pct"/>
            <w:tcMar>
              <w:top w:w="15" w:type="dxa"/>
              <w:left w:w="20" w:type="dxa"/>
              <w:bottom w:w="15"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0" w:type="pct"/>
            <w:tcMar>
              <w:top w:w="15" w:type="dxa"/>
              <w:left w:w="20" w:type="dxa"/>
              <w:bottom w:w="15" w:type="dxa"/>
              <w:right w:w="20" w:type="dxa"/>
            </w:tcMar>
          </w:tcPr>
          <w:p w:rsidR="006A685D" w:rsidRDefault="006A685D">
            <w:pPr>
              <w:spacing w:after="0" w:line="240" w:lineRule="auto"/>
              <w:jc w:val="center"/>
              <w:rPr>
                <w:rFonts w:ascii="Times New Roman" w:eastAsia="Times New Roman" w:hAnsi="Times New Roman" w:cs="Times New Roman"/>
                <w:kern w:val="0"/>
                <w:sz w:val="26"/>
                <w:szCs w:val="26"/>
                <w14:ligatures w14:val="none"/>
              </w:rPr>
            </w:pPr>
          </w:p>
        </w:tc>
        <w:tc>
          <w:tcPr>
            <w:tcW w:w="1250" w:type="pct"/>
            <w:tcMar>
              <w:top w:w="15" w:type="dxa"/>
              <w:left w:w="20" w:type="dxa"/>
              <w:bottom w:w="15"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r>
    </w:tbl>
    <w:p w:rsidR="006A685D" w:rsidRDefault="00661AB2">
      <w:pPr>
        <w:spacing w:after="0" w:line="240" w:lineRule="auto"/>
        <w:rPr>
          <w:rFonts w:ascii="Times New Roman" w:eastAsia="Times New Roman" w:hAnsi="Times New Roman" w:cs="Times New Roman"/>
          <w:kern w:val="0"/>
          <w:sz w:val="24"/>
          <w:szCs w:val="24"/>
          <w14:ligatures w14:val="none"/>
        </w:rPr>
      </w:pPr>
      <w:r>
        <w:pict>
          <v:rect id="_x0000_i1025"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4320"/>
        <w:gridCol w:w="2160"/>
        <w:gridCol w:w="4320"/>
      </w:tblGrid>
      <w:tr w:rsidR="006A685D">
        <w:tc>
          <w:tcPr>
            <w:tcW w:w="2000" w:type="pct"/>
            <w:tcMar>
              <w:top w:w="15" w:type="dxa"/>
              <w:left w:w="20" w:type="dxa"/>
              <w:bottom w:w="15"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Tuesday, February 24, 2026</w:t>
            </w:r>
          </w:p>
        </w:tc>
        <w:tc>
          <w:tcPr>
            <w:tcW w:w="1000" w:type="pct"/>
            <w:tcMar>
              <w:top w:w="15" w:type="dxa"/>
              <w:left w:w="20" w:type="dxa"/>
              <w:bottom w:w="15" w:type="dxa"/>
              <w:right w:w="20" w:type="dxa"/>
            </w:tcMar>
            <w:hideMark/>
          </w:tcPr>
          <w:p w:rsidR="006A685D" w:rsidRDefault="00661AB2">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1:30 PM</w:t>
            </w:r>
          </w:p>
        </w:tc>
        <w:tc>
          <w:tcPr>
            <w:tcW w:w="2000" w:type="pct"/>
            <w:tcMar>
              <w:top w:w="15" w:type="dxa"/>
              <w:left w:w="20" w:type="dxa"/>
              <w:bottom w:w="15" w:type="dxa"/>
              <w:right w:w="20" w:type="dxa"/>
            </w:tcMar>
            <w:hideMark/>
          </w:tcPr>
          <w:p w:rsidR="006A685D" w:rsidRDefault="00661AB2">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Council Chambers, Room N1-110</w:t>
            </w:r>
          </w:p>
        </w:tc>
      </w:tr>
    </w:tbl>
    <w:p w:rsidR="006A685D" w:rsidRDefault="00661AB2">
      <w:pPr>
        <w:spacing w:after="0" w:line="240" w:lineRule="auto"/>
        <w:rPr>
          <w:rFonts w:ascii="Times New Roman" w:eastAsia="Times New Roman" w:hAnsi="Times New Roman" w:cs="Times New Roman"/>
          <w:kern w:val="0"/>
          <w:sz w:val="24"/>
          <w:szCs w:val="24"/>
          <w14:ligatures w14:val="none"/>
        </w:rPr>
      </w:pPr>
      <w:r>
        <w:pict>
          <v:rect id="_x0000_i1026"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6A685D">
        <w:tc>
          <w:tcPr>
            <w:tcW w:w="5000" w:type="pct"/>
            <w:tcMar>
              <w:top w:w="15" w:type="dxa"/>
              <w:left w:w="20" w:type="dxa"/>
              <w:bottom w:w="15"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r>
      <w:tr w:rsidR="006A685D">
        <w:tc>
          <w:tcPr>
            <w:tcW w:w="5000" w:type="pct"/>
            <w:tcMar>
              <w:top w:w="15" w:type="dxa"/>
              <w:left w:w="20" w:type="dxa"/>
              <w:bottom w:w="15"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Upon request and with three working days’ notice, Salt Lake County will provide free auxiliary aids and services to qualified individuals (including sign language interpreters, alternative formats, etc.). For assistance, please call (385) 468-7500 – TTY 711.</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Meetings may be closed for reasons allowed by statute. Motions relating to any of the items listed below, including final action, may be taken.</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This meeting will be simulcast via Webex so the public and members of the Board may participate electronically. The link to access the Cisco Webex is listed below. The Board will also broadcast live-streams of its meetings on Facebook Live, which may be accessed at </w:t>
            </w:r>
            <w:hyperlink r:id="rId7" w:tgtFrame="_blank" w:history="1">
              <w:r>
                <w:rPr>
                  <w:rFonts w:ascii="Times New Roman" w:eastAsia="Times New Roman" w:hAnsi="Times New Roman" w:cs="Times New Roman"/>
                  <w:color w:val="0000EE"/>
                  <w:kern w:val="0"/>
                  <w:sz w:val="26"/>
                  <w:szCs w:val="26"/>
                  <w:u w:val="single" w:color="0000EE"/>
                  <w14:ligatures w14:val="none"/>
                </w:rPr>
                <w:t>http://www.facebook.com/slcocouncil/</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Cisco Webex link:</w:t>
            </w:r>
            <w:r>
              <w:rPr>
                <w:rFonts w:ascii="Times New Roman" w:eastAsia="Times New Roman" w:hAnsi="Times New Roman" w:cs="Times New Roman"/>
                <w:kern w:val="0"/>
                <w:sz w:val="26"/>
                <w:szCs w:val="26"/>
                <w14:ligatures w14:val="none"/>
              </w:rPr>
              <w:br/>
            </w:r>
            <w:hyperlink r:id="rId8" w:tgtFrame="_blank" w:history="1">
              <w:r>
                <w:rPr>
                  <w:rFonts w:ascii="Times New Roman" w:eastAsia="Times New Roman" w:hAnsi="Times New Roman" w:cs="Times New Roman"/>
                  <w:color w:val="0000EE"/>
                  <w:kern w:val="0"/>
                  <w:sz w:val="26"/>
                  <w:szCs w:val="26"/>
                  <w:u w:val="single" w:color="0000EE"/>
                  <w14:ligatures w14:val="none"/>
                </w:rPr>
                <w:t>https://slco.webex.com/weblink/register/r62e369fad3378c9fc5ed552d21cb4e8c</w:t>
              </w:r>
            </w:hyperlink>
            <w:hyperlink r:id="rId9" w:tgtFrame="_blank" w:history="1">
              <w:r>
                <w:rPr>
                  <w:rFonts w:ascii="Times New Roman" w:eastAsia="Times New Roman" w:hAnsi="Times New Roman" w:cs="Times New Roman"/>
                  <w:color w:val="0000EE"/>
                  <w:kern w:val="0"/>
                  <w:sz w:val="26"/>
                  <w:szCs w:val="26"/>
                  <w:u w:val="single" w:color="0000EE"/>
                  <w14:ligatures w14:val="none"/>
                </w:rPr>
                <w:br/>
              </w:r>
            </w:hyperlink>
            <w:r>
              <w:rPr>
                <w:rFonts w:ascii="Times New Roman" w:eastAsia="Times New Roman" w:hAnsi="Times New Roman" w:cs="Times New Roman"/>
                <w:color w:val="0000EE"/>
                <w:kern w:val="0"/>
                <w:sz w:val="26"/>
                <w:szCs w:val="26"/>
                <w:u w:val="single" w:color="0000EE"/>
                <w14:ligatures w14:val="none"/>
              </w:rPr>
              <w:br/>
            </w:r>
            <w:r>
              <w:rPr>
                <w:rFonts w:ascii="Times New Roman" w:eastAsia="Times New Roman" w:hAnsi="Times New Roman" w:cs="Times New Roman"/>
                <w:kern w:val="0"/>
                <w:sz w:val="26"/>
                <w:szCs w:val="26"/>
                <w14:ligatures w14:val="none"/>
              </w:rPr>
              <w:t xml:space="preserve">Further instructions about participating in this meeting can be found at </w:t>
            </w:r>
            <w:hyperlink r:id="rId10" w:tgtFrame="_blank" w:history="1">
              <w:r>
                <w:rPr>
                  <w:rFonts w:ascii="Times New Roman" w:eastAsia="Times New Roman" w:hAnsi="Times New Roman" w:cs="Times New Roman"/>
                  <w:color w:val="0000EE"/>
                  <w:kern w:val="0"/>
                  <w:sz w:val="26"/>
                  <w:szCs w:val="26"/>
                  <w:u w:val="single" w:color="0000EE"/>
                  <w14:ligatures w14:val="none"/>
                </w:rPr>
                <w:t>https://slco.org/council/agendas-minutes/</w:t>
              </w:r>
            </w:hyperlink>
            <w:r>
              <w:rPr>
                <w:rFonts w:ascii="Times New Roman" w:eastAsia="Times New Roman" w:hAnsi="Times New Roman" w:cs="Times New Roman"/>
                <w:kern w:val="0"/>
                <w:sz w:val="26"/>
                <w:szCs w:val="26"/>
                <w14:ligatures w14:val="none"/>
              </w:rPr>
              <w:t>. Minutes and recordings of past Board Meetings can be found at </w:t>
            </w:r>
            <w:hyperlink r:id="rId11" w:tgtFrame="_blank" w:history="1">
              <w:r>
                <w:rPr>
                  <w:rFonts w:ascii="Times New Roman" w:eastAsia="Times New Roman" w:hAnsi="Times New Roman" w:cs="Times New Roman"/>
                  <w:color w:val="0000EE"/>
                  <w:kern w:val="0"/>
                  <w:sz w:val="26"/>
                  <w:szCs w:val="26"/>
                  <w:u w:val="single" w:color="0000EE"/>
                  <w14:ligatures w14:val="none"/>
                </w:rPr>
                <w:t>https://saltlakecounty.portal.civicclerk.com/</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r>
          </w:p>
        </w:tc>
      </w:tr>
    </w:tbl>
    <w:p w:rsidR="006A685D" w:rsidRDefault="006A685D">
      <w:pPr>
        <w:rPr>
          <w:vanish/>
        </w:rPr>
      </w:pPr>
    </w:p>
    <w:tbl>
      <w:tblPr>
        <w:tblStyle w:val="table"/>
        <w:tblW w:w="5000" w:type="pct"/>
        <w:tblCellMar>
          <w:top w:w="30" w:type="dxa"/>
          <w:left w:w="30" w:type="dxa"/>
          <w:bottom w:w="30" w:type="dxa"/>
          <w:right w:w="30" w:type="dxa"/>
        </w:tblCellMar>
        <w:tblLook w:val="05E0" w:firstRow="1" w:lastRow="1" w:firstColumn="1" w:lastColumn="1" w:noHBand="0" w:noVBand="1"/>
      </w:tblPr>
      <w:tblGrid>
        <w:gridCol w:w="10800"/>
      </w:tblGrid>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6A685D">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w:t>
                  </w:r>
                </w:p>
              </w:tc>
              <w:tc>
                <w:tcPr>
                  <w:tcW w:w="47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CALL TO ORDER</w:t>
                  </w: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6A685D">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2.</w:t>
                  </w:r>
                </w:p>
              </w:tc>
              <w:tc>
                <w:tcPr>
                  <w:tcW w:w="47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PUBLIC COMMENT</w:t>
                  </w: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6A685D">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w:t>
                  </w:r>
                </w:p>
              </w:tc>
              <w:tc>
                <w:tcPr>
                  <w:tcW w:w="47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MINUTES</w:t>
                  </w: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3.1</w:t>
                  </w:r>
                </w:p>
              </w:tc>
              <w:tc>
                <w:tcPr>
                  <w:tcW w:w="350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Acceptance of BoE minutes for January 27, 2026</w:t>
                  </w:r>
                </w:p>
              </w:tc>
              <w:tc>
                <w:tcPr>
                  <w:tcW w:w="1000" w:type="pct"/>
                  <w:tcMar>
                    <w:top w:w="15" w:type="dxa"/>
                    <w:left w:w="20" w:type="dxa"/>
                    <w:bottom w:w="150" w:type="dxa"/>
                    <w:right w:w="20" w:type="dxa"/>
                  </w:tcMar>
                  <w:hideMark/>
                </w:tcPr>
                <w:p w:rsidR="006A685D" w:rsidRDefault="00661AB2">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26-165</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BoE Minutes</w:t>
                        </w:r>
                      </w:p>
                    </w:tc>
                  </w:tr>
                </w:tbl>
                <w:p w:rsidR="006A685D" w:rsidRDefault="006A685D">
                  <w:pPr>
                    <w:rPr>
                      <w:rFonts w:ascii="Times New Roman" w:eastAsia="Times New Roman" w:hAnsi="Times New Roman" w:cs="Times New Roman"/>
                      <w:kern w:val="0"/>
                      <w:sz w:val="26"/>
                      <w:szCs w:val="26"/>
                      <w14:ligatures w14:val="none"/>
                    </w:rPr>
                  </w:pP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6A685D">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w:t>
                  </w:r>
                </w:p>
              </w:tc>
              <w:tc>
                <w:tcPr>
                  <w:tcW w:w="47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ASSESSOR AND HEARING OFFICER RECOMMENDATIONS</w:t>
                  </w: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4.1</w:t>
                  </w:r>
                </w:p>
              </w:tc>
              <w:tc>
                <w:tcPr>
                  <w:tcW w:w="350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Approval of Assessor and Hearing Officer Recommendations</w:t>
                  </w:r>
                </w:p>
              </w:tc>
              <w:tc>
                <w:tcPr>
                  <w:tcW w:w="1000" w:type="pct"/>
                  <w:tcMar>
                    <w:top w:w="15" w:type="dxa"/>
                    <w:left w:w="20" w:type="dxa"/>
                    <w:bottom w:w="150" w:type="dxa"/>
                    <w:right w:w="20" w:type="dxa"/>
                  </w:tcMar>
                  <w:hideMark/>
                </w:tcPr>
                <w:p w:rsidR="006A685D" w:rsidRDefault="00661AB2">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26-180</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022426 Weekly Report</w:t>
                        </w:r>
                      </w:p>
                    </w:tc>
                  </w:tr>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022426 Weekly Counts</w:t>
                        </w:r>
                      </w:p>
                    </w:tc>
                  </w:tr>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022426 BoE Value Adjustments</w:t>
                        </w:r>
                      </w:p>
                    </w:tc>
                  </w:tr>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4.</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022426 Tax Relief Adjustments - Redacted</w:t>
                        </w:r>
                      </w:p>
                    </w:tc>
                  </w:tr>
                </w:tbl>
                <w:p w:rsidR="006A685D" w:rsidRDefault="006A685D">
                  <w:pPr>
                    <w:rPr>
                      <w:rFonts w:ascii="Times New Roman" w:eastAsia="Times New Roman" w:hAnsi="Times New Roman" w:cs="Times New Roman"/>
                      <w:kern w:val="0"/>
                      <w:sz w:val="26"/>
                      <w:szCs w:val="26"/>
                      <w14:ligatures w14:val="none"/>
                    </w:rPr>
                  </w:pP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6A685D">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lastRenderedPageBreak/>
                    <w:t>5.</w:t>
                  </w:r>
                </w:p>
              </w:tc>
              <w:tc>
                <w:tcPr>
                  <w:tcW w:w="47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SIGNIFICANT ADJUSTMENTS</w:t>
                  </w: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5.1</w:t>
                  </w:r>
                </w:p>
              </w:tc>
              <w:tc>
                <w:tcPr>
                  <w:tcW w:w="350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Significant Adjustment</w:t>
                  </w:r>
                </w:p>
              </w:tc>
              <w:tc>
                <w:tcPr>
                  <w:tcW w:w="1000" w:type="pct"/>
                  <w:tcMar>
                    <w:top w:w="15" w:type="dxa"/>
                    <w:left w:w="20" w:type="dxa"/>
                    <w:bottom w:w="150" w:type="dxa"/>
                    <w:right w:w="20" w:type="dxa"/>
                  </w:tcMar>
                  <w:hideMark/>
                </w:tcPr>
                <w:p w:rsidR="006A685D" w:rsidRDefault="00661AB2">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26-181</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022426 Significant Adj Image</w:t>
                        </w:r>
                      </w:p>
                    </w:tc>
                  </w:tr>
                </w:tbl>
                <w:p w:rsidR="006A685D" w:rsidRDefault="006A685D">
                  <w:pPr>
                    <w:rPr>
                      <w:rFonts w:ascii="Times New Roman" w:eastAsia="Times New Roman" w:hAnsi="Times New Roman" w:cs="Times New Roman"/>
                      <w:kern w:val="0"/>
                      <w:sz w:val="26"/>
                      <w:szCs w:val="26"/>
                      <w14:ligatures w14:val="none"/>
                    </w:rPr>
                  </w:pP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6A685D">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w:t>
                  </w:r>
                </w:p>
              </w:tc>
              <w:tc>
                <w:tcPr>
                  <w:tcW w:w="47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LATE APPEALS</w:t>
                  </w: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6.1</w:t>
                  </w:r>
                </w:p>
              </w:tc>
              <w:tc>
                <w:tcPr>
                  <w:tcW w:w="350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Late Appeals</w:t>
                  </w:r>
                </w:p>
              </w:tc>
              <w:tc>
                <w:tcPr>
                  <w:tcW w:w="1000" w:type="pct"/>
                  <w:tcMar>
                    <w:top w:w="15" w:type="dxa"/>
                    <w:left w:w="20" w:type="dxa"/>
                    <w:bottom w:w="150" w:type="dxa"/>
                    <w:right w:w="20" w:type="dxa"/>
                  </w:tcMar>
                  <w:hideMark/>
                </w:tcPr>
                <w:p w:rsidR="006A685D" w:rsidRDefault="00661AB2">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26-166</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022426 Late Appeals</w:t>
                        </w:r>
                      </w:p>
                    </w:tc>
                  </w:tr>
                </w:tbl>
                <w:p w:rsidR="006A685D" w:rsidRDefault="006A685D">
                  <w:pPr>
                    <w:rPr>
                      <w:rFonts w:ascii="Times New Roman" w:eastAsia="Times New Roman" w:hAnsi="Times New Roman" w:cs="Times New Roman"/>
                      <w:kern w:val="0"/>
                      <w:sz w:val="26"/>
                      <w:szCs w:val="26"/>
                      <w14:ligatures w14:val="none"/>
                    </w:rPr>
                  </w:pP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6A685D">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w:t>
                  </w:r>
                </w:p>
              </w:tc>
              <w:tc>
                <w:tcPr>
                  <w:tcW w:w="47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EXEMPT PROPERTY RECOMMENDATIONS</w:t>
                  </w: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7.1</w:t>
                  </w:r>
                </w:p>
              </w:tc>
              <w:tc>
                <w:tcPr>
                  <w:tcW w:w="350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Recommendations on Exempt Property for Tax Year 2025</w:t>
                  </w:r>
                </w:p>
              </w:tc>
              <w:tc>
                <w:tcPr>
                  <w:tcW w:w="1000" w:type="pct"/>
                  <w:tcMar>
                    <w:top w:w="15" w:type="dxa"/>
                    <w:left w:w="20" w:type="dxa"/>
                    <w:bottom w:w="150" w:type="dxa"/>
                    <w:right w:w="20" w:type="dxa"/>
                  </w:tcMar>
                  <w:hideMark/>
                </w:tcPr>
                <w:p w:rsidR="006A685D" w:rsidRDefault="00661AB2">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26-167</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6A685D">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rsidR="006A685D" w:rsidRDefault="006A685D">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6A685D">
                    <w:tc>
                      <w:tcPr>
                        <w:tcW w:w="610" w:type="dxa"/>
                        <w:noWrap/>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022426 Exempt Property</w:t>
                        </w:r>
                      </w:p>
                    </w:tc>
                  </w:tr>
                </w:tbl>
                <w:p w:rsidR="006A685D" w:rsidRDefault="006A685D">
                  <w:pPr>
                    <w:rPr>
                      <w:rFonts w:ascii="Times New Roman" w:eastAsia="Times New Roman" w:hAnsi="Times New Roman" w:cs="Times New Roman"/>
                      <w:kern w:val="0"/>
                      <w:sz w:val="26"/>
                      <w:szCs w:val="26"/>
                      <w14:ligatures w14:val="none"/>
                    </w:rPr>
                  </w:pPr>
                </w:p>
              </w:tc>
            </w:tr>
          </w:tbl>
          <w:p w:rsidR="006A685D" w:rsidRDefault="006A685D">
            <w:pPr>
              <w:rPr>
                <w:rFonts w:ascii="Times New Roman" w:eastAsia="Times New Roman" w:hAnsi="Times New Roman" w:cs="Times New Roman"/>
                <w:kern w:val="0"/>
                <w:sz w:val="24"/>
                <w:szCs w:val="24"/>
                <w14:ligatures w14:val="none"/>
              </w:rPr>
            </w:pPr>
          </w:p>
        </w:tc>
      </w:tr>
      <w:tr w:rsidR="006A685D">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6A685D">
              <w:tc>
                <w:tcPr>
                  <w:tcW w:w="5000" w:type="pct"/>
                  <w:tcMar>
                    <w:top w:w="15" w:type="dxa"/>
                    <w:left w:w="20" w:type="dxa"/>
                    <w:bottom w:w="150"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690"/>
                  </w:tblGrid>
                  <w:tr w:rsidR="006A685D">
                    <w:tc>
                      <w:tcPr>
                        <w:tcW w:w="5000" w:type="pct"/>
                        <w:tcMar>
                          <w:top w:w="15" w:type="dxa"/>
                          <w:left w:w="20" w:type="dxa"/>
                          <w:bottom w:w="150" w:type="dxa"/>
                          <w:right w:w="20" w:type="dxa"/>
                        </w:tcMar>
                        <w:hideMark/>
                      </w:tcPr>
                      <w:p w:rsidR="006A685D" w:rsidRDefault="00661AB2">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ADJOURN</w:t>
                        </w:r>
                      </w:p>
                    </w:tc>
                  </w:tr>
                </w:tbl>
                <w:p w:rsidR="006A685D" w:rsidRDefault="006A685D">
                  <w:pPr>
                    <w:pBdr>
                      <w:top w:val="none" w:sz="0" w:space="3" w:color="auto"/>
                    </w:pBdr>
                    <w:spacing w:after="0" w:line="240" w:lineRule="auto"/>
                    <w:rPr>
                      <w:rFonts w:ascii="Times New Roman" w:eastAsia="Times New Roman" w:hAnsi="Times New Roman" w:cs="Times New Roman"/>
                      <w:kern w:val="0"/>
                      <w:sz w:val="26"/>
                      <w:szCs w:val="26"/>
                      <w14:ligatures w14:val="none"/>
                    </w:rPr>
                  </w:pPr>
                </w:p>
              </w:tc>
            </w:tr>
          </w:tbl>
          <w:p w:rsidR="006A685D" w:rsidRDefault="006A685D">
            <w:pPr>
              <w:rPr>
                <w:rFonts w:ascii="Times New Roman" w:eastAsia="Times New Roman" w:hAnsi="Times New Roman" w:cs="Times New Roman"/>
                <w:kern w:val="0"/>
                <w:sz w:val="24"/>
                <w:szCs w:val="24"/>
                <w14:ligatures w14:val="none"/>
              </w:rPr>
            </w:pPr>
          </w:p>
        </w:tc>
      </w:tr>
    </w:tbl>
    <w:p w:rsidR="00295B94" w:rsidRDefault="00295B94"/>
    <w:sectPr w:rsidR="00295B94" w:rsidSect="00EE23E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AB2" w:rsidRDefault="00661AB2">
      <w:pPr>
        <w:spacing w:after="0" w:line="240" w:lineRule="auto"/>
      </w:pPr>
      <w:r>
        <w:separator/>
      </w:r>
    </w:p>
  </w:endnote>
  <w:endnote w:type="continuationSeparator" w:id="0">
    <w:p w:rsidR="00661AB2" w:rsidRDefault="0066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EE" w:rsidRDefault="00EE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51" w:rsidRDefault="00661AB2" w:rsidP="00295B94">
    <w:pPr>
      <w:pStyle w:val="Footer"/>
      <w:jc w:val="right"/>
    </w:pPr>
    <w:r w:rsidRPr="00D14685">
      <w:rPr>
        <w:rFonts w:cstheme="minorHAnsi"/>
        <w:noProof/>
      </w:rPr>
      <mc:AlternateContent>
        <mc:Choice Requires="wps">
          <w:drawing>
            <wp:anchor distT="0" distB="0" distL="0" distR="0" simplePos="0" relativeHeight="251656704" behindDoc="1" locked="0" layoutInCell="1" allowOverlap="1">
              <wp:simplePos x="0" y="0"/>
              <wp:positionH relativeFrom="page">
                <wp:posOffset>457200</wp:posOffset>
              </wp:positionH>
              <wp:positionV relativeFrom="paragraph">
                <wp:posOffset>190500</wp:posOffset>
              </wp:positionV>
              <wp:extent cx="6896100" cy="18415"/>
              <wp:effectExtent l="0" t="0" r="0" b="0"/>
              <wp:wrapTopAndBottom/>
              <wp:docPr id="8"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0" style="width:543pt;height:1.45pt;margin-top:1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p>
  <w:p w:rsidR="00295B94" w:rsidRPr="00295B94" w:rsidRDefault="00295B94" w:rsidP="00295B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94" w:rsidRDefault="00661AB2" w:rsidP="00295B94">
    <w:pPr>
      <w:pStyle w:val="Footer"/>
      <w:jc w:val="right"/>
    </w:pPr>
    <w:r w:rsidRPr="00D14685">
      <w:rPr>
        <w:rFonts w:cstheme="minorHAnsi"/>
        <w:noProof/>
      </w:rPr>
      <mc:AlternateContent>
        <mc:Choice Requires="wps">
          <w:drawing>
            <wp:anchor distT="0" distB="0" distL="0" distR="0" simplePos="0" relativeHeight="251658752" behindDoc="1" locked="0" layoutInCell="1" allowOverlap="1">
              <wp:simplePos x="0" y="0"/>
              <wp:positionH relativeFrom="page">
                <wp:posOffset>457200</wp:posOffset>
              </wp:positionH>
              <wp:positionV relativeFrom="paragraph">
                <wp:posOffset>190500</wp:posOffset>
              </wp:positionV>
              <wp:extent cx="6896100" cy="18415"/>
              <wp:effectExtent l="0" t="0" r="0" b="0"/>
              <wp:wrapTopAndBottom/>
              <wp:docPr id="67133314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1" style="width:543pt;height:1.45pt;margin-top:15pt;margin-left:36pt;mso-position-horizontal-relative:page;mso-wrap-distance-bottom:0;mso-wrap-distance-left:0;mso-wrap-distance-right:0;mso-wrap-distance-top:0;mso-wrap-style:square;position:absolute;v-text-anchor:top;visibility:visible;z-index:-251655168" coordsize="6896100,18415" path="m6895846,l,,,18288l6895846,18288l6895846,xe" fillcolor="black" stroked="f">
              <v:path arrowok="t"/>
              <w10:wrap type="topAndBottom"/>
            </v:shape>
          </w:pict>
        </mc:Fallback>
      </mc:AlternateContent>
    </w:r>
  </w:p>
  <w:p w:rsidR="00295B94" w:rsidRPr="00295B94" w:rsidRDefault="00295B94" w:rsidP="0029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AB2" w:rsidRDefault="00661AB2">
      <w:pPr>
        <w:spacing w:after="0" w:line="240" w:lineRule="auto"/>
      </w:pPr>
      <w:r>
        <w:separator/>
      </w:r>
    </w:p>
  </w:footnote>
  <w:footnote w:type="continuationSeparator" w:id="0">
    <w:p w:rsidR="00661AB2" w:rsidRDefault="0066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EE" w:rsidRDefault="00EE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94" w:rsidRPr="00295B94" w:rsidRDefault="00661AB2" w:rsidP="00295B94">
    <w:pPr>
      <w:pStyle w:val="Header"/>
      <w:tabs>
        <w:tab w:val="clear" w:pos="4680"/>
        <w:tab w:val="clear" w:pos="9360"/>
        <w:tab w:val="center" w:pos="5400"/>
        <w:tab w:val="right" w:pos="10800"/>
      </w:tabs>
      <w:rPr>
        <w:rFonts w:ascii="Times New Roman" w:hAnsi="Times New Roman" w:cs="Times New Roman"/>
        <w:b/>
        <w:bCs/>
      </w:rPr>
    </w:pPr>
    <w:r w:rsidRPr="00D14685">
      <w:rPr>
        <w:rFonts w:cstheme="minorHAnsi"/>
        <w:noProof/>
      </w:rPr>
      <mc:AlternateContent>
        <mc:Choice Requires="wps">
          <w:drawing>
            <wp:anchor distT="0" distB="0" distL="0" distR="0" simplePos="0" relativeHeight="251657728" behindDoc="1" locked="0" layoutInCell="1" allowOverlap="1">
              <wp:simplePos x="0" y="0"/>
              <wp:positionH relativeFrom="page">
                <wp:posOffset>457200</wp:posOffset>
              </wp:positionH>
              <wp:positionV relativeFrom="paragraph">
                <wp:posOffset>198755</wp:posOffset>
              </wp:positionV>
              <wp:extent cx="6896100" cy="18415"/>
              <wp:effectExtent l="0" t="0" r="0" b="0"/>
              <wp:wrapTopAndBottom/>
              <wp:docPr id="196856916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49" style="width:543pt;height:1.45pt;margin-top:15.6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r w:rsidRPr="00295B94">
      <w:rPr>
        <w:rFonts w:ascii="Times New Roman" w:hAnsi="Times New Roman" w:cs="Times New Roman"/>
        <w:b/>
        <w:bCs/>
      </w:rPr>
      <w:t>Board of Equalization</w:t>
    </w:r>
    <w:r w:rsidRPr="00295B94">
      <w:rPr>
        <w:rFonts w:ascii="Times New Roman" w:hAnsi="Times New Roman" w:cs="Times New Roman"/>
        <w:b/>
        <w:bCs/>
      </w:rPr>
      <w:tab/>
      <w:t>Meeting Agenda</w:t>
    </w:r>
    <w:r w:rsidRPr="00295B94">
      <w:rPr>
        <w:rFonts w:ascii="Times New Roman" w:hAnsi="Times New Roman" w:cs="Times New Roman"/>
        <w:b/>
        <w:bCs/>
      </w:rPr>
      <w:tab/>
      <w:t>February 24, 2026</w:t>
    </w:r>
  </w:p>
  <w:p w:rsidR="00295B94" w:rsidRDefault="00295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3EE" w:rsidRDefault="00EE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51"/>
    <w:rsid w:val="00190259"/>
    <w:rsid w:val="00240180"/>
    <w:rsid w:val="00295B94"/>
    <w:rsid w:val="005201C6"/>
    <w:rsid w:val="005843E1"/>
    <w:rsid w:val="00661AB2"/>
    <w:rsid w:val="006A685D"/>
    <w:rsid w:val="007C45E2"/>
    <w:rsid w:val="00A0654A"/>
    <w:rsid w:val="00C31107"/>
    <w:rsid w:val="00E13A69"/>
    <w:rsid w:val="00EE23EE"/>
    <w:rsid w:val="00F041DC"/>
    <w:rsid w:val="00F16D51"/>
    <w:rsid w:val="00F17ACC"/>
    <w:rsid w:val="00FA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09341-1D7C-43BD-B12F-B64FA099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51"/>
    <w:rPr>
      <w:rFonts w:eastAsiaTheme="majorEastAsia" w:cstheme="majorBidi"/>
      <w:color w:val="272727" w:themeColor="text1" w:themeTint="D8"/>
    </w:rPr>
  </w:style>
  <w:style w:type="paragraph" w:styleId="Title">
    <w:name w:val="Title"/>
    <w:basedOn w:val="Normal"/>
    <w:next w:val="Normal"/>
    <w:link w:val="TitleChar"/>
    <w:uiPriority w:val="10"/>
    <w:qFormat/>
    <w:rsid w:val="00F1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51"/>
    <w:pPr>
      <w:spacing w:before="160"/>
      <w:jc w:val="center"/>
    </w:pPr>
    <w:rPr>
      <w:i/>
      <w:iCs/>
      <w:color w:val="404040" w:themeColor="text1" w:themeTint="BF"/>
    </w:rPr>
  </w:style>
  <w:style w:type="character" w:customStyle="1" w:styleId="QuoteChar">
    <w:name w:val="Quote Char"/>
    <w:basedOn w:val="DefaultParagraphFont"/>
    <w:link w:val="Quote"/>
    <w:uiPriority w:val="29"/>
    <w:rsid w:val="00F16D51"/>
    <w:rPr>
      <w:i/>
      <w:iCs/>
      <w:color w:val="404040" w:themeColor="text1" w:themeTint="BF"/>
    </w:rPr>
  </w:style>
  <w:style w:type="paragraph" w:styleId="ListParagraph">
    <w:name w:val="List Paragraph"/>
    <w:basedOn w:val="Normal"/>
    <w:uiPriority w:val="34"/>
    <w:qFormat/>
    <w:rsid w:val="00F16D51"/>
    <w:pPr>
      <w:ind w:left="720"/>
      <w:contextualSpacing/>
    </w:pPr>
  </w:style>
  <w:style w:type="character" w:styleId="IntenseEmphasis">
    <w:name w:val="Intense Emphasis"/>
    <w:basedOn w:val="DefaultParagraphFont"/>
    <w:uiPriority w:val="21"/>
    <w:qFormat/>
    <w:rsid w:val="00F16D51"/>
    <w:rPr>
      <w:i/>
      <w:iCs/>
      <w:color w:val="0F4761" w:themeColor="accent1" w:themeShade="BF"/>
    </w:rPr>
  </w:style>
  <w:style w:type="paragraph" w:styleId="IntenseQuote">
    <w:name w:val="Intense Quote"/>
    <w:basedOn w:val="Normal"/>
    <w:next w:val="Normal"/>
    <w:link w:val="IntenseQuoteChar"/>
    <w:uiPriority w:val="30"/>
    <w:qFormat/>
    <w:rsid w:val="00F1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51"/>
    <w:rPr>
      <w:i/>
      <w:iCs/>
      <w:color w:val="0F4761" w:themeColor="accent1" w:themeShade="BF"/>
    </w:rPr>
  </w:style>
  <w:style w:type="character" w:styleId="IntenseReference">
    <w:name w:val="Intense Reference"/>
    <w:basedOn w:val="DefaultParagraphFont"/>
    <w:uiPriority w:val="32"/>
    <w:qFormat/>
    <w:rsid w:val="00F16D51"/>
    <w:rPr>
      <w:b/>
      <w:bCs/>
      <w:smallCaps/>
      <w:color w:val="0F4761" w:themeColor="accent1" w:themeShade="BF"/>
      <w:spacing w:val="5"/>
    </w:rPr>
  </w:style>
  <w:style w:type="paragraph" w:styleId="Header">
    <w:name w:val="header"/>
    <w:basedOn w:val="Normal"/>
    <w:link w:val="HeaderChar"/>
    <w:uiPriority w:val="99"/>
    <w:unhideWhenUsed/>
    <w:rsid w:val="00F1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51"/>
  </w:style>
  <w:style w:type="paragraph" w:styleId="Footer">
    <w:name w:val="footer"/>
    <w:basedOn w:val="Normal"/>
    <w:link w:val="FooterChar"/>
    <w:uiPriority w:val="99"/>
    <w:unhideWhenUsed/>
    <w:rsid w:val="00F1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51"/>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co.webex.com/weblink/register/r62e369fad3378c9fc5ed552d21cb4e8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slcocounci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altlakecounty.portal.civiccler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slco.org/council/agendas-minut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lco.webex.com/weblink/register/reeb1df1dfade810ed247046b1ad65c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Company>CivicPlus</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Snyder</dc:creator>
  <cp:lastModifiedBy>Alex Morrison</cp:lastModifiedBy>
  <cp:revision>2</cp:revision>
  <cp:lastPrinted>2026-02-19T19:42:00Z</cp:lastPrinted>
  <dcterms:created xsi:type="dcterms:W3CDTF">2026-02-20T16:35:00Z</dcterms:created>
  <dcterms:modified xsi:type="dcterms:W3CDTF">2026-02-20T16:35:00Z</dcterms:modified>
</cp:coreProperties>
</file>