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UINTAH RIVER HIGH SCHOOL</w:t>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Land Trust Plan 2026-27</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bCs w:val="1"/>
          <w:sz w:val="24"/>
          <w:szCs w:val="24"/>
          <w:u w:val="single"/>
        </w:rPr>
      </w:pPr>
      <w:r w:rsidDel="00000000" w:rsidR="00000000" w:rsidRPr="00000000">
        <w:rPr>
          <w:b w:val="1"/>
          <w:bCs w:val="1"/>
          <w:sz w:val="24"/>
          <w:szCs w:val="24"/>
          <w:u w:val="single"/>
          <w:rtl w:val="0"/>
        </w:rPr>
        <w:t xml:space="preserve">A. Goal #1</w:t>
      </w:r>
    </w:p>
    <w:p w:rsidR="00000000" w:rsidDel="00000000" w:rsidP="00000000" w:rsidRDefault="00000000" w:rsidRPr="00000000" w14:paraId="00000005">
      <w:pPr>
        <w:rPr>
          <w:sz w:val="24"/>
          <w:szCs w:val="24"/>
        </w:rPr>
      </w:pPr>
      <w:r w:rsidDel="00000000" w:rsidR="00000000" w:rsidRPr="00000000">
        <w:rPr>
          <w:sz w:val="24"/>
          <w:szCs w:val="24"/>
          <w:rtl w:val="0"/>
        </w:rPr>
        <w:t xml:space="preserve">By the end of 2026-27, the school will increase the percentage of students achieving a targeted growth goal of one grade level in mathematics by 10% as compared to the previous year’s growth and measured by data gathered from IXL assessments.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B. Academic Area</w:t>
      </w:r>
    </w:p>
    <w:p w:rsidR="00000000" w:rsidDel="00000000" w:rsidP="00000000" w:rsidRDefault="00000000" w:rsidRPr="00000000" w14:paraId="00000008">
      <w:pPr>
        <w:rPr>
          <w:sz w:val="24"/>
          <w:szCs w:val="24"/>
        </w:rPr>
      </w:pPr>
      <w:r w:rsidDel="00000000" w:rsidR="00000000" w:rsidRPr="00000000">
        <w:rPr>
          <w:sz w:val="24"/>
          <w:szCs w:val="24"/>
          <w:rtl w:val="0"/>
        </w:rPr>
        <w:t xml:space="preserve">Mathematics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u w:val="single"/>
          <w:rtl w:val="0"/>
        </w:rPr>
        <w:t xml:space="preserve">Data and Indicators Supporting the Decision to Identify this Academic Area</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Board of Directors, acting as the Trust Lands Council at Uintah River High School, reviewed IXL assessment data from 2024-25 and data from progress monitoring during the 2025-26 school year. While the data indicate that certain percentages of students have met growth goals in Tier I, Tier II, and Tier III, many students have not met the goal of one year’s growth and remain below grade-level proficiency in mathematics.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u w:val="single"/>
        </w:rPr>
      </w:pPr>
      <w:r w:rsidDel="00000000" w:rsidR="00000000" w:rsidRPr="00000000">
        <w:rPr>
          <w:b w:val="1"/>
          <w:bCs w:val="1"/>
          <w:sz w:val="24"/>
          <w:szCs w:val="24"/>
          <w:u w:val="single"/>
          <w:rtl w:val="0"/>
        </w:rPr>
        <w:t xml:space="preserve">C. Specific Measurements</w:t>
      </w:r>
    </w:p>
    <w:p w:rsidR="00000000" w:rsidDel="00000000" w:rsidP="00000000" w:rsidRDefault="00000000" w:rsidRPr="00000000" w14:paraId="0000000E">
      <w:pPr>
        <w:rPr>
          <w:sz w:val="24"/>
          <w:szCs w:val="24"/>
        </w:rPr>
      </w:pPr>
      <w:r w:rsidDel="00000000" w:rsidR="00000000" w:rsidRPr="00000000">
        <w:rPr>
          <w:sz w:val="24"/>
          <w:szCs w:val="24"/>
          <w:rtl w:val="0"/>
        </w:rPr>
        <w:t xml:space="preserve">The school will use data from IXL assessments to identify students’ proficiency levels and knowledge gaps in mathematics. This data will then be used to provide targeted interventions. The school will gather benchmark data and monitor student growth and proficiency levels in math throughout the school year using IXL assessments.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4"/>
          <w:szCs w:val="24"/>
          <w:u w:val="single"/>
          <w:rtl w:val="0"/>
        </w:rPr>
        <w:t xml:space="preserve">D. Action Plan</w:t>
      </w:r>
      <w:r w:rsidDel="00000000" w:rsidR="00000000" w:rsidRPr="00000000">
        <w:rPr>
          <w:rtl w:val="0"/>
        </w:rPr>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Using the IXL screener, teachers will identify students who are performing below proficiency in mathematics at the beginning of school year 2026-27. </w:t>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sz w:val="24"/>
          <w:szCs w:val="24"/>
          <w:rtl w:val="0"/>
        </w:rPr>
        <w:t xml:space="preserve">Students identified as needing targeted interventions in mathematics will receive those interventions through the school’s MTSS program. </w:t>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sz w:val="24"/>
          <w:szCs w:val="24"/>
          <w:rtl w:val="0"/>
        </w:rPr>
        <w:t xml:space="preserve">Teachers and paraprofessionals will monitor students’ progress throughout the 2026-27 school year using the IXL progress monitoring tool.</w:t>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Paraprofessionals will provide targeted interventions, and teachers will adjust their instruction according to data gathered through progress monitoring.</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Teachers will meet as a PLC to analyze data provided by progress monitoring and to make data-informed decisions about instruction. </w:t>
      </w:r>
    </w:p>
    <w:p w:rsidR="00000000" w:rsidDel="00000000" w:rsidP="00000000" w:rsidRDefault="00000000" w:rsidRPr="00000000" w14:paraId="00000016">
      <w:pPr>
        <w:numPr>
          <w:ilvl w:val="0"/>
          <w:numId w:val="1"/>
        </w:numPr>
        <w:ind w:left="720" w:hanging="360"/>
        <w:rPr>
          <w:sz w:val="24"/>
          <w:szCs w:val="24"/>
        </w:rPr>
      </w:pPr>
      <w:r w:rsidDel="00000000" w:rsidR="00000000" w:rsidRPr="00000000">
        <w:rPr>
          <w:sz w:val="24"/>
          <w:szCs w:val="24"/>
          <w:rtl w:val="0"/>
        </w:rPr>
        <w:t xml:space="preserve">The Administration will require all teachers and paraprofessionals to attend training and professional development meetings related to assessment tools, progress monitoring, and targeted interventions throughout the 2026-27 school year. </w:t>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The Administration will ensure that paraprofessionals are hired according to the school’s policies.</w:t>
      </w:r>
    </w:p>
    <w:p w:rsidR="00000000" w:rsidDel="00000000" w:rsidP="00000000" w:rsidRDefault="00000000" w:rsidRPr="00000000" w14:paraId="00000018">
      <w:pPr>
        <w:numPr>
          <w:ilvl w:val="0"/>
          <w:numId w:val="1"/>
        </w:numPr>
        <w:ind w:left="720" w:hanging="360"/>
        <w:rPr>
          <w:sz w:val="24"/>
          <w:szCs w:val="24"/>
        </w:rPr>
      </w:pPr>
      <w:r w:rsidDel="00000000" w:rsidR="00000000" w:rsidRPr="00000000">
        <w:rPr>
          <w:sz w:val="24"/>
          <w:szCs w:val="24"/>
          <w:rtl w:val="0"/>
        </w:rPr>
        <w:t xml:space="preserve">The Administration will also ensure equitable digital access for all students at the school and access to technology-supported learning.</w:t>
      </w:r>
    </w:p>
    <w:p w:rsidR="00000000" w:rsidDel="00000000" w:rsidP="00000000" w:rsidRDefault="00000000" w:rsidRPr="00000000" w14:paraId="00000019">
      <w:pPr>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A">
      <w:pPr>
        <w:rPr>
          <w:b w:val="1"/>
          <w:bCs w:val="1"/>
          <w:sz w:val="24"/>
          <w:szCs w:val="24"/>
          <w:u w:val="single"/>
        </w:rPr>
      </w:pPr>
      <w:r w:rsidDel="00000000" w:rsidR="00000000" w:rsidRPr="00000000">
        <w:rPr>
          <w:b w:val="1"/>
          <w:bCs w:val="1"/>
          <w:sz w:val="24"/>
          <w:szCs w:val="24"/>
          <w:u w:val="single"/>
          <w:rtl w:val="0"/>
        </w:rPr>
        <w:t xml:space="preserve">A. Goal #2</w:t>
      </w:r>
    </w:p>
    <w:p w:rsidR="00000000" w:rsidDel="00000000" w:rsidP="00000000" w:rsidRDefault="00000000" w:rsidRPr="00000000" w14:paraId="0000001B">
      <w:pPr>
        <w:rPr>
          <w:sz w:val="24"/>
          <w:szCs w:val="24"/>
        </w:rPr>
      </w:pPr>
      <w:r w:rsidDel="00000000" w:rsidR="00000000" w:rsidRPr="00000000">
        <w:rPr>
          <w:sz w:val="24"/>
          <w:szCs w:val="24"/>
          <w:rtl w:val="0"/>
        </w:rPr>
        <w:t xml:space="preserve">By the end of 2026-27, the school will increase the percentage of students achieving a targeted growth goal of one grade level in English Language Arts by 10% as compared to the previous year’s growth and measured by data gathered from IXL assessments.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bCs w:val="1"/>
          <w:sz w:val="24"/>
          <w:szCs w:val="24"/>
          <w:u w:val="single"/>
        </w:rPr>
      </w:pPr>
      <w:r w:rsidDel="00000000" w:rsidR="00000000" w:rsidRPr="00000000">
        <w:rPr>
          <w:b w:val="1"/>
          <w:bCs w:val="1"/>
          <w:sz w:val="24"/>
          <w:szCs w:val="24"/>
          <w:u w:val="single"/>
          <w:rtl w:val="0"/>
        </w:rPr>
        <w:t xml:space="preserve">B. Academic Area</w:t>
      </w:r>
    </w:p>
    <w:p w:rsidR="00000000" w:rsidDel="00000000" w:rsidP="00000000" w:rsidRDefault="00000000" w:rsidRPr="00000000" w14:paraId="0000001E">
      <w:pPr>
        <w:rPr>
          <w:sz w:val="24"/>
          <w:szCs w:val="24"/>
        </w:rPr>
      </w:pPr>
      <w:r w:rsidDel="00000000" w:rsidR="00000000" w:rsidRPr="00000000">
        <w:rPr>
          <w:sz w:val="24"/>
          <w:szCs w:val="24"/>
          <w:rtl w:val="0"/>
        </w:rPr>
        <w:t xml:space="preserve">English Language Arts</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u w:val="single"/>
          <w:rtl w:val="0"/>
        </w:rPr>
        <w:t xml:space="preserve">Data and Indicators Supporting the Decision to Identify this Academic Area</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The Board of Directors, acting as the Trust Lands Council at Uintah River High School, reviewed IXL assessment data from 2024-25 and data from progress monitoring during the 2025-26 school year. While the data indicated that certain percentages of students have met growth goals in Tier I, Tier II, and Tier III, many students have not met the goal of one year’s growth and remain below grade-level proficiency in English Language Arts.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bCs w:val="1"/>
          <w:sz w:val="24"/>
          <w:szCs w:val="24"/>
          <w:u w:val="single"/>
        </w:rPr>
      </w:pPr>
      <w:r w:rsidDel="00000000" w:rsidR="00000000" w:rsidRPr="00000000">
        <w:rPr>
          <w:b w:val="1"/>
          <w:bCs w:val="1"/>
          <w:sz w:val="24"/>
          <w:szCs w:val="24"/>
          <w:u w:val="single"/>
          <w:rtl w:val="0"/>
        </w:rPr>
        <w:t xml:space="preserve">C. Specific Measurements</w:t>
      </w:r>
    </w:p>
    <w:p w:rsidR="00000000" w:rsidDel="00000000" w:rsidP="00000000" w:rsidRDefault="00000000" w:rsidRPr="00000000" w14:paraId="00000024">
      <w:pPr>
        <w:rPr>
          <w:b w:val="1"/>
          <w:bCs w:val="1"/>
          <w:sz w:val="24"/>
          <w:szCs w:val="24"/>
          <w:u w:val="single"/>
        </w:rPr>
      </w:pPr>
      <w:r w:rsidDel="00000000" w:rsidR="00000000" w:rsidRPr="00000000">
        <w:rPr>
          <w:sz w:val="24"/>
          <w:szCs w:val="24"/>
          <w:rtl w:val="0"/>
        </w:rPr>
        <w:t xml:space="preserve">The school will use data from IXL assessments to identify students’ proficiency levels and knowledge gaps in English Language Arts. This data will then be used to provide targeted interventions. The school will gather benchmark data and monitor student growth and proficiency levels in ELA throughout the school year using IXL assessments.</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b w:val="1"/>
          <w:bCs w:val="1"/>
          <w:sz w:val="24"/>
          <w:szCs w:val="24"/>
          <w:u w:val="single"/>
          <w:rtl w:val="0"/>
        </w:rPr>
        <w:t xml:space="preserve">D. Action Plan</w:t>
      </w:r>
      <w:r w:rsidDel="00000000" w:rsidR="00000000" w:rsidRPr="00000000">
        <w:rPr>
          <w:rtl w:val="0"/>
        </w:rPr>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sz w:val="24"/>
          <w:szCs w:val="24"/>
          <w:rtl w:val="0"/>
        </w:rPr>
        <w:t xml:space="preserve">Using the IXL screener, teachers will identify students who are performing below proficiency in English Language Arts at the beginning of school year 2026-27. </w:t>
      </w:r>
    </w:p>
    <w:p w:rsidR="00000000" w:rsidDel="00000000" w:rsidP="00000000" w:rsidRDefault="00000000" w:rsidRPr="00000000" w14:paraId="00000028">
      <w:pPr>
        <w:numPr>
          <w:ilvl w:val="0"/>
          <w:numId w:val="2"/>
        </w:numPr>
        <w:ind w:left="720" w:hanging="360"/>
        <w:rPr>
          <w:sz w:val="24"/>
          <w:szCs w:val="24"/>
        </w:rPr>
      </w:pPr>
      <w:r w:rsidDel="00000000" w:rsidR="00000000" w:rsidRPr="00000000">
        <w:rPr>
          <w:sz w:val="24"/>
          <w:szCs w:val="24"/>
          <w:rtl w:val="0"/>
        </w:rPr>
        <w:t xml:space="preserve">Students identified as needing targeted interventions in English Language Arts will receive those interventions through the school’s MTSS program. </w:t>
      </w:r>
    </w:p>
    <w:p w:rsidR="00000000" w:rsidDel="00000000" w:rsidP="00000000" w:rsidRDefault="00000000" w:rsidRPr="00000000" w14:paraId="00000029">
      <w:pPr>
        <w:numPr>
          <w:ilvl w:val="0"/>
          <w:numId w:val="2"/>
        </w:numPr>
        <w:ind w:left="720" w:hanging="360"/>
        <w:rPr>
          <w:sz w:val="24"/>
          <w:szCs w:val="24"/>
        </w:rPr>
      </w:pPr>
      <w:r w:rsidDel="00000000" w:rsidR="00000000" w:rsidRPr="00000000">
        <w:rPr>
          <w:sz w:val="24"/>
          <w:szCs w:val="24"/>
          <w:rtl w:val="0"/>
        </w:rPr>
        <w:t xml:space="preserve">Teachers and paraprofessionals will monitor students’ progress throughout the 2026-27 school year using the IXL progress monitoring tool.</w:t>
      </w:r>
    </w:p>
    <w:p w:rsidR="00000000" w:rsidDel="00000000" w:rsidP="00000000" w:rsidRDefault="00000000" w:rsidRPr="00000000" w14:paraId="0000002A">
      <w:pPr>
        <w:numPr>
          <w:ilvl w:val="0"/>
          <w:numId w:val="2"/>
        </w:numPr>
        <w:ind w:left="720" w:hanging="360"/>
        <w:rPr>
          <w:sz w:val="24"/>
          <w:szCs w:val="24"/>
        </w:rPr>
      </w:pPr>
      <w:r w:rsidDel="00000000" w:rsidR="00000000" w:rsidRPr="00000000">
        <w:rPr>
          <w:sz w:val="24"/>
          <w:szCs w:val="24"/>
          <w:rtl w:val="0"/>
        </w:rPr>
        <w:t xml:space="preserve">Paraprofessionals will provide targeted interventions, and teachers will adjust their instruction according to data gathered through progress monitoring.</w:t>
      </w:r>
    </w:p>
    <w:p w:rsidR="00000000" w:rsidDel="00000000" w:rsidP="00000000" w:rsidRDefault="00000000" w:rsidRPr="00000000" w14:paraId="0000002B">
      <w:pPr>
        <w:numPr>
          <w:ilvl w:val="0"/>
          <w:numId w:val="2"/>
        </w:numPr>
        <w:ind w:left="720" w:hanging="360"/>
        <w:rPr>
          <w:sz w:val="24"/>
          <w:szCs w:val="24"/>
        </w:rPr>
      </w:pPr>
      <w:r w:rsidDel="00000000" w:rsidR="00000000" w:rsidRPr="00000000">
        <w:rPr>
          <w:sz w:val="24"/>
          <w:szCs w:val="24"/>
          <w:rtl w:val="0"/>
        </w:rPr>
        <w:t xml:space="preserve">Teachers will meet as a PLC to analyze data provided by progress monitoring and to make data-informed decisions about instruction. </w:t>
      </w:r>
    </w:p>
    <w:p w:rsidR="00000000" w:rsidDel="00000000" w:rsidP="00000000" w:rsidRDefault="00000000" w:rsidRPr="00000000" w14:paraId="0000002C">
      <w:pPr>
        <w:numPr>
          <w:ilvl w:val="0"/>
          <w:numId w:val="2"/>
        </w:numPr>
        <w:ind w:left="720" w:hanging="360"/>
        <w:rPr>
          <w:sz w:val="24"/>
          <w:szCs w:val="24"/>
        </w:rPr>
      </w:pPr>
      <w:r w:rsidDel="00000000" w:rsidR="00000000" w:rsidRPr="00000000">
        <w:rPr>
          <w:sz w:val="24"/>
          <w:szCs w:val="24"/>
          <w:rtl w:val="0"/>
        </w:rPr>
        <w:t xml:space="preserve">The Administration will require all teachers and paraprofessionals to attend training and professional development meetings related to assessment tools, progress monitoring, and targeted interventions throughout the 2026-27 school year. </w:t>
      </w:r>
    </w:p>
    <w:p w:rsidR="00000000" w:rsidDel="00000000" w:rsidP="00000000" w:rsidRDefault="00000000" w:rsidRPr="00000000" w14:paraId="0000002D">
      <w:pPr>
        <w:numPr>
          <w:ilvl w:val="0"/>
          <w:numId w:val="2"/>
        </w:numPr>
        <w:ind w:left="720" w:hanging="360"/>
        <w:rPr>
          <w:sz w:val="24"/>
          <w:szCs w:val="24"/>
        </w:rPr>
      </w:pPr>
      <w:r w:rsidDel="00000000" w:rsidR="00000000" w:rsidRPr="00000000">
        <w:rPr>
          <w:sz w:val="24"/>
          <w:szCs w:val="24"/>
          <w:rtl w:val="0"/>
        </w:rPr>
        <w:t xml:space="preserve">The Administration will ensure that paraprofessionals are hired according to the school’s policies.</w:t>
      </w:r>
    </w:p>
    <w:p w:rsidR="00000000" w:rsidDel="00000000" w:rsidP="00000000" w:rsidRDefault="00000000" w:rsidRPr="00000000" w14:paraId="0000002E">
      <w:pPr>
        <w:numPr>
          <w:ilvl w:val="0"/>
          <w:numId w:val="2"/>
        </w:numPr>
        <w:ind w:left="720" w:hanging="360"/>
        <w:rPr>
          <w:sz w:val="24"/>
          <w:szCs w:val="24"/>
        </w:rPr>
      </w:pPr>
      <w:r w:rsidDel="00000000" w:rsidR="00000000" w:rsidRPr="00000000">
        <w:rPr>
          <w:sz w:val="24"/>
          <w:szCs w:val="24"/>
          <w:rtl w:val="0"/>
        </w:rPr>
        <w:t xml:space="preserve">The Administration will also ensure equitable digital access for all students at the school and access to technology-supported learning.</w:t>
      </w:r>
    </w:p>
    <w:p w:rsidR="00000000" w:rsidDel="00000000" w:rsidP="00000000" w:rsidRDefault="00000000" w:rsidRPr="00000000" w14:paraId="0000002F">
      <w:pPr>
        <w:rPr>
          <w:b w:val="1"/>
          <w:bCs w:val="1"/>
          <w:sz w:val="24"/>
          <w:szCs w:val="24"/>
          <w:u w:val="single"/>
        </w:rPr>
      </w:pPr>
      <w:r w:rsidDel="00000000" w:rsidR="00000000" w:rsidRPr="00000000">
        <w:rPr>
          <w:rtl w:val="0"/>
        </w:rPr>
      </w:r>
    </w:p>
    <w:p w:rsidR="00000000" w:rsidDel="00000000" w:rsidP="00000000" w:rsidRDefault="00000000" w:rsidRPr="00000000" w14:paraId="00000030">
      <w:pPr>
        <w:rPr>
          <w:b w:val="1"/>
          <w:bCs w:val="1"/>
          <w:sz w:val="24"/>
          <w:szCs w:val="24"/>
          <w:u w:val="single"/>
        </w:rPr>
      </w:pPr>
      <w:r w:rsidDel="00000000" w:rsidR="00000000" w:rsidRPr="00000000">
        <w:rPr>
          <w:b w:val="1"/>
          <w:bCs w:val="1"/>
          <w:sz w:val="24"/>
          <w:szCs w:val="24"/>
          <w:u w:val="single"/>
          <w:rtl w:val="0"/>
        </w:rPr>
        <w:t xml:space="preserve">E. LAND Trust Expenditures (2025-26)</w:t>
      </w:r>
    </w:p>
    <w:p w:rsidR="00000000" w:rsidDel="00000000" w:rsidP="00000000" w:rsidRDefault="00000000" w:rsidRPr="00000000" w14:paraId="00000031">
      <w:pPr>
        <w:rPr>
          <w:sz w:val="24"/>
          <w:szCs w:val="24"/>
        </w:rPr>
      </w:pPr>
      <w:r w:rsidDel="00000000" w:rsidR="00000000" w:rsidRPr="00000000">
        <w:rPr>
          <w:sz w:val="24"/>
          <w:szCs w:val="24"/>
          <w:rtl w:val="0"/>
        </w:rPr>
        <w:t xml:space="preserve">The school’s anticipated LAND Trust distribution is </w:t>
      </w:r>
      <w:r w:rsidDel="00000000" w:rsidR="00000000" w:rsidRPr="00000000">
        <w:rPr>
          <w:b w:val="1"/>
          <w:bCs w:val="1"/>
          <w:sz w:val="24"/>
          <w:szCs w:val="24"/>
          <w:rtl w:val="0"/>
        </w:rPr>
        <w:t xml:space="preserve">$54,610.88</w:t>
      </w:r>
      <w:r w:rsidDel="00000000" w:rsidR="00000000" w:rsidRPr="00000000">
        <w:rPr>
          <w:sz w:val="24"/>
          <w:szCs w:val="24"/>
          <w:rtl w:val="0"/>
        </w:rPr>
        <w:t xml:space="preserve"> which will be spent on salary and benefits for the hiring of one or two paraprofessionals who will help to implement the Action Plan.</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u w:val="single"/>
        </w:rPr>
      </w:pPr>
      <w:r w:rsidDel="00000000" w:rsidR="00000000" w:rsidRPr="00000000">
        <w:rPr>
          <w:b w:val="1"/>
          <w:bCs w:val="1"/>
          <w:sz w:val="24"/>
          <w:szCs w:val="24"/>
          <w:u w:val="single"/>
          <w:rtl w:val="0"/>
        </w:rPr>
        <w:t xml:space="preserve">Publicity</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Uintah River High School will post the LAND Trust Plan on the school’s website and will provide a dedicated email about the LAND Trust Plan to the school community.</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