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DF2B" w14:textId="77777777" w:rsidR="00BA721F" w:rsidRDefault="00BA721F" w:rsidP="00091CB1">
      <w:pPr>
        <w:pStyle w:val="Heading2"/>
        <w:jc w:val="center"/>
      </w:pPr>
      <w:r>
        <w:t>STEERING COMMITTEE MEETING MINUTES</w:t>
      </w:r>
    </w:p>
    <w:p w14:paraId="284CF829" w14:textId="77777777" w:rsidR="00E327A2" w:rsidRDefault="00BA721F" w:rsidP="00091CB1">
      <w:pPr>
        <w:spacing w:after="0"/>
        <w:jc w:val="center"/>
      </w:pPr>
      <w:r>
        <w:t>Date: Wednesday, November 12, 2025</w:t>
      </w:r>
    </w:p>
    <w:p w14:paraId="7F08FADC" w14:textId="60FEC15D" w:rsidR="00BA721F" w:rsidRDefault="00BA721F" w:rsidP="00091CB1">
      <w:pPr>
        <w:spacing w:after="0"/>
        <w:jc w:val="center"/>
      </w:pPr>
      <w:r>
        <w:t xml:space="preserve">Location: </w:t>
      </w:r>
      <w:r w:rsidR="00E327A2">
        <w:t>Festival Hall, Cedar City Utah,</w:t>
      </w:r>
      <w:r>
        <w:t xml:space="preserve"> (Hybrid)</w:t>
      </w:r>
    </w:p>
    <w:p w14:paraId="410A492E" w14:textId="77777777" w:rsidR="00E327A2" w:rsidRDefault="00E327A2" w:rsidP="00E327A2">
      <w:pPr>
        <w:spacing w:after="0"/>
        <w:jc w:val="center"/>
      </w:pPr>
    </w:p>
    <w:p w14:paraId="291BB7C6" w14:textId="34CA148B" w:rsidR="00B65058" w:rsidRPr="0040435A" w:rsidRDefault="0040435A" w:rsidP="009E532F">
      <w:pPr>
        <w:pStyle w:val="Heading3"/>
      </w:pPr>
      <w:r>
        <w:t>Attending:</w:t>
      </w:r>
    </w:p>
    <w:tbl>
      <w:tblPr>
        <w:tblStyle w:val="TableGrid"/>
        <w:tblW w:w="0" w:type="auto"/>
        <w:tblLook w:val="04A0" w:firstRow="1" w:lastRow="0" w:firstColumn="1" w:lastColumn="0" w:noHBand="0" w:noVBand="1"/>
      </w:tblPr>
      <w:tblGrid>
        <w:gridCol w:w="3116"/>
        <w:gridCol w:w="3117"/>
        <w:gridCol w:w="3117"/>
      </w:tblGrid>
      <w:tr w:rsidR="009E532F" w:rsidRPr="009E532F" w14:paraId="5409BD4E" w14:textId="77777777" w:rsidTr="49782C25">
        <w:tc>
          <w:tcPr>
            <w:tcW w:w="3116" w:type="dxa"/>
          </w:tcPr>
          <w:p w14:paraId="5DC96299"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Gil Almquist</w:t>
            </w:r>
            <w:r w:rsidRPr="009E532F">
              <w:rPr>
                <w:b w:val="0"/>
                <w:bCs w:val="0"/>
                <w:color w:val="000000" w:themeColor="text1"/>
                <w:sz w:val="20"/>
                <w:szCs w:val="20"/>
              </w:rPr>
              <w:tab/>
            </w:r>
          </w:p>
        </w:tc>
        <w:tc>
          <w:tcPr>
            <w:tcW w:w="3117" w:type="dxa"/>
          </w:tcPr>
          <w:p w14:paraId="11D872CF"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Scott Bolander</w:t>
            </w:r>
          </w:p>
        </w:tc>
        <w:tc>
          <w:tcPr>
            <w:tcW w:w="3117" w:type="dxa"/>
          </w:tcPr>
          <w:p w14:paraId="37B91FE7"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Darin Bushman</w:t>
            </w:r>
          </w:p>
        </w:tc>
      </w:tr>
      <w:tr w:rsidR="009E532F" w:rsidRPr="009E532F" w14:paraId="71066FA0" w14:textId="77777777" w:rsidTr="49782C25">
        <w:tc>
          <w:tcPr>
            <w:tcW w:w="3116" w:type="dxa"/>
          </w:tcPr>
          <w:p w14:paraId="14B031C1"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Collette Cox (Virtual)</w:t>
            </w:r>
          </w:p>
        </w:tc>
        <w:tc>
          <w:tcPr>
            <w:tcW w:w="3117" w:type="dxa"/>
          </w:tcPr>
          <w:p w14:paraId="4671797A"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Paul Cozzens</w:t>
            </w:r>
            <w:r w:rsidRPr="009E532F">
              <w:rPr>
                <w:b w:val="0"/>
                <w:bCs w:val="0"/>
                <w:color w:val="000000" w:themeColor="text1"/>
                <w:sz w:val="20"/>
                <w:szCs w:val="20"/>
              </w:rPr>
              <w:tab/>
            </w:r>
          </w:p>
        </w:tc>
        <w:tc>
          <w:tcPr>
            <w:tcW w:w="3117" w:type="dxa"/>
          </w:tcPr>
          <w:p w14:paraId="0A4E1849"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Nolan Davis</w:t>
            </w:r>
            <w:r w:rsidRPr="009E532F">
              <w:rPr>
                <w:b w:val="0"/>
                <w:bCs w:val="0"/>
                <w:color w:val="000000" w:themeColor="text1"/>
                <w:sz w:val="20"/>
                <w:szCs w:val="20"/>
              </w:rPr>
              <w:tab/>
            </w:r>
          </w:p>
        </w:tc>
      </w:tr>
      <w:tr w:rsidR="009E532F" w:rsidRPr="009E532F" w14:paraId="25856D8F" w14:textId="77777777" w:rsidTr="49782C25">
        <w:tc>
          <w:tcPr>
            <w:tcW w:w="3116" w:type="dxa"/>
          </w:tcPr>
          <w:p w14:paraId="1EF5356D"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Luke Dunn</w:t>
            </w:r>
          </w:p>
        </w:tc>
        <w:tc>
          <w:tcPr>
            <w:tcW w:w="3117" w:type="dxa"/>
          </w:tcPr>
          <w:p w14:paraId="400F6A71"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Tyler Fails</w:t>
            </w:r>
          </w:p>
        </w:tc>
        <w:tc>
          <w:tcPr>
            <w:tcW w:w="3117" w:type="dxa"/>
          </w:tcPr>
          <w:p w14:paraId="2A7354B5"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Lyle Goulding</w:t>
            </w:r>
          </w:p>
        </w:tc>
      </w:tr>
      <w:tr w:rsidR="009E532F" w:rsidRPr="009E532F" w14:paraId="2C63F6D4" w14:textId="77777777" w:rsidTr="49782C25">
        <w:tc>
          <w:tcPr>
            <w:tcW w:w="3116" w:type="dxa"/>
          </w:tcPr>
          <w:p w14:paraId="0AC8DD92"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Garth Green</w:t>
            </w:r>
            <w:r w:rsidRPr="009E532F">
              <w:rPr>
                <w:b w:val="0"/>
                <w:bCs w:val="0"/>
                <w:color w:val="000000" w:themeColor="text1"/>
                <w:sz w:val="20"/>
                <w:szCs w:val="20"/>
              </w:rPr>
              <w:tab/>
            </w:r>
          </w:p>
        </w:tc>
        <w:tc>
          <w:tcPr>
            <w:tcW w:w="3117" w:type="dxa"/>
          </w:tcPr>
          <w:p w14:paraId="56E8DC9D"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Stephanie Hill</w:t>
            </w:r>
            <w:r w:rsidRPr="009E532F">
              <w:rPr>
                <w:b w:val="0"/>
                <w:bCs w:val="0"/>
                <w:color w:val="000000" w:themeColor="text1"/>
                <w:sz w:val="20"/>
                <w:szCs w:val="20"/>
              </w:rPr>
              <w:tab/>
            </w:r>
          </w:p>
        </w:tc>
        <w:tc>
          <w:tcPr>
            <w:tcW w:w="3117" w:type="dxa"/>
          </w:tcPr>
          <w:p w14:paraId="3E64642D"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Wade Hollingshead</w:t>
            </w:r>
          </w:p>
        </w:tc>
      </w:tr>
      <w:tr w:rsidR="009E532F" w:rsidRPr="009E532F" w14:paraId="5D26E848" w14:textId="77777777" w:rsidTr="49782C25">
        <w:tc>
          <w:tcPr>
            <w:tcW w:w="3116" w:type="dxa"/>
          </w:tcPr>
          <w:p w14:paraId="1200ECC0"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Kevin Jones</w:t>
            </w:r>
            <w:r w:rsidRPr="009E532F">
              <w:rPr>
                <w:b w:val="0"/>
                <w:bCs w:val="0"/>
                <w:color w:val="000000" w:themeColor="text1"/>
                <w:sz w:val="20"/>
                <w:szCs w:val="20"/>
              </w:rPr>
              <w:tab/>
            </w:r>
          </w:p>
        </w:tc>
        <w:tc>
          <w:tcPr>
            <w:tcW w:w="3117" w:type="dxa"/>
          </w:tcPr>
          <w:p w14:paraId="48872B09"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Brad Last (Virtual)</w:t>
            </w:r>
            <w:r w:rsidRPr="009E532F">
              <w:rPr>
                <w:b w:val="0"/>
                <w:bCs w:val="0"/>
                <w:color w:val="000000" w:themeColor="text1"/>
                <w:sz w:val="20"/>
                <w:szCs w:val="20"/>
              </w:rPr>
              <w:tab/>
            </w:r>
          </w:p>
        </w:tc>
        <w:tc>
          <w:tcPr>
            <w:tcW w:w="3117" w:type="dxa"/>
          </w:tcPr>
          <w:p w14:paraId="048AD556"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Allison McCoy</w:t>
            </w:r>
            <w:r w:rsidRPr="009E532F">
              <w:rPr>
                <w:b w:val="0"/>
                <w:bCs w:val="0"/>
                <w:color w:val="000000" w:themeColor="text1"/>
                <w:sz w:val="20"/>
                <w:szCs w:val="20"/>
              </w:rPr>
              <w:tab/>
            </w:r>
          </w:p>
        </w:tc>
      </w:tr>
      <w:tr w:rsidR="009E532F" w:rsidRPr="009E532F" w14:paraId="1862460E" w14:textId="77777777" w:rsidTr="49782C25">
        <w:tc>
          <w:tcPr>
            <w:tcW w:w="3116" w:type="dxa"/>
          </w:tcPr>
          <w:p w14:paraId="38A9FA28"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 xml:space="preserve">Celeste </w:t>
            </w:r>
            <w:proofErr w:type="spellStart"/>
            <w:r w:rsidRPr="009E532F">
              <w:rPr>
                <w:b w:val="0"/>
                <w:bCs w:val="0"/>
                <w:color w:val="000000" w:themeColor="text1"/>
                <w:sz w:val="20"/>
                <w:szCs w:val="20"/>
              </w:rPr>
              <w:t>Meyeres</w:t>
            </w:r>
            <w:proofErr w:type="spellEnd"/>
          </w:p>
        </w:tc>
        <w:tc>
          <w:tcPr>
            <w:tcW w:w="3117" w:type="dxa"/>
          </w:tcPr>
          <w:p w14:paraId="6BEEAEDD"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Carrie Schonlaw</w:t>
            </w:r>
          </w:p>
        </w:tc>
        <w:tc>
          <w:tcPr>
            <w:tcW w:w="3117" w:type="dxa"/>
          </w:tcPr>
          <w:p w14:paraId="3EB7486D"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Carrie Sigler</w:t>
            </w:r>
          </w:p>
        </w:tc>
      </w:tr>
      <w:tr w:rsidR="009E532F" w:rsidRPr="009E532F" w14:paraId="3E089387" w14:textId="77777777" w:rsidTr="49782C25">
        <w:tc>
          <w:tcPr>
            <w:tcW w:w="3116" w:type="dxa"/>
          </w:tcPr>
          <w:p w14:paraId="0D26535E"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Burke Staheli</w:t>
            </w:r>
          </w:p>
        </w:tc>
        <w:tc>
          <w:tcPr>
            <w:tcW w:w="3117" w:type="dxa"/>
          </w:tcPr>
          <w:p w14:paraId="1258ED2E"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Jerry Taylor</w:t>
            </w:r>
            <w:r w:rsidRPr="009E532F">
              <w:rPr>
                <w:b w:val="0"/>
                <w:bCs w:val="0"/>
                <w:color w:val="000000" w:themeColor="text1"/>
                <w:sz w:val="20"/>
                <w:szCs w:val="20"/>
              </w:rPr>
              <w:tab/>
            </w:r>
          </w:p>
        </w:tc>
        <w:tc>
          <w:tcPr>
            <w:tcW w:w="3117" w:type="dxa"/>
          </w:tcPr>
          <w:p w14:paraId="788FC1BE"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Melynda Thorpe</w:t>
            </w:r>
          </w:p>
        </w:tc>
      </w:tr>
      <w:tr w:rsidR="009E532F" w14:paraId="22B650F8" w14:textId="77777777" w:rsidTr="49782C25">
        <w:tc>
          <w:tcPr>
            <w:tcW w:w="3116" w:type="dxa"/>
          </w:tcPr>
          <w:p w14:paraId="6A108578"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Melanie Torgerson</w:t>
            </w:r>
            <w:r w:rsidRPr="009E532F">
              <w:rPr>
                <w:b w:val="0"/>
                <w:bCs w:val="0"/>
                <w:color w:val="000000" w:themeColor="text1"/>
                <w:sz w:val="20"/>
                <w:szCs w:val="20"/>
              </w:rPr>
              <w:tab/>
            </w:r>
          </w:p>
        </w:tc>
        <w:tc>
          <w:tcPr>
            <w:tcW w:w="3117" w:type="dxa"/>
          </w:tcPr>
          <w:p w14:paraId="16DD4E39" w14:textId="77777777" w:rsidR="009E532F" w:rsidRPr="009E532F" w:rsidRDefault="009E532F" w:rsidP="00BE239C">
            <w:pPr>
              <w:pStyle w:val="Heading3"/>
              <w:rPr>
                <w:b w:val="0"/>
                <w:bCs w:val="0"/>
                <w:color w:val="000000" w:themeColor="text1"/>
                <w:sz w:val="20"/>
                <w:szCs w:val="20"/>
              </w:rPr>
            </w:pPr>
            <w:r w:rsidRPr="009E532F">
              <w:rPr>
                <w:b w:val="0"/>
                <w:bCs w:val="0"/>
                <w:color w:val="000000" w:themeColor="text1"/>
                <w:sz w:val="20"/>
                <w:szCs w:val="20"/>
              </w:rPr>
              <w:t>Gary Webster (Virtual)</w:t>
            </w:r>
            <w:r w:rsidRPr="009E532F">
              <w:rPr>
                <w:b w:val="0"/>
                <w:bCs w:val="0"/>
                <w:color w:val="000000" w:themeColor="text1"/>
                <w:sz w:val="20"/>
                <w:szCs w:val="20"/>
              </w:rPr>
              <w:tab/>
            </w:r>
          </w:p>
        </w:tc>
        <w:tc>
          <w:tcPr>
            <w:tcW w:w="3117" w:type="dxa"/>
          </w:tcPr>
          <w:p w14:paraId="430E9D53" w14:textId="77777777" w:rsidR="009E532F" w:rsidRDefault="009E532F" w:rsidP="00BE239C">
            <w:pPr>
              <w:pStyle w:val="Heading3"/>
            </w:pPr>
            <w:r w:rsidRPr="009E532F">
              <w:rPr>
                <w:b w:val="0"/>
                <w:bCs w:val="0"/>
                <w:color w:val="000000" w:themeColor="text1"/>
                <w:sz w:val="20"/>
                <w:szCs w:val="20"/>
              </w:rPr>
              <w:t>Nathan Wiberg</w:t>
            </w:r>
            <w:r w:rsidRPr="009E532F">
              <w:rPr>
                <w:b w:val="0"/>
                <w:bCs w:val="0"/>
                <w:color w:val="000000" w:themeColor="text1"/>
                <w:sz w:val="20"/>
                <w:szCs w:val="20"/>
              </w:rPr>
              <w:tab/>
            </w:r>
          </w:p>
        </w:tc>
      </w:tr>
      <w:tr w:rsidR="49782C25" w14:paraId="774F45B5" w14:textId="77777777" w:rsidTr="49782C25">
        <w:trPr>
          <w:trHeight w:val="300"/>
        </w:trPr>
        <w:tc>
          <w:tcPr>
            <w:tcW w:w="3116" w:type="dxa"/>
          </w:tcPr>
          <w:p w14:paraId="57EA3DB6" w14:textId="79BB434F" w:rsidR="3C605CDB" w:rsidRDefault="3C605CDB" w:rsidP="49782C25">
            <w:pPr>
              <w:pStyle w:val="Heading3"/>
              <w:rPr>
                <w:b w:val="0"/>
                <w:bCs w:val="0"/>
                <w:color w:val="000000" w:themeColor="text1"/>
                <w:sz w:val="20"/>
                <w:szCs w:val="20"/>
              </w:rPr>
            </w:pPr>
            <w:r w:rsidRPr="49782C25">
              <w:rPr>
                <w:b w:val="0"/>
                <w:bCs w:val="0"/>
                <w:color w:val="000000" w:themeColor="text1"/>
                <w:sz w:val="20"/>
                <w:szCs w:val="20"/>
              </w:rPr>
              <w:t>Nannette Billings</w:t>
            </w:r>
          </w:p>
        </w:tc>
        <w:tc>
          <w:tcPr>
            <w:tcW w:w="3117" w:type="dxa"/>
          </w:tcPr>
          <w:p w14:paraId="5E5E8DA7" w14:textId="518E529E" w:rsidR="7F6D7B86" w:rsidRDefault="7F6D7B86" w:rsidP="49782C25">
            <w:pPr>
              <w:pStyle w:val="Heading3"/>
              <w:rPr>
                <w:b w:val="0"/>
                <w:bCs w:val="0"/>
                <w:color w:val="000000" w:themeColor="text1"/>
                <w:sz w:val="20"/>
                <w:szCs w:val="20"/>
              </w:rPr>
            </w:pPr>
            <w:r w:rsidRPr="49782C25">
              <w:rPr>
                <w:b w:val="0"/>
                <w:bCs w:val="0"/>
                <w:color w:val="000000" w:themeColor="text1"/>
                <w:sz w:val="20"/>
                <w:szCs w:val="20"/>
              </w:rPr>
              <w:t>Jeff Raisor</w:t>
            </w:r>
          </w:p>
        </w:tc>
        <w:tc>
          <w:tcPr>
            <w:tcW w:w="3117" w:type="dxa"/>
          </w:tcPr>
          <w:p w14:paraId="63EE919F" w14:textId="4404252C" w:rsidR="49782C25" w:rsidRDefault="49782C25" w:rsidP="49782C25">
            <w:pPr>
              <w:pStyle w:val="Heading3"/>
              <w:rPr>
                <w:b w:val="0"/>
                <w:bCs w:val="0"/>
                <w:color w:val="000000" w:themeColor="text1"/>
                <w:sz w:val="20"/>
                <w:szCs w:val="20"/>
              </w:rPr>
            </w:pPr>
          </w:p>
        </w:tc>
      </w:tr>
    </w:tbl>
    <w:p w14:paraId="07651ADC" w14:textId="0FDE49FF" w:rsidR="00FB46E3" w:rsidRDefault="00FB46E3" w:rsidP="00C65A2A">
      <w:pPr>
        <w:pStyle w:val="Heading3"/>
      </w:pPr>
    </w:p>
    <w:p w14:paraId="168CCA21" w14:textId="5228897E" w:rsidR="00BA721F" w:rsidRDefault="00BA721F" w:rsidP="00BA721F">
      <w:pPr>
        <w:pStyle w:val="Heading3"/>
      </w:pPr>
      <w:r>
        <w:t>1) Call to Order &amp; Introductions</w:t>
      </w:r>
    </w:p>
    <w:p w14:paraId="3232FF5F" w14:textId="77777777" w:rsidR="00BA721F" w:rsidRDefault="00BA721F" w:rsidP="00BA721F">
      <w:r>
        <w:t>Chair Commissioner Paul Cozzens (Iron County) called the meeting to order at approximately 12:30 PM and led introductions of in-person and online attendees representing local governments, educational institutions, and legislative offices.</w:t>
      </w:r>
    </w:p>
    <w:p w14:paraId="697BBFDE" w14:textId="77777777" w:rsidR="00BA721F" w:rsidRDefault="00BA721F" w:rsidP="00BA721F">
      <w:pPr>
        <w:pStyle w:val="Heading3"/>
      </w:pPr>
      <w:r>
        <w:t>2) Pledge of Allegiance</w:t>
      </w:r>
    </w:p>
    <w:p w14:paraId="4B7C981E" w14:textId="77777777" w:rsidR="00BA721F" w:rsidRDefault="00BA721F" w:rsidP="00BA721F">
      <w:r>
        <w:t>Led by Commissioner Jerry Taylor (Garfield County).</w:t>
      </w:r>
    </w:p>
    <w:p w14:paraId="05E48308" w14:textId="77777777" w:rsidR="00BA721F" w:rsidRDefault="00BA721F" w:rsidP="00BA721F">
      <w:pPr>
        <w:pStyle w:val="Heading3"/>
      </w:pPr>
      <w:r>
        <w:t>3) Approval of Minutes (October 1, 2025)</w:t>
      </w:r>
    </w:p>
    <w:p w14:paraId="2A836C00" w14:textId="041719FA" w:rsidR="00BA721F" w:rsidRDefault="00BA721F" w:rsidP="00BA721F">
      <w:r>
        <w:t xml:space="preserve">Motion to approve the minutes made </w:t>
      </w:r>
      <w:r w:rsidR="6D10CBC2">
        <w:t xml:space="preserve">by Mayor Billings </w:t>
      </w:r>
      <w:r>
        <w:t>and seconded</w:t>
      </w:r>
      <w:r w:rsidR="4F75FAEE">
        <w:t xml:space="preserve"> Gil Almquist</w:t>
      </w:r>
      <w:r>
        <w:t>; motion carried unanimously.</w:t>
      </w:r>
    </w:p>
    <w:p w14:paraId="0ED30848" w14:textId="77777777" w:rsidR="00BA721F" w:rsidRDefault="00BA721F" w:rsidP="00BA721F">
      <w:pPr>
        <w:pStyle w:val="Heading3"/>
      </w:pPr>
      <w:r>
        <w:t>4) HR / Administrative</w:t>
      </w:r>
    </w:p>
    <w:p w14:paraId="50F1622F" w14:textId="77777777" w:rsidR="00BA721F" w:rsidRDefault="00BA721F" w:rsidP="00BA721F">
      <w:r>
        <w:t xml:space="preserve">Executive Director Darin Bushman reported staffing updates including the upcoming retirement of Ross Burton in January 2026 and J.C. </w:t>
      </w:r>
      <w:proofErr w:type="spellStart"/>
      <w:r>
        <w:t>Finicum’s</w:t>
      </w:r>
      <w:proofErr w:type="spellEnd"/>
      <w:r>
        <w:t xml:space="preserve"> transition into the Accounting Specialist position. The Community and Economic Development position remains open due to federal funding delays. Total staff count is 77.</w:t>
      </w:r>
    </w:p>
    <w:p w14:paraId="57508F79" w14:textId="77777777" w:rsidR="00BA721F" w:rsidRDefault="00BA721F" w:rsidP="00BA721F">
      <w:pPr>
        <w:pStyle w:val="Heading3"/>
      </w:pPr>
      <w:r>
        <w:t>5) Executive Director Report</w:t>
      </w:r>
    </w:p>
    <w:p w14:paraId="489CEC19" w14:textId="6D837067" w:rsidR="00BA721F" w:rsidRDefault="5DC4985A" w:rsidP="00BA721F">
      <w:r>
        <w:t xml:space="preserve">Director </w:t>
      </w:r>
      <w:r w:rsidR="00BA721F">
        <w:t xml:space="preserve">Bushman highlighted several major initiatives: receipt of </w:t>
      </w:r>
      <w:r w:rsidR="2DA4960B">
        <w:t xml:space="preserve">a </w:t>
      </w:r>
      <w:r w:rsidR="00BA721F">
        <w:t xml:space="preserve">new recreation </w:t>
      </w:r>
      <w:r w:rsidR="29B1E433">
        <w:t xml:space="preserve">planning grant for a recreational hub feasibility study.  The AOG also applied for </w:t>
      </w:r>
      <w:proofErr w:type="gramStart"/>
      <w:r w:rsidR="29B1E433">
        <w:t>a RCOG</w:t>
      </w:r>
      <w:proofErr w:type="gramEnd"/>
      <w:r w:rsidR="29B1E433">
        <w:t xml:space="preserve"> grant to assist SU</w:t>
      </w:r>
      <w:r w:rsidR="4636A983">
        <w:t xml:space="preserve">EA with their advanced manufacturing initiative. He also announced the </w:t>
      </w:r>
      <w:r w:rsidR="00BA721F">
        <w:t xml:space="preserve">restructuring of planning and local </w:t>
      </w:r>
      <w:r w:rsidR="00BA721F">
        <w:lastRenderedPageBreak/>
        <w:t xml:space="preserve">administrative advisor functions </w:t>
      </w:r>
      <w:proofErr w:type="gramStart"/>
      <w:r w:rsidR="00BA721F">
        <w:t>to</w:t>
      </w:r>
      <w:proofErr w:type="gramEnd"/>
      <w:r w:rsidR="00BA721F">
        <w:t xml:space="preserve"> a single point-of-contact model</w:t>
      </w:r>
      <w:r w:rsidR="3679C515">
        <w:t xml:space="preserve">.  They recently had a review with GOPB on the </w:t>
      </w:r>
      <w:r w:rsidR="00BA721F">
        <w:t xml:space="preserve">Built Here </w:t>
      </w:r>
      <w:r w:rsidR="77E2855E">
        <w:t xml:space="preserve">Zions </w:t>
      </w:r>
      <w:r w:rsidR="00BA721F">
        <w:t>shuttle project</w:t>
      </w:r>
      <w:r w:rsidR="2E6ACC98">
        <w:t>.</w:t>
      </w:r>
      <w:r w:rsidR="00BA721F">
        <w:t xml:space="preserve"> </w:t>
      </w:r>
      <w:r w:rsidR="4DF53B9E">
        <w:t xml:space="preserve">Director Bushman also discussed </w:t>
      </w:r>
      <w:r w:rsidR="40323C40">
        <w:t>facility</w:t>
      </w:r>
      <w:r w:rsidR="00BA721F">
        <w:t xml:space="preserve"> consolidations to reduce </w:t>
      </w:r>
      <w:proofErr w:type="gramStart"/>
      <w:r w:rsidR="00BA721F">
        <w:t>overhead;</w:t>
      </w:r>
      <w:proofErr w:type="gramEnd"/>
      <w:r w:rsidR="00BA721F">
        <w:t xml:space="preserve"> and ongoing technology and fleet modernization. He also discussed preparations for a Washington, D.C. congressional </w:t>
      </w:r>
      <w:r w:rsidR="199AB0FA">
        <w:t>briefing promotional</w:t>
      </w:r>
      <w:r w:rsidR="00BA721F">
        <w:t xml:space="preserve"> trip</w:t>
      </w:r>
      <w:r w:rsidR="3B0653B0">
        <w:t xml:space="preserve">.  </w:t>
      </w:r>
      <w:r w:rsidR="00BA721F">
        <w:t xml:space="preserve"> </w:t>
      </w:r>
      <w:r w:rsidR="1DC1AD4D">
        <w:t xml:space="preserve">He also shared the </w:t>
      </w:r>
      <w:r w:rsidR="00BA721F">
        <w:t>implementation of a 24‑month leadership development program across departments.</w:t>
      </w:r>
    </w:p>
    <w:p w14:paraId="471A5E70" w14:textId="384569A4" w:rsidR="00BA721F" w:rsidRDefault="00BA721F" w:rsidP="00BA721F">
      <w:pPr>
        <w:pStyle w:val="Heading3"/>
      </w:pPr>
      <w:r>
        <w:t xml:space="preserve">6) </w:t>
      </w:r>
      <w:r w:rsidR="768AE22F">
        <w:t>Program Risk and Program Status</w:t>
      </w:r>
    </w:p>
    <w:p w14:paraId="59A5C2FB" w14:textId="68D9AEAF" w:rsidR="00BA721F" w:rsidRDefault="00BA721F" w:rsidP="00BA721F">
      <w:r>
        <w:t>Carrie S</w:t>
      </w:r>
      <w:r w:rsidR="527238D6">
        <w:t>chonlaw</w:t>
      </w:r>
      <w:r>
        <w:t xml:space="preserve"> reported receipt of an IHC Foundation grant supporting malnutrition prevention for seniors</w:t>
      </w:r>
      <w:r w:rsidR="4DACFE3D">
        <w:t>. She also discussed the</w:t>
      </w:r>
      <w:r>
        <w:t xml:space="preserve"> continuation of the Benefit Enrollment Center </w:t>
      </w:r>
      <w:proofErr w:type="gramStart"/>
      <w:r>
        <w:t>program, and</w:t>
      </w:r>
      <w:proofErr w:type="gramEnd"/>
      <w:r>
        <w:t xml:space="preserve"> impacts of the ongoing federal shutdown on HEAT and housing assistance programs. Temporary measures and local partnerships are in place to maintain service continuity.</w:t>
      </w:r>
      <w:r w:rsidR="3C8A9BC4">
        <w:t xml:space="preserve"> receiving an IHC Foundation grant to support</w:t>
      </w:r>
    </w:p>
    <w:p w14:paraId="4735FE49" w14:textId="77777777" w:rsidR="00BA721F" w:rsidRDefault="00BA721F" w:rsidP="00BA721F">
      <w:pPr>
        <w:pStyle w:val="Heading3"/>
      </w:pPr>
      <w:r>
        <w:t>7) FY 2024 Financial Audit – Kevin Jones, CPA (Nathan Buckner &amp; Company)</w:t>
      </w:r>
    </w:p>
    <w:p w14:paraId="7D690DF5" w14:textId="146A3E4F" w:rsidR="00BA721F" w:rsidRDefault="00BA721F" w:rsidP="00BA721F">
      <w:r>
        <w:t>Auditor Kevin Jones presented the results of the FY 2024 independent audit. He reported that the financial statements received a clean, unmodified opinion, meaning they were found to be fairly stated in all material respects. Jones summarized overall trends in assets, liabilities, revenues, and expenditures and noted that the AOG remains in a sound financial position with a positive change in net position from the prior year. The audit also confirmed that the agency’s accounting practices comply with generally accepted accounting principles and Government Auditing Standards.</w:t>
      </w:r>
      <w:r>
        <w:br/>
      </w:r>
      <w:r>
        <w:br/>
        <w:t>Findings and Observations</w:t>
      </w:r>
      <w:r>
        <w:br/>
        <w:t>- One significant deficiency was identified in the Microloan Program related to internal controls and oversight of loan write-offs and collection efforts.</w:t>
      </w:r>
      <w:r>
        <w:br/>
        <w:t>- One state compliance exception occurred when meeting minutes were not posted to the state website within the required three-day window.</w:t>
      </w:r>
      <w:r>
        <w:br/>
        <w:t>- No findings were issued under the Single Audit Act, and there were no disagreements or difficulties with management during the audit process.</w:t>
      </w:r>
      <w:r>
        <w:br/>
      </w:r>
      <w:r>
        <w:br/>
        <w:t>Management responded that corrective actions are already underway, including assigning independent oversight of the microloan program and improving internal posting procedures.</w:t>
      </w:r>
      <w:r>
        <w:br/>
      </w:r>
      <w:r>
        <w:br/>
        <w:t>Action: Motion to accept the FY 2024 Audit Report</w:t>
      </w:r>
      <w:r w:rsidR="2633A157">
        <w:t xml:space="preserve"> was made by Jerry Taylor and seconded by Wade Hollingshead.  Motion passed</w:t>
      </w:r>
      <w:r>
        <w:t xml:space="preserve"> unanimously.</w:t>
      </w:r>
    </w:p>
    <w:p w14:paraId="42496F3B" w14:textId="77777777" w:rsidR="00BA721F" w:rsidRDefault="00BA721F" w:rsidP="00BA721F">
      <w:pPr>
        <w:pStyle w:val="Heading3"/>
      </w:pPr>
      <w:r>
        <w:t>8) Microloan Program Oversight</w:t>
      </w:r>
    </w:p>
    <w:p w14:paraId="163D14C2" w14:textId="228F6B4E" w:rsidR="00BA721F" w:rsidRDefault="7E6DDE97" w:rsidP="49782C25">
      <w:pPr>
        <w:rPr>
          <w:rFonts w:ascii="Calibri" w:eastAsia="Calibri" w:hAnsi="Calibri"/>
          <w:color w:val="000000" w:themeColor="text1"/>
        </w:rPr>
      </w:pPr>
      <w:r>
        <w:t xml:space="preserve">Discussion was had </w:t>
      </w:r>
      <w:r w:rsidR="0C18C575">
        <w:t>because of</w:t>
      </w:r>
      <w:r>
        <w:t xml:space="preserve"> the audit to establish a Microloan Committee as an independent body to oversee the Microloan program. </w:t>
      </w:r>
      <w:r w:rsidR="5048A535">
        <w:t xml:space="preserve">A motion was made by Nanette Billings and </w:t>
      </w:r>
      <w:r w:rsidR="6A5FB8C9">
        <w:t>s</w:t>
      </w:r>
      <w:r w:rsidR="5048A535">
        <w:t>econded by</w:t>
      </w:r>
      <w:r w:rsidR="45732F20" w:rsidRPr="49782C25">
        <w:rPr>
          <w:rFonts w:ascii="Calibri" w:eastAsia="Calibri" w:hAnsi="Calibri"/>
          <w:color w:val="000000" w:themeColor="text1"/>
        </w:rPr>
        <w:t xml:space="preserve"> Burke Staheli to designate the</w:t>
      </w:r>
      <w:r w:rsidR="00BA721F">
        <w:t xml:space="preserve"> Executive Committee (the five county commissioners) as the independent oversight body for the Microloan Program, with the Executive Director serving in an advisory, non-voting role. </w:t>
      </w:r>
      <w:r w:rsidR="194C7EAA">
        <w:t xml:space="preserve"> </w:t>
      </w:r>
      <w:r w:rsidR="00BA721F">
        <w:t>Motion carried unanimously.</w:t>
      </w:r>
    </w:p>
    <w:p w14:paraId="405226A6" w14:textId="77777777" w:rsidR="00BA721F" w:rsidRDefault="00BA721F" w:rsidP="00BA721F">
      <w:pPr>
        <w:pStyle w:val="Heading3"/>
      </w:pPr>
      <w:r>
        <w:lastRenderedPageBreak/>
        <w:t>9) Program Spotlight – Care About Childcare</w:t>
      </w:r>
    </w:p>
    <w:p w14:paraId="2AA195C8" w14:textId="666884E8" w:rsidR="00BA721F" w:rsidRDefault="00BA721F" w:rsidP="00BA721F">
      <w:r>
        <w:t xml:space="preserve">Presentation by Carrie Siegler highlighting regional childcare support services across ten counties, including expansion of licensed programs and training for providers. </w:t>
      </w:r>
      <w:r w:rsidR="1143D3A2">
        <w:t>She also noted that the</w:t>
      </w:r>
      <w:r>
        <w:t xml:space="preserve"> Southern Utah Early Childhood Conference is planned for April 2026 at Southern Utah University.</w:t>
      </w:r>
    </w:p>
    <w:p w14:paraId="13FBED94" w14:textId="77777777" w:rsidR="00BA721F" w:rsidRDefault="00BA721F" w:rsidP="00BA721F">
      <w:pPr>
        <w:pStyle w:val="Heading3"/>
      </w:pPr>
      <w:r>
        <w:t>10) CDBG Public Hearing Planning</w:t>
      </w:r>
    </w:p>
    <w:p w14:paraId="42D60B07" w14:textId="252FDA1C" w:rsidR="00BA721F" w:rsidRDefault="52059950" w:rsidP="00BA721F">
      <w:r>
        <w:t xml:space="preserve">Discussion was had regarding </w:t>
      </w:r>
      <w:proofErr w:type="gramStart"/>
      <w:r>
        <w:t xml:space="preserve">the </w:t>
      </w:r>
      <w:r w:rsidR="00BA721F">
        <w:t xml:space="preserve"> 2026</w:t>
      </w:r>
      <w:proofErr w:type="gramEnd"/>
      <w:r w:rsidR="00BA721F">
        <w:t xml:space="preserve"> CDBG </w:t>
      </w:r>
      <w:r w:rsidR="5E44DA6B">
        <w:t xml:space="preserve">first </w:t>
      </w:r>
      <w:r w:rsidR="00BA721F">
        <w:t>public hearing</w:t>
      </w:r>
      <w:r w:rsidR="50D78BEE">
        <w:t xml:space="preserve"> which will be held the first week</w:t>
      </w:r>
      <w:r w:rsidR="00BA721F">
        <w:t xml:space="preserve"> in December via Teams and in-person at the </w:t>
      </w:r>
      <w:r w:rsidR="36131382">
        <w:t>St George</w:t>
      </w:r>
      <w:r w:rsidR="00BA721F">
        <w:t xml:space="preserve"> office.</w:t>
      </w:r>
    </w:p>
    <w:p w14:paraId="2871D13A" w14:textId="77777777" w:rsidR="00BA721F" w:rsidRDefault="00BA721F" w:rsidP="00BA721F">
      <w:pPr>
        <w:pStyle w:val="Heading3"/>
      </w:pPr>
      <w:r>
        <w:t>11) Fleet Replacement Discussion</w:t>
      </w:r>
    </w:p>
    <w:p w14:paraId="31747510" w14:textId="6F93C12F" w:rsidR="00BA721F" w:rsidRDefault="2BF9FD83" w:rsidP="00BA721F">
      <w:r>
        <w:t xml:space="preserve">A </w:t>
      </w:r>
      <w:r w:rsidR="00BA721F">
        <w:t>Discussion</w:t>
      </w:r>
      <w:r w:rsidR="004E7074">
        <w:t xml:space="preserve"> was had</w:t>
      </w:r>
      <w:r w:rsidR="00BA721F">
        <w:t xml:space="preserve"> on</w:t>
      </w:r>
      <w:r w:rsidR="6C792D6B">
        <w:t xml:space="preserve"> the</w:t>
      </w:r>
      <w:r w:rsidR="00BA721F">
        <w:t xml:space="preserve"> potential CDBG eligibility for fleet replacement and continued review of Enterprise Fleet</w:t>
      </w:r>
      <w:r w:rsidR="66AF0F12">
        <w:t xml:space="preserve"> as a potential fleet management partner</w:t>
      </w:r>
      <w:r w:rsidR="00BA721F">
        <w:t xml:space="preserve"> and </w:t>
      </w:r>
      <w:r w:rsidR="3505FB27">
        <w:t>equity</w:t>
      </w:r>
      <w:r w:rsidR="00BA721F">
        <w:t xml:space="preserve">-recovery options. </w:t>
      </w:r>
      <w:r w:rsidR="2F322943">
        <w:t>The committee</w:t>
      </w:r>
      <w:r w:rsidR="00BA721F">
        <w:t xml:space="preserve"> supported pursuing funding opportunities </w:t>
      </w:r>
      <w:r w:rsidR="24625C70">
        <w:t>through CDBG</w:t>
      </w:r>
      <w:r w:rsidR="00BA721F">
        <w:t>.</w:t>
      </w:r>
    </w:p>
    <w:p w14:paraId="5BBBBC3B" w14:textId="77777777" w:rsidR="00BA721F" w:rsidRDefault="00BA721F" w:rsidP="00BA721F">
      <w:pPr>
        <w:pStyle w:val="Heading3"/>
      </w:pPr>
      <w:r>
        <w:t>12) December Steering Committee Meeting</w:t>
      </w:r>
    </w:p>
    <w:p w14:paraId="024125B0" w14:textId="23F0C14C" w:rsidR="00BA721F" w:rsidRDefault="00BA721F">
      <w:r>
        <w:t xml:space="preserve">Consensus </w:t>
      </w:r>
      <w:r w:rsidR="37DB50F5">
        <w:t xml:space="preserve">was to hold the December meeting in conjunction with the Public Health and Behavioral Health meetings in St George at the Abby Inn. </w:t>
      </w:r>
    </w:p>
    <w:p w14:paraId="36619D45" w14:textId="2E7C7ED5" w:rsidR="122AC67B" w:rsidRDefault="122AC67B" w:rsidP="49782C25">
      <w:pPr>
        <w:pStyle w:val="Heading3"/>
      </w:pPr>
      <w:r>
        <w:t>13) Congressional Staff Updates</w:t>
      </w:r>
    </w:p>
    <w:p w14:paraId="1AA78E70" w14:textId="7DD9C4AD" w:rsidR="122AC67B" w:rsidRDefault="122AC67B">
      <w:r>
        <w:t xml:space="preserve">Gary Webster </w:t>
      </w:r>
      <w:r w:rsidR="0FC97A7A">
        <w:t>(</w:t>
      </w:r>
      <w:r w:rsidR="326E5BEF">
        <w:t xml:space="preserve">Senator </w:t>
      </w:r>
      <w:r w:rsidR="0FC97A7A">
        <w:t xml:space="preserve">Mike Lee) </w:t>
      </w:r>
      <w:r>
        <w:t>and Jeff Raisor</w:t>
      </w:r>
      <w:r w:rsidR="0E583E13">
        <w:t xml:space="preserve"> (Senator John Curtis)</w:t>
      </w:r>
      <w:r>
        <w:t xml:space="preserve"> </w:t>
      </w:r>
      <w:r w:rsidR="1CAF8D22">
        <w:t xml:space="preserve">both presented updates </w:t>
      </w:r>
      <w:r w:rsidR="62F8881B">
        <w:t xml:space="preserve">on behalf of the </w:t>
      </w:r>
      <w:proofErr w:type="spellStart"/>
      <w:r w:rsidR="62F8881B">
        <w:t>sentaors</w:t>
      </w:r>
      <w:proofErr w:type="spellEnd"/>
      <w:r w:rsidR="62F8881B">
        <w:t xml:space="preserve">. </w:t>
      </w:r>
    </w:p>
    <w:p w14:paraId="0C637B63" w14:textId="2AFD52F4" w:rsidR="29171AEF" w:rsidRDefault="29171AEF" w:rsidP="49782C25">
      <w:pPr>
        <w:pStyle w:val="Heading3"/>
      </w:pPr>
      <w:r>
        <w:t>14) State Agency Updates</w:t>
      </w:r>
    </w:p>
    <w:p w14:paraId="4BF701CD" w14:textId="336656D0" w:rsidR="29171AEF" w:rsidRDefault="29171AEF">
      <w:r>
        <w:t>Collette Cox (GOEO) and Luke Dunn (DWS) both presented updates on behalf of th</w:t>
      </w:r>
      <w:r w:rsidR="412DACBD">
        <w:t>eir offices.</w:t>
      </w:r>
    </w:p>
    <w:p w14:paraId="0ED8B373" w14:textId="0669275E" w:rsidR="00BA721F" w:rsidRDefault="00BA721F" w:rsidP="00BA721F">
      <w:pPr>
        <w:pStyle w:val="Heading3"/>
      </w:pPr>
      <w:r>
        <w:t>1</w:t>
      </w:r>
      <w:r w:rsidR="4170F660">
        <w:t>5</w:t>
      </w:r>
      <w:r>
        <w:t>) Adjournment</w:t>
      </w:r>
    </w:p>
    <w:p w14:paraId="2A68FAE6" w14:textId="57103F1E" w:rsidR="00BA721F" w:rsidRDefault="4668DE17" w:rsidP="00BA721F">
      <w:r>
        <w:t>The meeting</w:t>
      </w:r>
      <w:r w:rsidR="00BA721F">
        <w:t xml:space="preserve"> adjourned at approximately 1:30 PM.</w:t>
      </w:r>
    </w:p>
    <w:p w14:paraId="186E2545" w14:textId="0BD83125" w:rsidR="00BA721F" w:rsidRDefault="00BA721F" w:rsidP="00BA721F">
      <w:r>
        <w:br/>
        <w:t xml:space="preserve">Prepared by: </w:t>
      </w:r>
      <w:r w:rsidR="2442DD1F">
        <w:t>Chat GPT/Darin Bushman</w:t>
      </w:r>
      <w:r>
        <w:br/>
        <w:t>Reviewed by: Darin J. Bushman</w:t>
      </w:r>
    </w:p>
    <w:p w14:paraId="447CE0DC" w14:textId="537A8C29" w:rsidR="00732DBC" w:rsidRDefault="00732DBC" w:rsidP="001F284B">
      <w:pPr>
        <w:spacing w:after="0" w:line="240" w:lineRule="auto"/>
        <w:rPr>
          <w:rFonts w:ascii="Aptos" w:hAnsi="Aptos"/>
        </w:rPr>
      </w:pPr>
    </w:p>
    <w:p w14:paraId="2D9EF6E8" w14:textId="2E19315B" w:rsidR="00960F64" w:rsidRPr="00A647F9" w:rsidRDefault="00960F64" w:rsidP="003F5D9B">
      <w:pPr>
        <w:spacing w:after="0" w:line="480" w:lineRule="auto"/>
        <w:rPr>
          <w:rFonts w:ascii="Times New Roman" w:hAnsi="Times New Roman" w:cs="Times New Roman"/>
        </w:rPr>
      </w:pPr>
    </w:p>
    <w:sectPr w:rsidR="00960F64" w:rsidRPr="00A647F9" w:rsidSect="00D00CEB">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6D70" w14:textId="77777777" w:rsidR="008006AA" w:rsidRDefault="008006AA" w:rsidP="001C5001">
      <w:pPr>
        <w:spacing w:after="0" w:line="240" w:lineRule="auto"/>
      </w:pPr>
      <w:r>
        <w:separator/>
      </w:r>
    </w:p>
  </w:endnote>
  <w:endnote w:type="continuationSeparator" w:id="0">
    <w:p w14:paraId="1553B9F7" w14:textId="77777777" w:rsidR="008006AA" w:rsidRDefault="008006AA" w:rsidP="001C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D391" w14:textId="52B6827A" w:rsidR="001C5001" w:rsidRPr="00226CBE" w:rsidRDefault="00D00CEB" w:rsidP="00226CBE">
    <w:pPr>
      <w:pStyle w:val="Footer"/>
      <w:rPr>
        <w:rFonts w:ascii="Garamond" w:hAnsi="Garamond"/>
        <w:sz w:val="24"/>
        <w:szCs w:val="24"/>
      </w:rPr>
    </w:pPr>
    <w:r>
      <w:rPr>
        <w:rFonts w:ascii="Garamond" w:hAnsi="Garamond"/>
        <w:noProof/>
      </w:rPr>
      <w:drawing>
        <wp:anchor distT="0" distB="0" distL="114300" distR="114300" simplePos="0" relativeHeight="251659264" behindDoc="0" locked="0" layoutInCell="1" allowOverlap="1" wp14:anchorId="5B994B73" wp14:editId="7D770EF6">
          <wp:simplePos x="0" y="0"/>
          <wp:positionH relativeFrom="margin">
            <wp:posOffset>-387985</wp:posOffset>
          </wp:positionH>
          <wp:positionV relativeFrom="paragraph">
            <wp:posOffset>-141257</wp:posOffset>
          </wp:positionV>
          <wp:extent cx="6727825" cy="91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226CBE" w:rsidRPr="00226CBE">
      <w:rPr>
        <w:rFonts w:ascii="Garamond" w:hAnsi="Garamond"/>
        <w:noProof/>
        <w:sz w:val="24"/>
        <w:szCs w:val="24"/>
      </w:rPr>
      <w:t xml:space="preserve">BEAVER        </w:t>
    </w:r>
    <w:r w:rsidR="00226CBE">
      <w:rPr>
        <w:rFonts w:ascii="Garamond" w:hAnsi="Garamond"/>
        <w:noProof/>
        <w:sz w:val="24"/>
        <w:szCs w:val="24"/>
      </w:rPr>
      <w:t xml:space="preserve">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GARFIELD        </w:t>
    </w:r>
    <w:r w:rsidR="0077226A">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IRON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KANE        </w:t>
    </w:r>
    <w:r w:rsidR="00226CBE">
      <w:rPr>
        <w:rFonts w:ascii="Garamond" w:hAnsi="Garamond"/>
        <w:noProof/>
        <w:sz w:val="24"/>
        <w:szCs w:val="24"/>
      </w:rPr>
      <w:t xml:space="preserve">   </w:t>
    </w:r>
    <w:r w:rsidR="00226CBE" w:rsidRPr="00226CBE">
      <w:rPr>
        <w:rFonts w:ascii="Garamond" w:hAnsi="Garamond"/>
        <w:noProof/>
        <w:sz w:val="24"/>
        <w:szCs w:val="24"/>
      </w:rPr>
      <w:t xml:space="preserve">      WASHINGTON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92E6" w14:textId="77777777" w:rsidR="008006AA" w:rsidRDefault="008006AA" w:rsidP="001C5001">
      <w:pPr>
        <w:spacing w:after="0" w:line="240" w:lineRule="auto"/>
      </w:pPr>
      <w:r>
        <w:separator/>
      </w:r>
    </w:p>
  </w:footnote>
  <w:footnote w:type="continuationSeparator" w:id="0">
    <w:p w14:paraId="0AEDC433" w14:textId="77777777" w:rsidR="008006AA" w:rsidRDefault="008006AA" w:rsidP="001C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A18" w14:textId="67CAC43B" w:rsidR="005A1AF8" w:rsidRPr="0060108A" w:rsidRDefault="00BA721F" w:rsidP="00D00CEB">
    <w:pPr>
      <w:pStyle w:val="Header"/>
      <w:tabs>
        <w:tab w:val="left" w:pos="300"/>
      </w:tabs>
      <w:jc w:val="right"/>
      <w:rPr>
        <w:rFonts w:ascii="Times New Roman" w:hAnsi="Times New Roman" w:cs="Times New Roman"/>
        <w:b/>
        <w:bCs/>
        <w:sz w:val="24"/>
        <w:szCs w:val="24"/>
      </w:rPr>
    </w:pPr>
    <w:r w:rsidRPr="00A647F9">
      <w:rPr>
        <w:rFonts w:ascii="Times New Roman" w:hAnsi="Times New Roman" w:cs="Times New Roman"/>
        <w:noProof/>
        <w:sz w:val="24"/>
        <w:szCs w:val="24"/>
      </w:rPr>
      <w:drawing>
        <wp:anchor distT="0" distB="0" distL="114300" distR="114300" simplePos="0" relativeHeight="251664384" behindDoc="0" locked="0" layoutInCell="1" allowOverlap="1" wp14:anchorId="68D6E8F1" wp14:editId="14CE9017">
          <wp:simplePos x="0" y="0"/>
          <wp:positionH relativeFrom="margin">
            <wp:posOffset>-495300</wp:posOffset>
          </wp:positionH>
          <wp:positionV relativeFrom="margin">
            <wp:posOffset>-962660</wp:posOffset>
          </wp:positionV>
          <wp:extent cx="3692525" cy="826135"/>
          <wp:effectExtent l="0" t="0" r="0" b="0"/>
          <wp:wrapSquare wrapText="bothSides"/>
          <wp:docPr id="1263564278" name="Picture 12635642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2525" cy="826135"/>
                  </a:xfrm>
                  <a:prstGeom prst="rect">
                    <a:avLst/>
                  </a:prstGeom>
                </pic:spPr>
              </pic:pic>
            </a:graphicData>
          </a:graphic>
          <wp14:sizeRelH relativeFrom="margin">
            <wp14:pctWidth>0</wp14:pctWidth>
          </wp14:sizeRelH>
          <wp14:sizeRelV relativeFrom="margin">
            <wp14:pctHeight>0</wp14:pctHeight>
          </wp14:sizeRelV>
        </wp:anchor>
      </w:drawing>
    </w:r>
    <w:r w:rsidR="005A1AF8" w:rsidRPr="0060108A">
      <w:rPr>
        <w:rFonts w:ascii="Times New Roman" w:hAnsi="Times New Roman" w:cs="Times New Roman"/>
        <w:b/>
        <w:bCs/>
        <w:color w:val="000000"/>
        <w:sz w:val="24"/>
        <w:szCs w:val="24"/>
      </w:rPr>
      <w:t xml:space="preserve">1070 West 1600 South, </w:t>
    </w:r>
    <w:r w:rsidR="00EF29B5" w:rsidRPr="0060108A">
      <w:rPr>
        <w:rFonts w:ascii="Times New Roman" w:hAnsi="Times New Roman" w:cs="Times New Roman"/>
        <w:b/>
        <w:bCs/>
        <w:color w:val="000000"/>
        <w:sz w:val="24"/>
        <w:szCs w:val="24"/>
      </w:rPr>
      <w:t>Bldg.</w:t>
    </w:r>
    <w:r w:rsidR="005A1AF8" w:rsidRPr="0060108A">
      <w:rPr>
        <w:rFonts w:ascii="Times New Roman" w:hAnsi="Times New Roman" w:cs="Times New Roman"/>
        <w:b/>
        <w:bCs/>
        <w:color w:val="000000"/>
        <w:sz w:val="24"/>
        <w:szCs w:val="24"/>
      </w:rPr>
      <w:t xml:space="preserve"> B</w:t>
    </w:r>
  </w:p>
  <w:p w14:paraId="21738C95" w14:textId="31732B2D" w:rsidR="005A1AF8" w:rsidRPr="0060108A" w:rsidRDefault="005A1AF8" w:rsidP="00D00CEB">
    <w:pPr>
      <w:pStyle w:val="NormalWeb"/>
      <w:spacing w:before="0" w:beforeAutospacing="0" w:after="0" w:afterAutospacing="0"/>
      <w:jc w:val="right"/>
      <w:rPr>
        <w:b/>
        <w:bCs/>
      </w:rPr>
    </w:pPr>
    <w:r w:rsidRPr="0060108A">
      <w:rPr>
        <w:b/>
        <w:bCs/>
        <w:color w:val="000000"/>
      </w:rPr>
      <w:t>Saint George, UT 84770</w:t>
    </w:r>
  </w:p>
  <w:p w14:paraId="68E4FD01" w14:textId="4EE4479E" w:rsidR="005A1AF8" w:rsidRPr="0060108A" w:rsidRDefault="0077226A" w:rsidP="00D00CEB">
    <w:pPr>
      <w:pStyle w:val="NormalWeb"/>
      <w:spacing w:before="0" w:beforeAutospacing="0" w:after="0" w:afterAutospacing="0"/>
      <w:jc w:val="right"/>
      <w:rPr>
        <w:b/>
        <w:bCs/>
      </w:rPr>
    </w:pPr>
    <w:r w:rsidRPr="0060108A">
      <w:rPr>
        <w:b/>
        <w:bCs/>
        <w:noProof/>
      </w:rPr>
      <w:drawing>
        <wp:anchor distT="0" distB="0" distL="114300" distR="114300" simplePos="0" relativeHeight="251662336" behindDoc="1" locked="0" layoutInCell="1" allowOverlap="1" wp14:anchorId="777C9404" wp14:editId="7C979AC4">
          <wp:simplePos x="0" y="0"/>
          <wp:positionH relativeFrom="margin">
            <wp:posOffset>-436532</wp:posOffset>
          </wp:positionH>
          <wp:positionV relativeFrom="margin">
            <wp:posOffset>-50157</wp:posOffset>
          </wp:positionV>
          <wp:extent cx="6727825" cy="91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5A1AF8" w:rsidRPr="0060108A">
      <w:rPr>
        <w:b/>
        <w:bCs/>
        <w:color w:val="000000"/>
      </w:rPr>
      <w:t>Office (435) 673-3548</w:t>
    </w:r>
  </w:p>
  <w:p w14:paraId="522DDB70" w14:textId="554F7E28" w:rsidR="000A3944" w:rsidRPr="000A3944" w:rsidRDefault="000A3944" w:rsidP="000A3944">
    <w:pPr>
      <w:pStyle w:val="Header"/>
      <w:tabs>
        <w:tab w:val="clear" w:pos="9360"/>
      </w:tabs>
      <w:ind w:right="-540"/>
      <w:jc w:val="right"/>
      <w:rPr>
        <w:rFonts w:ascii="Times New Roman" w:hAnsi="Times New Roman" w:cs="Times New Roman"/>
        <w:color w:val="404040" w:themeColor="text1" w:themeTint="BF"/>
      </w:rPr>
    </w:pPr>
    <w:r>
      <w:rPr>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20A10"/>
    <w:multiLevelType w:val="hybridMultilevel"/>
    <w:tmpl w:val="C9148684"/>
    <w:lvl w:ilvl="0" w:tplc="45B0C096">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118517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01"/>
    <w:rsid w:val="000142DB"/>
    <w:rsid w:val="00020AD4"/>
    <w:rsid w:val="00042028"/>
    <w:rsid w:val="00062600"/>
    <w:rsid w:val="00063469"/>
    <w:rsid w:val="00091CB1"/>
    <w:rsid w:val="000A3944"/>
    <w:rsid w:val="000D7682"/>
    <w:rsid w:val="000E0CC7"/>
    <w:rsid w:val="000F13A7"/>
    <w:rsid w:val="00127765"/>
    <w:rsid w:val="00145926"/>
    <w:rsid w:val="00193AC5"/>
    <w:rsid w:val="001B5E4E"/>
    <w:rsid w:val="001C5001"/>
    <w:rsid w:val="001F284B"/>
    <w:rsid w:val="00204A55"/>
    <w:rsid w:val="002138CC"/>
    <w:rsid w:val="00226CBE"/>
    <w:rsid w:val="0023352E"/>
    <w:rsid w:val="00235A06"/>
    <w:rsid w:val="0025244B"/>
    <w:rsid w:val="00256E28"/>
    <w:rsid w:val="002B0B2F"/>
    <w:rsid w:val="002B325A"/>
    <w:rsid w:val="002B37C4"/>
    <w:rsid w:val="002B4BED"/>
    <w:rsid w:val="002E2021"/>
    <w:rsid w:val="002F03D7"/>
    <w:rsid w:val="00336DB6"/>
    <w:rsid w:val="0035725B"/>
    <w:rsid w:val="0036128F"/>
    <w:rsid w:val="00365D46"/>
    <w:rsid w:val="003739F5"/>
    <w:rsid w:val="00386335"/>
    <w:rsid w:val="00394B5D"/>
    <w:rsid w:val="00396F5A"/>
    <w:rsid w:val="003A5B8A"/>
    <w:rsid w:val="003E7A1D"/>
    <w:rsid w:val="003F2350"/>
    <w:rsid w:val="003F5D9B"/>
    <w:rsid w:val="004039F6"/>
    <w:rsid w:val="0040435A"/>
    <w:rsid w:val="0040718E"/>
    <w:rsid w:val="0041608A"/>
    <w:rsid w:val="00451477"/>
    <w:rsid w:val="00460F9C"/>
    <w:rsid w:val="00466365"/>
    <w:rsid w:val="0047444E"/>
    <w:rsid w:val="004763A9"/>
    <w:rsid w:val="00483096"/>
    <w:rsid w:val="004854D8"/>
    <w:rsid w:val="004963AC"/>
    <w:rsid w:val="004C4161"/>
    <w:rsid w:val="004E7074"/>
    <w:rsid w:val="005010B0"/>
    <w:rsid w:val="00503386"/>
    <w:rsid w:val="00511B9E"/>
    <w:rsid w:val="00530CCF"/>
    <w:rsid w:val="00531460"/>
    <w:rsid w:val="00532F69"/>
    <w:rsid w:val="00550234"/>
    <w:rsid w:val="00567C7F"/>
    <w:rsid w:val="005A1AF8"/>
    <w:rsid w:val="005B6BF5"/>
    <w:rsid w:val="0060108A"/>
    <w:rsid w:val="00607DBB"/>
    <w:rsid w:val="00625C1E"/>
    <w:rsid w:val="00631992"/>
    <w:rsid w:val="00647D8E"/>
    <w:rsid w:val="006567F2"/>
    <w:rsid w:val="006732A2"/>
    <w:rsid w:val="007245EC"/>
    <w:rsid w:val="00732DBC"/>
    <w:rsid w:val="00734D97"/>
    <w:rsid w:val="007662ED"/>
    <w:rsid w:val="0077226A"/>
    <w:rsid w:val="0078428C"/>
    <w:rsid w:val="007C33E7"/>
    <w:rsid w:val="007E1B26"/>
    <w:rsid w:val="008006AA"/>
    <w:rsid w:val="00824089"/>
    <w:rsid w:val="008403EF"/>
    <w:rsid w:val="00844559"/>
    <w:rsid w:val="00855B27"/>
    <w:rsid w:val="0085674B"/>
    <w:rsid w:val="008567BE"/>
    <w:rsid w:val="00881B6A"/>
    <w:rsid w:val="008A37FA"/>
    <w:rsid w:val="008B4C91"/>
    <w:rsid w:val="008C1D01"/>
    <w:rsid w:val="008E198B"/>
    <w:rsid w:val="008F1D3C"/>
    <w:rsid w:val="00921CA4"/>
    <w:rsid w:val="00925536"/>
    <w:rsid w:val="00931112"/>
    <w:rsid w:val="00960F64"/>
    <w:rsid w:val="009852FF"/>
    <w:rsid w:val="009E532F"/>
    <w:rsid w:val="009E6137"/>
    <w:rsid w:val="009F311B"/>
    <w:rsid w:val="00A159E2"/>
    <w:rsid w:val="00A34FC7"/>
    <w:rsid w:val="00A46F72"/>
    <w:rsid w:val="00A54711"/>
    <w:rsid w:val="00A54B70"/>
    <w:rsid w:val="00A647F9"/>
    <w:rsid w:val="00A742C8"/>
    <w:rsid w:val="00A94738"/>
    <w:rsid w:val="00A977EA"/>
    <w:rsid w:val="00AA2740"/>
    <w:rsid w:val="00AC766A"/>
    <w:rsid w:val="00AE0684"/>
    <w:rsid w:val="00AE1FCB"/>
    <w:rsid w:val="00AE297C"/>
    <w:rsid w:val="00AF3735"/>
    <w:rsid w:val="00AF4C9B"/>
    <w:rsid w:val="00B134CA"/>
    <w:rsid w:val="00B36EA4"/>
    <w:rsid w:val="00B44C48"/>
    <w:rsid w:val="00B65058"/>
    <w:rsid w:val="00BA721F"/>
    <w:rsid w:val="00BF73A8"/>
    <w:rsid w:val="00C01433"/>
    <w:rsid w:val="00C22391"/>
    <w:rsid w:val="00C31CA3"/>
    <w:rsid w:val="00C65A2A"/>
    <w:rsid w:val="00C715B1"/>
    <w:rsid w:val="00C81736"/>
    <w:rsid w:val="00CA6F58"/>
    <w:rsid w:val="00CA7211"/>
    <w:rsid w:val="00CB3674"/>
    <w:rsid w:val="00CB56CB"/>
    <w:rsid w:val="00CC30B7"/>
    <w:rsid w:val="00CE1CAC"/>
    <w:rsid w:val="00D00CEB"/>
    <w:rsid w:val="00D16393"/>
    <w:rsid w:val="00D215C6"/>
    <w:rsid w:val="00D372E0"/>
    <w:rsid w:val="00D71DF4"/>
    <w:rsid w:val="00D82DCC"/>
    <w:rsid w:val="00D93237"/>
    <w:rsid w:val="00DA295D"/>
    <w:rsid w:val="00DC47B0"/>
    <w:rsid w:val="00DC6F8D"/>
    <w:rsid w:val="00DD4161"/>
    <w:rsid w:val="00E00D0D"/>
    <w:rsid w:val="00E327A2"/>
    <w:rsid w:val="00E450B6"/>
    <w:rsid w:val="00E7593C"/>
    <w:rsid w:val="00E84C8E"/>
    <w:rsid w:val="00EA2E71"/>
    <w:rsid w:val="00EA6124"/>
    <w:rsid w:val="00EA7AAF"/>
    <w:rsid w:val="00EB1EC0"/>
    <w:rsid w:val="00ED254D"/>
    <w:rsid w:val="00EF29B5"/>
    <w:rsid w:val="00F053A8"/>
    <w:rsid w:val="00F065E6"/>
    <w:rsid w:val="00F33619"/>
    <w:rsid w:val="00F47A45"/>
    <w:rsid w:val="00F52D8F"/>
    <w:rsid w:val="00FB04E2"/>
    <w:rsid w:val="00FB46E3"/>
    <w:rsid w:val="01A71750"/>
    <w:rsid w:val="08E14E5D"/>
    <w:rsid w:val="0C18C575"/>
    <w:rsid w:val="0CB4B18D"/>
    <w:rsid w:val="0DEE03F7"/>
    <w:rsid w:val="0E583E13"/>
    <w:rsid w:val="0FC97A7A"/>
    <w:rsid w:val="0FEB51FC"/>
    <w:rsid w:val="1143D3A2"/>
    <w:rsid w:val="122AC67B"/>
    <w:rsid w:val="1696FB43"/>
    <w:rsid w:val="194C7EAA"/>
    <w:rsid w:val="199AB0FA"/>
    <w:rsid w:val="1CAF8D22"/>
    <w:rsid w:val="1DC1AD4D"/>
    <w:rsid w:val="2442DD1F"/>
    <w:rsid w:val="24625C70"/>
    <w:rsid w:val="2633A157"/>
    <w:rsid w:val="2895A193"/>
    <w:rsid w:val="29171AEF"/>
    <w:rsid w:val="29B1E433"/>
    <w:rsid w:val="2A24B107"/>
    <w:rsid w:val="2BF9FD83"/>
    <w:rsid w:val="2D6A5380"/>
    <w:rsid w:val="2DA4960B"/>
    <w:rsid w:val="2E6ACC98"/>
    <w:rsid w:val="2F322943"/>
    <w:rsid w:val="326E5BEF"/>
    <w:rsid w:val="3376024B"/>
    <w:rsid w:val="3395CAAD"/>
    <w:rsid w:val="33EAC4FC"/>
    <w:rsid w:val="3505FB27"/>
    <w:rsid w:val="36131382"/>
    <w:rsid w:val="3679C515"/>
    <w:rsid w:val="37DB50F5"/>
    <w:rsid w:val="3B0653B0"/>
    <w:rsid w:val="3C605CDB"/>
    <w:rsid w:val="3C8A9BC4"/>
    <w:rsid w:val="3D37E41D"/>
    <w:rsid w:val="3E17C728"/>
    <w:rsid w:val="3E5D18F8"/>
    <w:rsid w:val="3FC2C1DF"/>
    <w:rsid w:val="40323C40"/>
    <w:rsid w:val="412DACBD"/>
    <w:rsid w:val="4170F660"/>
    <w:rsid w:val="426AF55A"/>
    <w:rsid w:val="43CFA979"/>
    <w:rsid w:val="45732F20"/>
    <w:rsid w:val="4636A983"/>
    <w:rsid w:val="4668DE17"/>
    <w:rsid w:val="48C4B170"/>
    <w:rsid w:val="49782C25"/>
    <w:rsid w:val="4A1B98AC"/>
    <w:rsid w:val="4DACFE3D"/>
    <w:rsid w:val="4DF53B9E"/>
    <w:rsid w:val="4F75FAEE"/>
    <w:rsid w:val="5048A535"/>
    <w:rsid w:val="50D78BEE"/>
    <w:rsid w:val="52059950"/>
    <w:rsid w:val="526A1598"/>
    <w:rsid w:val="527238D6"/>
    <w:rsid w:val="59A6923A"/>
    <w:rsid w:val="5BFAC3FA"/>
    <w:rsid w:val="5D8D9CF2"/>
    <w:rsid w:val="5DC4985A"/>
    <w:rsid w:val="5E44DA6B"/>
    <w:rsid w:val="62D651C0"/>
    <w:rsid w:val="62F8881B"/>
    <w:rsid w:val="63D9A5A0"/>
    <w:rsid w:val="66AF0F12"/>
    <w:rsid w:val="6881D22C"/>
    <w:rsid w:val="6A497B7E"/>
    <w:rsid w:val="6A5FB8C9"/>
    <w:rsid w:val="6A9FE715"/>
    <w:rsid w:val="6BBD4256"/>
    <w:rsid w:val="6BF34F18"/>
    <w:rsid w:val="6C792D6B"/>
    <w:rsid w:val="6D10CBC2"/>
    <w:rsid w:val="6F2D52EF"/>
    <w:rsid w:val="745EE9A6"/>
    <w:rsid w:val="75567867"/>
    <w:rsid w:val="768AE22F"/>
    <w:rsid w:val="77D82E92"/>
    <w:rsid w:val="77E2855E"/>
    <w:rsid w:val="78841296"/>
    <w:rsid w:val="7E6DDE97"/>
    <w:rsid w:val="7F61EE09"/>
    <w:rsid w:val="7F6D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C4BD8"/>
  <w15:docId w15:val="{E7BB999F-F0BF-44AE-870C-6F992AA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B7"/>
  </w:style>
  <w:style w:type="paragraph" w:styleId="Heading2">
    <w:name w:val="heading 2"/>
    <w:basedOn w:val="Normal"/>
    <w:next w:val="Normal"/>
    <w:link w:val="Heading2Char"/>
    <w:uiPriority w:val="9"/>
    <w:unhideWhenUsed/>
    <w:qFormat/>
    <w:rsid w:val="00BA72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7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01"/>
    <w:rPr>
      <w:rFonts w:ascii="Tahoma" w:hAnsi="Tahoma" w:cs="Tahoma"/>
      <w:sz w:val="16"/>
      <w:szCs w:val="16"/>
    </w:rPr>
  </w:style>
  <w:style w:type="paragraph" w:styleId="Header">
    <w:name w:val="header"/>
    <w:basedOn w:val="Normal"/>
    <w:link w:val="HeaderChar"/>
    <w:uiPriority w:val="99"/>
    <w:unhideWhenUsed/>
    <w:rsid w:val="001C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01"/>
  </w:style>
  <w:style w:type="paragraph" w:styleId="Footer">
    <w:name w:val="footer"/>
    <w:basedOn w:val="Normal"/>
    <w:link w:val="FooterChar"/>
    <w:uiPriority w:val="99"/>
    <w:unhideWhenUsed/>
    <w:rsid w:val="001C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01"/>
  </w:style>
  <w:style w:type="paragraph" w:styleId="BodyText">
    <w:name w:val="Body Text"/>
    <w:basedOn w:val="Normal"/>
    <w:link w:val="BodyTextChar"/>
    <w:semiHidden/>
    <w:rsid w:val="005010B0"/>
    <w:pPr>
      <w:widowControl w:val="0"/>
      <w:tabs>
        <w:tab w:val="left" w:pos="-72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5010B0"/>
    <w:rPr>
      <w:rFonts w:ascii="Times New Roman" w:eastAsia="Times New Roman" w:hAnsi="Times New Roman" w:cs="Times New Roman"/>
      <w:sz w:val="20"/>
      <w:szCs w:val="20"/>
    </w:rPr>
  </w:style>
  <w:style w:type="paragraph" w:styleId="BodyText2">
    <w:name w:val="Body Text 2"/>
    <w:basedOn w:val="Normal"/>
    <w:link w:val="BodyText2Char"/>
    <w:semiHidden/>
    <w:rsid w:val="005010B0"/>
    <w:pPr>
      <w:widowControl w:val="0"/>
      <w:tabs>
        <w:tab w:val="left" w:pos="-720"/>
        <w:tab w:val="left" w:pos="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5010B0"/>
    <w:rPr>
      <w:rFonts w:ascii="Times New Roman" w:eastAsia="Times New Roman" w:hAnsi="Times New Roman" w:cs="Times New Roman"/>
      <w:sz w:val="20"/>
      <w:szCs w:val="20"/>
    </w:rPr>
  </w:style>
  <w:style w:type="paragraph" w:styleId="NormalWeb">
    <w:name w:val="Normal (Web)"/>
    <w:basedOn w:val="Normal"/>
    <w:uiPriority w:val="99"/>
    <w:semiHidden/>
    <w:unhideWhenUsed/>
    <w:rsid w:val="005A1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7D8E"/>
    <w:rPr>
      <w:color w:val="0000FF"/>
      <w:u w:val="single"/>
    </w:rPr>
  </w:style>
  <w:style w:type="table" w:styleId="TableGrid">
    <w:name w:val="Table Grid"/>
    <w:basedOn w:val="TableNormal"/>
    <w:uiPriority w:val="59"/>
    <w:rsid w:val="0067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6732A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6732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21CA4"/>
    <w:rPr>
      <w:color w:val="605E5C"/>
      <w:shd w:val="clear" w:color="auto" w:fill="E1DFDD"/>
    </w:rPr>
  </w:style>
  <w:style w:type="character" w:customStyle="1" w:styleId="Heading2Char">
    <w:name w:val="Heading 2 Char"/>
    <w:basedOn w:val="DefaultParagraphFont"/>
    <w:link w:val="Heading2"/>
    <w:uiPriority w:val="9"/>
    <w:rsid w:val="00BA72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721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680">
      <w:bodyDiv w:val="1"/>
      <w:marLeft w:val="0"/>
      <w:marRight w:val="0"/>
      <w:marTop w:val="0"/>
      <w:marBottom w:val="0"/>
      <w:divBdr>
        <w:top w:val="none" w:sz="0" w:space="0" w:color="auto"/>
        <w:left w:val="none" w:sz="0" w:space="0" w:color="auto"/>
        <w:bottom w:val="none" w:sz="0" w:space="0" w:color="auto"/>
        <w:right w:val="none" w:sz="0" w:space="0" w:color="auto"/>
      </w:divBdr>
    </w:div>
    <w:div w:id="175391192">
      <w:bodyDiv w:val="1"/>
      <w:marLeft w:val="0"/>
      <w:marRight w:val="0"/>
      <w:marTop w:val="0"/>
      <w:marBottom w:val="0"/>
      <w:divBdr>
        <w:top w:val="none" w:sz="0" w:space="0" w:color="auto"/>
        <w:left w:val="none" w:sz="0" w:space="0" w:color="auto"/>
        <w:bottom w:val="none" w:sz="0" w:space="0" w:color="auto"/>
        <w:right w:val="none" w:sz="0" w:space="0" w:color="auto"/>
      </w:divBdr>
    </w:div>
    <w:div w:id="253129694">
      <w:bodyDiv w:val="1"/>
      <w:marLeft w:val="0"/>
      <w:marRight w:val="0"/>
      <w:marTop w:val="0"/>
      <w:marBottom w:val="0"/>
      <w:divBdr>
        <w:top w:val="none" w:sz="0" w:space="0" w:color="auto"/>
        <w:left w:val="none" w:sz="0" w:space="0" w:color="auto"/>
        <w:bottom w:val="none" w:sz="0" w:space="0" w:color="auto"/>
        <w:right w:val="none" w:sz="0" w:space="0" w:color="auto"/>
      </w:divBdr>
    </w:div>
    <w:div w:id="12612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2100ee-8289-413f-a311-5eb65113da22">
      <Terms xmlns="http://schemas.microsoft.com/office/infopath/2007/PartnerControls"/>
    </lcf76f155ced4ddcb4097134ff3c332f>
    <TaxCatchAll xmlns="61926586-a16f-46cc-8c83-162b8c3f96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1F91573764BD428C1B8A3CB5C8C1D0" ma:contentTypeVersion="14" ma:contentTypeDescription="Create a new document." ma:contentTypeScope="" ma:versionID="81f721fa7f35b9a5e8c766161ff95aaa">
  <xsd:schema xmlns:xsd="http://www.w3.org/2001/XMLSchema" xmlns:xs="http://www.w3.org/2001/XMLSchema" xmlns:p="http://schemas.microsoft.com/office/2006/metadata/properties" xmlns:ns2="c92100ee-8289-413f-a311-5eb65113da22" xmlns:ns3="61926586-a16f-46cc-8c83-162b8c3f961c" targetNamespace="http://schemas.microsoft.com/office/2006/metadata/properties" ma:root="true" ma:fieldsID="ad17d075dd5804d9244eb09406427ded" ns2:_="" ns3:_="">
    <xsd:import namespace="c92100ee-8289-413f-a311-5eb65113da22"/>
    <xsd:import namespace="61926586-a16f-46cc-8c83-162b8c3f9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00ee-8289-413f-a311-5eb65113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cefff-b912-4535-bddc-235febf7e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26586-a16f-46cc-8c83-162b8c3f9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c94937-70d8-4102-a946-fd9e65c1a726}" ma:internalName="TaxCatchAll" ma:showField="CatchAllData" ma:web="61926586-a16f-46cc-8c83-162b8c3f9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FA926-0EAF-4EB3-8C18-B3E0F2861EFF}">
  <ds:schemaRefs>
    <ds:schemaRef ds:uri="http://schemas.openxmlformats.org/officeDocument/2006/bibliography"/>
  </ds:schemaRefs>
</ds:datastoreItem>
</file>

<file path=customXml/itemProps2.xml><?xml version="1.0" encoding="utf-8"?>
<ds:datastoreItem xmlns:ds="http://schemas.openxmlformats.org/officeDocument/2006/customXml" ds:itemID="{D862BBD2-B1CB-49A2-BFC3-CB8B4494FF44}">
  <ds:schemaRefs>
    <ds:schemaRef ds:uri="http://schemas.microsoft.com/office/2006/metadata/properties"/>
    <ds:schemaRef ds:uri="http://schemas.microsoft.com/office/infopath/2007/PartnerControls"/>
    <ds:schemaRef ds:uri="c92100ee-8289-413f-a311-5eb65113da22"/>
    <ds:schemaRef ds:uri="61926586-a16f-46cc-8c83-162b8c3f961c"/>
  </ds:schemaRefs>
</ds:datastoreItem>
</file>

<file path=customXml/itemProps3.xml><?xml version="1.0" encoding="utf-8"?>
<ds:datastoreItem xmlns:ds="http://schemas.openxmlformats.org/officeDocument/2006/customXml" ds:itemID="{52EAD41D-3AF0-46A9-BB70-3E7DAAEB27CD}">
  <ds:schemaRefs>
    <ds:schemaRef ds:uri="http://schemas.microsoft.com/sharepoint/v3/contenttype/forms"/>
  </ds:schemaRefs>
</ds:datastoreItem>
</file>

<file path=customXml/itemProps4.xml><?xml version="1.0" encoding="utf-8"?>
<ds:datastoreItem xmlns:ds="http://schemas.openxmlformats.org/officeDocument/2006/customXml" ds:itemID="{8779ABB6-31AD-442F-A448-CF0F5ADA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00ee-8289-413f-a311-5eb65113da22"/>
    <ds:schemaRef ds:uri="61926586-a16f-46cc-8c83-162b8c3f9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5052</Characters>
  <Application>Microsoft Office Word</Application>
  <DocSecurity>0</DocSecurity>
  <Lines>114</Lines>
  <Paragraphs>71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cslobig</dc:creator>
  <cp:keywords/>
  <dc:description/>
  <cp:lastModifiedBy>Darin Bushman</cp:lastModifiedBy>
  <cp:revision>2</cp:revision>
  <cp:lastPrinted>2025-02-13T18:47:00Z</cp:lastPrinted>
  <dcterms:created xsi:type="dcterms:W3CDTF">2026-01-15T23:18:00Z</dcterms:created>
  <dcterms:modified xsi:type="dcterms:W3CDTF">2026-01-15T23:18:00Z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a90120df-6d2e-4248-afb2-594e454e1b1d</vt:lpwstr>
  </property>
  <property fmtid="{D5CDD505-2E9C-101B-9397-08002B2CF9AE}" pid="3" name="ContentTypeId">
    <vt:lpwstr>0x010100E21F91573764BD428C1B8A3CB5C8C1D0</vt:lpwstr>
  </property>
  <property fmtid="{D5CDD505-2E9C-101B-9397-08002B2CF9AE}" pid="4" name="MediaServiceImageTags">
    <vt:lpwstr/>
  </property>
</Properties>
</file>