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8F65" w14:textId="77777777" w:rsidR="00600E47" w:rsidRDefault="00AB50CE" w:rsidP="00D832E6">
      <w:pPr>
        <w:spacing w:after="247"/>
        <w:ind w:left="270"/>
        <w:jc w:val="center"/>
      </w:pPr>
      <w:r>
        <w:rPr>
          <w:noProof/>
        </w:rPr>
        <w:drawing>
          <wp:anchor distT="0" distB="0" distL="114300" distR="114300" simplePos="0" relativeHeight="251658240" behindDoc="0" locked="0" layoutInCell="1" allowOverlap="0" wp14:anchorId="537BA09E" wp14:editId="48CDAAFC">
            <wp:simplePos x="0" y="0"/>
            <wp:positionH relativeFrom="column">
              <wp:posOffset>171731</wp:posOffset>
            </wp:positionH>
            <wp:positionV relativeFrom="paragraph">
              <wp:posOffset>-27448</wp:posOffset>
            </wp:positionV>
            <wp:extent cx="1228041" cy="1544955"/>
            <wp:effectExtent l="0" t="0" r="0" b="0"/>
            <wp:wrapSquare wrapText="bothSides"/>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228041" cy="1544955"/>
                    </a:xfrm>
                    <a:prstGeom prst="rect">
                      <a:avLst/>
                    </a:prstGeom>
                  </pic:spPr>
                </pic:pic>
              </a:graphicData>
            </a:graphic>
          </wp:anchor>
        </w:drawing>
      </w:r>
      <w:r>
        <w:rPr>
          <w:b/>
        </w:rPr>
        <w:t>UTAH DEPARTMENT OF AGRICULTURE AND FOOD</w:t>
      </w:r>
    </w:p>
    <w:p w14:paraId="3A22F41A" w14:textId="77777777" w:rsidR="00600E47" w:rsidRDefault="00AB50CE">
      <w:pPr>
        <w:spacing w:after="0"/>
        <w:ind w:left="280" w:hanging="10"/>
        <w:jc w:val="center"/>
      </w:pPr>
      <w:r>
        <w:rPr>
          <w:b/>
        </w:rPr>
        <w:t>State of Utah</w:t>
      </w:r>
      <w:r>
        <w:t xml:space="preserve"> </w:t>
      </w:r>
    </w:p>
    <w:p w14:paraId="69FB5E30" w14:textId="77777777" w:rsidR="00600E47" w:rsidRDefault="00AB50CE">
      <w:pPr>
        <w:spacing w:after="0"/>
        <w:ind w:left="280" w:hanging="10"/>
        <w:jc w:val="center"/>
      </w:pPr>
      <w:r>
        <w:rPr>
          <w:b/>
        </w:rPr>
        <w:t>Fish Health Policy Board</w:t>
      </w:r>
      <w:r>
        <w:t xml:space="preserve"> </w:t>
      </w:r>
    </w:p>
    <w:p w14:paraId="6B5941FC" w14:textId="77777777" w:rsidR="00ED2724" w:rsidRDefault="00355BA2" w:rsidP="008F67CF">
      <w:pPr>
        <w:spacing w:after="1" w:line="265" w:lineRule="auto"/>
        <w:ind w:left="341" w:hanging="10"/>
        <w:jc w:val="center"/>
      </w:pPr>
      <w:r>
        <w:t xml:space="preserve"> </w:t>
      </w:r>
      <w:r w:rsidR="007726FF">
        <w:t>October 1</w:t>
      </w:r>
      <w:r w:rsidR="00ED2724">
        <w:t>, 2025</w:t>
      </w:r>
    </w:p>
    <w:p w14:paraId="5A4545A0" w14:textId="77777777" w:rsidR="00600E47" w:rsidRDefault="00ED2724" w:rsidP="008F67CF">
      <w:pPr>
        <w:spacing w:after="1" w:line="265" w:lineRule="auto"/>
        <w:ind w:left="341" w:hanging="10"/>
        <w:jc w:val="center"/>
      </w:pPr>
      <w:r>
        <w:t xml:space="preserve"> </w:t>
      </w:r>
      <w:r w:rsidR="00A806AC">
        <w:t>1</w:t>
      </w:r>
      <w:r>
        <w:t xml:space="preserve">:00 – </w:t>
      </w:r>
      <w:r w:rsidR="00A806AC">
        <w:t>2</w:t>
      </w:r>
      <w:r>
        <w:t>:30 PM</w:t>
      </w:r>
    </w:p>
    <w:p w14:paraId="2E8CE650" w14:textId="77777777" w:rsidR="00600E47" w:rsidRDefault="00493CC8" w:rsidP="008F67CF">
      <w:pPr>
        <w:spacing w:after="1" w:line="265" w:lineRule="auto"/>
        <w:ind w:left="341" w:hanging="10"/>
        <w:jc w:val="center"/>
      </w:pPr>
      <w:r>
        <w:t>UDAF offices</w:t>
      </w:r>
    </w:p>
    <w:p w14:paraId="6E6C6712" w14:textId="77777777" w:rsidR="00600E47" w:rsidRDefault="00AB50CE">
      <w:pPr>
        <w:spacing w:after="0"/>
        <w:ind w:left="280" w:hanging="10"/>
        <w:jc w:val="center"/>
      </w:pPr>
      <w:r>
        <w:t xml:space="preserve">    </w:t>
      </w:r>
      <w:r w:rsidR="00493CC8">
        <w:t>Taylorsville</w:t>
      </w:r>
      <w:r>
        <w:t xml:space="preserve">, UT  </w:t>
      </w:r>
    </w:p>
    <w:p w14:paraId="4FBB1FD7" w14:textId="77777777" w:rsidR="00600E47" w:rsidRDefault="00493CC8">
      <w:pPr>
        <w:spacing w:after="0"/>
        <w:ind w:left="280" w:hanging="10"/>
        <w:jc w:val="center"/>
      </w:pPr>
      <w:r>
        <w:t>Conference Room #</w:t>
      </w:r>
      <w:r w:rsidR="00ED2724">
        <w:t>2508</w:t>
      </w:r>
    </w:p>
    <w:p w14:paraId="58C15026" w14:textId="77777777" w:rsidR="00600E47" w:rsidRDefault="00AB50CE">
      <w:pPr>
        <w:spacing w:after="0"/>
        <w:ind w:left="270"/>
      </w:pPr>
      <w:r>
        <w:rPr>
          <w:b/>
        </w:rPr>
        <w:t xml:space="preserve"> </w:t>
      </w:r>
    </w:p>
    <w:p w14:paraId="0B2CA1DE" w14:textId="77777777" w:rsidR="00A55578" w:rsidRPr="00A55578" w:rsidRDefault="00AB50CE" w:rsidP="00614691">
      <w:pPr>
        <w:spacing w:after="0"/>
        <w:ind w:left="-5" w:hanging="10"/>
        <w:rPr>
          <w:color w:val="0070C0"/>
        </w:rPr>
      </w:pPr>
      <w:r>
        <w:rPr>
          <w:b/>
        </w:rPr>
        <w:t>Teleconference link:</w:t>
      </w:r>
      <w:r w:rsidR="00ED2724">
        <w:rPr>
          <w:color w:val="0070C0"/>
        </w:rPr>
        <w:t xml:space="preserve"> </w:t>
      </w:r>
      <w:r w:rsidR="00614691" w:rsidRPr="00614691">
        <w:rPr>
          <w:color w:val="0070C0"/>
        </w:rPr>
        <w:t>https://tel.meet/myd-fetf-esj?pin=1044021855935</w:t>
      </w:r>
    </w:p>
    <w:p w14:paraId="4A4A6FE1" w14:textId="77777777" w:rsidR="00600E47" w:rsidRDefault="00AB50CE">
      <w:pPr>
        <w:spacing w:after="136"/>
        <w:ind w:left="-5" w:hanging="10"/>
      </w:pPr>
      <w:r>
        <w:rPr>
          <w:b/>
        </w:rPr>
        <w:t>Join by phone</w:t>
      </w:r>
      <w:r>
        <w:rPr>
          <w:b/>
          <w:color w:val="3C4043"/>
        </w:rPr>
        <w:t xml:space="preserve">: </w:t>
      </w:r>
      <w:r>
        <w:rPr>
          <w:color w:val="0070C0"/>
        </w:rPr>
        <w:t xml:space="preserve">(US) +1 </w:t>
      </w:r>
      <w:r w:rsidR="00A55578">
        <w:rPr>
          <w:color w:val="0070C0"/>
        </w:rPr>
        <w:t>2</w:t>
      </w:r>
      <w:r w:rsidR="00614691">
        <w:rPr>
          <w:color w:val="0070C0"/>
        </w:rPr>
        <w:t>19</w:t>
      </w:r>
      <w:r w:rsidR="00A55578">
        <w:rPr>
          <w:color w:val="0070C0"/>
        </w:rPr>
        <w:t>-</w:t>
      </w:r>
      <w:r w:rsidR="00614691">
        <w:rPr>
          <w:color w:val="0070C0"/>
        </w:rPr>
        <w:t>281</w:t>
      </w:r>
      <w:r w:rsidR="00A55578">
        <w:rPr>
          <w:color w:val="0070C0"/>
        </w:rPr>
        <w:t>-</w:t>
      </w:r>
      <w:r w:rsidR="00614691">
        <w:rPr>
          <w:color w:val="0070C0"/>
        </w:rPr>
        <w:t>4414</w:t>
      </w:r>
      <w:r w:rsidR="00493CC8">
        <w:rPr>
          <w:color w:val="0070C0"/>
        </w:rPr>
        <w:t xml:space="preserve"> </w:t>
      </w:r>
      <w:r>
        <w:t xml:space="preserve">PIN: </w:t>
      </w:r>
      <w:dir w:val="ltr">
        <w:r w:rsidR="00614691">
          <w:rPr>
            <w:color w:val="0070C0"/>
          </w:rPr>
          <w:t>599 035 977</w:t>
        </w:r>
        <w:r w:rsidR="00A55578">
          <w:rPr>
            <w:color w:val="0070C0"/>
          </w:rPr>
          <w:t>#</w:t>
        </w:r>
        <w:r w:rsidR="006402A1">
          <w:t>‬</w:t>
        </w:r>
        <w:r w:rsidR="00D65DC1">
          <w:t>‬</w:t>
        </w:r>
        <w:r w:rsidR="00B20782">
          <w:t>‬</w:t>
        </w:r>
        <w:r w:rsidR="00550C2F">
          <w:t>‬</w:t>
        </w:r>
        <w:r>
          <w:t>‬</w:t>
        </w:r>
        <w:r w:rsidR="00000000">
          <w:t>‬</w:t>
        </w:r>
      </w:dir>
    </w:p>
    <w:p w14:paraId="24B2E75A" w14:textId="77777777" w:rsidR="00600E47" w:rsidRDefault="00AB50CE">
      <w:pPr>
        <w:spacing w:after="278" w:line="245" w:lineRule="auto"/>
        <w:ind w:left="-5" w:hanging="10"/>
      </w:pPr>
      <w:r>
        <w:rPr>
          <w:color w:val="222222"/>
        </w:rPr>
        <w:t>This meeting will be conducted in person and via electronic means. Here is the available link to the public for live broadcast and on-demand viewing:</w:t>
      </w:r>
      <w:r>
        <w:t xml:space="preserve"> </w:t>
      </w:r>
      <w:r w:rsidR="00614691" w:rsidRPr="00614691">
        <w:rPr>
          <w:color w:val="0070C0"/>
        </w:rPr>
        <w:t>https://tel.meet/myd-fetf-esj?pin=1044021855935</w:t>
      </w:r>
    </w:p>
    <w:p w14:paraId="7E622EA6" w14:textId="77777777" w:rsidR="00715E26" w:rsidRDefault="00AB50CE" w:rsidP="00614691">
      <w:pPr>
        <w:spacing w:after="175" w:line="245" w:lineRule="auto"/>
        <w:ind w:left="-5" w:hanging="10"/>
        <w:rPr>
          <w:color w:val="0070C0"/>
        </w:rPr>
      </w:pPr>
      <w:r>
        <w:rPr>
          <w:color w:val="222222"/>
        </w:rPr>
        <w:t>If you do not have access to the Internet, you can join via telephone calling</w:t>
      </w:r>
      <w:r>
        <w:rPr>
          <w:color w:val="3C4043"/>
        </w:rPr>
        <w:t>:</w:t>
      </w:r>
      <w:r w:rsidR="00614691" w:rsidRPr="00614691">
        <w:rPr>
          <w:color w:val="0070C0"/>
        </w:rPr>
        <w:t xml:space="preserve"> </w:t>
      </w:r>
      <w:r w:rsidR="00614691">
        <w:rPr>
          <w:color w:val="0070C0"/>
        </w:rPr>
        <w:t>(US) +1 219-281-4414</w:t>
      </w:r>
      <w:r>
        <w:rPr>
          <w:color w:val="3C4043"/>
        </w:rPr>
        <w:t xml:space="preserve"> </w:t>
      </w:r>
      <w:r>
        <w:rPr>
          <w:color w:val="222222"/>
        </w:rPr>
        <w:t xml:space="preserve">and using meeting </w:t>
      </w:r>
      <w:r>
        <w:t>PIN</w:t>
      </w:r>
      <w:r>
        <w:rPr>
          <w:b/>
          <w:color w:val="366091"/>
        </w:rPr>
        <w:t xml:space="preserve">: </w:t>
      </w:r>
      <w:r w:rsidR="00614691">
        <w:rPr>
          <w:color w:val="0070C0"/>
        </w:rPr>
        <w:t>599 035 977</w:t>
      </w:r>
    </w:p>
    <w:p w14:paraId="17A49709" w14:textId="77777777" w:rsidR="00B40383" w:rsidRDefault="00B40383" w:rsidP="00614691">
      <w:pPr>
        <w:spacing w:after="175" w:line="245" w:lineRule="auto"/>
        <w:ind w:left="-5" w:hanging="10"/>
      </w:pPr>
    </w:p>
    <w:p w14:paraId="2042EA25" w14:textId="77777777" w:rsidR="00600E47" w:rsidRDefault="00AB50CE">
      <w:pPr>
        <w:pStyle w:val="Heading1"/>
      </w:pPr>
      <w:r>
        <w:t xml:space="preserve">AGENDA </w:t>
      </w:r>
    </w:p>
    <w:p w14:paraId="421D57EC" w14:textId="77777777" w:rsidR="00EB074D" w:rsidRDefault="00AB50CE" w:rsidP="00152E87">
      <w:pPr>
        <w:numPr>
          <w:ilvl w:val="0"/>
          <w:numId w:val="1"/>
        </w:numPr>
        <w:spacing w:after="258" w:line="265" w:lineRule="auto"/>
        <w:ind w:hanging="360"/>
      </w:pPr>
      <w:r>
        <w:t xml:space="preserve">CALL MEETING TO ORDER – </w:t>
      </w:r>
      <w:r w:rsidR="00493CC8">
        <w:t>WADE CAVENDER</w:t>
      </w:r>
      <w:r>
        <w:t xml:space="preserve">, CHAIR. </w:t>
      </w:r>
    </w:p>
    <w:p w14:paraId="5876ED1D" w14:textId="22BF97AA" w:rsidR="00260BF1" w:rsidRDefault="00260BF1" w:rsidP="00260BF1">
      <w:pPr>
        <w:numPr>
          <w:ilvl w:val="1"/>
          <w:numId w:val="1"/>
        </w:numPr>
        <w:spacing w:after="258" w:line="265" w:lineRule="auto"/>
      </w:pPr>
      <w:r w:rsidRPr="00820969">
        <w:rPr>
          <w:rFonts w:ascii="Roboto" w:hAnsi="Roboto" w:cs="Arial"/>
          <w:color w:val="4472C4" w:themeColor="accent1"/>
        </w:rPr>
        <w:t xml:space="preserve">Wade Cavender (chair) commenced the Fish Health Policy Board meeting on October 1st, </w:t>
      </w:r>
      <w:proofErr w:type="gramStart"/>
      <w:r w:rsidRPr="00820969">
        <w:rPr>
          <w:rFonts w:ascii="Roboto" w:hAnsi="Roboto" w:cs="Arial"/>
          <w:color w:val="4472C4" w:themeColor="accent1"/>
        </w:rPr>
        <w:t>2025</w:t>
      </w:r>
      <w:proofErr w:type="gramEnd"/>
      <w:r w:rsidRPr="00820969">
        <w:rPr>
          <w:rFonts w:ascii="Roboto" w:hAnsi="Roboto" w:cs="Arial"/>
          <w:color w:val="4472C4" w:themeColor="accent1"/>
        </w:rPr>
        <w:t xml:space="preserve"> at 2:00 pm, from an alternate location (UDWR offices) due to a gas leak at the original venue (UDAF offices). During the roll call, Randy Oplinger, Mike Canning, Drew Cushing, Melinda Bennion, Dr. Robert Martinez, Anthony Siegle, Xavier Matheson, Christine Swan, and Dr. Ari Fustukjian were all present. Tylyn Griffin and Tyler Coleman joined the meeting remotely a little late. (</w:t>
      </w:r>
      <w:hyperlink r:id="rId8" w:anchor="heading=h.hz6ziyxth2xh" w:history="1">
        <w:r w:rsidRPr="00820969">
          <w:rPr>
            <w:rStyle w:val="Hyperlink"/>
            <w:rFonts w:ascii="Roboto" w:hAnsi="Roboto" w:cs="Arial"/>
            <w:color w:val="4472C4" w:themeColor="accent1"/>
          </w:rPr>
          <w:t>00:01:22</w:t>
        </w:r>
      </w:hyperlink>
      <w:r w:rsidRPr="00820969">
        <w:rPr>
          <w:rFonts w:ascii="Roboto" w:hAnsi="Roboto" w:cs="Arial"/>
          <w:color w:val="4472C4" w:themeColor="accent1"/>
        </w:rPr>
        <w:t>).</w:t>
      </w:r>
    </w:p>
    <w:p w14:paraId="7AC2C156" w14:textId="77777777" w:rsidR="00600E47" w:rsidRDefault="00AB50CE">
      <w:pPr>
        <w:numPr>
          <w:ilvl w:val="0"/>
          <w:numId w:val="1"/>
        </w:numPr>
        <w:spacing w:after="256" w:line="265" w:lineRule="auto"/>
        <w:ind w:hanging="360"/>
      </w:pPr>
      <w:r>
        <w:t xml:space="preserve">PUBLIC COMMENT </w:t>
      </w:r>
    </w:p>
    <w:p w14:paraId="09033731" w14:textId="65F8963F" w:rsidR="004D0368" w:rsidRPr="004D0368" w:rsidRDefault="004D0368" w:rsidP="004D0368">
      <w:pPr>
        <w:numPr>
          <w:ilvl w:val="1"/>
          <w:numId w:val="1"/>
        </w:numPr>
        <w:spacing w:after="256" w:line="265" w:lineRule="auto"/>
        <w:rPr>
          <w:rFonts w:ascii="Roboto" w:hAnsi="Roboto"/>
        </w:rPr>
      </w:pPr>
      <w:r w:rsidRPr="004D0368">
        <w:rPr>
          <w:rFonts w:ascii="Roboto" w:hAnsi="Roboto"/>
        </w:rPr>
        <w:t>None</w:t>
      </w:r>
    </w:p>
    <w:p w14:paraId="1C8000D2" w14:textId="77777777" w:rsidR="00600E47" w:rsidRDefault="00AB50CE">
      <w:pPr>
        <w:numPr>
          <w:ilvl w:val="0"/>
          <w:numId w:val="1"/>
        </w:numPr>
        <w:spacing w:after="1" w:line="265" w:lineRule="auto"/>
        <w:ind w:hanging="360"/>
      </w:pPr>
      <w:r>
        <w:t xml:space="preserve">APPROVAL OF THE MINUTES OF THE FHPB: [action Item] </w:t>
      </w:r>
    </w:p>
    <w:p w14:paraId="75AC4670" w14:textId="77777777" w:rsidR="00E511A7" w:rsidRDefault="00D25688" w:rsidP="004D0368">
      <w:pPr>
        <w:pStyle w:val="ListParagraph"/>
        <w:numPr>
          <w:ilvl w:val="0"/>
          <w:numId w:val="9"/>
        </w:numPr>
        <w:spacing w:after="258" w:line="265" w:lineRule="auto"/>
      </w:pPr>
      <w:r>
        <w:t>May 2</w:t>
      </w:r>
      <w:r w:rsidR="00997986">
        <w:t>8</w:t>
      </w:r>
      <w:r w:rsidR="00493CC8">
        <w:t>,</w:t>
      </w:r>
      <w:r w:rsidR="00AB50CE">
        <w:t xml:space="preserve"> </w:t>
      </w:r>
      <w:proofErr w:type="gramStart"/>
      <w:r w:rsidR="00AB50CE">
        <w:t>202</w:t>
      </w:r>
      <w:r w:rsidR="00B71D7A">
        <w:t>5</w:t>
      </w:r>
      <w:proofErr w:type="gramEnd"/>
      <w:r w:rsidR="00AB50CE">
        <w:t xml:space="preserve"> FHPB meeting (Handout) </w:t>
      </w:r>
    </w:p>
    <w:p w14:paraId="4767BCD9" w14:textId="337BDA7D" w:rsidR="004D0368" w:rsidRPr="00820969" w:rsidRDefault="004D0368" w:rsidP="004D0368">
      <w:pPr>
        <w:pStyle w:val="ListParagraph"/>
        <w:numPr>
          <w:ilvl w:val="0"/>
          <w:numId w:val="9"/>
        </w:numPr>
        <w:spacing w:after="258" w:line="265" w:lineRule="auto"/>
        <w:rPr>
          <w:color w:val="4472C4" w:themeColor="accent1"/>
        </w:rPr>
      </w:pPr>
      <w:r w:rsidRPr="00820969">
        <w:rPr>
          <w:rFonts w:ascii="Roboto" w:hAnsi="Roboto" w:cs="Arial"/>
          <w:color w:val="4472C4" w:themeColor="accent1"/>
        </w:rPr>
        <w:t>The minutes from the May 28th, 2025, meeting were approved without changes, following a motion by Xavier Matheson and a seconded by Mike Canning (</w:t>
      </w:r>
      <w:hyperlink r:id="rId9" w:anchor="heading=h.g8hwauwo4miy" w:history="1">
        <w:r w:rsidRPr="00820969">
          <w:rPr>
            <w:rStyle w:val="Hyperlink"/>
            <w:rFonts w:ascii="Roboto" w:hAnsi="Roboto" w:cs="Arial"/>
            <w:color w:val="4472C4" w:themeColor="accent1"/>
          </w:rPr>
          <w:t>00:03:54</w:t>
        </w:r>
      </w:hyperlink>
      <w:r w:rsidRPr="00820969">
        <w:rPr>
          <w:rFonts w:ascii="Roboto" w:hAnsi="Roboto" w:cs="Arial"/>
          <w:color w:val="4472C4" w:themeColor="accent1"/>
        </w:rPr>
        <w:t>).</w:t>
      </w:r>
    </w:p>
    <w:p w14:paraId="6D1721D5" w14:textId="77777777" w:rsidR="004D584A" w:rsidRDefault="004D584A" w:rsidP="004D584A">
      <w:pPr>
        <w:numPr>
          <w:ilvl w:val="0"/>
          <w:numId w:val="1"/>
        </w:numPr>
        <w:spacing w:after="0" w:line="265" w:lineRule="auto"/>
        <w:ind w:hanging="360"/>
      </w:pPr>
      <w:r>
        <w:t>Aquatic Animal Health Policy Movement Updates [discussion item]</w:t>
      </w:r>
    </w:p>
    <w:p w14:paraId="1E9C045C" w14:textId="77777777" w:rsidR="00E76CAC" w:rsidRDefault="004D584A" w:rsidP="00E76CAC">
      <w:pPr>
        <w:numPr>
          <w:ilvl w:val="1"/>
          <w:numId w:val="1"/>
        </w:numPr>
        <w:spacing w:after="0" w:line="265" w:lineRule="auto"/>
      </w:pPr>
      <w:r>
        <w:t>Presented by Christi Swan on behalf of UDWR.</w:t>
      </w:r>
    </w:p>
    <w:p w14:paraId="7D6C7E6D" w14:textId="0C7FD949" w:rsidR="004D584A" w:rsidRPr="00820969" w:rsidRDefault="00E76CAC" w:rsidP="00E76CAC">
      <w:pPr>
        <w:numPr>
          <w:ilvl w:val="1"/>
          <w:numId w:val="1"/>
        </w:numPr>
        <w:spacing w:after="0" w:line="265" w:lineRule="auto"/>
        <w:rPr>
          <w:color w:val="4472C4" w:themeColor="accent1"/>
        </w:rPr>
      </w:pPr>
      <w:r w:rsidRPr="00820969">
        <w:rPr>
          <w:rFonts w:ascii="Roboto" w:hAnsi="Roboto" w:cs="Arial"/>
          <w:color w:val="4472C4" w:themeColor="accent1"/>
        </w:rPr>
        <w:lastRenderedPageBreak/>
        <w:t>Christi Swan introduced a UDWR Health Waiver update on Bonneville cutthroat trout (BCT) movement in summer of 2025. This involved relocating 96 Bonneville cutthroat trout from Blubber Creek to the Fountain Green isolation station on June 27th, 2025, due to fire concerns, with the plan to use them as a brood population for repopulating other creeks over six to seven years (</w:t>
      </w:r>
      <w:hyperlink r:id="rId10" w:anchor="heading=h.pcc67vpax46r" w:history="1">
        <w:r w:rsidRPr="00820969">
          <w:rPr>
            <w:rStyle w:val="Hyperlink"/>
            <w:rFonts w:ascii="Roboto" w:hAnsi="Roboto" w:cs="Arial"/>
            <w:color w:val="4472C4" w:themeColor="accent1"/>
          </w:rPr>
          <w:t>00:05:11</w:t>
        </w:r>
      </w:hyperlink>
      <w:r w:rsidRPr="00820969">
        <w:rPr>
          <w:rFonts w:ascii="Roboto" w:hAnsi="Roboto" w:cs="Arial"/>
          <w:color w:val="4472C4" w:themeColor="accent1"/>
        </w:rPr>
        <w:t>). Mike Canning commented on the success of a similar past effort with Beaver Creek cutthroat trout, highlighting the isolation station's effectiveness (</w:t>
      </w:r>
      <w:hyperlink r:id="rId11" w:anchor="heading=h.6adddhjztbdp" w:history="1">
        <w:r w:rsidRPr="00820969">
          <w:rPr>
            <w:rStyle w:val="Hyperlink"/>
            <w:rFonts w:ascii="Roboto" w:hAnsi="Roboto" w:cs="Arial"/>
            <w:color w:val="4472C4" w:themeColor="accent1"/>
          </w:rPr>
          <w:t>00:08:29</w:t>
        </w:r>
      </w:hyperlink>
      <w:r w:rsidRPr="00820969">
        <w:rPr>
          <w:rFonts w:ascii="Roboto" w:hAnsi="Roboto" w:cs="Arial"/>
          <w:color w:val="4472C4" w:themeColor="accent1"/>
        </w:rPr>
        <w:t>).</w:t>
      </w:r>
    </w:p>
    <w:p w14:paraId="6F7EE573" w14:textId="77777777" w:rsidR="004D0368" w:rsidRDefault="004D0368" w:rsidP="004D584A">
      <w:pPr>
        <w:spacing w:after="0" w:line="265" w:lineRule="auto"/>
        <w:ind w:left="1441"/>
      </w:pPr>
    </w:p>
    <w:p w14:paraId="463B18BA" w14:textId="77777777" w:rsidR="00B71D7A" w:rsidRDefault="00665205" w:rsidP="00243D30">
      <w:pPr>
        <w:numPr>
          <w:ilvl w:val="0"/>
          <w:numId w:val="1"/>
        </w:numPr>
        <w:spacing w:after="0" w:line="265" w:lineRule="auto"/>
        <w:ind w:hanging="360"/>
      </w:pPr>
      <w:r>
        <w:t>WOUNDFIN</w:t>
      </w:r>
      <w:r w:rsidR="00812784">
        <w:t xml:space="preserve"> VARIANCE</w:t>
      </w:r>
      <w:r w:rsidR="00B71D7A">
        <w:t xml:space="preserve"> </w:t>
      </w:r>
      <w:r w:rsidR="00C12832">
        <w:t>[</w:t>
      </w:r>
      <w:r w:rsidR="00B71D7A">
        <w:t>action item</w:t>
      </w:r>
      <w:r w:rsidR="00C12832">
        <w:t>]</w:t>
      </w:r>
    </w:p>
    <w:p w14:paraId="461CE1BB" w14:textId="77777777" w:rsidR="00637B8D" w:rsidRDefault="000633DE" w:rsidP="00637B8D">
      <w:pPr>
        <w:numPr>
          <w:ilvl w:val="1"/>
          <w:numId w:val="1"/>
        </w:numPr>
        <w:spacing w:after="0" w:line="265" w:lineRule="auto"/>
      </w:pPr>
      <w:r>
        <w:t xml:space="preserve">Randy Oplinger </w:t>
      </w:r>
      <w:r w:rsidR="00DA191B">
        <w:t xml:space="preserve">and Melinda Bennion </w:t>
      </w:r>
      <w:r>
        <w:t>presenting on behalf of UDWR.</w:t>
      </w:r>
    </w:p>
    <w:p w14:paraId="118F71C4" w14:textId="77777777" w:rsidR="001B51E5" w:rsidRPr="00820969" w:rsidRDefault="00637B8D" w:rsidP="001B51E5">
      <w:pPr>
        <w:numPr>
          <w:ilvl w:val="1"/>
          <w:numId w:val="1"/>
        </w:numPr>
        <w:spacing w:after="0" w:line="265" w:lineRule="auto"/>
        <w:rPr>
          <w:color w:val="4472C4" w:themeColor="accent1"/>
        </w:rPr>
      </w:pPr>
      <w:r w:rsidRPr="00820969">
        <w:rPr>
          <w:rFonts w:ascii="Roboto" w:hAnsi="Roboto" w:cs="Arial"/>
          <w:color w:val="4472C4" w:themeColor="accent1"/>
        </w:rPr>
        <w:t>Melinda Bennion then introduced a hardship variance for fish movement. This variance request involved salvaging woundfin to develop a propagation program at the Aquatic Animal Health Research Center AAHRC in Logan, with both Randy Oplinger and Melinda Bennion presenting the details (</w:t>
      </w:r>
      <w:hyperlink r:id="rId12" w:anchor="heading=h.gbf8djrvikxb" w:history="1">
        <w:r w:rsidRPr="00820969">
          <w:rPr>
            <w:rStyle w:val="Hyperlink"/>
            <w:rFonts w:ascii="Roboto" w:hAnsi="Roboto" w:cs="Arial"/>
            <w:color w:val="4472C4" w:themeColor="accent1"/>
          </w:rPr>
          <w:t>00:09:33</w:t>
        </w:r>
      </w:hyperlink>
      <w:r w:rsidRPr="00820969">
        <w:rPr>
          <w:rFonts w:ascii="Roboto" w:hAnsi="Roboto" w:cs="Arial"/>
          <w:color w:val="4472C4" w:themeColor="accent1"/>
        </w:rPr>
        <w:t>). Melinda explained that woundfin have been federally listed since 1970, with a viable population in only 16 miles of the Virgin River in Utah (</w:t>
      </w:r>
      <w:hyperlink r:id="rId13" w:anchor="heading=h.nje83y6ubjzu" w:history="1">
        <w:r w:rsidRPr="00820969">
          <w:rPr>
            <w:rStyle w:val="Hyperlink"/>
            <w:rFonts w:ascii="Roboto" w:hAnsi="Roboto" w:cs="Arial"/>
            <w:color w:val="4472C4" w:themeColor="accent1"/>
          </w:rPr>
          <w:t>00:11:10</w:t>
        </w:r>
      </w:hyperlink>
      <w:r w:rsidRPr="00820969">
        <w:rPr>
          <w:rFonts w:ascii="Roboto" w:hAnsi="Roboto" w:cs="Arial"/>
          <w:color w:val="4472C4" w:themeColor="accent1"/>
        </w:rPr>
        <w:t>). They noted that the species' persistence relies on stocking due to a short two-year lifespan and challenges in reproduction linked to water year conditions (</w:t>
      </w:r>
      <w:hyperlink r:id="rId14" w:anchor="heading=h.a6ab0k7u0a3v" w:history="1">
        <w:r w:rsidRPr="00820969">
          <w:rPr>
            <w:rStyle w:val="Hyperlink"/>
            <w:rFonts w:ascii="Roboto" w:hAnsi="Roboto" w:cs="Arial"/>
            <w:color w:val="4472C4" w:themeColor="accent1"/>
          </w:rPr>
          <w:t>00:12:20</w:t>
        </w:r>
      </w:hyperlink>
      <w:r w:rsidRPr="00820969">
        <w:rPr>
          <w:rFonts w:ascii="Roboto" w:hAnsi="Roboto" w:cs="Arial"/>
          <w:color w:val="4472C4" w:themeColor="accent1"/>
        </w:rPr>
        <w:t>). They added that the primary brood source in the Virgin river was depleted and the population at Southwestern Native Aquatic Resource and Recovery Center (SNARK) experienced significant losses, necessitating the establishment of a second brood stock location in Utah at AAHRC (</w:t>
      </w:r>
      <w:hyperlink r:id="rId15" w:anchor="heading=h.g60tp5u94bwj" w:history="1">
        <w:r w:rsidRPr="00820969">
          <w:rPr>
            <w:rStyle w:val="Hyperlink"/>
            <w:rFonts w:ascii="Roboto" w:hAnsi="Roboto" w:cs="Arial"/>
            <w:color w:val="4472C4" w:themeColor="accent1"/>
          </w:rPr>
          <w:t>00:13:37</w:t>
        </w:r>
      </w:hyperlink>
      <w:r w:rsidRPr="00820969">
        <w:rPr>
          <w:rFonts w:ascii="Roboto" w:hAnsi="Roboto" w:cs="Arial"/>
          <w:color w:val="4472C4" w:themeColor="accent1"/>
        </w:rPr>
        <w:t>) (</w:t>
      </w:r>
      <w:hyperlink r:id="rId16" w:anchor="heading=h.ghrun3e2u9" w:history="1">
        <w:r w:rsidRPr="00820969">
          <w:rPr>
            <w:rStyle w:val="Hyperlink"/>
            <w:rFonts w:ascii="Roboto" w:hAnsi="Roboto" w:cs="Arial"/>
            <w:color w:val="4472C4" w:themeColor="accent1"/>
          </w:rPr>
          <w:t>00:16:03</w:t>
        </w:r>
      </w:hyperlink>
      <w:r w:rsidRPr="00820969">
        <w:rPr>
          <w:rFonts w:ascii="Roboto" w:hAnsi="Roboto" w:cs="Arial"/>
          <w:color w:val="4472C4" w:themeColor="accent1"/>
        </w:rPr>
        <w:t>).</w:t>
      </w:r>
    </w:p>
    <w:p w14:paraId="05D44639" w14:textId="77E966E3" w:rsidR="00637B8D" w:rsidRPr="00820969" w:rsidRDefault="001B51E5" w:rsidP="00E32879">
      <w:pPr>
        <w:numPr>
          <w:ilvl w:val="1"/>
          <w:numId w:val="1"/>
        </w:numPr>
        <w:spacing w:after="0" w:line="265" w:lineRule="auto"/>
        <w:rPr>
          <w:color w:val="4472C4" w:themeColor="accent1"/>
        </w:rPr>
      </w:pPr>
      <w:r w:rsidRPr="00820969">
        <w:rPr>
          <w:rFonts w:ascii="Roboto" w:hAnsi="Roboto" w:cs="Arial"/>
          <w:color w:val="4472C4" w:themeColor="accent1"/>
        </w:rPr>
        <w:t>The board discussed the variance request for woundfin, noting that fish from Utah's Virgin River are health-certified, unlike those from Arizona, but the risk is low due to a temporary holding facility and the urgency of conservation (</w:t>
      </w:r>
      <w:hyperlink r:id="rId17" w:anchor="heading=h.q65n9q1znikh" w:history="1">
        <w:r w:rsidRPr="00820969">
          <w:rPr>
            <w:rStyle w:val="Hyperlink"/>
            <w:rFonts w:ascii="Roboto" w:hAnsi="Roboto" w:cs="Arial"/>
            <w:color w:val="4472C4" w:themeColor="accent1"/>
          </w:rPr>
          <w:t>00:17:13</w:t>
        </w:r>
      </w:hyperlink>
      <w:r w:rsidRPr="00820969">
        <w:rPr>
          <w:rFonts w:ascii="Roboto" w:hAnsi="Roboto" w:cs="Arial"/>
          <w:color w:val="4472C4" w:themeColor="accent1"/>
        </w:rPr>
        <w:t>) (</w:t>
      </w:r>
      <w:hyperlink r:id="rId18" w:anchor="heading=h.w4edsx1549wp" w:history="1">
        <w:r w:rsidRPr="00820969">
          <w:rPr>
            <w:rStyle w:val="Hyperlink"/>
            <w:rFonts w:ascii="Roboto" w:hAnsi="Roboto" w:cs="Arial"/>
            <w:color w:val="4472C4" w:themeColor="accent1"/>
          </w:rPr>
          <w:t>00:25:51</w:t>
        </w:r>
      </w:hyperlink>
      <w:r w:rsidRPr="00820969">
        <w:rPr>
          <w:rFonts w:ascii="Roboto" w:hAnsi="Roboto" w:cs="Arial"/>
          <w:color w:val="4472C4" w:themeColor="accent1"/>
        </w:rPr>
        <w:t>). Melinda Bennion and Randy Oplinger presented a flowchart outlining various fish movement scenarios, including transfers from SNARK to AAHRC, and wild fish to temporary holding facilities or directly to SNARK (</w:t>
      </w:r>
      <w:hyperlink r:id="rId19" w:anchor="heading=h.7hqmjci9d1w9" w:history="1">
        <w:r w:rsidRPr="00820969">
          <w:rPr>
            <w:rStyle w:val="Hyperlink"/>
            <w:rFonts w:ascii="Roboto" w:hAnsi="Roboto" w:cs="Arial"/>
            <w:color w:val="4472C4" w:themeColor="accent1"/>
          </w:rPr>
          <w:t>00:18:21</w:t>
        </w:r>
      </w:hyperlink>
      <w:r w:rsidRPr="00820969">
        <w:rPr>
          <w:rFonts w:ascii="Roboto" w:hAnsi="Roboto" w:cs="Arial"/>
          <w:color w:val="4472C4" w:themeColor="accent1"/>
        </w:rPr>
        <w:t>). Xavier Matheson affirmed that the proposed variance, including the use of an isolating holding tank as well as the Utah portion of the Virgin River being health approved mitigated risks for importing fish from non-health-approved sources (</w:t>
      </w:r>
      <w:hyperlink r:id="rId20" w:anchor="heading=h.w4edsx1549wp" w:history="1">
        <w:r w:rsidRPr="00820969">
          <w:rPr>
            <w:rStyle w:val="Hyperlink"/>
            <w:rFonts w:ascii="Roboto" w:hAnsi="Roboto" w:cs="Arial"/>
            <w:color w:val="4472C4" w:themeColor="accent1"/>
          </w:rPr>
          <w:t>00:25:51</w:t>
        </w:r>
      </w:hyperlink>
      <w:r w:rsidRPr="00820969">
        <w:rPr>
          <w:rFonts w:ascii="Roboto" w:hAnsi="Roboto" w:cs="Arial"/>
          <w:color w:val="4472C4" w:themeColor="accent1"/>
        </w:rPr>
        <w:t>). Dr. Robert Martinez suggested extending the variance duration from two to five years, due to the extremely low population numbers and short life cycle of woundfin. After discussion, the board unanimously agreed this variance should be passed. Xavier Matheson made a motion to approve the woundfin variance with the modification to extend its duration from two to five years, this was seconded by Dr. Robert Martinez. (</w:t>
      </w:r>
      <w:hyperlink r:id="rId21" w:anchor="heading=h.96f7kpk6vefk" w:history="1">
        <w:r w:rsidRPr="00820969">
          <w:rPr>
            <w:rStyle w:val="Hyperlink"/>
            <w:rFonts w:ascii="Roboto" w:hAnsi="Roboto" w:cs="Arial"/>
            <w:color w:val="4472C4" w:themeColor="accent1"/>
          </w:rPr>
          <w:t>00:30:47</w:t>
        </w:r>
      </w:hyperlink>
      <w:r w:rsidRPr="00820969">
        <w:rPr>
          <w:rFonts w:ascii="Roboto" w:hAnsi="Roboto" w:cs="Arial"/>
          <w:color w:val="4472C4" w:themeColor="accent1"/>
        </w:rPr>
        <w:t>).</w:t>
      </w:r>
    </w:p>
    <w:p w14:paraId="3375840E" w14:textId="77777777" w:rsidR="00152E87" w:rsidRDefault="00152E87" w:rsidP="006B3C6C">
      <w:pPr>
        <w:spacing w:after="0" w:line="265" w:lineRule="auto"/>
        <w:ind w:left="1081"/>
      </w:pPr>
    </w:p>
    <w:p w14:paraId="3E57EA13" w14:textId="77777777" w:rsidR="000633DE" w:rsidRDefault="000633DE" w:rsidP="000633DE">
      <w:pPr>
        <w:numPr>
          <w:ilvl w:val="0"/>
          <w:numId w:val="1"/>
        </w:numPr>
        <w:spacing w:after="0" w:line="265" w:lineRule="auto"/>
        <w:ind w:hanging="360"/>
      </w:pPr>
      <w:r>
        <w:t>LOVELAND LIVING PLANET AQUARIUM</w:t>
      </w:r>
      <w:r w:rsidR="00812784">
        <w:t xml:space="preserve"> VARIANCE</w:t>
      </w:r>
      <w:r w:rsidR="00243D30">
        <w:t xml:space="preserve"> </w:t>
      </w:r>
      <w:r w:rsidR="00C12832">
        <w:t>[</w:t>
      </w:r>
      <w:r w:rsidR="00243D30">
        <w:t>action item</w:t>
      </w:r>
      <w:r w:rsidR="00C12832">
        <w:t>]</w:t>
      </w:r>
    </w:p>
    <w:p w14:paraId="4DBB9E56" w14:textId="77777777" w:rsidR="000633DE" w:rsidRDefault="00B93B45" w:rsidP="000633DE">
      <w:pPr>
        <w:numPr>
          <w:ilvl w:val="1"/>
          <w:numId w:val="1"/>
        </w:numPr>
        <w:spacing w:after="0" w:line="265" w:lineRule="auto"/>
      </w:pPr>
      <w:r>
        <w:t>Anthony Siegle</w:t>
      </w:r>
      <w:r w:rsidR="000633DE">
        <w:t xml:space="preserve"> presenting on behalf of LLPA. </w:t>
      </w:r>
    </w:p>
    <w:p w14:paraId="48A2F878" w14:textId="7B3DC624" w:rsidR="00044545" w:rsidRPr="00024A1E" w:rsidRDefault="00044545" w:rsidP="000633DE">
      <w:pPr>
        <w:numPr>
          <w:ilvl w:val="1"/>
          <w:numId w:val="1"/>
        </w:numPr>
        <w:spacing w:after="0" w:line="265" w:lineRule="auto"/>
        <w:rPr>
          <w:color w:val="4472C4" w:themeColor="accent1"/>
        </w:rPr>
      </w:pPr>
      <w:r w:rsidRPr="00024A1E">
        <w:rPr>
          <w:rFonts w:ascii="Roboto" w:hAnsi="Roboto" w:cs="Arial"/>
          <w:color w:val="4472C4" w:themeColor="accent1"/>
          <w:kern w:val="2"/>
          <w14:ligatures w14:val="standardContextual"/>
        </w:rPr>
        <w:t>Anthony Siegle requested a continuation of a variance from 2020, allowing the Loveland Living Planet Aquarium to transport fish when a health-approved source is unavailable, with continued permission-seeking and collaboration with regions (</w:t>
      </w:r>
      <w:hyperlink r:id="rId22" w:anchor="heading=h.ze38txffjb10" w:history="1">
        <w:r w:rsidRPr="00024A1E">
          <w:rPr>
            <w:rFonts w:ascii="Roboto" w:hAnsi="Roboto" w:cs="Arial"/>
            <w:color w:val="4472C4" w:themeColor="accent1"/>
            <w:kern w:val="2"/>
            <w:u w:val="single"/>
            <w14:ligatures w14:val="standardContextual"/>
          </w:rPr>
          <w:t>00:34:34</w:t>
        </w:r>
      </w:hyperlink>
      <w:r w:rsidRPr="00024A1E">
        <w:rPr>
          <w:rFonts w:ascii="Roboto" w:hAnsi="Roboto" w:cs="Arial"/>
          <w:color w:val="4472C4" w:themeColor="accent1"/>
          <w:kern w:val="2"/>
          <w14:ligatures w14:val="standardContextual"/>
        </w:rPr>
        <w:t xml:space="preserve">). Randy </w:t>
      </w:r>
      <w:r w:rsidRPr="00024A1E">
        <w:rPr>
          <w:rFonts w:ascii="Roboto" w:hAnsi="Roboto" w:cs="Arial"/>
          <w:color w:val="4472C4" w:themeColor="accent1"/>
          <w:kern w:val="2"/>
          <w14:ligatures w14:val="standardContextual"/>
        </w:rPr>
        <w:lastRenderedPageBreak/>
        <w:t>Oplinger supported the variance, noting that it ensured official documentation for instances where ornamental species might not come from health-approved sources (</w:t>
      </w:r>
      <w:hyperlink r:id="rId23" w:anchor="heading=h.54mg2nrxixfa" w:history="1">
        <w:r w:rsidRPr="00024A1E">
          <w:rPr>
            <w:rFonts w:ascii="Roboto" w:hAnsi="Roboto" w:cs="Arial"/>
            <w:color w:val="4472C4" w:themeColor="accent1"/>
            <w:kern w:val="2"/>
            <w:u w:val="single"/>
            <w14:ligatures w14:val="standardContextual"/>
          </w:rPr>
          <w:t>00:35:54</w:t>
        </w:r>
      </w:hyperlink>
      <w:r w:rsidRPr="00024A1E">
        <w:rPr>
          <w:rFonts w:ascii="Roboto" w:hAnsi="Roboto" w:cs="Arial"/>
          <w:color w:val="4472C4" w:themeColor="accent1"/>
          <w:kern w:val="2"/>
          <w14:ligatures w14:val="standardContextual"/>
        </w:rPr>
        <w:t>). The board approved the variance, extending it for another five years, consistent with previous long-term approvals for similar cases (</w:t>
      </w:r>
      <w:hyperlink r:id="rId24" w:anchor="heading=h.wv5dnttbbyfy" w:history="1">
        <w:r w:rsidRPr="00024A1E">
          <w:rPr>
            <w:rFonts w:ascii="Roboto" w:hAnsi="Roboto" w:cs="Arial"/>
            <w:color w:val="4472C4" w:themeColor="accent1"/>
            <w:kern w:val="2"/>
            <w:u w:val="single"/>
            <w14:ligatures w14:val="standardContextual"/>
          </w:rPr>
          <w:t>00:37:07</w:t>
        </w:r>
      </w:hyperlink>
      <w:r w:rsidRPr="00024A1E">
        <w:rPr>
          <w:rFonts w:ascii="Roboto" w:hAnsi="Roboto" w:cs="Arial"/>
          <w:color w:val="4472C4" w:themeColor="accent1"/>
          <w:kern w:val="2"/>
          <w14:ligatures w14:val="standardContextual"/>
        </w:rPr>
        <w:t>). Mike Canning motioned to approve the variance with the modification to extend its duration to five years, this was seconded by Xavier Matheson</w:t>
      </w:r>
    </w:p>
    <w:p w14:paraId="31B6355D" w14:textId="77777777" w:rsidR="009E1A82" w:rsidRDefault="009E1A82" w:rsidP="004D584A">
      <w:pPr>
        <w:spacing w:after="0" w:line="265" w:lineRule="auto"/>
      </w:pPr>
    </w:p>
    <w:p w14:paraId="362A0EBF" w14:textId="77777777" w:rsidR="00682693" w:rsidRDefault="00AB50CE" w:rsidP="00682693">
      <w:pPr>
        <w:numPr>
          <w:ilvl w:val="0"/>
          <w:numId w:val="1"/>
        </w:numPr>
        <w:spacing w:after="0" w:line="265" w:lineRule="auto"/>
        <w:ind w:hanging="360"/>
      </w:pPr>
      <w:r>
        <w:t xml:space="preserve">ANNOUNCEMENTS </w:t>
      </w:r>
      <w:r w:rsidR="00C12832">
        <w:t>[</w:t>
      </w:r>
      <w:r>
        <w:t>discussion item</w:t>
      </w:r>
      <w:r w:rsidR="00C12832">
        <w:t>]</w:t>
      </w:r>
      <w:r>
        <w:t xml:space="preserve"> </w:t>
      </w:r>
    </w:p>
    <w:p w14:paraId="080F5801" w14:textId="77777777" w:rsidR="00820969" w:rsidRDefault="00682693" w:rsidP="00820969">
      <w:pPr>
        <w:numPr>
          <w:ilvl w:val="1"/>
          <w:numId w:val="1"/>
        </w:numPr>
        <w:spacing w:after="0" w:line="265" w:lineRule="auto"/>
        <w:ind w:hanging="361"/>
      </w:pPr>
      <w:r>
        <w:t xml:space="preserve">No announcements </w:t>
      </w:r>
      <w:proofErr w:type="gramStart"/>
      <w:r w:rsidR="00C55CA7">
        <w:t>at this time</w:t>
      </w:r>
      <w:proofErr w:type="gramEnd"/>
      <w:r w:rsidR="00BE7C65">
        <w:t>.</w:t>
      </w:r>
    </w:p>
    <w:p w14:paraId="58136D8C" w14:textId="3C525BE0" w:rsidR="00820969" w:rsidRPr="00820969" w:rsidRDefault="00820969" w:rsidP="00820969">
      <w:pPr>
        <w:numPr>
          <w:ilvl w:val="1"/>
          <w:numId w:val="1"/>
        </w:numPr>
        <w:spacing w:after="0" w:line="265" w:lineRule="auto"/>
        <w:ind w:hanging="361"/>
        <w:rPr>
          <w:color w:val="4472C4" w:themeColor="accent1"/>
        </w:rPr>
      </w:pPr>
      <w:r w:rsidRPr="00820969">
        <w:rPr>
          <w:rFonts w:ascii="Roboto" w:hAnsi="Roboto" w:cs="Arial"/>
          <w:color w:val="4472C4" w:themeColor="accent1"/>
        </w:rPr>
        <w:t>Xavier Matheson announced that the next meeting would address the "Clear the Rules Initiative," a governor's initiative to remove redundant and unnecessary language from aquaculture-related code and rules (</w:t>
      </w:r>
      <w:hyperlink r:id="rId25" w:anchor="heading=h.m9g6s3v1r693" w:history="1">
        <w:r w:rsidRPr="00820969">
          <w:rPr>
            <w:rStyle w:val="Hyperlink"/>
            <w:rFonts w:ascii="Roboto" w:hAnsi="Roboto" w:cs="Arial"/>
            <w:color w:val="4472C4" w:themeColor="accent1"/>
          </w:rPr>
          <w:t>00:38:16</w:t>
        </w:r>
      </w:hyperlink>
      <w:r w:rsidRPr="00820969">
        <w:rPr>
          <w:rFonts w:ascii="Roboto" w:hAnsi="Roboto" w:cs="Arial"/>
          <w:color w:val="4472C4" w:themeColor="accent1"/>
        </w:rPr>
        <w:t>). The goal is to eliminate copy-and-pasted definitions and fix incorrect references, streamlining existing regulations without changing their substance (</w:t>
      </w:r>
      <w:hyperlink r:id="rId26" w:anchor="heading=h.o4nwdqdx4p8y" w:history="1">
        <w:r w:rsidRPr="00820969">
          <w:rPr>
            <w:rStyle w:val="Hyperlink"/>
            <w:rFonts w:ascii="Roboto" w:hAnsi="Roboto" w:cs="Arial"/>
            <w:color w:val="4472C4" w:themeColor="accent1"/>
          </w:rPr>
          <w:t>00:39:30</w:t>
        </w:r>
      </w:hyperlink>
      <w:r w:rsidRPr="00820969">
        <w:rPr>
          <w:rFonts w:ascii="Roboto" w:hAnsi="Roboto" w:cs="Arial"/>
          <w:color w:val="4472C4" w:themeColor="accent1"/>
        </w:rPr>
        <w:t>). The next meeting, likely an online gathering, is anticipated for early December to vote on these changes before the legislative session (</w:t>
      </w:r>
      <w:hyperlink r:id="rId27" w:anchor="heading=h.3ygxi3ylxph2" w:history="1">
        <w:r w:rsidRPr="00820969">
          <w:rPr>
            <w:rStyle w:val="Hyperlink"/>
            <w:rFonts w:ascii="Roboto" w:hAnsi="Roboto" w:cs="Arial"/>
            <w:color w:val="4472C4" w:themeColor="accent1"/>
          </w:rPr>
          <w:t>00:40:47</w:t>
        </w:r>
      </w:hyperlink>
      <w:r w:rsidRPr="00820969">
        <w:rPr>
          <w:rFonts w:ascii="Roboto" w:hAnsi="Roboto" w:cs="Arial"/>
          <w:color w:val="4472C4" w:themeColor="accent1"/>
        </w:rPr>
        <w:t xml:space="preserve">). </w:t>
      </w:r>
    </w:p>
    <w:p w14:paraId="252FC47D" w14:textId="77777777" w:rsidR="00600E47" w:rsidRDefault="00600E47" w:rsidP="00ED6BA6">
      <w:pPr>
        <w:spacing w:after="0"/>
      </w:pPr>
    </w:p>
    <w:p w14:paraId="326D5553" w14:textId="63A843AB" w:rsidR="00820969" w:rsidRDefault="00AB50CE" w:rsidP="00820969">
      <w:pPr>
        <w:numPr>
          <w:ilvl w:val="0"/>
          <w:numId w:val="1"/>
        </w:numPr>
        <w:spacing w:after="1857" w:line="265" w:lineRule="auto"/>
        <w:ind w:hanging="360"/>
      </w:pPr>
      <w:r>
        <w:t>ADJOURN</w:t>
      </w:r>
      <w:r w:rsidR="00820969">
        <w:t xml:space="preserve"> </w:t>
      </w:r>
      <w:proofErr w:type="gramStart"/>
      <w:r w:rsidR="00820969">
        <w:t xml:space="preserve">-  </w:t>
      </w:r>
      <w:r w:rsidR="00820969" w:rsidRPr="00820969">
        <w:rPr>
          <w:rFonts w:ascii="Roboto" w:hAnsi="Roboto" w:cs="Arial"/>
          <w:color w:val="4472C4" w:themeColor="accent1"/>
        </w:rPr>
        <w:t>Meeting</w:t>
      </w:r>
      <w:proofErr w:type="gramEnd"/>
      <w:r w:rsidR="00820969" w:rsidRPr="00820969">
        <w:rPr>
          <w:rFonts w:ascii="Roboto" w:hAnsi="Roboto" w:cs="Arial"/>
          <w:color w:val="4472C4" w:themeColor="accent1"/>
        </w:rPr>
        <w:t xml:space="preserve"> adjourned by chair Wade Cavender.</w:t>
      </w:r>
    </w:p>
    <w:p w14:paraId="7C23B403" w14:textId="77777777" w:rsidR="00820969" w:rsidRDefault="00820969" w:rsidP="00820969">
      <w:pPr>
        <w:spacing w:after="0" w:line="265" w:lineRule="auto"/>
        <w:ind w:left="331"/>
      </w:pPr>
    </w:p>
    <w:sectPr w:rsidR="00820969">
      <w:footerReference w:type="default" r:id="rId28"/>
      <w:pgSz w:w="12240" w:h="15840"/>
      <w:pgMar w:top="1483" w:right="1082" w:bottom="7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49A4" w14:textId="77777777" w:rsidR="004F503B" w:rsidRDefault="004F503B" w:rsidP="00C55CA7">
      <w:pPr>
        <w:spacing w:after="0" w:line="240" w:lineRule="auto"/>
      </w:pPr>
      <w:r>
        <w:separator/>
      </w:r>
    </w:p>
  </w:endnote>
  <w:endnote w:type="continuationSeparator" w:id="0">
    <w:p w14:paraId="578624E0" w14:textId="77777777" w:rsidR="004F503B" w:rsidRDefault="004F503B" w:rsidP="00C5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2C29" w14:textId="77777777" w:rsidR="00C55CA7" w:rsidRDefault="00C55CA7" w:rsidP="00C55CA7">
    <w:pPr>
      <w:spacing w:after="54" w:line="238" w:lineRule="auto"/>
      <w:jc w:val="center"/>
    </w:pPr>
    <w:r>
      <w:rPr>
        <w:rFonts w:ascii="Garamond" w:eastAsia="Garamond" w:hAnsi="Garamond" w:cs="Garamond"/>
        <w:sz w:val="18"/>
      </w:rPr>
      <w:t xml:space="preserve">IN ACCORDANCE WITH THE AMERICAN DISABILITIES ACT, INDIVIDUALS NEEDING ACCOMODATIONS DURING THIS MEETING SHOULD CONTACT UDAF AT </w:t>
    </w:r>
    <w:r w:rsidR="002D34AD">
      <w:rPr>
        <w:rFonts w:ascii="Garamond" w:eastAsia="Garamond" w:hAnsi="Garamond" w:cs="Garamond"/>
        <w:sz w:val="18"/>
      </w:rPr>
      <w:t xml:space="preserve">801-982-2200. </w:t>
    </w:r>
    <w:r>
      <w:rPr>
        <w:rFonts w:ascii="Garamond" w:eastAsia="Garamond" w:hAnsi="Garamond" w:cs="Garamond"/>
        <w:sz w:val="18"/>
      </w:rPr>
      <w:t>AT LEAST THREE WORKING DAYS PRIOR TO THE MEETING. HEARING IMPAIRED INDIVIDUALS SHOULD CALL UTAH RELAY SERVICE AT 801-298-9484 OR 1-800-364-4128</w:t>
    </w:r>
  </w:p>
  <w:p w14:paraId="27DA1808" w14:textId="77777777" w:rsidR="00C55CA7" w:rsidRDefault="00C55CA7" w:rsidP="00C55CA7">
    <w:pPr>
      <w:spacing w:after="0"/>
    </w:pPr>
    <w:r>
      <w:t xml:space="preserve"> </w:t>
    </w:r>
  </w:p>
  <w:p w14:paraId="74D8BD8D" w14:textId="77777777" w:rsidR="00C55CA7" w:rsidRDefault="00C55CA7">
    <w:pPr>
      <w:pStyle w:val="Footer"/>
    </w:pPr>
  </w:p>
  <w:p w14:paraId="39ECB179" w14:textId="77777777" w:rsidR="00C55CA7" w:rsidRDefault="00C5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5D52" w14:textId="77777777" w:rsidR="004F503B" w:rsidRDefault="004F503B" w:rsidP="00C55CA7">
      <w:pPr>
        <w:spacing w:after="0" w:line="240" w:lineRule="auto"/>
      </w:pPr>
      <w:r>
        <w:separator/>
      </w:r>
    </w:p>
  </w:footnote>
  <w:footnote w:type="continuationSeparator" w:id="0">
    <w:p w14:paraId="058A69C4" w14:textId="77777777" w:rsidR="004F503B" w:rsidRDefault="004F503B" w:rsidP="00C55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00CB"/>
    <w:multiLevelType w:val="hybridMultilevel"/>
    <w:tmpl w:val="318E9C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6134E4"/>
    <w:multiLevelType w:val="multilevel"/>
    <w:tmpl w:val="7F0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B6D1A"/>
    <w:multiLevelType w:val="hybridMultilevel"/>
    <w:tmpl w:val="EE92EF5E"/>
    <w:lvl w:ilvl="0" w:tplc="15CEFE86">
      <w:start w:val="9"/>
      <w:numFmt w:val="lowerLetter"/>
      <w:lvlText w:val="%1."/>
      <w:lvlJc w:val="left"/>
      <w:pPr>
        <w:ind w:left="2184" w:hanging="360"/>
      </w:pPr>
      <w:rPr>
        <w:rFonts w:hint="default"/>
      </w:r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3" w15:restartNumberingAfterBreak="0">
    <w:nsid w:val="265F5568"/>
    <w:multiLevelType w:val="multilevel"/>
    <w:tmpl w:val="9E82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D185D"/>
    <w:multiLevelType w:val="multilevel"/>
    <w:tmpl w:val="B7EA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465B4"/>
    <w:multiLevelType w:val="multilevel"/>
    <w:tmpl w:val="07C2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55F8C"/>
    <w:multiLevelType w:val="hybridMultilevel"/>
    <w:tmpl w:val="0BF2BA8E"/>
    <w:lvl w:ilvl="0" w:tplc="04090001">
      <w:start w:val="1"/>
      <w:numFmt w:val="bullet"/>
      <w:lvlText w:val=""/>
      <w:lvlJc w:val="left"/>
      <w:pPr>
        <w:ind w:left="69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801" w:hanging="360"/>
      </w:pPr>
      <w:rPr>
        <w:rFonts w:ascii="Symbol" w:hAnsi="Symbol" w:hint="default"/>
      </w:rPr>
    </w:lvl>
    <w:lvl w:ilvl="2" w:tplc="D77E79D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AA8016">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7C16F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A6F62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94E10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C059B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C69F4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18523E"/>
    <w:multiLevelType w:val="multilevel"/>
    <w:tmpl w:val="F5C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C3C2D"/>
    <w:multiLevelType w:val="multilevel"/>
    <w:tmpl w:val="876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A4D6C"/>
    <w:multiLevelType w:val="multilevel"/>
    <w:tmpl w:val="F4AE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63743">
    <w:abstractNumId w:val="6"/>
  </w:num>
  <w:num w:numId="2" w16cid:durableId="804783993">
    <w:abstractNumId w:val="2"/>
  </w:num>
  <w:num w:numId="3" w16cid:durableId="411440147">
    <w:abstractNumId w:val="3"/>
  </w:num>
  <w:num w:numId="4" w16cid:durableId="1529177382">
    <w:abstractNumId w:val="8"/>
  </w:num>
  <w:num w:numId="5" w16cid:durableId="1253398311">
    <w:abstractNumId w:val="5"/>
  </w:num>
  <w:num w:numId="6" w16cid:durableId="1648508609">
    <w:abstractNumId w:val="9"/>
  </w:num>
  <w:num w:numId="7" w16cid:durableId="1428385348">
    <w:abstractNumId w:val="1"/>
  </w:num>
  <w:num w:numId="8" w16cid:durableId="2004116692">
    <w:abstractNumId w:val="4"/>
  </w:num>
  <w:num w:numId="9" w16cid:durableId="1653291765">
    <w:abstractNumId w:val="0"/>
  </w:num>
  <w:num w:numId="10" w16cid:durableId="1996108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47"/>
    <w:rsid w:val="000121E5"/>
    <w:rsid w:val="00024A1E"/>
    <w:rsid w:val="0004185B"/>
    <w:rsid w:val="00044545"/>
    <w:rsid w:val="000633DE"/>
    <w:rsid w:val="00120660"/>
    <w:rsid w:val="00152E87"/>
    <w:rsid w:val="001569DC"/>
    <w:rsid w:val="001B51E5"/>
    <w:rsid w:val="001D75DC"/>
    <w:rsid w:val="00243D30"/>
    <w:rsid w:val="00260BF1"/>
    <w:rsid w:val="00281576"/>
    <w:rsid w:val="002D34AD"/>
    <w:rsid w:val="00322EDA"/>
    <w:rsid w:val="00344A4F"/>
    <w:rsid w:val="00355BA2"/>
    <w:rsid w:val="003639CD"/>
    <w:rsid w:val="003834A3"/>
    <w:rsid w:val="00396540"/>
    <w:rsid w:val="00441D31"/>
    <w:rsid w:val="00472FD5"/>
    <w:rsid w:val="00493CC8"/>
    <w:rsid w:val="004D0368"/>
    <w:rsid w:val="004D1BFC"/>
    <w:rsid w:val="004D584A"/>
    <w:rsid w:val="004F503B"/>
    <w:rsid w:val="0050399C"/>
    <w:rsid w:val="00550C2F"/>
    <w:rsid w:val="00600E47"/>
    <w:rsid w:val="00614691"/>
    <w:rsid w:val="00637B8D"/>
    <w:rsid w:val="006402A1"/>
    <w:rsid w:val="00665205"/>
    <w:rsid w:val="0066740D"/>
    <w:rsid w:val="00682693"/>
    <w:rsid w:val="006A5775"/>
    <w:rsid w:val="006B3C6C"/>
    <w:rsid w:val="006E222D"/>
    <w:rsid w:val="00715E26"/>
    <w:rsid w:val="00736E1D"/>
    <w:rsid w:val="00755AF1"/>
    <w:rsid w:val="007645EC"/>
    <w:rsid w:val="007655D5"/>
    <w:rsid w:val="007726FF"/>
    <w:rsid w:val="007B0CB6"/>
    <w:rsid w:val="007F1ACB"/>
    <w:rsid w:val="00812784"/>
    <w:rsid w:val="00820969"/>
    <w:rsid w:val="00857ACB"/>
    <w:rsid w:val="00894537"/>
    <w:rsid w:val="008A2B19"/>
    <w:rsid w:val="008A5830"/>
    <w:rsid w:val="008A61F2"/>
    <w:rsid w:val="008D76A4"/>
    <w:rsid w:val="008F67CF"/>
    <w:rsid w:val="00997986"/>
    <w:rsid w:val="009E1A82"/>
    <w:rsid w:val="00A53F35"/>
    <w:rsid w:val="00A55578"/>
    <w:rsid w:val="00A806AC"/>
    <w:rsid w:val="00AB50CE"/>
    <w:rsid w:val="00B20782"/>
    <w:rsid w:val="00B40383"/>
    <w:rsid w:val="00B71D7A"/>
    <w:rsid w:val="00B93B45"/>
    <w:rsid w:val="00BE5547"/>
    <w:rsid w:val="00BE7C65"/>
    <w:rsid w:val="00C12832"/>
    <w:rsid w:val="00C55CA7"/>
    <w:rsid w:val="00CE0E17"/>
    <w:rsid w:val="00CF12CD"/>
    <w:rsid w:val="00D25688"/>
    <w:rsid w:val="00D3717E"/>
    <w:rsid w:val="00D65DC1"/>
    <w:rsid w:val="00D832E6"/>
    <w:rsid w:val="00DA191B"/>
    <w:rsid w:val="00E32879"/>
    <w:rsid w:val="00E511A7"/>
    <w:rsid w:val="00E76CAC"/>
    <w:rsid w:val="00EB074D"/>
    <w:rsid w:val="00ED2724"/>
    <w:rsid w:val="00ED6BA6"/>
    <w:rsid w:val="00EE24EC"/>
    <w:rsid w:val="00F63FD2"/>
    <w:rsid w:val="00F8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E737"/>
  <w15:docId w15:val="{CA14CAE9-E605-4B5C-AE6F-7AC6FE2F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19"/>
      <w:ind w:left="92"/>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paragraph" w:styleId="ListParagraph">
    <w:name w:val="List Paragraph"/>
    <w:basedOn w:val="Normal"/>
    <w:uiPriority w:val="34"/>
    <w:qFormat/>
    <w:rsid w:val="00493CC8"/>
    <w:pPr>
      <w:ind w:left="720"/>
      <w:contextualSpacing/>
    </w:pPr>
  </w:style>
  <w:style w:type="paragraph" w:styleId="Header">
    <w:name w:val="header"/>
    <w:basedOn w:val="Normal"/>
    <w:link w:val="HeaderChar"/>
    <w:uiPriority w:val="99"/>
    <w:unhideWhenUsed/>
    <w:rsid w:val="00C5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CA7"/>
    <w:rPr>
      <w:rFonts w:ascii="Calibri" w:eastAsia="Calibri" w:hAnsi="Calibri" w:cs="Calibri"/>
      <w:color w:val="000000"/>
    </w:rPr>
  </w:style>
  <w:style w:type="paragraph" w:styleId="Footer">
    <w:name w:val="footer"/>
    <w:basedOn w:val="Normal"/>
    <w:link w:val="FooterChar"/>
    <w:uiPriority w:val="99"/>
    <w:unhideWhenUsed/>
    <w:rsid w:val="00C5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A7"/>
    <w:rPr>
      <w:rFonts w:ascii="Calibri" w:eastAsia="Calibri" w:hAnsi="Calibri" w:cs="Calibri"/>
      <w:color w:val="000000"/>
    </w:rPr>
  </w:style>
  <w:style w:type="paragraph" w:styleId="NormalWeb">
    <w:name w:val="Normal (Web)"/>
    <w:basedOn w:val="Normal"/>
    <w:uiPriority w:val="99"/>
    <w:unhideWhenUsed/>
    <w:rsid w:val="00EB074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260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62">
      <w:bodyDiv w:val="1"/>
      <w:marLeft w:val="0"/>
      <w:marRight w:val="0"/>
      <w:marTop w:val="0"/>
      <w:marBottom w:val="0"/>
      <w:divBdr>
        <w:top w:val="none" w:sz="0" w:space="0" w:color="auto"/>
        <w:left w:val="none" w:sz="0" w:space="0" w:color="auto"/>
        <w:bottom w:val="none" w:sz="0" w:space="0" w:color="auto"/>
        <w:right w:val="none" w:sz="0" w:space="0" w:color="auto"/>
      </w:divBdr>
    </w:div>
    <w:div w:id="191961836">
      <w:bodyDiv w:val="1"/>
      <w:marLeft w:val="0"/>
      <w:marRight w:val="0"/>
      <w:marTop w:val="0"/>
      <w:marBottom w:val="0"/>
      <w:divBdr>
        <w:top w:val="none" w:sz="0" w:space="0" w:color="auto"/>
        <w:left w:val="none" w:sz="0" w:space="0" w:color="auto"/>
        <w:bottom w:val="none" w:sz="0" w:space="0" w:color="auto"/>
        <w:right w:val="none" w:sz="0" w:space="0" w:color="auto"/>
      </w:divBdr>
    </w:div>
    <w:div w:id="664088458">
      <w:bodyDiv w:val="1"/>
      <w:marLeft w:val="0"/>
      <w:marRight w:val="0"/>
      <w:marTop w:val="0"/>
      <w:marBottom w:val="0"/>
      <w:divBdr>
        <w:top w:val="none" w:sz="0" w:space="0" w:color="auto"/>
        <w:left w:val="none" w:sz="0" w:space="0" w:color="auto"/>
        <w:bottom w:val="none" w:sz="0" w:space="0" w:color="auto"/>
        <w:right w:val="none" w:sz="0" w:space="0" w:color="auto"/>
      </w:divBdr>
    </w:div>
    <w:div w:id="888958094">
      <w:bodyDiv w:val="1"/>
      <w:marLeft w:val="0"/>
      <w:marRight w:val="0"/>
      <w:marTop w:val="0"/>
      <w:marBottom w:val="0"/>
      <w:divBdr>
        <w:top w:val="none" w:sz="0" w:space="0" w:color="auto"/>
        <w:left w:val="none" w:sz="0" w:space="0" w:color="auto"/>
        <w:bottom w:val="none" w:sz="0" w:space="0" w:color="auto"/>
        <w:right w:val="none" w:sz="0" w:space="0" w:color="auto"/>
      </w:divBdr>
      <w:divsChild>
        <w:div w:id="948316828">
          <w:marLeft w:val="0"/>
          <w:marRight w:val="0"/>
          <w:marTop w:val="0"/>
          <w:marBottom w:val="0"/>
          <w:divBdr>
            <w:top w:val="none" w:sz="0" w:space="0" w:color="auto"/>
            <w:left w:val="none" w:sz="0" w:space="0" w:color="auto"/>
            <w:bottom w:val="none" w:sz="0" w:space="0" w:color="auto"/>
            <w:right w:val="none" w:sz="0" w:space="0" w:color="auto"/>
          </w:divBdr>
          <w:divsChild>
            <w:div w:id="1010834759">
              <w:marLeft w:val="0"/>
              <w:marRight w:val="0"/>
              <w:marTop w:val="0"/>
              <w:marBottom w:val="0"/>
              <w:divBdr>
                <w:top w:val="none" w:sz="0" w:space="0" w:color="auto"/>
                <w:left w:val="none" w:sz="0" w:space="0" w:color="auto"/>
                <w:bottom w:val="none" w:sz="0" w:space="0" w:color="auto"/>
                <w:right w:val="none" w:sz="0" w:space="0" w:color="auto"/>
              </w:divBdr>
              <w:divsChild>
                <w:div w:id="1435249525">
                  <w:marLeft w:val="0"/>
                  <w:marRight w:val="0"/>
                  <w:marTop w:val="0"/>
                  <w:marBottom w:val="0"/>
                  <w:divBdr>
                    <w:top w:val="none" w:sz="0" w:space="0" w:color="auto"/>
                    <w:left w:val="none" w:sz="0" w:space="0" w:color="auto"/>
                    <w:bottom w:val="none" w:sz="0" w:space="0" w:color="auto"/>
                    <w:right w:val="none" w:sz="0" w:space="0" w:color="auto"/>
                  </w:divBdr>
                  <w:divsChild>
                    <w:div w:id="7860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9600">
      <w:bodyDiv w:val="1"/>
      <w:marLeft w:val="0"/>
      <w:marRight w:val="0"/>
      <w:marTop w:val="0"/>
      <w:marBottom w:val="0"/>
      <w:divBdr>
        <w:top w:val="none" w:sz="0" w:space="0" w:color="auto"/>
        <w:left w:val="none" w:sz="0" w:space="0" w:color="auto"/>
        <w:bottom w:val="none" w:sz="0" w:space="0" w:color="auto"/>
        <w:right w:val="none" w:sz="0" w:space="0" w:color="auto"/>
      </w:divBdr>
    </w:div>
    <w:div w:id="1230187724">
      <w:bodyDiv w:val="1"/>
      <w:marLeft w:val="0"/>
      <w:marRight w:val="0"/>
      <w:marTop w:val="0"/>
      <w:marBottom w:val="0"/>
      <w:divBdr>
        <w:top w:val="none" w:sz="0" w:space="0" w:color="auto"/>
        <w:left w:val="none" w:sz="0" w:space="0" w:color="auto"/>
        <w:bottom w:val="none" w:sz="0" w:space="0" w:color="auto"/>
        <w:right w:val="none" w:sz="0" w:space="0" w:color="auto"/>
      </w:divBdr>
      <w:divsChild>
        <w:div w:id="2142335703">
          <w:marLeft w:val="0"/>
          <w:marRight w:val="0"/>
          <w:marTop w:val="0"/>
          <w:marBottom w:val="0"/>
          <w:divBdr>
            <w:top w:val="none" w:sz="0" w:space="0" w:color="auto"/>
            <w:left w:val="none" w:sz="0" w:space="0" w:color="auto"/>
            <w:bottom w:val="none" w:sz="0" w:space="0" w:color="auto"/>
            <w:right w:val="none" w:sz="0" w:space="0" w:color="auto"/>
          </w:divBdr>
          <w:divsChild>
            <w:div w:id="1350909446">
              <w:marLeft w:val="0"/>
              <w:marRight w:val="0"/>
              <w:marTop w:val="0"/>
              <w:marBottom w:val="0"/>
              <w:divBdr>
                <w:top w:val="none" w:sz="0" w:space="0" w:color="auto"/>
                <w:left w:val="none" w:sz="0" w:space="0" w:color="auto"/>
                <w:bottom w:val="none" w:sz="0" w:space="0" w:color="auto"/>
                <w:right w:val="none" w:sz="0" w:space="0" w:color="auto"/>
              </w:divBdr>
              <w:divsChild>
                <w:div w:id="599610192">
                  <w:marLeft w:val="0"/>
                  <w:marRight w:val="0"/>
                  <w:marTop w:val="0"/>
                  <w:marBottom w:val="0"/>
                  <w:divBdr>
                    <w:top w:val="none" w:sz="0" w:space="0" w:color="auto"/>
                    <w:left w:val="none" w:sz="0" w:space="0" w:color="auto"/>
                    <w:bottom w:val="none" w:sz="0" w:space="0" w:color="auto"/>
                    <w:right w:val="none" w:sz="0" w:space="0" w:color="auto"/>
                  </w:divBdr>
                  <w:divsChild>
                    <w:div w:id="11098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33065">
      <w:bodyDiv w:val="1"/>
      <w:marLeft w:val="0"/>
      <w:marRight w:val="0"/>
      <w:marTop w:val="0"/>
      <w:marBottom w:val="0"/>
      <w:divBdr>
        <w:top w:val="none" w:sz="0" w:space="0" w:color="auto"/>
        <w:left w:val="none" w:sz="0" w:space="0" w:color="auto"/>
        <w:bottom w:val="none" w:sz="0" w:space="0" w:color="auto"/>
        <w:right w:val="none" w:sz="0" w:space="0" w:color="auto"/>
      </w:divBdr>
    </w:div>
    <w:div w:id="197120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weOj8ccF5BKAZ-pH2e5FjZOklT6me9LHDqRYdX0du28/edit?tab=t.obkzb8yskv68" TargetMode="External"/><Relationship Id="rId13" Type="http://schemas.openxmlformats.org/officeDocument/2006/relationships/hyperlink" Target="https://docs.google.com/document/d/1weOj8ccF5BKAZ-pH2e5FjZOklT6me9LHDqRYdX0du28/edit?tab=t.obkzb8yskv68" TargetMode="External"/><Relationship Id="rId18" Type="http://schemas.openxmlformats.org/officeDocument/2006/relationships/hyperlink" Target="https://docs.google.com/document/d/1weOj8ccF5BKAZ-pH2e5FjZOklT6me9LHDqRYdX0du28/edit?tab=t.obkzb8yskv68" TargetMode="External"/><Relationship Id="rId26" Type="http://schemas.openxmlformats.org/officeDocument/2006/relationships/hyperlink" Target="https://docs.google.com/document/d/1weOj8ccF5BKAZ-pH2e5FjZOklT6me9LHDqRYdX0du28/edit?tab=t.obkzb8yskv68" TargetMode="External"/><Relationship Id="rId3" Type="http://schemas.openxmlformats.org/officeDocument/2006/relationships/settings" Target="settings.xml"/><Relationship Id="rId21" Type="http://schemas.openxmlformats.org/officeDocument/2006/relationships/hyperlink" Target="https://docs.google.com/document/d/1weOj8ccF5BKAZ-pH2e5FjZOklT6me9LHDqRYdX0du28/edit?tab=t.obkzb8yskv68" TargetMode="External"/><Relationship Id="rId7" Type="http://schemas.openxmlformats.org/officeDocument/2006/relationships/image" Target="media/image1.png"/><Relationship Id="rId12" Type="http://schemas.openxmlformats.org/officeDocument/2006/relationships/hyperlink" Target="https://docs.google.com/document/d/1weOj8ccF5BKAZ-pH2e5FjZOklT6me9LHDqRYdX0du28/edit?tab=t.obkzb8yskv68" TargetMode="External"/><Relationship Id="rId17" Type="http://schemas.openxmlformats.org/officeDocument/2006/relationships/hyperlink" Target="https://docs.google.com/document/d/1weOj8ccF5BKAZ-pH2e5FjZOklT6me9LHDqRYdX0du28/edit?tab=t.obkzb8yskv68" TargetMode="External"/><Relationship Id="rId25" Type="http://schemas.openxmlformats.org/officeDocument/2006/relationships/hyperlink" Target="https://docs.google.com/document/d/1weOj8ccF5BKAZ-pH2e5FjZOklT6me9LHDqRYdX0du28/edit?tab=t.obkzb8yskv68" TargetMode="External"/><Relationship Id="rId2" Type="http://schemas.openxmlformats.org/officeDocument/2006/relationships/styles" Target="styles.xml"/><Relationship Id="rId16" Type="http://schemas.openxmlformats.org/officeDocument/2006/relationships/hyperlink" Target="https://docs.google.com/document/d/1weOj8ccF5BKAZ-pH2e5FjZOklT6me9LHDqRYdX0du28/edit?tab=t.obkzb8yskv68" TargetMode="External"/><Relationship Id="rId20" Type="http://schemas.openxmlformats.org/officeDocument/2006/relationships/hyperlink" Target="https://docs.google.com/document/d/1weOj8ccF5BKAZ-pH2e5FjZOklT6me9LHDqRYdX0du28/edit?tab=t.obkzb8yskv6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weOj8ccF5BKAZ-pH2e5FjZOklT6me9LHDqRYdX0du28/edit?tab=t.obkzb8yskv68" TargetMode="External"/><Relationship Id="rId24" Type="http://schemas.openxmlformats.org/officeDocument/2006/relationships/hyperlink" Target="https://docs.google.com/document/d/1weOj8ccF5BKAZ-pH2e5FjZOklT6me9LHDqRYdX0du28/edit?tab=t.obkzb8yskv68" TargetMode="External"/><Relationship Id="rId5" Type="http://schemas.openxmlformats.org/officeDocument/2006/relationships/footnotes" Target="footnotes.xml"/><Relationship Id="rId15" Type="http://schemas.openxmlformats.org/officeDocument/2006/relationships/hyperlink" Target="https://docs.google.com/document/d/1weOj8ccF5BKAZ-pH2e5FjZOklT6me9LHDqRYdX0du28/edit?tab=t.obkzb8yskv68" TargetMode="External"/><Relationship Id="rId23" Type="http://schemas.openxmlformats.org/officeDocument/2006/relationships/hyperlink" Target="https://docs.google.com/document/d/1weOj8ccF5BKAZ-pH2e5FjZOklT6me9LHDqRYdX0du28/edit?tab=t.obkzb8yskv68" TargetMode="External"/><Relationship Id="rId28" Type="http://schemas.openxmlformats.org/officeDocument/2006/relationships/footer" Target="footer1.xml"/><Relationship Id="rId10" Type="http://schemas.openxmlformats.org/officeDocument/2006/relationships/hyperlink" Target="https://docs.google.com/document/d/1weOj8ccF5BKAZ-pH2e5FjZOklT6me9LHDqRYdX0du28/edit?tab=t.obkzb8yskv68" TargetMode="External"/><Relationship Id="rId19" Type="http://schemas.openxmlformats.org/officeDocument/2006/relationships/hyperlink" Target="https://docs.google.com/document/d/1weOj8ccF5BKAZ-pH2e5FjZOklT6me9LHDqRYdX0du28/edit?tab=t.obkzb8yskv68" TargetMode="External"/><Relationship Id="rId4" Type="http://schemas.openxmlformats.org/officeDocument/2006/relationships/webSettings" Target="webSettings.xml"/><Relationship Id="rId9" Type="http://schemas.openxmlformats.org/officeDocument/2006/relationships/hyperlink" Target="https://docs.google.com/document/d/1weOj8ccF5BKAZ-pH2e5FjZOklT6me9LHDqRYdX0du28/edit?tab=t.obkzb8yskv68" TargetMode="External"/><Relationship Id="rId14" Type="http://schemas.openxmlformats.org/officeDocument/2006/relationships/hyperlink" Target="https://docs.google.com/document/d/1weOj8ccF5BKAZ-pH2e5FjZOklT6me9LHDqRYdX0du28/edit?tab=t.obkzb8yskv68" TargetMode="External"/><Relationship Id="rId22" Type="http://schemas.openxmlformats.org/officeDocument/2006/relationships/hyperlink" Target="https://docs.google.com/document/d/1weOj8ccF5BKAZ-pH2e5FjZOklT6me9LHDqRYdX0du28/edit?tab=t.obkzb8yskv68" TargetMode="External"/><Relationship Id="rId27" Type="http://schemas.openxmlformats.org/officeDocument/2006/relationships/hyperlink" Target="https://docs.google.com/document/d/1weOj8ccF5BKAZ-pH2e5FjZOklT6me9LHDqRYdX0du28/edit?tab=t.obkzb8yskv6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March23 FHPB Agenda.docx</vt:lpstr>
    </vt:vector>
  </TitlesOfParts>
  <Company>State of Utah</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March23 FHPB Agenda.docx</dc:title>
  <dc:subject/>
  <dc:creator>Xavier Matheson</dc:creator>
  <cp:keywords/>
  <cp:lastModifiedBy>Xavier Matheson</cp:lastModifiedBy>
  <cp:revision>10</cp:revision>
  <dcterms:created xsi:type="dcterms:W3CDTF">2026-01-13T16:34:00Z</dcterms:created>
  <dcterms:modified xsi:type="dcterms:W3CDTF">2026-01-14T16:51:00Z</dcterms:modified>
</cp:coreProperties>
</file>