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b w:val="1"/>
          <w:bCs w:val="1"/>
          <w:sz w:val="24"/>
          <w:szCs w:val="24"/>
        </w:rPr>
      </w:pPr>
      <w:r w:rsidDel="00000000" w:rsidR="00000000" w:rsidRPr="00000000">
        <w:rPr>
          <w:b w:val="1"/>
          <w:bCs w:val="1"/>
          <w:sz w:val="24"/>
          <w:szCs w:val="24"/>
          <w:rtl w:val="0"/>
        </w:rPr>
        <w:t xml:space="preserve">DRAFT Policy 1160: LEA Hotline</w:t>
      </w:r>
    </w:p>
    <w:p w:rsidR="00000000" w:rsidDel="00000000" w:rsidP="00000000" w:rsidRDefault="00000000" w:rsidRPr="00000000" w14:paraId="00000002">
      <w:pPr>
        <w:shd w:fill="ffffff" w:val="clear"/>
        <w:spacing w:after="160" w:lineRule="auto"/>
        <w:rPr>
          <w:sz w:val="24"/>
          <w:szCs w:val="24"/>
        </w:rPr>
      </w:pPr>
      <w:r w:rsidDel="00000000" w:rsidR="00000000" w:rsidRPr="00000000">
        <w:rPr>
          <w:b w:val="1"/>
          <w:bCs w:val="1"/>
          <w:sz w:val="24"/>
          <w:szCs w:val="24"/>
          <w:rtl w:val="0"/>
        </w:rPr>
        <w:t xml:space="preserve">Adopted: </w:t>
      </w:r>
      <w:r w:rsidDel="00000000" w:rsidR="00000000" w:rsidRPr="00000000">
        <w:rPr>
          <w:sz w:val="24"/>
          <w:szCs w:val="24"/>
          <w:rtl w:val="0"/>
        </w:rPr>
        <w:t xml:space="preserve">TBD</w:t>
      </w:r>
    </w:p>
    <w:p w:rsidR="00000000" w:rsidDel="00000000" w:rsidP="00000000" w:rsidRDefault="00000000" w:rsidRPr="00000000" w14:paraId="00000003">
      <w:pPr>
        <w:shd w:fill="ffffff" w:val="clear"/>
        <w:spacing w:after="160" w:lineRule="auto"/>
        <w:rPr>
          <w:sz w:val="24"/>
          <w:szCs w:val="24"/>
        </w:rPr>
      </w:pPr>
      <w:r w:rsidDel="00000000" w:rsidR="00000000" w:rsidRPr="00000000">
        <w:rPr>
          <w:b w:val="1"/>
          <w:bCs w:val="1"/>
          <w:sz w:val="24"/>
          <w:szCs w:val="24"/>
          <w:rtl w:val="0"/>
        </w:rPr>
        <w:t xml:space="preserve">Rules: </w:t>
      </w:r>
      <w:r w:rsidDel="00000000" w:rsidR="00000000" w:rsidRPr="00000000">
        <w:rPr>
          <w:sz w:val="24"/>
          <w:szCs w:val="24"/>
          <w:rtl w:val="0"/>
        </w:rPr>
        <w:t xml:space="preserve">Board Rule 277-123</w:t>
      </w:r>
    </w:p>
    <w:p w:rsidR="00000000" w:rsidDel="00000000" w:rsidP="00000000" w:rsidRDefault="00000000" w:rsidRPr="00000000" w14:paraId="00000004">
      <w:pPr>
        <w:shd w:fill="ffffff" w:val="clear"/>
        <w:spacing w:after="160" w:lineRule="auto"/>
        <w:rPr>
          <w:b w:val="1"/>
          <w:bCs w:val="1"/>
          <w:sz w:val="24"/>
          <w:szCs w:val="24"/>
        </w:rPr>
      </w:pPr>
      <w:r w:rsidDel="00000000" w:rsidR="00000000" w:rsidRPr="00000000">
        <w:rPr>
          <w:b w:val="1"/>
          <w:bCs w:val="1"/>
          <w:sz w:val="24"/>
          <w:szCs w:val="24"/>
          <w:rtl w:val="0"/>
        </w:rPr>
        <w:t xml:space="preserve">Establishment of LEA Hotline</w:t>
      </w:r>
    </w:p>
    <w:p w:rsidR="00000000" w:rsidDel="00000000" w:rsidP="00000000" w:rsidRDefault="00000000" w:rsidRPr="00000000" w14:paraId="00000005">
      <w:pPr>
        <w:shd w:fill="ffffff" w:val="clear"/>
        <w:spacing w:after="160" w:lineRule="auto"/>
        <w:rPr>
          <w:sz w:val="24"/>
          <w:szCs w:val="24"/>
        </w:rPr>
      </w:pPr>
      <w:r w:rsidDel="00000000" w:rsidR="00000000" w:rsidRPr="00000000">
        <w:rPr>
          <w:sz w:val="24"/>
          <w:szCs w:val="24"/>
          <w:rtl w:val="0"/>
        </w:rPr>
        <w:t xml:space="preserve">The Utah State Board of Education (USBE) has established a hotline to provide an avenue for citizens, including employees and contractors, to report improper governmental activities including: </w:t>
      </w:r>
    </w:p>
    <w:p w:rsidR="00000000" w:rsidDel="00000000" w:rsidP="00000000" w:rsidRDefault="00000000" w:rsidRPr="00000000" w14:paraId="00000006">
      <w:pPr>
        <w:numPr>
          <w:ilvl w:val="0"/>
          <w:numId w:val="3"/>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Waste or misuse of public funds, property, or manpower </w:t>
      </w:r>
    </w:p>
    <w:p w:rsidR="00000000" w:rsidDel="00000000" w:rsidP="00000000" w:rsidRDefault="00000000" w:rsidRPr="00000000" w14:paraId="00000007">
      <w:pPr>
        <w:numPr>
          <w:ilvl w:val="0"/>
          <w:numId w:val="3"/>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Violations of a law, rule, or regulation applicable to the government </w:t>
      </w:r>
    </w:p>
    <w:p w:rsidR="00000000" w:rsidDel="00000000" w:rsidP="00000000" w:rsidRDefault="00000000" w:rsidRPr="00000000" w14:paraId="00000008">
      <w:pPr>
        <w:numPr>
          <w:ilvl w:val="0"/>
          <w:numId w:val="3"/>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Gross mismanagement </w:t>
      </w:r>
    </w:p>
    <w:p w:rsidR="00000000" w:rsidDel="00000000" w:rsidP="00000000" w:rsidRDefault="00000000" w:rsidRPr="00000000" w14:paraId="00000009">
      <w:pPr>
        <w:numPr>
          <w:ilvl w:val="0"/>
          <w:numId w:val="3"/>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Abuse of authority </w:t>
      </w:r>
    </w:p>
    <w:p w:rsidR="00000000" w:rsidDel="00000000" w:rsidP="00000000" w:rsidRDefault="00000000" w:rsidRPr="00000000" w14:paraId="0000000A">
      <w:pPr>
        <w:numPr>
          <w:ilvl w:val="0"/>
          <w:numId w:val="3"/>
        </w:numPr>
        <w:shd w:fill="ffffff" w:val="clear"/>
        <w:spacing w:after="160" w:lineRule="auto"/>
        <w:ind w:left="720" w:hanging="360"/>
        <w:rPr>
          <w:color w:val="000000"/>
          <w:sz w:val="24"/>
          <w:szCs w:val="24"/>
        </w:rPr>
      </w:pPr>
      <w:r w:rsidDel="00000000" w:rsidR="00000000" w:rsidRPr="00000000">
        <w:rPr>
          <w:sz w:val="24"/>
          <w:szCs w:val="24"/>
          <w:rtl w:val="0"/>
        </w:rPr>
        <w:t xml:space="preserve">Unethical conduct </w:t>
      </w:r>
    </w:p>
    <w:p w:rsidR="00000000" w:rsidDel="00000000" w:rsidP="00000000" w:rsidRDefault="00000000" w:rsidRPr="00000000" w14:paraId="0000000B">
      <w:pPr>
        <w:shd w:fill="ffffff" w:val="clear"/>
        <w:spacing w:after="160" w:lineRule="auto"/>
        <w:rPr>
          <w:sz w:val="24"/>
          <w:szCs w:val="24"/>
        </w:rPr>
      </w:pPr>
      <w:r w:rsidDel="00000000" w:rsidR="00000000" w:rsidRPr="00000000">
        <w:rPr>
          <w:sz w:val="24"/>
          <w:szCs w:val="24"/>
          <w:rtl w:val="0"/>
        </w:rPr>
        <w:t xml:space="preserve">See </w:t>
      </w:r>
      <w:hyperlink r:id="rId6">
        <w:r w:rsidDel="00000000" w:rsidR="00000000" w:rsidRPr="00000000">
          <w:rPr>
            <w:color w:val="0000ff"/>
            <w:sz w:val="24"/>
            <w:szCs w:val="24"/>
            <w:rtl w:val="0"/>
          </w:rPr>
          <w:t xml:space="preserve">Utah Admin. Rules R277-123-2(3) (June 9, 2025)</w:t>
        </w:r>
      </w:hyperlink>
      <w:r w:rsidDel="00000000" w:rsidR="00000000" w:rsidRPr="00000000">
        <w:rPr>
          <w:sz w:val="24"/>
          <w:szCs w:val="24"/>
          <w:rtl w:val="0"/>
        </w:rPr>
        <w:t xml:space="preserve">, </w:t>
      </w:r>
      <w:hyperlink r:id="rId7">
        <w:r w:rsidDel="00000000" w:rsidR="00000000" w:rsidRPr="00000000">
          <w:rPr>
            <w:color w:val="0000ff"/>
            <w:sz w:val="24"/>
            <w:szCs w:val="24"/>
            <w:rtl w:val="0"/>
          </w:rPr>
          <w:t xml:space="preserve">Utah Admin. Rules R277-123-4 (June 9, 2025)</w:t>
        </w:r>
      </w:hyperlink>
      <w:r w:rsidDel="00000000" w:rsidR="00000000" w:rsidRPr="00000000">
        <w:rPr>
          <w:sz w:val="24"/>
          <w:szCs w:val="24"/>
          <w:rtl w:val="0"/>
        </w:rPr>
        <w:t xml:space="preserve">.</w:t>
      </w:r>
    </w:p>
    <w:p w:rsidR="00000000" w:rsidDel="00000000" w:rsidP="00000000" w:rsidRDefault="00000000" w:rsidRPr="00000000" w14:paraId="0000000C">
      <w:pPr>
        <w:shd w:fill="ffffff" w:val="clear"/>
        <w:spacing w:after="160" w:lineRule="auto"/>
        <w:rPr>
          <w:b w:val="1"/>
          <w:bCs w:val="1"/>
          <w:sz w:val="24"/>
          <w:szCs w:val="24"/>
        </w:rPr>
      </w:pPr>
      <w:r w:rsidDel="00000000" w:rsidR="00000000" w:rsidRPr="00000000">
        <w:rPr>
          <w:b w:val="1"/>
          <w:bCs w:val="1"/>
          <w:sz w:val="24"/>
          <w:szCs w:val="24"/>
          <w:rtl w:val="0"/>
        </w:rPr>
        <w:t xml:space="preserve">Filing a Complaint</w:t>
      </w:r>
    </w:p>
    <w:p w:rsidR="00000000" w:rsidDel="00000000" w:rsidP="00000000" w:rsidRDefault="00000000" w:rsidRPr="00000000" w14:paraId="0000000D">
      <w:pPr>
        <w:shd w:fill="ffffff" w:val="clear"/>
        <w:spacing w:after="160" w:lineRule="auto"/>
        <w:rPr>
          <w:color w:val="231f20"/>
          <w:sz w:val="24"/>
          <w:szCs w:val="24"/>
        </w:rPr>
      </w:pPr>
      <w:r w:rsidDel="00000000" w:rsidR="00000000" w:rsidRPr="00000000">
        <w:rPr>
          <w:sz w:val="24"/>
          <w:szCs w:val="24"/>
          <w:rtl w:val="0"/>
        </w:rPr>
        <w:t xml:space="preserve">Complaints should be submitted in writing using the prescribed online forms. Complainants should also submit any evidence that supports the complaint. Essential information includes specifics on “who, what, where, when” as well as any other details that may be important such as information on other witnesses, documents, and pertinent evidence. Due to limited resources, USBE is unable to accept complaints that are not supported by evidence or provide a means for us to investigate the problem further. At a minimum, please use the form as a guide to ensure the necessary information is provided. Submit complaints using this </w:t>
      </w:r>
      <w:hyperlink r:id="rId8">
        <w:r w:rsidDel="00000000" w:rsidR="00000000" w:rsidRPr="00000000">
          <w:rPr>
            <w:color w:val="1155cc"/>
            <w:sz w:val="24"/>
            <w:szCs w:val="24"/>
            <w:u w:val="single"/>
            <w:rtl w:val="0"/>
          </w:rPr>
          <w:t xml:space="preserve">hotline link</w:t>
        </w:r>
      </w:hyperlink>
      <w:r w:rsidDel="00000000" w:rsidR="00000000" w:rsidRPr="00000000">
        <w:rPr>
          <w:sz w:val="24"/>
          <w:szCs w:val="24"/>
          <w:rtl w:val="0"/>
        </w:rPr>
        <w:t xml:space="preserve"> (link also available on the school website) or via the following methods: </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afterAutospacing="0" w:lineRule="auto"/>
        <w:ind w:left="720" w:hanging="360"/>
        <w:rPr>
          <w:sz w:val="24"/>
          <w:szCs w:val="24"/>
        </w:rPr>
      </w:pPr>
      <w:r w:rsidDel="00000000" w:rsidR="00000000" w:rsidRPr="00000000">
        <w:rPr>
          <w:color w:val="231f20"/>
          <w:sz w:val="24"/>
          <w:szCs w:val="24"/>
          <w:rtl w:val="0"/>
        </w:rPr>
        <w:t xml:space="preserve">Send an email to </w:t>
      </w:r>
      <w:hyperlink r:id="rId9">
        <w:r w:rsidDel="00000000" w:rsidR="00000000" w:rsidRPr="00000000">
          <w:rPr>
            <w:color w:val="1155cc"/>
            <w:sz w:val="24"/>
            <w:szCs w:val="24"/>
            <w:u w:val="single"/>
            <w:rtl w:val="0"/>
          </w:rPr>
          <w:t xml:space="preserve">audit@schools.utah.gov</w:t>
        </w:r>
      </w:hyperlink>
      <w:r w:rsidDel="00000000" w:rsidR="00000000" w:rsidRPr="00000000">
        <w:rPr>
          <w:color w:val="231f20"/>
          <w:sz w:val="24"/>
          <w:szCs w:val="24"/>
          <w:rtl w:val="0"/>
        </w:rPr>
        <w:t xml:space="preserve">. (For security purposes, size and content restrictions may apply.)</w:t>
      </w:r>
    </w:p>
    <w:p w:rsidR="00000000" w:rsidDel="00000000" w:rsidP="00000000" w:rsidRDefault="00000000" w:rsidRPr="00000000" w14:paraId="0000000F">
      <w:pPr>
        <w:numPr>
          <w:ilvl w:val="0"/>
          <w:numId w:val="2"/>
        </w:numPr>
        <w:shd w:fill="ffffff" w:val="clear"/>
        <w:spacing w:after="0" w:afterAutospacing="0" w:lineRule="auto"/>
        <w:ind w:left="720" w:hanging="360"/>
        <w:rPr>
          <w:sz w:val="24"/>
          <w:szCs w:val="24"/>
        </w:rPr>
      </w:pPr>
      <w:r w:rsidDel="00000000" w:rsidR="00000000" w:rsidRPr="00000000">
        <w:rPr>
          <w:color w:val="231f20"/>
          <w:sz w:val="24"/>
          <w:szCs w:val="24"/>
          <w:rtl w:val="0"/>
        </w:rPr>
        <w:t xml:space="preserve">Call the dedicated phone number (801) 538-7813 (if we do not answer, please leave a message and we will return your call within 3 business days or as soon as possible depending on hotline volume).</w:t>
      </w:r>
    </w:p>
    <w:p w:rsidR="00000000" w:rsidDel="00000000" w:rsidP="00000000" w:rsidRDefault="00000000" w:rsidRPr="00000000" w14:paraId="00000010">
      <w:pPr>
        <w:numPr>
          <w:ilvl w:val="0"/>
          <w:numId w:val="2"/>
        </w:numPr>
        <w:shd w:fill="ffffff" w:val="clear"/>
        <w:spacing w:after="240" w:lineRule="auto"/>
        <w:ind w:left="720" w:hanging="360"/>
        <w:rPr>
          <w:sz w:val="24"/>
          <w:szCs w:val="24"/>
        </w:rPr>
      </w:pPr>
      <w:r w:rsidDel="00000000" w:rsidR="00000000" w:rsidRPr="00000000">
        <w:rPr>
          <w:color w:val="231f20"/>
          <w:sz w:val="24"/>
          <w:szCs w:val="24"/>
          <w:rtl w:val="0"/>
        </w:rPr>
        <w:t xml:space="preserve">Mail a concern to:</w:t>
        <w:br w:type="textWrapping"/>
        <w:t xml:space="preserve">Utah State Board of Education</w:t>
        <w:br w:type="textWrapping"/>
        <w:t xml:space="preserve">Internal Audit Department</w:t>
        <w:br w:type="textWrapping"/>
        <w:t xml:space="preserve">Attention: Debbie Davis</w:t>
        <w:br w:type="textWrapping"/>
        <w:t xml:space="preserve">PO Box 144200</w:t>
        <w:br w:type="textWrapping"/>
        <w:t xml:space="preserve">Salt Lake City, Utah 84114-4200</w:t>
      </w:r>
      <w:r w:rsidDel="00000000" w:rsidR="00000000" w:rsidRPr="00000000">
        <w:rPr>
          <w:rtl w:val="0"/>
        </w:rPr>
      </w:r>
    </w:p>
    <w:p w:rsidR="00000000" w:rsidDel="00000000" w:rsidP="00000000" w:rsidRDefault="00000000" w:rsidRPr="00000000" w14:paraId="00000011">
      <w:pPr>
        <w:shd w:fill="ffffff" w:val="clear"/>
        <w:spacing w:after="160" w:lineRule="auto"/>
        <w:rPr>
          <w:b w:val="1"/>
          <w:bCs w:val="1"/>
          <w:sz w:val="24"/>
          <w:szCs w:val="24"/>
        </w:rPr>
      </w:pPr>
      <w:r w:rsidDel="00000000" w:rsidR="00000000" w:rsidRPr="00000000">
        <w:rPr>
          <w:b w:val="1"/>
          <w:bCs w:val="1"/>
          <w:sz w:val="24"/>
          <w:szCs w:val="24"/>
          <w:rtl w:val="0"/>
        </w:rPr>
        <w:t xml:space="preserve">USBE Processing of Hotline Complaints</w:t>
      </w:r>
    </w:p>
    <w:p w:rsidR="00000000" w:rsidDel="00000000" w:rsidP="00000000" w:rsidRDefault="00000000" w:rsidRPr="00000000" w14:paraId="00000012">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After receipt of the complaint, USBE will appoint an investigator to review the allegation and any evidence provided by the complainant. The list below represents some of the factors that are considered during the screening and prioritization process.</w:t>
      </w:r>
    </w:p>
    <w:p w:rsidR="00000000" w:rsidDel="00000000" w:rsidP="00000000" w:rsidRDefault="00000000" w:rsidRPr="00000000" w14:paraId="00000013">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Does the complaint involve actions by a person subject to the State Board of Education’s authority? </w:t>
      </w:r>
    </w:p>
    <w:p w:rsidR="00000000" w:rsidDel="00000000" w:rsidP="00000000" w:rsidRDefault="00000000" w:rsidRPr="00000000" w14:paraId="00000014">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Does the complaint pertain to improper governmental activities? Disagreements with administration decisions or actions taken by Board members that are within the law will not be investigated. </w:t>
      </w:r>
    </w:p>
    <w:p w:rsidR="00000000" w:rsidDel="00000000" w:rsidP="00000000" w:rsidRDefault="00000000" w:rsidRPr="00000000" w14:paraId="00000015">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Has the complainant taken appropriate steps to resolve the issue with the school? If the school is not responsive, the concern relates to school administration, or the complainant desires anonymity, consideration will be increased. </w:t>
      </w:r>
    </w:p>
    <w:p w:rsidR="00000000" w:rsidDel="00000000" w:rsidP="00000000" w:rsidRDefault="00000000" w:rsidRPr="00000000" w14:paraId="00000016">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What is the timing and frequency of alleged improper activity? Allegations of improper activities that are recent and/or on-going may receive a higher priority. </w:t>
      </w:r>
    </w:p>
    <w:p w:rsidR="00000000" w:rsidDel="00000000" w:rsidP="00000000" w:rsidRDefault="00000000" w:rsidRPr="00000000" w14:paraId="00000017">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Should the allegation be investigated by another entity? Are there other agencies that have oversight of the complaint? Is a member of the State Board of Education or the audit committee being accused? </w:t>
      </w:r>
    </w:p>
    <w:p w:rsidR="00000000" w:rsidDel="00000000" w:rsidP="00000000" w:rsidRDefault="00000000" w:rsidRPr="00000000" w14:paraId="00000018">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Can the complaint be efficiently and effectively investigated? Overly broad or vague complaints or complaints where evidence is unavailable may be declined or receive a low priority. </w:t>
      </w:r>
    </w:p>
    <w:p w:rsidR="00000000" w:rsidDel="00000000" w:rsidP="00000000" w:rsidRDefault="00000000" w:rsidRPr="00000000" w14:paraId="00000019">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The investigator communicates to USBE: </w:t>
      </w:r>
    </w:p>
    <w:p w:rsidR="00000000" w:rsidDel="00000000" w:rsidP="00000000" w:rsidRDefault="00000000" w:rsidRPr="00000000" w14:paraId="0000001A">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The allegation of the complaint </w:t>
      </w:r>
    </w:p>
    <w:p w:rsidR="00000000" w:rsidDel="00000000" w:rsidP="00000000" w:rsidRDefault="00000000" w:rsidRPr="00000000" w14:paraId="0000001B">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Any facts supporting or refuting the complaint </w:t>
      </w:r>
    </w:p>
    <w:p w:rsidR="00000000" w:rsidDel="00000000" w:rsidP="00000000" w:rsidRDefault="00000000" w:rsidRPr="00000000" w14:paraId="0000001C">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A recommendation based upon preliminary inquiry </w:t>
      </w:r>
    </w:p>
    <w:p w:rsidR="00000000" w:rsidDel="00000000" w:rsidP="00000000" w:rsidRDefault="00000000" w:rsidRPr="00000000" w14:paraId="0000001D">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USBE decides the appropriate next action (if a member of the State Board of Education is the subject of the complaint they may not be included in this process): </w:t>
      </w:r>
    </w:p>
    <w:p w:rsidR="00000000" w:rsidDel="00000000" w:rsidP="00000000" w:rsidRDefault="00000000" w:rsidRPr="00000000" w14:paraId="0000001E">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Discontinue the investigation.</w:t>
      </w:r>
    </w:p>
    <w:p w:rsidR="00000000" w:rsidDel="00000000" w:rsidP="00000000" w:rsidRDefault="00000000" w:rsidRPr="00000000" w14:paraId="0000001F">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Continue with the investigation.</w:t>
      </w:r>
    </w:p>
    <w:p w:rsidR="00000000" w:rsidDel="00000000" w:rsidP="00000000" w:rsidRDefault="00000000" w:rsidRPr="00000000" w14:paraId="00000020">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Refer the investigation to another agency.</w:t>
      </w:r>
    </w:p>
    <w:p w:rsidR="00000000" w:rsidDel="00000000" w:rsidP="00000000" w:rsidRDefault="00000000" w:rsidRPr="00000000" w14:paraId="00000021">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If the investigation proceeds, the Board of Education sets the following: </w:t>
      </w:r>
    </w:p>
    <w:p w:rsidR="00000000" w:rsidDel="00000000" w:rsidP="00000000" w:rsidRDefault="00000000" w:rsidRPr="00000000" w14:paraId="00000022">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Time and resource budget. </w:t>
      </w:r>
    </w:p>
    <w:p w:rsidR="00000000" w:rsidDel="00000000" w:rsidP="00000000" w:rsidRDefault="00000000" w:rsidRPr="00000000" w14:paraId="00000023">
      <w:pPr>
        <w:numPr>
          <w:ilvl w:val="1"/>
          <w:numId w:val="1"/>
        </w:numPr>
        <w:spacing w:after="0" w:afterAutospacing="0" w:lineRule="auto"/>
        <w:ind w:left="1440" w:hanging="360"/>
        <w:rPr>
          <w:color w:val="000000"/>
          <w:sz w:val="24"/>
          <w:szCs w:val="24"/>
        </w:rPr>
      </w:pPr>
      <w:r w:rsidDel="00000000" w:rsidR="00000000" w:rsidRPr="00000000">
        <w:rPr>
          <w:sz w:val="24"/>
          <w:szCs w:val="24"/>
          <w:rtl w:val="0"/>
        </w:rPr>
        <w:t xml:space="preserve">Scope of the audit. </w:t>
      </w:r>
    </w:p>
    <w:p w:rsidR="00000000" w:rsidDel="00000000" w:rsidP="00000000" w:rsidRDefault="00000000" w:rsidRPr="00000000" w14:paraId="00000024">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The investigator completes the investigation.</w:t>
      </w:r>
    </w:p>
    <w:p w:rsidR="00000000" w:rsidDel="00000000" w:rsidP="00000000" w:rsidRDefault="00000000" w:rsidRPr="00000000" w14:paraId="00000025">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The investigator creates a report outlining the work performed and conclusions.</w:t>
      </w:r>
    </w:p>
    <w:p w:rsidR="00000000" w:rsidDel="00000000" w:rsidP="00000000" w:rsidRDefault="00000000" w:rsidRPr="00000000" w14:paraId="00000026">
      <w:pPr>
        <w:numPr>
          <w:ilvl w:val="0"/>
          <w:numId w:val="1"/>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The investigator provides the report to USBE.</w:t>
      </w:r>
    </w:p>
    <w:p w:rsidR="00000000" w:rsidDel="00000000" w:rsidP="00000000" w:rsidRDefault="00000000" w:rsidRPr="00000000" w14:paraId="00000027">
      <w:pPr>
        <w:numPr>
          <w:ilvl w:val="0"/>
          <w:numId w:val="1"/>
        </w:numPr>
        <w:shd w:fill="ffffff" w:val="clear"/>
        <w:spacing w:after="160" w:lineRule="auto"/>
        <w:ind w:left="720" w:hanging="360"/>
        <w:rPr>
          <w:color w:val="000000"/>
          <w:sz w:val="24"/>
          <w:szCs w:val="24"/>
        </w:rPr>
      </w:pPr>
      <w:r w:rsidDel="00000000" w:rsidR="00000000" w:rsidRPr="00000000">
        <w:rPr>
          <w:sz w:val="24"/>
          <w:szCs w:val="24"/>
          <w:rtl w:val="0"/>
        </w:rPr>
        <w:t xml:space="preserve">USBE addresses any findings noted in the report.</w:t>
      </w:r>
    </w:p>
    <w:p w:rsidR="00000000" w:rsidDel="00000000" w:rsidP="00000000" w:rsidRDefault="00000000" w:rsidRPr="00000000" w14:paraId="00000028">
      <w:pPr>
        <w:shd w:fill="ffffff" w:val="clear"/>
        <w:spacing w:after="160" w:lineRule="auto"/>
        <w:rPr>
          <w:b w:val="1"/>
          <w:bCs w:val="1"/>
          <w:sz w:val="24"/>
          <w:szCs w:val="24"/>
        </w:rPr>
      </w:pPr>
      <w:r w:rsidDel="00000000" w:rsidR="00000000" w:rsidRPr="00000000">
        <w:rPr>
          <w:b w:val="1"/>
          <w:bCs w:val="1"/>
          <w:sz w:val="24"/>
          <w:szCs w:val="24"/>
          <w:rtl w:val="0"/>
        </w:rPr>
        <w:t xml:space="preserve">Processing of Hotline Complaints Received from USBE</w:t>
      </w:r>
    </w:p>
    <w:p w:rsidR="00000000" w:rsidDel="00000000" w:rsidP="00000000" w:rsidRDefault="00000000" w:rsidRPr="00000000" w14:paraId="00000029">
      <w:pPr>
        <w:shd w:fill="ffffff" w:val="clear"/>
        <w:spacing w:after="160" w:lineRule="auto"/>
        <w:rPr>
          <w:sz w:val="24"/>
          <w:szCs w:val="24"/>
        </w:rPr>
      </w:pPr>
      <w:r w:rsidDel="00000000" w:rsidR="00000000" w:rsidRPr="00000000">
        <w:rPr>
          <w:sz w:val="24"/>
          <w:szCs w:val="24"/>
          <w:rtl w:val="0"/>
        </w:rPr>
        <w:t xml:space="preserve">Hotline complaints which are received by referral from the Internal Audit Department of the Utah State Board of Education will be processed as provided above for hotline complaints initially submitted to USBE and then, within 45 days of receiving the referral from the Internal Audit Department, the school shall work to address the issue and provide an update or summary of the status of the matter to the Internal Audit Department.</w:t>
      </w:r>
    </w:p>
    <w:p w:rsidR="00000000" w:rsidDel="00000000" w:rsidP="00000000" w:rsidRDefault="00000000" w:rsidRPr="00000000" w14:paraId="0000002A">
      <w:pPr>
        <w:shd w:fill="ffffff" w:val="clear"/>
        <w:spacing w:after="160" w:lineRule="auto"/>
        <w:rPr>
          <w:b w:val="1"/>
          <w:bCs w:val="1"/>
          <w:sz w:val="24"/>
          <w:szCs w:val="24"/>
        </w:rPr>
      </w:pPr>
      <w:r w:rsidDel="00000000" w:rsidR="00000000" w:rsidRPr="00000000">
        <w:rPr>
          <w:sz w:val="24"/>
          <w:szCs w:val="24"/>
          <w:rtl w:val="0"/>
        </w:rPr>
        <w:t xml:space="preserve">See </w:t>
      </w:r>
      <w:hyperlink r:id="rId10">
        <w:r w:rsidDel="00000000" w:rsidR="00000000" w:rsidRPr="00000000">
          <w:rPr>
            <w:color w:val="0000ff"/>
            <w:sz w:val="24"/>
            <w:szCs w:val="24"/>
            <w:rtl w:val="0"/>
          </w:rPr>
          <w:t xml:space="preserve">Utah Admin. Rules R277-123-4(5) – (7) (June 9, 2025)</w:t>
        </w:r>
      </w:hyperlink>
      <w:r w:rsidDel="00000000" w:rsidR="00000000" w:rsidRPr="00000000">
        <w:rPr>
          <w:b w:val="1"/>
          <w:bCs w:val="1"/>
          <w:sz w:val="24"/>
          <w:szCs w:val="24"/>
          <w:rtl w:val="0"/>
        </w:rPr>
        <w:t xml:space="preserve">.</w:t>
      </w:r>
    </w:p>
    <w:p w:rsidR="00000000" w:rsidDel="00000000" w:rsidP="00000000" w:rsidRDefault="00000000" w:rsidRPr="00000000" w14:paraId="0000002B">
      <w:pPr>
        <w:shd w:fill="ffffff" w:val="clear"/>
        <w:spacing w:after="160" w:lineRule="auto"/>
        <w:rPr>
          <w:b w:val="1"/>
          <w:bCs w:val="1"/>
          <w:sz w:val="24"/>
          <w:szCs w:val="24"/>
        </w:rPr>
      </w:pPr>
      <w:r w:rsidDel="00000000" w:rsidR="00000000" w:rsidRPr="00000000">
        <w:rPr>
          <w:b w:val="1"/>
          <w:bCs w:val="1"/>
          <w:sz w:val="24"/>
          <w:szCs w:val="24"/>
          <w:rtl w:val="0"/>
        </w:rPr>
        <w:t xml:space="preserve">Whistleblower Protection</w:t>
      </w:r>
    </w:p>
    <w:p w:rsidR="00000000" w:rsidDel="00000000" w:rsidP="00000000" w:rsidRDefault="00000000" w:rsidRPr="00000000" w14:paraId="0000002C">
      <w:pPr>
        <w:shd w:fill="ffffff" w:val="clear"/>
        <w:spacing w:after="160" w:lineRule="auto"/>
        <w:rPr>
          <w:sz w:val="24"/>
          <w:szCs w:val="24"/>
        </w:rPr>
      </w:pPr>
      <w:r w:rsidDel="00000000" w:rsidR="00000000" w:rsidRPr="00000000">
        <w:rPr>
          <w:sz w:val="24"/>
          <w:szCs w:val="24"/>
          <w:rtl w:val="0"/>
        </w:rPr>
        <w:t xml:space="preserve">Utah Code §67-21-3 prohibits public employers (such as USU) from taking retaliatory action against their employees for reporting government waste or violations of law in good faith, to the appropriate authorities. A school employee is presumed to have communicated in good faith if the employee has given written notice or otherwise formally communicated the conduct to USBE, a member of the State Board of Education, the Superintendent, or to a government official with authority to audit the LEA.</w:t>
      </w:r>
    </w:p>
    <w:p w:rsidR="00000000" w:rsidDel="00000000" w:rsidP="00000000" w:rsidRDefault="00000000" w:rsidRPr="00000000" w14:paraId="0000002D">
      <w:pPr>
        <w:shd w:fill="ffffff" w:val="clear"/>
        <w:spacing w:after="160" w:lineRule="auto"/>
        <w:rPr>
          <w:b w:val="1"/>
          <w:bCs w:val="1"/>
          <w:sz w:val="24"/>
          <w:szCs w:val="24"/>
        </w:rPr>
      </w:pPr>
      <w:r w:rsidDel="00000000" w:rsidR="00000000" w:rsidRPr="00000000">
        <w:rPr>
          <w:sz w:val="24"/>
          <w:szCs w:val="24"/>
          <w:rtl w:val="0"/>
        </w:rPr>
        <w:t xml:space="preserve">See </w:t>
      </w:r>
      <w:hyperlink r:id="rId11">
        <w:r w:rsidDel="00000000" w:rsidR="00000000" w:rsidRPr="00000000">
          <w:rPr>
            <w:color w:val="0000ff"/>
            <w:sz w:val="24"/>
            <w:szCs w:val="24"/>
            <w:rtl w:val="0"/>
          </w:rPr>
          <w:t xml:space="preserve">Utah Code § 67-21-3(1)(a), (b)(vi) (2022)</w:t>
        </w:r>
      </w:hyperlink>
      <w:r w:rsidDel="00000000" w:rsidR="00000000" w:rsidRPr="00000000">
        <w:rPr>
          <w:b w:val="1"/>
          <w:bCs w:val="1"/>
          <w:sz w:val="24"/>
          <w:szCs w:val="24"/>
          <w:rtl w:val="0"/>
        </w:rPr>
        <w:t xml:space="preserve">.</w:t>
      </w:r>
    </w:p>
    <w:p w:rsidR="00000000" w:rsidDel="00000000" w:rsidP="00000000" w:rsidRDefault="00000000" w:rsidRPr="00000000" w14:paraId="0000002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30709"/>
        <w:sz w:val="27"/>
        <w:szCs w:val="27"/>
        <w:u w:val="none"/>
      </w:rPr>
    </w:lvl>
    <w:lvl w:ilvl="1">
      <w:start w:val="1"/>
      <w:numFmt w:val="decimal"/>
      <w:lvlText w:val="%2."/>
      <w:lvlJc w:val="left"/>
      <w:pPr>
        <w:ind w:left="1440" w:hanging="360"/>
      </w:pPr>
      <w:rPr>
        <w:rFonts w:ascii="Arial" w:cs="Arial" w:eastAsia="Arial" w:hAnsi="Arial"/>
        <w:color w:val="130709"/>
        <w:sz w:val="27"/>
        <w:szCs w:val="27"/>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31f20"/>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30709"/>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utah.gov/xcode/Title67/Chapter21/67-21-S3.html?v=C67-21-S3_2020051220200701" TargetMode="External"/><Relationship Id="rId10" Type="http://schemas.openxmlformats.org/officeDocument/2006/relationships/hyperlink" Target="https://adminrules.utah.gov/public/rule/R277-123/Current%20Rules?/" TargetMode="External"/><Relationship Id="rId9" Type="http://schemas.openxmlformats.org/officeDocument/2006/relationships/hyperlink" Target="mailto:audit@schools.utah.gov" TargetMode="External"/><Relationship Id="rId5" Type="http://schemas.openxmlformats.org/officeDocument/2006/relationships/styles" Target="styles.xml"/><Relationship Id="rId6" Type="http://schemas.openxmlformats.org/officeDocument/2006/relationships/hyperlink" Target="https://adminrules.utah.gov/public/rule/R277-123/Current%20Rules?/" TargetMode="External"/><Relationship Id="rId7" Type="http://schemas.openxmlformats.org/officeDocument/2006/relationships/hyperlink" Target="https://adminrules.utah.gov/public/rule/R277-123/Current%20Rules?/" TargetMode="External"/><Relationship Id="rId8" Type="http://schemas.openxmlformats.org/officeDocument/2006/relationships/hyperlink" Target="https://www.schools.utah.gov/internalaudit/?mid=892&amp;t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