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Quicksand" w:cs="Quicksand" w:eastAsia="Quicksand" w:hAnsi="Quicksand"/>
          <w:b w:val="1"/>
          <w:bCs w:val="1"/>
          <w:sz w:val="28"/>
          <w:szCs w:val="28"/>
        </w:rPr>
      </w:pPr>
      <w:bookmarkStart w:colFirst="0" w:colLast="0" w:name="_4q7k5imajwbz" w:id="0"/>
      <w:bookmarkEnd w:id="0"/>
      <w:r w:rsidDel="00000000" w:rsidR="00000000" w:rsidRPr="00000000">
        <w:rPr>
          <w:rFonts w:ascii="Quicksand" w:cs="Quicksand" w:eastAsia="Quicksand" w:hAnsi="Quicksand"/>
          <w:b w:val="1"/>
          <w:bCs w:val="1"/>
          <w:sz w:val="28"/>
          <w:szCs w:val="28"/>
          <w:rtl w:val="0"/>
        </w:rPr>
        <w:t xml:space="preserve">3080  DRAFT Electronic Devices Policy</w:t>
      </w:r>
    </w:p>
    <w:p w:rsidR="00000000" w:rsidDel="00000000" w:rsidP="00000000" w:rsidRDefault="00000000" w:rsidRPr="00000000" w14:paraId="00000002">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3">
      <w:pPr>
        <w:rPr>
          <w:rFonts w:ascii="Quicksand" w:cs="Quicksand" w:eastAsia="Quicksand" w:hAnsi="Quicksand"/>
        </w:rPr>
      </w:pPr>
      <w:r w:rsidDel="00000000" w:rsidR="00000000" w:rsidRPr="00000000">
        <w:rPr>
          <w:rFonts w:ascii="Quicksand" w:cs="Quicksand" w:eastAsia="Quicksand" w:hAnsi="Quicksand"/>
          <w:b w:val="1"/>
          <w:bCs w:val="1"/>
          <w:sz w:val="24"/>
          <w:szCs w:val="24"/>
          <w:rtl w:val="0"/>
        </w:rPr>
        <w:t xml:space="preserve">Previous Version Approved:  </w:t>
      </w:r>
      <w:r w:rsidDel="00000000" w:rsidR="00000000" w:rsidRPr="00000000">
        <w:rPr>
          <w:rFonts w:ascii="Quicksand" w:cs="Quicksand" w:eastAsia="Quicksand" w:hAnsi="Quicksand"/>
          <w:rtl w:val="0"/>
        </w:rPr>
        <w:t xml:space="preserve">20 April 2016</w:t>
      </w:r>
    </w:p>
    <w:p w:rsidR="00000000" w:rsidDel="00000000" w:rsidP="00000000" w:rsidRDefault="00000000" w:rsidRPr="00000000" w14:paraId="00000004">
      <w:pPr>
        <w:rPr>
          <w:rFonts w:ascii="Quicksand" w:cs="Quicksand" w:eastAsia="Quicksand" w:hAnsi="Quicksand"/>
        </w:rPr>
      </w:pPr>
      <w:r w:rsidDel="00000000" w:rsidR="00000000" w:rsidRPr="00000000">
        <w:rPr>
          <w:rFonts w:ascii="Quicksand" w:cs="Quicksand" w:eastAsia="Quicksand" w:hAnsi="Quicksand"/>
          <w:b w:val="1"/>
          <w:bCs w:val="1"/>
          <w:rtl w:val="0"/>
        </w:rPr>
        <w:t xml:space="preserve">Rule/Law:</w:t>
      </w:r>
      <w:r w:rsidDel="00000000" w:rsidR="00000000" w:rsidRPr="00000000">
        <w:rPr>
          <w:rFonts w:ascii="Quicksand" w:cs="Quicksand" w:eastAsia="Quicksand" w:hAnsi="Quicksand"/>
          <w:rtl w:val="0"/>
        </w:rPr>
        <w:t xml:space="preserve"> Utah Code 53G-7-226; Board Rule R277-495</w:t>
      </w:r>
    </w:p>
    <w:p w:rsidR="00000000" w:rsidDel="00000000" w:rsidP="00000000" w:rsidRDefault="00000000" w:rsidRPr="00000000" w14:paraId="00000005">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6">
      <w:pPr>
        <w:rPr>
          <w:rFonts w:ascii="Quicksand" w:cs="Quicksand" w:eastAsia="Quicksand" w:hAnsi="Quicksand"/>
          <w:sz w:val="24"/>
          <w:szCs w:val="24"/>
        </w:rPr>
      </w:pPr>
      <w:r w:rsidDel="00000000" w:rsidR="00000000" w:rsidRPr="00000000">
        <w:rPr>
          <w:rFonts w:ascii="Quicksand" w:cs="Quicksand" w:eastAsia="Quicksand" w:hAnsi="Quicksand"/>
          <w:b w:val="1"/>
          <w:bCs w:val="1"/>
          <w:rtl w:val="0"/>
        </w:rPr>
        <w:t xml:space="preserve">Purpose:</w:t>
      </w:r>
      <w:r w:rsidDel="00000000" w:rsidR="00000000" w:rsidRPr="00000000">
        <w:rPr>
          <w:rFonts w:ascii="Quicksand" w:cs="Quicksand" w:eastAsia="Quicksand" w:hAnsi="Quicksand"/>
          <w:b w:val="1"/>
          <w:bCs w:val="1"/>
          <w:sz w:val="24"/>
          <w:szCs w:val="24"/>
          <w:rtl w:val="0"/>
        </w:rPr>
        <w:t xml:space="preserve"> </w:t>
      </w:r>
      <w:r w:rsidDel="00000000" w:rsidR="00000000" w:rsidRPr="00000000">
        <w:rPr>
          <w:rFonts w:ascii="Quicksand" w:cs="Quicksand" w:eastAsia="Quicksand" w:hAnsi="Quicksand"/>
          <w:sz w:val="24"/>
          <w:szCs w:val="24"/>
          <w:rtl w:val="0"/>
        </w:rPr>
        <w:t xml:space="preserve">The purpose of this policy is to outline the appropriate use of electronic devices by students. </w:t>
      </w:r>
    </w:p>
    <w:p w:rsidR="00000000" w:rsidDel="00000000" w:rsidP="00000000" w:rsidRDefault="00000000" w:rsidRPr="00000000" w14:paraId="00000007">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Edith Bowen Laboratory School recognizes the fact that the responsible use of electronic devices in the classroom may be beneficial to a student’s education; however, electronic devices can also have the effect of distracting, disrupting and intimidating others in the school setting and leading to opportunities for academic dishonesty and other disruptions of the educational process. In order to maintain a secure and orderly learning environment, promote respect and courtesy regarding the use of electronic devices, and comply with Utah State Code 53G-7-227, EBLS has established the following rules and guidelines governing student use of electronic devices and procedures to address student misuse.</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Definitions</w:t>
      </w:r>
      <w:r w:rsidDel="00000000" w:rsidR="00000000" w:rsidRPr="00000000">
        <w:rPr>
          <w:rtl w:val="0"/>
        </w:rPr>
      </w:r>
    </w:p>
    <w:p w:rsidR="00000000" w:rsidDel="00000000" w:rsidP="00000000" w:rsidRDefault="00000000" w:rsidRPr="00000000" w14:paraId="0000000A">
      <w:pPr>
        <w:numPr>
          <w:ilvl w:val="1"/>
          <w:numId w:val="1"/>
        </w:numPr>
        <w:ind w:left="144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As used in this section:</w:t>
      </w:r>
    </w:p>
    <w:p w:rsidR="00000000" w:rsidDel="00000000" w:rsidP="00000000" w:rsidRDefault="00000000" w:rsidRPr="00000000" w14:paraId="0000000B">
      <w:pPr>
        <w:numPr>
          <w:ilvl w:val="2"/>
          <w:numId w:val="1"/>
        </w:numPr>
        <w:ind w:left="216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"Cellphone" means a handheld, portable electronic device that is designed to be operated using one or both hands and is capable of transmitting and receiving voice, data, or text communication by means of:</w:t>
      </w:r>
    </w:p>
    <w:p w:rsidR="00000000" w:rsidDel="00000000" w:rsidP="00000000" w:rsidRDefault="00000000" w:rsidRPr="00000000" w14:paraId="0000000C">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cellular network;</w:t>
      </w:r>
    </w:p>
    <w:p w:rsidR="00000000" w:rsidDel="00000000" w:rsidP="00000000" w:rsidRDefault="00000000" w:rsidRPr="00000000" w14:paraId="0000000D">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satellite network; or</w:t>
      </w:r>
    </w:p>
    <w:p w:rsidR="00000000" w:rsidDel="00000000" w:rsidP="00000000" w:rsidRDefault="00000000" w:rsidRPr="00000000" w14:paraId="0000000E">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any other wireless technology.</w:t>
      </w:r>
    </w:p>
    <w:p w:rsidR="00000000" w:rsidDel="00000000" w:rsidP="00000000" w:rsidRDefault="00000000" w:rsidRPr="00000000" w14:paraId="0000000F">
      <w:pPr>
        <w:numPr>
          <w:ilvl w:val="2"/>
          <w:numId w:val="1"/>
        </w:numPr>
        <w:ind w:left="216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"Cellphone" includes:</w:t>
      </w:r>
    </w:p>
    <w:p w:rsidR="00000000" w:rsidDel="00000000" w:rsidP="00000000" w:rsidRDefault="00000000" w:rsidRPr="00000000" w14:paraId="00000010">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smartphone;</w:t>
      </w:r>
    </w:p>
    <w:p w:rsidR="00000000" w:rsidDel="00000000" w:rsidP="00000000" w:rsidRDefault="00000000" w:rsidRPr="00000000" w14:paraId="00000011">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feature phone;</w:t>
      </w:r>
    </w:p>
    <w:p w:rsidR="00000000" w:rsidDel="00000000" w:rsidP="00000000" w:rsidRDefault="00000000" w:rsidRPr="00000000" w14:paraId="00000012">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mobile phone;</w:t>
      </w:r>
    </w:p>
    <w:p w:rsidR="00000000" w:rsidDel="00000000" w:rsidP="00000000" w:rsidRDefault="00000000" w:rsidRPr="00000000" w14:paraId="00000013">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satellite phone; or</w:t>
      </w:r>
    </w:p>
    <w:p w:rsidR="00000000" w:rsidDel="00000000" w:rsidP="00000000" w:rsidRDefault="00000000" w:rsidRPr="00000000" w14:paraId="00000014">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 personal digital assistant that incorporates capabilities similar to a smartphone, feature phone, mobile phone, or satellite phone.</w:t>
      </w:r>
    </w:p>
    <w:p w:rsidR="00000000" w:rsidDel="00000000" w:rsidP="00000000" w:rsidRDefault="00000000" w:rsidRPr="00000000" w14:paraId="00000015">
      <w:pPr>
        <w:numPr>
          <w:ilvl w:val="2"/>
          <w:numId w:val="1"/>
        </w:numPr>
        <w:ind w:left="216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"Emerging technology" means any other device that has or will be able to act in place of or as an extension of an individual's cellphone. "Emerging technology" does not include school provided or required devices.</w:t>
      </w:r>
    </w:p>
    <w:p w:rsidR="00000000" w:rsidDel="00000000" w:rsidP="00000000" w:rsidRDefault="00000000" w:rsidRPr="00000000" w14:paraId="00000016">
      <w:pPr>
        <w:numPr>
          <w:ilvl w:val="2"/>
          <w:numId w:val="1"/>
        </w:numPr>
        <w:ind w:left="216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"Smart watch" means a wearable computing device that closely resembles a wristwatch or other time-keeping device with the capacity to act in place of or as an extension of an individual's cellphone. "Smart watch" does not include a wearable device that can only:</w:t>
      </w:r>
    </w:p>
    <w:p w:rsidR="00000000" w:rsidDel="00000000" w:rsidP="00000000" w:rsidRDefault="00000000" w:rsidRPr="00000000" w14:paraId="00000017">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tell time;</w:t>
      </w:r>
    </w:p>
    <w:p w:rsidR="00000000" w:rsidDel="00000000" w:rsidP="00000000" w:rsidRDefault="00000000" w:rsidRPr="00000000" w14:paraId="00000018">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monitor an individual's health informatics;</w:t>
      </w:r>
    </w:p>
    <w:p w:rsidR="00000000" w:rsidDel="00000000" w:rsidP="00000000" w:rsidRDefault="00000000" w:rsidRPr="00000000" w14:paraId="00000019">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receive and display notifications or information without the capability to respond; or</w:t>
      </w:r>
    </w:p>
    <w:p w:rsidR="00000000" w:rsidDel="00000000" w:rsidP="00000000" w:rsidRDefault="00000000" w:rsidRPr="00000000" w14:paraId="0000001A">
      <w:pPr>
        <w:numPr>
          <w:ilvl w:val="3"/>
          <w:numId w:val="1"/>
        </w:numPr>
        <w:ind w:left="288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track the individual's physical location.</w:t>
      </w:r>
    </w:p>
    <w:p w:rsidR="00000000" w:rsidDel="00000000" w:rsidP="00000000" w:rsidRDefault="00000000" w:rsidRPr="00000000" w14:paraId="0000001B">
      <w:pPr>
        <w:numPr>
          <w:ilvl w:val="0"/>
          <w:numId w:val="1"/>
        </w:numPr>
        <w:ind w:left="720" w:hanging="360"/>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Implementation</w:t>
      </w:r>
    </w:p>
    <w:p w:rsidR="00000000" w:rsidDel="00000000" w:rsidP="00000000" w:rsidRDefault="00000000" w:rsidRPr="00000000" w14:paraId="0000001C">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EBLS students may not use a cellphone, smart watch, or emerging technology at school from when they arrive on campus to when they depart. Parents needing to contact their students are asked to do so through the EBLS main office. Parent guidance for contacting students during emergencies are found in our </w:t>
      </w:r>
      <w:hyperlink r:id="rId6">
        <w:r w:rsidDel="00000000" w:rsidR="00000000" w:rsidRPr="00000000">
          <w:rPr>
            <w:rFonts w:ascii="Quicksand" w:cs="Quicksand" w:eastAsia="Quicksand" w:hAnsi="Quicksand"/>
            <w:color w:val="1155cc"/>
            <w:sz w:val="24"/>
            <w:szCs w:val="24"/>
            <w:u w:val="single"/>
            <w:rtl w:val="0"/>
          </w:rPr>
          <w:t xml:space="preserve">Standard Response Protocol - Parent Guidelines document</w:t>
        </w:r>
      </w:hyperlink>
      <w:r w:rsidDel="00000000" w:rsidR="00000000" w:rsidRPr="00000000">
        <w:rPr>
          <w:rFonts w:ascii="Quicksand" w:cs="Quicksand" w:eastAsia="Quicksand" w:hAnsi="Quicksand"/>
          <w:sz w:val="24"/>
          <w:szCs w:val="24"/>
          <w:rtl w:val="0"/>
        </w:rPr>
        <w:t xml:space="preserve"> (see </w:t>
      </w:r>
      <w:hyperlink r:id="rId7">
        <w:r w:rsidDel="00000000" w:rsidR="00000000" w:rsidRPr="00000000">
          <w:rPr>
            <w:rFonts w:ascii="Quicksand" w:cs="Quicksand" w:eastAsia="Quicksand" w:hAnsi="Quicksand"/>
            <w:color w:val="1155cc"/>
            <w:sz w:val="24"/>
            <w:szCs w:val="24"/>
            <w:u w:val="single"/>
            <w:rtl w:val="0"/>
          </w:rPr>
          <w:t xml:space="preserve">https://tinyurl.com/yteu3rz5</w:t>
        </w:r>
      </w:hyperlink>
      <w:r w:rsidDel="00000000" w:rsidR="00000000" w:rsidRPr="00000000">
        <w:rPr>
          <w:rFonts w:ascii="Quicksand" w:cs="Quicksand" w:eastAsia="Quicksand" w:hAnsi="Quicksand"/>
          <w:sz w:val="24"/>
          <w:szCs w:val="24"/>
          <w:rtl w:val="0"/>
        </w:rPr>
        <w:t xml:space="preserve">).</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Electronic devices must be either turned off and stored in a student’s locker or backpack unless specifically allowed by law, an IEP, a Section 504 Accommodation Plan, or a Health Care Plan.  </w:t>
      </w:r>
    </w:p>
    <w:p w:rsidR="00000000" w:rsidDel="00000000" w:rsidP="00000000" w:rsidRDefault="00000000" w:rsidRPr="00000000" w14:paraId="0000001E">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may use an electronic device in an emergency situation that threatens the health, safety or well-­being of students (including themselves), school employees or others.</w:t>
      </w:r>
    </w:p>
    <w:p w:rsidR="00000000" w:rsidDel="00000000" w:rsidP="00000000" w:rsidRDefault="00000000" w:rsidRPr="00000000" w14:paraId="0000001F">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If students intentionally use or respond to electronic devices during instructional time, without teacher permission, the electronic device may be confiscated.</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Violations</w:t>
      </w:r>
      <w:r w:rsidDel="00000000" w:rsidR="00000000" w:rsidRPr="00000000">
        <w:rPr>
          <w:rtl w:val="0"/>
        </w:rPr>
      </w:r>
    </w:p>
    <w:p w:rsidR="00000000" w:rsidDel="00000000" w:rsidP="00000000" w:rsidRDefault="00000000" w:rsidRPr="00000000" w14:paraId="00000021">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After two warnings, electronic devices used in violation of this policy will be confiscated by school personnel and returned to the student or parent/guardian at the end of the day.</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Other Provisions</w:t>
      </w:r>
    </w:p>
    <w:p w:rsidR="00000000" w:rsidDel="00000000" w:rsidP="00000000" w:rsidRDefault="00000000" w:rsidRPr="00000000" w14:paraId="00000023">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bring electronic devices on school property or to school activities at their own risk. The school is not responsible for lost, stolen or damaged electronic equipment.  </w:t>
      </w:r>
    </w:p>
    <w:p w:rsidR="00000000" w:rsidDel="00000000" w:rsidP="00000000" w:rsidRDefault="00000000" w:rsidRPr="00000000" w14:paraId="00000024">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Students are strictly responsible for their own electronic devices. If devices are borrowed or taken and misused by non-­owners, device owners are jointly responsible for the misuse or policy violation(s).</w:t>
      </w:r>
    </w:p>
    <w:p w:rsidR="00000000" w:rsidDel="00000000" w:rsidP="00000000" w:rsidRDefault="00000000" w:rsidRPr="00000000" w14:paraId="00000025">
      <w:pPr>
        <w:numPr>
          <w:ilvl w:val="1"/>
          <w:numId w:val="1"/>
        </w:numPr>
        <w:ind w:left="144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Electronic devices inappropriately used or disclosed may be subject to search by school administrators based on reasonable suspicion.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loveuguys.org/downloads/SRP-K12-2021-Parent-Handout_EN.pdf" TargetMode="External"/><Relationship Id="rId7" Type="http://schemas.openxmlformats.org/officeDocument/2006/relationships/hyperlink" Target="https://tinyurl.com/yteu3rz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