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38DC3214"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30B34FDD" w:rsidR="000F19B3" w:rsidRDefault="00441738" w:rsidP="000F19B3">
      <w:pPr>
        <w:autoSpaceDE w:val="0"/>
        <w:autoSpaceDN w:val="0"/>
        <w:adjustRightInd w:val="0"/>
        <w:spacing w:after="0" w:line="240" w:lineRule="auto"/>
        <w:rPr>
          <w:rFonts w:ascii="Calibri" w:hAnsi="Calibri" w:cs="Calibri"/>
        </w:rPr>
      </w:pPr>
      <w:r>
        <w:rPr>
          <w:rFonts w:ascii="Calibri" w:hAnsi="Calibri" w:cs="Calibri"/>
        </w:rPr>
        <w:t>December 16</w:t>
      </w:r>
      <w:r w:rsidR="00EF37D9">
        <w:rPr>
          <w:rFonts w:ascii="Calibri" w:hAnsi="Calibri" w:cs="Calibri"/>
        </w:rPr>
        <w:t>,</w:t>
      </w:r>
      <w:r w:rsidR="008903A1">
        <w:rPr>
          <w:rFonts w:ascii="Calibri" w:hAnsi="Calibri" w:cs="Calibri"/>
        </w:rPr>
        <w:t xml:space="preserve"> 202</w:t>
      </w:r>
      <w:r w:rsidR="00D86A2C">
        <w:rPr>
          <w:rFonts w:ascii="Calibri" w:hAnsi="Calibri" w:cs="Calibri"/>
        </w:rPr>
        <w:t>5</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4BA55D9D"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441738">
        <w:rPr>
          <w:rFonts w:ascii="Calibri" w:hAnsi="Calibri" w:cs="Calibri"/>
        </w:rPr>
        <w:t>December 16</w:t>
      </w:r>
      <w:r w:rsidR="00ED3D6B">
        <w:rPr>
          <w:rFonts w:ascii="Calibri" w:hAnsi="Calibri" w:cs="Calibri"/>
        </w:rPr>
        <w:t xml:space="preserve">, 2025, </w:t>
      </w:r>
      <w:r w:rsidR="001C317E">
        <w:rPr>
          <w:rFonts w:ascii="Calibri" w:hAnsi="Calibri" w:cs="Calibri"/>
        </w:rPr>
        <w:t>5</w:t>
      </w:r>
      <w:r w:rsidR="00ED3D6B">
        <w:rPr>
          <w:rFonts w:ascii="Calibri" w:hAnsi="Calibri" w:cs="Calibri"/>
        </w:rPr>
        <w:t>:00</w:t>
      </w:r>
      <w:r w:rsidR="00C11E8C">
        <w:rPr>
          <w:rFonts w:ascii="Calibri" w:hAnsi="Calibri" w:cs="Calibri"/>
        </w:rPr>
        <w:t xml:space="preserve"> </w:t>
      </w:r>
      <w:r w:rsidR="001C317E">
        <w:rPr>
          <w:rFonts w:ascii="Calibri" w:hAnsi="Calibri" w:cs="Calibri"/>
        </w:rPr>
        <w:t>p</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w:t>
      </w:r>
      <w:proofErr w:type="spellStart"/>
      <w:r w:rsidR="00C11E8C">
        <w:rPr>
          <w:rFonts w:ascii="Calibri" w:hAnsi="Calibri" w:cs="Calibri"/>
        </w:rPr>
        <w:t>McMullin</w:t>
      </w:r>
      <w:proofErr w:type="spellEnd"/>
      <w:r w:rsidR="00C11E8C">
        <w:rPr>
          <w:rFonts w:ascii="Calibri" w:hAnsi="Calibri" w:cs="Calibri"/>
        </w:rPr>
        <w:t xml:space="preserve">, Clerk/Auditor; </w:t>
      </w:r>
      <w:r w:rsidR="001C317E">
        <w:rPr>
          <w:rFonts w:ascii="Calibri" w:hAnsi="Calibri" w:cs="Calibri"/>
        </w:rPr>
        <w:t xml:space="preserve">Matt </w:t>
      </w:r>
      <w:proofErr w:type="spellStart"/>
      <w:r w:rsidR="001C317E">
        <w:rPr>
          <w:rFonts w:ascii="Calibri" w:hAnsi="Calibri" w:cs="Calibri"/>
        </w:rPr>
        <w:t>Sterzer</w:t>
      </w:r>
      <w:proofErr w:type="spellEnd"/>
      <w:r w:rsidR="001C317E">
        <w:rPr>
          <w:rFonts w:ascii="Calibri" w:hAnsi="Calibri" w:cs="Calibri"/>
        </w:rPr>
        <w:t xml:space="preserve">, Commission Coordinator; </w:t>
      </w:r>
      <w:proofErr w:type="spellStart"/>
      <w:r w:rsidR="009F00AA">
        <w:rPr>
          <w:rFonts w:ascii="Calibri" w:hAnsi="Calibri" w:cs="Calibri"/>
        </w:rPr>
        <w:t>Klell</w:t>
      </w:r>
      <w:r w:rsidR="00441738">
        <w:rPr>
          <w:rFonts w:ascii="Calibri" w:hAnsi="Calibri" w:cs="Calibri"/>
        </w:rPr>
        <w:t>in</w:t>
      </w:r>
      <w:proofErr w:type="spellEnd"/>
      <w:r w:rsidR="009F00AA">
        <w:rPr>
          <w:rFonts w:ascii="Calibri" w:hAnsi="Calibri" w:cs="Calibri"/>
        </w:rPr>
        <w:t xml:space="preserve"> Bradshaw</w:t>
      </w:r>
      <w:r w:rsidR="00BC676A">
        <w:rPr>
          <w:rFonts w:ascii="Calibri" w:hAnsi="Calibri" w:cs="Calibri"/>
        </w:rPr>
        <w:t xml:space="preserve">, </w:t>
      </w:r>
      <w:r w:rsidR="009F00AA">
        <w:rPr>
          <w:rFonts w:ascii="Calibri" w:hAnsi="Calibri" w:cs="Calibri"/>
        </w:rPr>
        <w:t xml:space="preserve">Assistant </w:t>
      </w:r>
      <w:r w:rsidR="00BC676A">
        <w:rPr>
          <w:rFonts w:ascii="Calibri" w:hAnsi="Calibri" w:cs="Calibri"/>
        </w:rPr>
        <w:t xml:space="preserve">Commission Coordinator </w:t>
      </w:r>
      <w:r>
        <w:rPr>
          <w:rFonts w:ascii="Calibri" w:hAnsi="Calibri" w:cs="Calibri"/>
        </w:rPr>
        <w:t xml:space="preserve">and </w:t>
      </w:r>
      <w:r w:rsidR="00081981">
        <w:rPr>
          <w:rFonts w:ascii="Calibri" w:hAnsi="Calibri" w:cs="Calibri"/>
        </w:rPr>
        <w:t>Von Christiansen</w:t>
      </w:r>
      <w:r>
        <w:rPr>
          <w:rFonts w:ascii="Calibri" w:hAnsi="Calibri" w:cs="Calibri"/>
        </w:rPr>
        <w:t>, County Attorney.</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6966D6E1" w:rsidR="00C11E8C" w:rsidRDefault="00C11E8C" w:rsidP="00917A08">
      <w:pPr>
        <w:tabs>
          <w:tab w:val="left" w:pos="7545"/>
        </w:tabs>
      </w:pPr>
      <w:r>
        <w:t xml:space="preserve">A prayer was offered by </w:t>
      </w:r>
      <w:r w:rsidR="003C42C3">
        <w:t>Von Christiansen, Attorney</w:t>
      </w:r>
      <w:r w:rsidR="00244562">
        <w:t>.</w:t>
      </w:r>
    </w:p>
    <w:p w14:paraId="1602D51D" w14:textId="32E43E31" w:rsidR="00C11E8C" w:rsidRDefault="00C11E8C" w:rsidP="00917A08">
      <w:pPr>
        <w:tabs>
          <w:tab w:val="left" w:pos="7545"/>
        </w:tabs>
      </w:pPr>
      <w:r>
        <w:t xml:space="preserve">The Pledge of Allegiance was led by </w:t>
      </w:r>
      <w:r w:rsidR="003C42C3">
        <w:t>Commissioner Tammy Pearson.</w:t>
      </w:r>
    </w:p>
    <w:p w14:paraId="05B67D20" w14:textId="7932A295"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1F1294">
        <w:rPr>
          <w:rFonts w:ascii="Calibri" w:hAnsi="Calibri" w:cs="Calibri"/>
        </w:rPr>
        <w:t xml:space="preserve"> (aye)</w:t>
      </w:r>
      <w:r>
        <w:rPr>
          <w:rFonts w:ascii="Calibri" w:hAnsi="Calibri" w:cs="Calibri"/>
        </w:rPr>
        <w:t>, seconded by Comm. Pearson</w:t>
      </w:r>
      <w:r w:rsidR="001F1294">
        <w:rPr>
          <w:rFonts w:ascii="Calibri" w:hAnsi="Calibri" w:cs="Calibri"/>
        </w:rPr>
        <w:t xml:space="preserve"> (aye)</w:t>
      </w:r>
      <w:r>
        <w:rPr>
          <w:rFonts w:ascii="Calibri" w:hAnsi="Calibri" w:cs="Calibri"/>
        </w:rPr>
        <w:t>, and the vote was made unanimous.</w:t>
      </w:r>
    </w:p>
    <w:p w14:paraId="26942498" w14:textId="2271A9B4" w:rsidR="003C42C3" w:rsidRDefault="003C42C3" w:rsidP="00C15E05">
      <w:pPr>
        <w:rPr>
          <w:rFonts w:ascii="Calibri" w:hAnsi="Calibri" w:cs="Calibri"/>
        </w:rPr>
      </w:pPr>
      <w:r>
        <w:rPr>
          <w:rFonts w:ascii="Calibri" w:hAnsi="Calibri" w:cs="Calibri"/>
        </w:rPr>
        <w:t>Jen Marshall Legacy of Public Service Award.</w:t>
      </w:r>
      <w:r w:rsidR="00244562">
        <w:rPr>
          <w:rFonts w:ascii="Calibri" w:hAnsi="Calibri" w:cs="Calibri"/>
        </w:rPr>
        <w:t xml:space="preserve">  </w:t>
      </w:r>
      <w:r w:rsidR="00244562" w:rsidRPr="00244562">
        <w:rPr>
          <w:rFonts w:ascii="Calibri" w:hAnsi="Calibri" w:cs="Calibri"/>
        </w:rPr>
        <w:t xml:space="preserve">The Commissioners awarded the Jen Marshall Legacy of Public Service Award to the family of Jen Marshall, a </w:t>
      </w:r>
      <w:r w:rsidR="00244562">
        <w:rPr>
          <w:rFonts w:ascii="Calibri" w:hAnsi="Calibri" w:cs="Calibri"/>
        </w:rPr>
        <w:t xml:space="preserve">Beaver </w:t>
      </w:r>
      <w:r w:rsidR="00244562" w:rsidRPr="00244562">
        <w:rPr>
          <w:rFonts w:ascii="Calibri" w:hAnsi="Calibri" w:cs="Calibri"/>
        </w:rPr>
        <w:t>County employee who lost her battle with</w:t>
      </w:r>
      <w:r w:rsidR="001C317E">
        <w:rPr>
          <w:rFonts w:ascii="Calibri" w:hAnsi="Calibri" w:cs="Calibri"/>
        </w:rPr>
        <w:t xml:space="preserve"> breast</w:t>
      </w:r>
      <w:r w:rsidR="00244562" w:rsidRPr="00244562">
        <w:rPr>
          <w:rFonts w:ascii="Calibri" w:hAnsi="Calibri" w:cs="Calibri"/>
        </w:rPr>
        <w:t xml:space="preserve"> cancer.</w:t>
      </w:r>
      <w:r w:rsidR="00244562">
        <w:rPr>
          <w:rFonts w:ascii="Calibri" w:hAnsi="Calibri" w:cs="Calibri"/>
        </w:rPr>
        <w:t xml:space="preserve">  </w:t>
      </w:r>
    </w:p>
    <w:p w14:paraId="5174F085" w14:textId="23C9B00B" w:rsidR="003C42C3" w:rsidRDefault="003C42C3" w:rsidP="00C15E05">
      <w:pPr>
        <w:rPr>
          <w:rFonts w:ascii="Calibri" w:hAnsi="Calibri" w:cs="Calibri"/>
        </w:rPr>
      </w:pPr>
      <w:r>
        <w:rPr>
          <w:rFonts w:ascii="Calibri" w:hAnsi="Calibri" w:cs="Calibri"/>
        </w:rPr>
        <w:t>Years of Service Recognition.</w:t>
      </w:r>
      <w:r w:rsidR="007D3DB6">
        <w:rPr>
          <w:rFonts w:ascii="Calibri" w:hAnsi="Calibri" w:cs="Calibri"/>
        </w:rPr>
        <w:t xml:space="preserve">  </w:t>
      </w:r>
      <w:r w:rsidR="00283AA0" w:rsidRPr="00283AA0">
        <w:rPr>
          <w:rFonts w:ascii="Calibri" w:hAnsi="Calibri" w:cs="Calibri"/>
        </w:rPr>
        <w:t xml:space="preserve">The Commissioners recognized employees for their years of service to Beaver County. The following employees were acknowledged for milestone anniversaries in five-year increments: Jill Chavez, Keven Whicker, Shadrach Bradshaw, Tammy Pearson, Jamie Kelsey, Ginger </w:t>
      </w:r>
      <w:proofErr w:type="spellStart"/>
      <w:r w:rsidR="00283AA0" w:rsidRPr="00283AA0">
        <w:rPr>
          <w:rFonts w:ascii="Calibri" w:hAnsi="Calibri" w:cs="Calibri"/>
        </w:rPr>
        <w:t>McMullin</w:t>
      </w:r>
      <w:proofErr w:type="spellEnd"/>
      <w:r w:rsidR="00283AA0" w:rsidRPr="00283AA0">
        <w:rPr>
          <w:rFonts w:ascii="Calibri" w:hAnsi="Calibri" w:cs="Calibri"/>
        </w:rPr>
        <w:t xml:space="preserve">, Aaron Yardley, Dallas </w:t>
      </w:r>
      <w:proofErr w:type="spellStart"/>
      <w:r w:rsidR="00283AA0" w:rsidRPr="00283AA0">
        <w:rPr>
          <w:rFonts w:ascii="Calibri" w:hAnsi="Calibri" w:cs="Calibri"/>
        </w:rPr>
        <w:t>Freckleton</w:t>
      </w:r>
      <w:proofErr w:type="spellEnd"/>
      <w:r w:rsidR="00283AA0" w:rsidRPr="00283AA0">
        <w:rPr>
          <w:rFonts w:ascii="Calibri" w:hAnsi="Calibri" w:cs="Calibri"/>
        </w:rPr>
        <w:t>, Aaron Harding, Alisa Dunn, Jennifer Stoddard, and Cole Jacobs. The Commission expressed appreciation for their dedication and years of service to Beaver County.</w:t>
      </w:r>
    </w:p>
    <w:p w14:paraId="174E08A9" w14:textId="41891107" w:rsidR="003C42C3" w:rsidRDefault="009D199C" w:rsidP="00C15E05">
      <w:pPr>
        <w:rPr>
          <w:rFonts w:ascii="Calibri" w:hAnsi="Calibri" w:cs="Calibri"/>
        </w:rPr>
      </w:pPr>
      <w:r>
        <w:rPr>
          <w:rFonts w:ascii="Calibri" w:hAnsi="Calibri" w:cs="Calibri"/>
        </w:rPr>
        <w:t xml:space="preserve">2% Match to Employee 401(k) Contribution.  </w:t>
      </w:r>
      <w:r w:rsidR="00283AA0" w:rsidRPr="00283AA0">
        <w:rPr>
          <w:rFonts w:ascii="Calibri" w:hAnsi="Calibri" w:cs="Calibri"/>
        </w:rPr>
        <w:t>The Commission considered Resolution 2025-20, a resolution authorizing Beaver County to provide a 2% match to employee 401(k) contributions under the Utah Retirement Systems. Heidi Eyre, HR Director, previously discussed the proposed 2% 401(k) match, which will be implemented beginning January 2026. A motion to authorize the Chair’s signature on Resolution 2025-20, adopting a 2% match to employee 401(k) contributions, was made by Commissioner Yardley and seconded by Commissioner Pearson. The motion passed unanimously with a roll call vote of Commissioner Pearson (aye), Commissioner Hollingshead (aye), and Commissioner Yardley (aye).</w:t>
      </w:r>
    </w:p>
    <w:p w14:paraId="17033D86" w14:textId="77777777" w:rsidR="00495F0D" w:rsidRPr="00495F0D" w:rsidRDefault="003C42C3" w:rsidP="00495F0D">
      <w:pPr>
        <w:rPr>
          <w:rFonts w:ascii="Calibri" w:hAnsi="Calibri" w:cs="Calibri"/>
        </w:rPr>
      </w:pPr>
      <w:r>
        <w:rPr>
          <w:rFonts w:ascii="Calibri" w:hAnsi="Calibri" w:cs="Calibri"/>
        </w:rPr>
        <w:t>Appoint Members of Beaver Fire Special Service District #1; Resolution 2025-22.</w:t>
      </w:r>
      <w:r w:rsidR="00244562">
        <w:rPr>
          <w:rFonts w:ascii="Calibri" w:hAnsi="Calibri" w:cs="Calibri"/>
        </w:rPr>
        <w:t xml:space="preserve">  </w:t>
      </w:r>
      <w:bookmarkStart w:id="0" w:name="_Hlk216798883"/>
      <w:r w:rsidR="00495F0D" w:rsidRPr="00495F0D">
        <w:rPr>
          <w:rFonts w:ascii="Calibri" w:hAnsi="Calibri" w:cs="Calibri"/>
        </w:rPr>
        <w:t>Appoint Members of Beaver Fire Special Service District #1; Resolution 2025-22.  Motion to authorize signature on Resolution 2025-22; a resolution appointing member of Beaver Fire Special Service District #1, was made by Comm. Pearson, seconded by Comm. Yardley, and the vote was made unanimous.  Roll call vote Comm. Pearson (aye), Comm. Hollingshead (aye) and Comm. Yardley (aye).</w:t>
      </w:r>
    </w:p>
    <w:p w14:paraId="1599081B" w14:textId="725BF9D8" w:rsidR="00EF4637" w:rsidRPr="00EF4637" w:rsidRDefault="00EF4637" w:rsidP="00EF4637">
      <w:pPr>
        <w:rPr>
          <w:rFonts w:ascii="Calibri" w:hAnsi="Calibri" w:cs="Calibri"/>
        </w:rPr>
      </w:pPr>
    </w:p>
    <w:bookmarkEnd w:id="0"/>
    <w:p w14:paraId="0C0B02D6" w14:textId="3357D395" w:rsidR="00A21615" w:rsidRDefault="003C42C3" w:rsidP="00C15E05">
      <w:pPr>
        <w:rPr>
          <w:rFonts w:ascii="Calibri" w:hAnsi="Calibri" w:cs="Calibri"/>
        </w:rPr>
      </w:pPr>
      <w:r>
        <w:rPr>
          <w:rFonts w:ascii="Calibri" w:hAnsi="Calibri" w:cs="Calibri"/>
        </w:rPr>
        <w:t>DNR Conservation Easement.</w:t>
      </w:r>
      <w:r w:rsidR="00A21615">
        <w:rPr>
          <w:rFonts w:ascii="Calibri" w:hAnsi="Calibri" w:cs="Calibri"/>
        </w:rPr>
        <w:t xml:space="preserve">  </w:t>
      </w:r>
      <w:r w:rsidR="00495F0D" w:rsidRPr="00495F0D">
        <w:rPr>
          <w:rFonts w:ascii="Calibri" w:hAnsi="Calibri" w:cs="Calibri"/>
        </w:rPr>
        <w:t>Mr. Christiansen discussed the conservation easement document and the recommended edits from the Department of Natural Resources. Mr. Christiansen revised the document and converted it into an executable format. The Commission determined that a final review would be conducted and the item brought back before the Commission in January. A motion to table this item until January was made by Commissioner Pearson, seconded by Commissioner Yardley, and the motion passed unanimously.</w:t>
      </w:r>
    </w:p>
    <w:p w14:paraId="3F078705" w14:textId="1D054849" w:rsidR="003C42C3" w:rsidRDefault="003C42C3" w:rsidP="00C15E05">
      <w:pPr>
        <w:rPr>
          <w:rFonts w:ascii="Calibri" w:hAnsi="Calibri" w:cs="Calibri"/>
        </w:rPr>
      </w:pPr>
      <w:proofErr w:type="spellStart"/>
      <w:r>
        <w:rPr>
          <w:rFonts w:ascii="Calibri" w:hAnsi="Calibri" w:cs="Calibri"/>
        </w:rPr>
        <w:t>Tushar</w:t>
      </w:r>
      <w:proofErr w:type="spellEnd"/>
      <w:r>
        <w:rPr>
          <w:rFonts w:ascii="Calibri" w:hAnsi="Calibri" w:cs="Calibri"/>
        </w:rPr>
        <w:t xml:space="preserve"> </w:t>
      </w:r>
      <w:r w:rsidR="00A21615">
        <w:rPr>
          <w:rFonts w:ascii="Calibri" w:hAnsi="Calibri" w:cs="Calibri"/>
        </w:rPr>
        <w:t xml:space="preserve">Mountain Estate Subdivision </w:t>
      </w:r>
      <w:r>
        <w:rPr>
          <w:rFonts w:ascii="Calibri" w:hAnsi="Calibri" w:cs="Calibri"/>
        </w:rPr>
        <w:t>Plat Map Final Approval</w:t>
      </w:r>
      <w:r w:rsidR="00495F0D">
        <w:rPr>
          <w:rFonts w:ascii="Calibri" w:hAnsi="Calibri" w:cs="Calibri"/>
        </w:rPr>
        <w:t xml:space="preserve">.  </w:t>
      </w:r>
      <w:r w:rsidR="00495F0D" w:rsidRPr="00495F0D">
        <w:rPr>
          <w:rFonts w:ascii="Calibri" w:hAnsi="Calibri" w:cs="Calibri"/>
        </w:rPr>
        <w:t xml:space="preserve">Marc Raines, Project Engineer, along with Kyle </w:t>
      </w:r>
      <w:proofErr w:type="spellStart"/>
      <w:r w:rsidR="00495F0D" w:rsidRPr="00495F0D">
        <w:rPr>
          <w:rFonts w:ascii="Calibri" w:hAnsi="Calibri" w:cs="Calibri"/>
        </w:rPr>
        <w:t>Blackner</w:t>
      </w:r>
      <w:proofErr w:type="spellEnd"/>
      <w:r w:rsidR="00495F0D" w:rsidRPr="00495F0D">
        <w:rPr>
          <w:rFonts w:ascii="Calibri" w:hAnsi="Calibri" w:cs="Calibri"/>
        </w:rPr>
        <w:t xml:space="preserve">, Building Authority, met with the Commission to request final approval of the </w:t>
      </w:r>
      <w:proofErr w:type="spellStart"/>
      <w:r w:rsidR="00495F0D" w:rsidRPr="00495F0D">
        <w:rPr>
          <w:rFonts w:ascii="Calibri" w:hAnsi="Calibri" w:cs="Calibri"/>
        </w:rPr>
        <w:t>Tushar</w:t>
      </w:r>
      <w:proofErr w:type="spellEnd"/>
      <w:r w:rsidR="00495F0D" w:rsidRPr="00495F0D">
        <w:rPr>
          <w:rFonts w:ascii="Calibri" w:hAnsi="Calibri" w:cs="Calibri"/>
        </w:rPr>
        <w:t xml:space="preserve"> Mountain Estate Subdivision Plat Map, located near Eagle Point Resort. A motion to authorize the Chair’s signature on the </w:t>
      </w:r>
      <w:proofErr w:type="spellStart"/>
      <w:r w:rsidR="00495F0D" w:rsidRPr="00495F0D">
        <w:rPr>
          <w:rFonts w:ascii="Calibri" w:hAnsi="Calibri" w:cs="Calibri"/>
        </w:rPr>
        <w:t>Tushar</w:t>
      </w:r>
      <w:proofErr w:type="spellEnd"/>
      <w:r w:rsidR="00495F0D" w:rsidRPr="00495F0D">
        <w:rPr>
          <w:rFonts w:ascii="Calibri" w:hAnsi="Calibri" w:cs="Calibri"/>
        </w:rPr>
        <w:t xml:space="preserve"> Mountain Estate Subdivision Plat Map was made by Commissioner Pearson and seconded by Commissioner Yardley. The motion passed unanimously.</w:t>
      </w:r>
    </w:p>
    <w:p w14:paraId="43B1481B" w14:textId="77777777" w:rsidR="00495F0D" w:rsidRPr="00495F0D" w:rsidRDefault="003C42C3" w:rsidP="00495F0D">
      <w:pPr>
        <w:rPr>
          <w:rFonts w:ascii="Calibri" w:hAnsi="Calibri" w:cs="Calibri"/>
        </w:rPr>
      </w:pPr>
      <w:r>
        <w:rPr>
          <w:rFonts w:ascii="Calibri" w:hAnsi="Calibri" w:cs="Calibri"/>
        </w:rPr>
        <w:t>Award Crushing Bid Award.</w:t>
      </w:r>
      <w:r w:rsidR="00345C1E">
        <w:rPr>
          <w:rFonts w:ascii="Calibri" w:hAnsi="Calibri" w:cs="Calibri"/>
        </w:rPr>
        <w:t xml:space="preserve">  </w:t>
      </w:r>
      <w:r w:rsidR="00495F0D" w:rsidRPr="00495F0D">
        <w:rPr>
          <w:rFonts w:ascii="Calibri" w:hAnsi="Calibri" w:cs="Calibri"/>
        </w:rPr>
        <w:t>Stetson Yardley, County Road Supervisor, discussed the crushing bids that were opened and reviewed. The bids were for 60,000 tons of material to be crushed for use as road base for the Road Department. A motion to award the crushing bid to Rollins Construction in the amount of $209,400 was made by Commissioner Yardley and seconded by Commissioner Pearson. The motion passed unanimously.</w:t>
      </w:r>
    </w:p>
    <w:tbl>
      <w:tblPr>
        <w:tblStyle w:val="TableGrid"/>
        <w:tblW w:w="0" w:type="auto"/>
        <w:tblLook w:val="04A0" w:firstRow="1" w:lastRow="0" w:firstColumn="1" w:lastColumn="0" w:noHBand="0" w:noVBand="1"/>
      </w:tblPr>
      <w:tblGrid>
        <w:gridCol w:w="327"/>
        <w:gridCol w:w="2774"/>
        <w:gridCol w:w="1368"/>
        <w:gridCol w:w="1194"/>
        <w:gridCol w:w="992"/>
        <w:gridCol w:w="1562"/>
      </w:tblGrid>
      <w:tr w:rsidR="005304A9" w:rsidRPr="005304A9" w14:paraId="4C5AAED3" w14:textId="77777777" w:rsidTr="00495F0D">
        <w:trPr>
          <w:trHeight w:val="350"/>
        </w:trPr>
        <w:tc>
          <w:tcPr>
            <w:tcW w:w="327" w:type="dxa"/>
            <w:noWrap/>
            <w:hideMark/>
          </w:tcPr>
          <w:p w14:paraId="0B6564D3" w14:textId="77777777" w:rsidR="005304A9" w:rsidRPr="005304A9" w:rsidRDefault="005304A9" w:rsidP="005304A9">
            <w:pPr>
              <w:rPr>
                <w:rFonts w:ascii="Calibri" w:hAnsi="Calibri" w:cs="Calibri"/>
                <w:sz w:val="16"/>
                <w:szCs w:val="16"/>
              </w:rPr>
            </w:pPr>
          </w:p>
        </w:tc>
        <w:tc>
          <w:tcPr>
            <w:tcW w:w="2774" w:type="dxa"/>
            <w:noWrap/>
            <w:hideMark/>
          </w:tcPr>
          <w:p w14:paraId="4BD99738" w14:textId="77777777" w:rsidR="005304A9" w:rsidRPr="005304A9" w:rsidRDefault="005304A9">
            <w:pPr>
              <w:rPr>
                <w:rFonts w:ascii="Calibri" w:hAnsi="Calibri" w:cs="Calibri"/>
                <w:sz w:val="16"/>
                <w:szCs w:val="16"/>
              </w:rPr>
            </w:pPr>
            <w:r w:rsidRPr="005304A9">
              <w:rPr>
                <w:rFonts w:ascii="Calibri" w:hAnsi="Calibri" w:cs="Calibri"/>
                <w:sz w:val="16"/>
                <w:szCs w:val="16"/>
              </w:rPr>
              <w:t>Name</w:t>
            </w:r>
          </w:p>
        </w:tc>
        <w:tc>
          <w:tcPr>
            <w:tcW w:w="1368" w:type="dxa"/>
            <w:noWrap/>
            <w:hideMark/>
          </w:tcPr>
          <w:p w14:paraId="758B0B65"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Bid </w:t>
            </w:r>
            <w:proofErr w:type="spellStart"/>
            <w:r w:rsidRPr="005304A9">
              <w:rPr>
                <w:rFonts w:ascii="Calibri" w:hAnsi="Calibri" w:cs="Calibri"/>
                <w:sz w:val="16"/>
                <w:szCs w:val="16"/>
              </w:rPr>
              <w:t>Amt</w:t>
            </w:r>
            <w:proofErr w:type="spellEnd"/>
            <w:r w:rsidRPr="005304A9">
              <w:rPr>
                <w:rFonts w:ascii="Calibri" w:hAnsi="Calibri" w:cs="Calibri"/>
                <w:sz w:val="16"/>
                <w:szCs w:val="16"/>
              </w:rPr>
              <w:t>$</w:t>
            </w:r>
          </w:p>
        </w:tc>
        <w:tc>
          <w:tcPr>
            <w:tcW w:w="1194" w:type="dxa"/>
            <w:noWrap/>
            <w:hideMark/>
          </w:tcPr>
          <w:p w14:paraId="7241098A" w14:textId="77777777" w:rsidR="005304A9" w:rsidRPr="005304A9" w:rsidRDefault="005304A9">
            <w:pPr>
              <w:rPr>
                <w:rFonts w:ascii="Calibri" w:hAnsi="Calibri" w:cs="Calibri"/>
                <w:sz w:val="16"/>
                <w:szCs w:val="16"/>
              </w:rPr>
            </w:pPr>
            <w:r w:rsidRPr="005304A9">
              <w:rPr>
                <w:rFonts w:ascii="Calibri" w:hAnsi="Calibri" w:cs="Calibri"/>
                <w:sz w:val="16"/>
                <w:szCs w:val="16"/>
              </w:rPr>
              <w:t>Units</w:t>
            </w:r>
          </w:p>
        </w:tc>
        <w:tc>
          <w:tcPr>
            <w:tcW w:w="992" w:type="dxa"/>
            <w:noWrap/>
            <w:hideMark/>
          </w:tcPr>
          <w:p w14:paraId="4417EA0B" w14:textId="77777777" w:rsidR="005304A9" w:rsidRPr="005304A9" w:rsidRDefault="005304A9">
            <w:pPr>
              <w:rPr>
                <w:rFonts w:ascii="Calibri" w:hAnsi="Calibri" w:cs="Calibri"/>
                <w:sz w:val="16"/>
                <w:szCs w:val="16"/>
              </w:rPr>
            </w:pPr>
            <w:r w:rsidRPr="005304A9">
              <w:rPr>
                <w:rFonts w:ascii="Calibri" w:hAnsi="Calibri" w:cs="Calibri"/>
                <w:sz w:val="16"/>
                <w:szCs w:val="16"/>
              </w:rPr>
              <w:t>Price</w:t>
            </w:r>
          </w:p>
        </w:tc>
        <w:tc>
          <w:tcPr>
            <w:tcW w:w="1562" w:type="dxa"/>
            <w:noWrap/>
            <w:hideMark/>
          </w:tcPr>
          <w:p w14:paraId="647A8C06" w14:textId="77777777" w:rsidR="005304A9" w:rsidRPr="005304A9" w:rsidRDefault="005304A9">
            <w:pPr>
              <w:rPr>
                <w:rFonts w:ascii="Calibri" w:hAnsi="Calibri" w:cs="Calibri"/>
                <w:sz w:val="16"/>
                <w:szCs w:val="16"/>
              </w:rPr>
            </w:pPr>
          </w:p>
        </w:tc>
      </w:tr>
      <w:tr w:rsidR="005304A9" w:rsidRPr="005304A9" w14:paraId="7B631083" w14:textId="77777777" w:rsidTr="00495F0D">
        <w:trPr>
          <w:trHeight w:val="638"/>
        </w:trPr>
        <w:tc>
          <w:tcPr>
            <w:tcW w:w="327" w:type="dxa"/>
            <w:noWrap/>
            <w:hideMark/>
          </w:tcPr>
          <w:p w14:paraId="4DF1BD07" w14:textId="77777777" w:rsidR="005304A9" w:rsidRPr="005304A9" w:rsidRDefault="005304A9" w:rsidP="005304A9">
            <w:pPr>
              <w:rPr>
                <w:rFonts w:ascii="Calibri" w:hAnsi="Calibri" w:cs="Calibri"/>
                <w:sz w:val="16"/>
                <w:szCs w:val="16"/>
              </w:rPr>
            </w:pPr>
            <w:r w:rsidRPr="005304A9">
              <w:rPr>
                <w:rFonts w:ascii="Calibri" w:hAnsi="Calibri" w:cs="Calibri"/>
                <w:sz w:val="16"/>
                <w:szCs w:val="16"/>
              </w:rPr>
              <w:t>1</w:t>
            </w:r>
          </w:p>
        </w:tc>
        <w:tc>
          <w:tcPr>
            <w:tcW w:w="2774" w:type="dxa"/>
            <w:noWrap/>
            <w:hideMark/>
          </w:tcPr>
          <w:p w14:paraId="4DED905B" w14:textId="77777777" w:rsidR="005304A9" w:rsidRPr="005304A9" w:rsidRDefault="005304A9">
            <w:pPr>
              <w:rPr>
                <w:rFonts w:ascii="Calibri" w:hAnsi="Calibri" w:cs="Calibri"/>
                <w:sz w:val="16"/>
                <w:szCs w:val="16"/>
              </w:rPr>
            </w:pPr>
            <w:r w:rsidRPr="005304A9">
              <w:rPr>
                <w:rFonts w:ascii="Calibri" w:hAnsi="Calibri" w:cs="Calibri"/>
                <w:sz w:val="16"/>
                <w:szCs w:val="16"/>
              </w:rPr>
              <w:t>Rollins Construction &amp; Trucking</w:t>
            </w:r>
          </w:p>
        </w:tc>
        <w:tc>
          <w:tcPr>
            <w:tcW w:w="1368" w:type="dxa"/>
            <w:noWrap/>
            <w:hideMark/>
          </w:tcPr>
          <w:p w14:paraId="2DC7D298" w14:textId="730621AC" w:rsidR="005304A9" w:rsidRPr="005304A9" w:rsidRDefault="005304A9">
            <w:pPr>
              <w:rPr>
                <w:rFonts w:ascii="Calibri" w:hAnsi="Calibri" w:cs="Calibri"/>
                <w:sz w:val="16"/>
                <w:szCs w:val="16"/>
              </w:rPr>
            </w:pPr>
            <w:r w:rsidRPr="005304A9">
              <w:rPr>
                <w:rFonts w:ascii="Calibri" w:hAnsi="Calibri" w:cs="Calibri"/>
                <w:sz w:val="16"/>
                <w:szCs w:val="16"/>
              </w:rPr>
              <w:t xml:space="preserve"> $ 209,400.00 </w:t>
            </w:r>
          </w:p>
        </w:tc>
        <w:tc>
          <w:tcPr>
            <w:tcW w:w="1194" w:type="dxa"/>
            <w:noWrap/>
            <w:hideMark/>
          </w:tcPr>
          <w:p w14:paraId="65E6DB65" w14:textId="2D8F5253" w:rsidR="005304A9" w:rsidRPr="005304A9" w:rsidRDefault="005304A9" w:rsidP="005304A9">
            <w:pPr>
              <w:rPr>
                <w:rFonts w:ascii="Calibri" w:hAnsi="Calibri" w:cs="Calibri"/>
                <w:sz w:val="16"/>
                <w:szCs w:val="16"/>
              </w:rPr>
            </w:pPr>
            <w:r w:rsidRPr="005304A9">
              <w:rPr>
                <w:rFonts w:ascii="Calibri" w:hAnsi="Calibri" w:cs="Calibri"/>
                <w:sz w:val="16"/>
                <w:szCs w:val="16"/>
              </w:rPr>
              <w:t>60,000</w:t>
            </w:r>
          </w:p>
        </w:tc>
        <w:tc>
          <w:tcPr>
            <w:tcW w:w="992" w:type="dxa"/>
            <w:noWrap/>
            <w:hideMark/>
          </w:tcPr>
          <w:p w14:paraId="647BAB26" w14:textId="2AC95833" w:rsidR="005304A9" w:rsidRPr="005304A9" w:rsidRDefault="005304A9">
            <w:pPr>
              <w:rPr>
                <w:rFonts w:ascii="Calibri" w:hAnsi="Calibri" w:cs="Calibri"/>
                <w:sz w:val="16"/>
                <w:szCs w:val="16"/>
              </w:rPr>
            </w:pPr>
            <w:r w:rsidRPr="005304A9">
              <w:rPr>
                <w:rFonts w:ascii="Calibri" w:hAnsi="Calibri" w:cs="Calibri"/>
                <w:sz w:val="16"/>
                <w:szCs w:val="16"/>
              </w:rPr>
              <w:t xml:space="preserve"> $ 3.49 </w:t>
            </w:r>
          </w:p>
        </w:tc>
        <w:tc>
          <w:tcPr>
            <w:tcW w:w="1562" w:type="dxa"/>
            <w:noWrap/>
            <w:hideMark/>
          </w:tcPr>
          <w:p w14:paraId="7761BB80" w14:textId="77777777" w:rsidR="005304A9" w:rsidRPr="005304A9" w:rsidRDefault="005304A9">
            <w:pPr>
              <w:rPr>
                <w:rFonts w:ascii="Calibri" w:hAnsi="Calibri" w:cs="Calibri"/>
                <w:sz w:val="16"/>
                <w:szCs w:val="16"/>
              </w:rPr>
            </w:pPr>
          </w:p>
        </w:tc>
      </w:tr>
      <w:tr w:rsidR="005304A9" w:rsidRPr="005304A9" w14:paraId="65F049C4" w14:textId="77777777" w:rsidTr="00495F0D">
        <w:trPr>
          <w:trHeight w:val="620"/>
        </w:trPr>
        <w:tc>
          <w:tcPr>
            <w:tcW w:w="327" w:type="dxa"/>
            <w:noWrap/>
            <w:hideMark/>
          </w:tcPr>
          <w:p w14:paraId="227D6AE7" w14:textId="77777777" w:rsidR="005304A9" w:rsidRPr="005304A9" w:rsidRDefault="005304A9" w:rsidP="005304A9">
            <w:pPr>
              <w:rPr>
                <w:rFonts w:ascii="Calibri" w:hAnsi="Calibri" w:cs="Calibri"/>
                <w:sz w:val="16"/>
                <w:szCs w:val="16"/>
              </w:rPr>
            </w:pPr>
            <w:r w:rsidRPr="005304A9">
              <w:rPr>
                <w:rFonts w:ascii="Calibri" w:hAnsi="Calibri" w:cs="Calibri"/>
                <w:sz w:val="16"/>
                <w:szCs w:val="16"/>
              </w:rPr>
              <w:t>2</w:t>
            </w:r>
          </w:p>
        </w:tc>
        <w:tc>
          <w:tcPr>
            <w:tcW w:w="2774" w:type="dxa"/>
            <w:noWrap/>
            <w:hideMark/>
          </w:tcPr>
          <w:p w14:paraId="407AD664" w14:textId="77777777" w:rsidR="005304A9" w:rsidRPr="005304A9" w:rsidRDefault="005304A9">
            <w:pPr>
              <w:rPr>
                <w:rFonts w:ascii="Calibri" w:hAnsi="Calibri" w:cs="Calibri"/>
                <w:sz w:val="16"/>
                <w:szCs w:val="16"/>
              </w:rPr>
            </w:pPr>
            <w:proofErr w:type="spellStart"/>
            <w:r w:rsidRPr="005304A9">
              <w:rPr>
                <w:rFonts w:ascii="Calibri" w:hAnsi="Calibri" w:cs="Calibri"/>
                <w:sz w:val="16"/>
                <w:szCs w:val="16"/>
              </w:rPr>
              <w:t>Skyview</w:t>
            </w:r>
            <w:proofErr w:type="spellEnd"/>
            <w:r w:rsidRPr="005304A9">
              <w:rPr>
                <w:rFonts w:ascii="Calibri" w:hAnsi="Calibri" w:cs="Calibri"/>
                <w:sz w:val="16"/>
                <w:szCs w:val="16"/>
              </w:rPr>
              <w:t xml:space="preserve"> Excavation &amp; Grading</w:t>
            </w:r>
          </w:p>
        </w:tc>
        <w:tc>
          <w:tcPr>
            <w:tcW w:w="1368" w:type="dxa"/>
            <w:noWrap/>
            <w:hideMark/>
          </w:tcPr>
          <w:p w14:paraId="437F9631" w14:textId="4C339C75" w:rsidR="005304A9" w:rsidRPr="005304A9" w:rsidRDefault="005304A9">
            <w:pPr>
              <w:rPr>
                <w:rFonts w:ascii="Calibri" w:hAnsi="Calibri" w:cs="Calibri"/>
                <w:sz w:val="16"/>
                <w:szCs w:val="16"/>
              </w:rPr>
            </w:pPr>
            <w:r w:rsidRPr="005304A9">
              <w:rPr>
                <w:rFonts w:ascii="Calibri" w:hAnsi="Calibri" w:cs="Calibri"/>
                <w:sz w:val="16"/>
                <w:szCs w:val="16"/>
              </w:rPr>
              <w:t xml:space="preserve"> $ 515,000.00 </w:t>
            </w:r>
          </w:p>
        </w:tc>
        <w:tc>
          <w:tcPr>
            <w:tcW w:w="1194" w:type="dxa"/>
            <w:noWrap/>
            <w:hideMark/>
          </w:tcPr>
          <w:p w14:paraId="10B1A3CE" w14:textId="60A2C2F6" w:rsidR="005304A9" w:rsidRPr="005304A9" w:rsidRDefault="005304A9" w:rsidP="005304A9">
            <w:pPr>
              <w:rPr>
                <w:rFonts w:ascii="Calibri" w:hAnsi="Calibri" w:cs="Calibri"/>
                <w:sz w:val="16"/>
                <w:szCs w:val="16"/>
              </w:rPr>
            </w:pPr>
            <w:r w:rsidRPr="005304A9">
              <w:rPr>
                <w:rFonts w:ascii="Calibri" w:hAnsi="Calibri" w:cs="Calibri"/>
                <w:sz w:val="16"/>
                <w:szCs w:val="16"/>
              </w:rPr>
              <w:t>60,000</w:t>
            </w:r>
          </w:p>
        </w:tc>
        <w:tc>
          <w:tcPr>
            <w:tcW w:w="992" w:type="dxa"/>
            <w:noWrap/>
            <w:hideMark/>
          </w:tcPr>
          <w:p w14:paraId="09E5CCB0"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 $    7.00 </w:t>
            </w:r>
          </w:p>
        </w:tc>
        <w:tc>
          <w:tcPr>
            <w:tcW w:w="1562" w:type="dxa"/>
            <w:noWrap/>
            <w:hideMark/>
          </w:tcPr>
          <w:p w14:paraId="4FEA2DEA" w14:textId="77777777" w:rsidR="005304A9" w:rsidRPr="005304A9" w:rsidRDefault="005304A9">
            <w:pPr>
              <w:rPr>
                <w:rFonts w:ascii="Calibri" w:hAnsi="Calibri" w:cs="Calibri"/>
                <w:sz w:val="16"/>
                <w:szCs w:val="16"/>
              </w:rPr>
            </w:pPr>
            <w:r w:rsidRPr="005304A9">
              <w:rPr>
                <w:rFonts w:ascii="Calibri" w:hAnsi="Calibri" w:cs="Calibri"/>
                <w:sz w:val="16"/>
                <w:szCs w:val="16"/>
              </w:rPr>
              <w:t>Mobilization/Testing Lab $80,000</w:t>
            </w:r>
          </w:p>
        </w:tc>
      </w:tr>
      <w:tr w:rsidR="005304A9" w:rsidRPr="005304A9" w14:paraId="32EC1222" w14:textId="77777777" w:rsidTr="00495F0D">
        <w:trPr>
          <w:trHeight w:val="375"/>
        </w:trPr>
        <w:tc>
          <w:tcPr>
            <w:tcW w:w="327" w:type="dxa"/>
            <w:noWrap/>
            <w:hideMark/>
          </w:tcPr>
          <w:p w14:paraId="4E4AC349" w14:textId="77777777" w:rsidR="005304A9" w:rsidRPr="005304A9" w:rsidRDefault="005304A9" w:rsidP="005304A9">
            <w:pPr>
              <w:rPr>
                <w:rFonts w:ascii="Calibri" w:hAnsi="Calibri" w:cs="Calibri"/>
                <w:sz w:val="16"/>
                <w:szCs w:val="16"/>
              </w:rPr>
            </w:pPr>
            <w:r w:rsidRPr="005304A9">
              <w:rPr>
                <w:rFonts w:ascii="Calibri" w:hAnsi="Calibri" w:cs="Calibri"/>
                <w:sz w:val="16"/>
                <w:szCs w:val="16"/>
              </w:rPr>
              <w:t>3</w:t>
            </w:r>
          </w:p>
        </w:tc>
        <w:tc>
          <w:tcPr>
            <w:tcW w:w="2774" w:type="dxa"/>
            <w:noWrap/>
            <w:hideMark/>
          </w:tcPr>
          <w:p w14:paraId="2532B49E" w14:textId="77777777" w:rsidR="005304A9" w:rsidRPr="005304A9" w:rsidRDefault="005304A9">
            <w:pPr>
              <w:rPr>
                <w:rFonts w:ascii="Calibri" w:hAnsi="Calibri" w:cs="Calibri"/>
                <w:sz w:val="16"/>
                <w:szCs w:val="16"/>
              </w:rPr>
            </w:pPr>
            <w:r w:rsidRPr="005304A9">
              <w:rPr>
                <w:rFonts w:ascii="Calibri" w:hAnsi="Calibri" w:cs="Calibri"/>
                <w:sz w:val="16"/>
                <w:szCs w:val="16"/>
              </w:rPr>
              <w:t>TSJ Construction</w:t>
            </w:r>
          </w:p>
        </w:tc>
        <w:tc>
          <w:tcPr>
            <w:tcW w:w="1368" w:type="dxa"/>
            <w:noWrap/>
            <w:hideMark/>
          </w:tcPr>
          <w:p w14:paraId="2547D6DC" w14:textId="30190DCF" w:rsidR="005304A9" w:rsidRPr="005304A9" w:rsidRDefault="005304A9">
            <w:pPr>
              <w:rPr>
                <w:rFonts w:ascii="Calibri" w:hAnsi="Calibri" w:cs="Calibri"/>
                <w:sz w:val="16"/>
                <w:szCs w:val="16"/>
              </w:rPr>
            </w:pPr>
            <w:r w:rsidRPr="005304A9">
              <w:rPr>
                <w:rFonts w:ascii="Calibri" w:hAnsi="Calibri" w:cs="Calibri"/>
                <w:sz w:val="16"/>
                <w:szCs w:val="16"/>
              </w:rPr>
              <w:t xml:space="preserve"> $ 676,800.00 </w:t>
            </w:r>
          </w:p>
        </w:tc>
        <w:tc>
          <w:tcPr>
            <w:tcW w:w="1194" w:type="dxa"/>
            <w:noWrap/>
            <w:hideMark/>
          </w:tcPr>
          <w:p w14:paraId="500A7802" w14:textId="23D0919F" w:rsidR="005304A9" w:rsidRPr="005304A9" w:rsidRDefault="005304A9" w:rsidP="005304A9">
            <w:pPr>
              <w:rPr>
                <w:rFonts w:ascii="Calibri" w:hAnsi="Calibri" w:cs="Calibri"/>
                <w:sz w:val="16"/>
                <w:szCs w:val="16"/>
              </w:rPr>
            </w:pPr>
            <w:r w:rsidRPr="005304A9">
              <w:rPr>
                <w:rFonts w:ascii="Calibri" w:hAnsi="Calibri" w:cs="Calibri"/>
                <w:sz w:val="16"/>
                <w:szCs w:val="16"/>
              </w:rPr>
              <w:t>60,000</w:t>
            </w:r>
          </w:p>
        </w:tc>
        <w:tc>
          <w:tcPr>
            <w:tcW w:w="992" w:type="dxa"/>
            <w:noWrap/>
            <w:hideMark/>
          </w:tcPr>
          <w:p w14:paraId="3CAAC682"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 $ 11.28 </w:t>
            </w:r>
          </w:p>
        </w:tc>
        <w:tc>
          <w:tcPr>
            <w:tcW w:w="1562" w:type="dxa"/>
            <w:noWrap/>
            <w:hideMark/>
          </w:tcPr>
          <w:p w14:paraId="7E8E44A3" w14:textId="77777777" w:rsidR="005304A9" w:rsidRPr="005304A9" w:rsidRDefault="005304A9">
            <w:pPr>
              <w:rPr>
                <w:rFonts w:ascii="Calibri" w:hAnsi="Calibri" w:cs="Calibri"/>
                <w:sz w:val="16"/>
                <w:szCs w:val="16"/>
              </w:rPr>
            </w:pPr>
          </w:p>
        </w:tc>
      </w:tr>
      <w:tr w:rsidR="005304A9" w:rsidRPr="005304A9" w14:paraId="68B5E406" w14:textId="77777777" w:rsidTr="00495F0D">
        <w:trPr>
          <w:trHeight w:val="375"/>
        </w:trPr>
        <w:tc>
          <w:tcPr>
            <w:tcW w:w="327" w:type="dxa"/>
            <w:noWrap/>
            <w:hideMark/>
          </w:tcPr>
          <w:p w14:paraId="25807201" w14:textId="77777777" w:rsidR="005304A9" w:rsidRPr="005304A9" w:rsidRDefault="005304A9" w:rsidP="005304A9">
            <w:pPr>
              <w:rPr>
                <w:rFonts w:ascii="Calibri" w:hAnsi="Calibri" w:cs="Calibri"/>
                <w:sz w:val="16"/>
                <w:szCs w:val="16"/>
              </w:rPr>
            </w:pPr>
            <w:r w:rsidRPr="005304A9">
              <w:rPr>
                <w:rFonts w:ascii="Calibri" w:hAnsi="Calibri" w:cs="Calibri"/>
                <w:sz w:val="16"/>
                <w:szCs w:val="16"/>
              </w:rPr>
              <w:t>4</w:t>
            </w:r>
          </w:p>
        </w:tc>
        <w:tc>
          <w:tcPr>
            <w:tcW w:w="2774" w:type="dxa"/>
            <w:noWrap/>
            <w:hideMark/>
          </w:tcPr>
          <w:p w14:paraId="4BA24710" w14:textId="77777777" w:rsidR="005304A9" w:rsidRPr="005304A9" w:rsidRDefault="005304A9">
            <w:pPr>
              <w:rPr>
                <w:rFonts w:ascii="Calibri" w:hAnsi="Calibri" w:cs="Calibri"/>
                <w:sz w:val="16"/>
                <w:szCs w:val="16"/>
              </w:rPr>
            </w:pPr>
            <w:proofErr w:type="spellStart"/>
            <w:r w:rsidRPr="005304A9">
              <w:rPr>
                <w:rFonts w:ascii="Calibri" w:hAnsi="Calibri" w:cs="Calibri"/>
                <w:sz w:val="16"/>
                <w:szCs w:val="16"/>
              </w:rPr>
              <w:t>Knepp</w:t>
            </w:r>
            <w:proofErr w:type="spellEnd"/>
            <w:r w:rsidRPr="005304A9">
              <w:rPr>
                <w:rFonts w:ascii="Calibri" w:hAnsi="Calibri" w:cs="Calibri"/>
                <w:sz w:val="16"/>
                <w:szCs w:val="16"/>
              </w:rPr>
              <w:t xml:space="preserve"> Construction</w:t>
            </w:r>
          </w:p>
        </w:tc>
        <w:tc>
          <w:tcPr>
            <w:tcW w:w="1368" w:type="dxa"/>
            <w:noWrap/>
            <w:hideMark/>
          </w:tcPr>
          <w:p w14:paraId="2B8CFB38" w14:textId="1028DF0E" w:rsidR="005304A9" w:rsidRPr="005304A9" w:rsidRDefault="005304A9">
            <w:pPr>
              <w:rPr>
                <w:rFonts w:ascii="Calibri" w:hAnsi="Calibri" w:cs="Calibri"/>
                <w:sz w:val="16"/>
                <w:szCs w:val="16"/>
              </w:rPr>
            </w:pPr>
            <w:r w:rsidRPr="005304A9">
              <w:rPr>
                <w:rFonts w:ascii="Calibri" w:hAnsi="Calibri" w:cs="Calibri"/>
                <w:sz w:val="16"/>
                <w:szCs w:val="16"/>
              </w:rPr>
              <w:t xml:space="preserve"> $ 568,200.00 </w:t>
            </w:r>
          </w:p>
        </w:tc>
        <w:tc>
          <w:tcPr>
            <w:tcW w:w="1194" w:type="dxa"/>
            <w:noWrap/>
            <w:hideMark/>
          </w:tcPr>
          <w:p w14:paraId="5A8E54FB" w14:textId="75CBFA58" w:rsidR="005304A9" w:rsidRPr="005304A9" w:rsidRDefault="005304A9" w:rsidP="005304A9">
            <w:pPr>
              <w:rPr>
                <w:rFonts w:ascii="Calibri" w:hAnsi="Calibri" w:cs="Calibri"/>
                <w:sz w:val="16"/>
                <w:szCs w:val="16"/>
              </w:rPr>
            </w:pPr>
            <w:r w:rsidRPr="005304A9">
              <w:rPr>
                <w:rFonts w:ascii="Calibri" w:hAnsi="Calibri" w:cs="Calibri"/>
                <w:sz w:val="16"/>
                <w:szCs w:val="16"/>
              </w:rPr>
              <w:t>60,000</w:t>
            </w:r>
          </w:p>
        </w:tc>
        <w:tc>
          <w:tcPr>
            <w:tcW w:w="992" w:type="dxa"/>
            <w:noWrap/>
            <w:hideMark/>
          </w:tcPr>
          <w:p w14:paraId="215EFF85"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 $    9.47 </w:t>
            </w:r>
          </w:p>
        </w:tc>
        <w:tc>
          <w:tcPr>
            <w:tcW w:w="1562" w:type="dxa"/>
            <w:noWrap/>
            <w:hideMark/>
          </w:tcPr>
          <w:p w14:paraId="547D5F17" w14:textId="77777777" w:rsidR="005304A9" w:rsidRPr="005304A9" w:rsidRDefault="005304A9">
            <w:pPr>
              <w:rPr>
                <w:rFonts w:ascii="Calibri" w:hAnsi="Calibri" w:cs="Calibri"/>
                <w:sz w:val="16"/>
                <w:szCs w:val="16"/>
              </w:rPr>
            </w:pPr>
          </w:p>
        </w:tc>
      </w:tr>
      <w:tr w:rsidR="005304A9" w:rsidRPr="005304A9" w14:paraId="29D06335" w14:textId="77777777" w:rsidTr="00495F0D">
        <w:trPr>
          <w:trHeight w:val="375"/>
        </w:trPr>
        <w:tc>
          <w:tcPr>
            <w:tcW w:w="327" w:type="dxa"/>
            <w:noWrap/>
            <w:hideMark/>
          </w:tcPr>
          <w:p w14:paraId="24F99EE3" w14:textId="77777777" w:rsidR="005304A9" w:rsidRPr="005304A9" w:rsidRDefault="005304A9" w:rsidP="005304A9">
            <w:pPr>
              <w:rPr>
                <w:rFonts w:ascii="Calibri" w:hAnsi="Calibri" w:cs="Calibri"/>
                <w:sz w:val="16"/>
                <w:szCs w:val="16"/>
              </w:rPr>
            </w:pPr>
            <w:r w:rsidRPr="005304A9">
              <w:rPr>
                <w:rFonts w:ascii="Calibri" w:hAnsi="Calibri" w:cs="Calibri"/>
                <w:sz w:val="16"/>
                <w:szCs w:val="16"/>
              </w:rPr>
              <w:t>5</w:t>
            </w:r>
          </w:p>
        </w:tc>
        <w:tc>
          <w:tcPr>
            <w:tcW w:w="2774" w:type="dxa"/>
            <w:noWrap/>
            <w:hideMark/>
          </w:tcPr>
          <w:p w14:paraId="175122BD" w14:textId="77777777" w:rsidR="005304A9" w:rsidRPr="005304A9" w:rsidRDefault="005304A9">
            <w:pPr>
              <w:rPr>
                <w:rFonts w:ascii="Calibri" w:hAnsi="Calibri" w:cs="Calibri"/>
                <w:sz w:val="16"/>
                <w:szCs w:val="16"/>
              </w:rPr>
            </w:pPr>
            <w:r w:rsidRPr="005304A9">
              <w:rPr>
                <w:rFonts w:ascii="Calibri" w:hAnsi="Calibri" w:cs="Calibri"/>
                <w:sz w:val="16"/>
                <w:szCs w:val="16"/>
              </w:rPr>
              <w:t>Western Products</w:t>
            </w:r>
          </w:p>
        </w:tc>
        <w:tc>
          <w:tcPr>
            <w:tcW w:w="1368" w:type="dxa"/>
            <w:noWrap/>
            <w:hideMark/>
          </w:tcPr>
          <w:p w14:paraId="1EAE6FF3" w14:textId="0B01E42C" w:rsidR="005304A9" w:rsidRPr="005304A9" w:rsidRDefault="005304A9">
            <w:pPr>
              <w:rPr>
                <w:rFonts w:ascii="Calibri" w:hAnsi="Calibri" w:cs="Calibri"/>
                <w:sz w:val="16"/>
                <w:szCs w:val="16"/>
              </w:rPr>
            </w:pPr>
            <w:r w:rsidRPr="005304A9">
              <w:rPr>
                <w:rFonts w:ascii="Calibri" w:hAnsi="Calibri" w:cs="Calibri"/>
                <w:sz w:val="16"/>
                <w:szCs w:val="16"/>
              </w:rPr>
              <w:t xml:space="preserve"> $ 405,000.00 </w:t>
            </w:r>
          </w:p>
        </w:tc>
        <w:tc>
          <w:tcPr>
            <w:tcW w:w="1194" w:type="dxa"/>
            <w:noWrap/>
            <w:hideMark/>
          </w:tcPr>
          <w:p w14:paraId="2509751A" w14:textId="31566322" w:rsidR="005304A9" w:rsidRPr="005304A9" w:rsidRDefault="005304A9" w:rsidP="005304A9">
            <w:pPr>
              <w:rPr>
                <w:rFonts w:ascii="Calibri" w:hAnsi="Calibri" w:cs="Calibri"/>
                <w:sz w:val="16"/>
                <w:szCs w:val="16"/>
              </w:rPr>
            </w:pPr>
            <w:r w:rsidRPr="005304A9">
              <w:rPr>
                <w:rFonts w:ascii="Calibri" w:hAnsi="Calibri" w:cs="Calibri"/>
                <w:sz w:val="16"/>
                <w:szCs w:val="16"/>
              </w:rPr>
              <w:t>60,000</w:t>
            </w:r>
          </w:p>
        </w:tc>
        <w:tc>
          <w:tcPr>
            <w:tcW w:w="992" w:type="dxa"/>
            <w:noWrap/>
            <w:hideMark/>
          </w:tcPr>
          <w:p w14:paraId="76DE2648"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 $    6.75 </w:t>
            </w:r>
          </w:p>
        </w:tc>
        <w:tc>
          <w:tcPr>
            <w:tcW w:w="1562" w:type="dxa"/>
            <w:noWrap/>
            <w:hideMark/>
          </w:tcPr>
          <w:p w14:paraId="436F8F11" w14:textId="77777777" w:rsidR="005304A9" w:rsidRPr="005304A9" w:rsidRDefault="005304A9">
            <w:pPr>
              <w:rPr>
                <w:rFonts w:ascii="Calibri" w:hAnsi="Calibri" w:cs="Calibri"/>
                <w:sz w:val="16"/>
                <w:szCs w:val="16"/>
              </w:rPr>
            </w:pPr>
          </w:p>
        </w:tc>
      </w:tr>
      <w:tr w:rsidR="005304A9" w:rsidRPr="005304A9" w14:paraId="19D39447" w14:textId="77777777" w:rsidTr="00495F0D">
        <w:trPr>
          <w:trHeight w:val="375"/>
        </w:trPr>
        <w:tc>
          <w:tcPr>
            <w:tcW w:w="327" w:type="dxa"/>
            <w:noWrap/>
            <w:hideMark/>
          </w:tcPr>
          <w:p w14:paraId="3A7AAE8A" w14:textId="77777777" w:rsidR="005304A9" w:rsidRPr="005304A9" w:rsidRDefault="005304A9">
            <w:pPr>
              <w:rPr>
                <w:rFonts w:ascii="Calibri" w:hAnsi="Calibri" w:cs="Calibri"/>
                <w:sz w:val="16"/>
                <w:szCs w:val="16"/>
              </w:rPr>
            </w:pPr>
          </w:p>
        </w:tc>
        <w:tc>
          <w:tcPr>
            <w:tcW w:w="2774" w:type="dxa"/>
            <w:noWrap/>
            <w:hideMark/>
          </w:tcPr>
          <w:p w14:paraId="0F86A626" w14:textId="270C102C" w:rsidR="005304A9" w:rsidRPr="005304A9" w:rsidRDefault="00495F0D">
            <w:pPr>
              <w:rPr>
                <w:rFonts w:ascii="Calibri" w:hAnsi="Calibri" w:cs="Calibri"/>
                <w:sz w:val="16"/>
                <w:szCs w:val="16"/>
              </w:rPr>
            </w:pPr>
            <w:r>
              <w:rPr>
                <w:rFonts w:ascii="Calibri" w:hAnsi="Calibri" w:cs="Calibri"/>
                <w:sz w:val="16"/>
                <w:szCs w:val="16"/>
              </w:rPr>
              <w:t>Western Products</w:t>
            </w:r>
          </w:p>
        </w:tc>
        <w:tc>
          <w:tcPr>
            <w:tcW w:w="1368" w:type="dxa"/>
            <w:noWrap/>
            <w:hideMark/>
          </w:tcPr>
          <w:p w14:paraId="3BA0B441" w14:textId="629B156B" w:rsidR="005304A9" w:rsidRPr="005304A9" w:rsidRDefault="005304A9">
            <w:pPr>
              <w:rPr>
                <w:rFonts w:ascii="Calibri" w:hAnsi="Calibri" w:cs="Calibri"/>
                <w:sz w:val="16"/>
                <w:szCs w:val="16"/>
              </w:rPr>
            </w:pPr>
            <w:r w:rsidRPr="005304A9">
              <w:rPr>
                <w:rFonts w:ascii="Calibri" w:hAnsi="Calibri" w:cs="Calibri"/>
                <w:sz w:val="16"/>
                <w:szCs w:val="16"/>
              </w:rPr>
              <w:t xml:space="preserve"> $ 520,000.00 </w:t>
            </w:r>
          </w:p>
        </w:tc>
        <w:tc>
          <w:tcPr>
            <w:tcW w:w="1194" w:type="dxa"/>
            <w:noWrap/>
            <w:hideMark/>
          </w:tcPr>
          <w:p w14:paraId="1F300126" w14:textId="4A9B9987" w:rsidR="005304A9" w:rsidRPr="005304A9" w:rsidRDefault="005304A9" w:rsidP="005304A9">
            <w:pPr>
              <w:rPr>
                <w:rFonts w:ascii="Calibri" w:hAnsi="Calibri" w:cs="Calibri"/>
                <w:sz w:val="16"/>
                <w:szCs w:val="16"/>
              </w:rPr>
            </w:pPr>
            <w:r w:rsidRPr="005304A9">
              <w:rPr>
                <w:rFonts w:ascii="Calibri" w:hAnsi="Calibri" w:cs="Calibri"/>
                <w:sz w:val="16"/>
                <w:szCs w:val="16"/>
              </w:rPr>
              <w:t>80,000</w:t>
            </w:r>
          </w:p>
        </w:tc>
        <w:tc>
          <w:tcPr>
            <w:tcW w:w="992" w:type="dxa"/>
            <w:noWrap/>
            <w:hideMark/>
          </w:tcPr>
          <w:p w14:paraId="0FA8D8FD" w14:textId="77777777" w:rsidR="005304A9" w:rsidRPr="005304A9" w:rsidRDefault="005304A9">
            <w:pPr>
              <w:rPr>
                <w:rFonts w:ascii="Calibri" w:hAnsi="Calibri" w:cs="Calibri"/>
                <w:sz w:val="16"/>
                <w:szCs w:val="16"/>
              </w:rPr>
            </w:pPr>
            <w:r w:rsidRPr="005304A9">
              <w:rPr>
                <w:rFonts w:ascii="Calibri" w:hAnsi="Calibri" w:cs="Calibri"/>
                <w:sz w:val="16"/>
                <w:szCs w:val="16"/>
              </w:rPr>
              <w:t xml:space="preserve"> $    6.50 </w:t>
            </w:r>
          </w:p>
        </w:tc>
        <w:tc>
          <w:tcPr>
            <w:tcW w:w="1562" w:type="dxa"/>
            <w:noWrap/>
            <w:hideMark/>
          </w:tcPr>
          <w:p w14:paraId="5B990EA4" w14:textId="77777777" w:rsidR="005304A9" w:rsidRPr="005304A9" w:rsidRDefault="005304A9">
            <w:pPr>
              <w:rPr>
                <w:rFonts w:ascii="Calibri" w:hAnsi="Calibri" w:cs="Calibri"/>
                <w:sz w:val="16"/>
                <w:szCs w:val="16"/>
              </w:rPr>
            </w:pPr>
          </w:p>
        </w:tc>
      </w:tr>
    </w:tbl>
    <w:p w14:paraId="6BD6394E" w14:textId="14614612" w:rsidR="00345C1E" w:rsidRPr="005304A9" w:rsidRDefault="00345C1E" w:rsidP="00C15E05">
      <w:pPr>
        <w:rPr>
          <w:rFonts w:ascii="Calibri" w:hAnsi="Calibri" w:cs="Calibri"/>
          <w:sz w:val="16"/>
          <w:szCs w:val="16"/>
        </w:rPr>
      </w:pPr>
    </w:p>
    <w:p w14:paraId="4D2CFDF7" w14:textId="6E0B0F47" w:rsidR="00495F0D" w:rsidRDefault="00495F0D" w:rsidP="00C15E05">
      <w:pPr>
        <w:rPr>
          <w:rFonts w:ascii="Calibri" w:hAnsi="Calibri" w:cs="Calibri"/>
        </w:rPr>
      </w:pPr>
      <w:r w:rsidRPr="00495F0D">
        <w:rPr>
          <w:rFonts w:ascii="Calibri" w:hAnsi="Calibri" w:cs="Calibri"/>
        </w:rPr>
        <w:t>Commissioner Hollingshead opened the public hearing to consider the 2026 Operating Budget and Resolution 2025-23, adopting the 2026 Operating Budget. A motion to adopt Resolution 2025-23, adopting the 2026 Operating Budget, was made by Commissioner Yardley and seconded by Commissioner Pearson. The motion passed unanimously with a roll call vote of Commissioner Pearson (aye), Commissioner Hollingshead (aye), and Commissioner Yardley (aye).</w:t>
      </w:r>
    </w:p>
    <w:p w14:paraId="40D2A79A" w14:textId="633D98EF" w:rsidR="00495F0D" w:rsidRDefault="00495F0D" w:rsidP="00C15E05">
      <w:pPr>
        <w:rPr>
          <w:rFonts w:ascii="Calibri" w:hAnsi="Calibri" w:cs="Calibri"/>
        </w:rPr>
      </w:pPr>
      <w:r w:rsidRPr="00495F0D">
        <w:rPr>
          <w:rFonts w:ascii="Calibri" w:hAnsi="Calibri" w:cs="Calibri"/>
        </w:rPr>
        <w:t xml:space="preserve">Commissioner Hollingshead opened the public hearing to consider the 2026 proposed salaries of the Beaver County Officers and Resolution 2025-21. A motion to adopt Resolution 2025-21, adopting the 2026 proposed salaries of the Beaver County Officers, was made by Commissioner Pearson and </w:t>
      </w:r>
      <w:r w:rsidRPr="00495F0D">
        <w:rPr>
          <w:rFonts w:ascii="Calibri" w:hAnsi="Calibri" w:cs="Calibri"/>
        </w:rPr>
        <w:lastRenderedPageBreak/>
        <w:t>seconded by Commissioner Yardley. The motion passed unanimously with a roll call vote of Commissioner Pearson (aye), Commissioner Hollingshead (aye), and Commissioner Yardley (aye).</w:t>
      </w:r>
    </w:p>
    <w:p w14:paraId="2E91890D" w14:textId="24CE57B8" w:rsidR="0043157B" w:rsidRDefault="0043157B" w:rsidP="00C15E05">
      <w:pPr>
        <w:rPr>
          <w:rFonts w:ascii="Calibri" w:hAnsi="Calibri" w:cs="Calibri"/>
        </w:rPr>
      </w:pPr>
      <w:r>
        <w:rPr>
          <w:rFonts w:ascii="Calibri" w:hAnsi="Calibri" w:cs="Calibri"/>
        </w:rPr>
        <w:t xml:space="preserve">Commission Updates:  </w:t>
      </w:r>
      <w:r w:rsidR="00451AAD" w:rsidRPr="00451AAD">
        <w:rPr>
          <w:rFonts w:ascii="Calibri" w:hAnsi="Calibri" w:cs="Calibri"/>
        </w:rPr>
        <w:t>The Commission provided the following updates: an America250 meeting is scheduled for January 6 at 2:00 p.m. to plan activities for the upcoming festivities. The 2025 Legislative Session will begin on January 20. County Day on the Hill is scheduled for January 21, followed by Tourism Day on the Hill on January 23. The NACO Legislative Conference will take place in February. Commissioner Yardley commented that SSD #3, Milford Area Health Care and Waste Management, and SSD #5 will be holding their budget hearings this week, and that the Roads SSD #7 budget hearing was held on December 11.</w:t>
      </w:r>
    </w:p>
    <w:p w14:paraId="6016E9A1" w14:textId="74FCC6B5" w:rsidR="00A5793A" w:rsidRDefault="00A5793A" w:rsidP="00A5793A">
      <w:r>
        <w:rPr>
          <w:noProof/>
        </w:rPr>
        <w:drawing>
          <wp:anchor distT="0" distB="0" distL="114300" distR="114300" simplePos="0" relativeHeight="251659264" behindDoc="1" locked="0" layoutInCell="1" allowOverlap="1" wp14:anchorId="21787ABF" wp14:editId="646E4292">
            <wp:simplePos x="0" y="0"/>
            <wp:positionH relativeFrom="column">
              <wp:posOffset>3724275</wp:posOffset>
            </wp:positionH>
            <wp:positionV relativeFrom="paragraph">
              <wp:posOffset>267970</wp:posOffset>
            </wp:positionV>
            <wp:extent cx="1642110" cy="403860"/>
            <wp:effectExtent l="0" t="0" r="0" b="0"/>
            <wp:wrapNone/>
            <wp:docPr id="2" name="Picture 2" descr="Ginger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ngersi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2110" cy="403860"/>
                    </a:xfrm>
                    <a:prstGeom prst="rect">
                      <a:avLst/>
                    </a:prstGeom>
                    <a:noFill/>
                  </pic:spPr>
                </pic:pic>
              </a:graphicData>
            </a:graphic>
            <wp14:sizeRelH relativeFrom="page">
              <wp14:pctWidth>0</wp14:pctWidth>
            </wp14:sizeRelH>
            <wp14:sizeRelV relativeFrom="page">
              <wp14:pctHeight>0</wp14:pctHeight>
            </wp14:sizeRelV>
          </wp:anchor>
        </w:drawing>
      </w:r>
      <w:r>
        <w:t xml:space="preserve">No further business was discussed meeting was adjourned. </w:t>
      </w:r>
    </w:p>
    <w:p w14:paraId="6A0DB415" w14:textId="02B1D579" w:rsidR="00A5793A" w:rsidRDefault="00A5793A" w:rsidP="00A5793A">
      <w:pPr>
        <w:spacing w:after="0" w:line="240" w:lineRule="auto"/>
        <w:jc w:val="both"/>
      </w:pPr>
      <w:r>
        <w:rPr>
          <w:noProof/>
        </w:rPr>
        <w:drawing>
          <wp:anchor distT="0" distB="0" distL="114300" distR="114300" simplePos="0" relativeHeight="251660288" behindDoc="1" locked="0" layoutInCell="1" allowOverlap="1" wp14:anchorId="2609C6A8" wp14:editId="31AADB75">
            <wp:simplePos x="0" y="0"/>
            <wp:positionH relativeFrom="column">
              <wp:posOffset>800100</wp:posOffset>
            </wp:positionH>
            <wp:positionV relativeFrom="paragraph">
              <wp:posOffset>6985</wp:posOffset>
            </wp:positionV>
            <wp:extent cx="1628775" cy="425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6656" t="13904" r="7851" b="16043"/>
                    <a:stretch>
                      <a:fillRect/>
                    </a:stretch>
                  </pic:blipFill>
                  <pic:spPr bwMode="auto">
                    <a:xfrm>
                      <a:off x="0" y="0"/>
                      <a:ext cx="1628775" cy="425450"/>
                    </a:xfrm>
                    <a:prstGeom prst="rect">
                      <a:avLst/>
                    </a:prstGeom>
                    <a:noFill/>
                  </pic:spPr>
                </pic:pic>
              </a:graphicData>
            </a:graphic>
            <wp14:sizeRelH relativeFrom="page">
              <wp14:pctWidth>0</wp14:pctWidth>
            </wp14:sizeRelH>
            <wp14:sizeRelV relativeFrom="page">
              <wp14:pctHeight>0</wp14:pctHeight>
            </wp14:sizeRelV>
          </wp:anchor>
        </w:drawing>
      </w:r>
    </w:p>
    <w:p w14:paraId="2AC2675E" w14:textId="77777777" w:rsidR="00A5793A" w:rsidRDefault="00A5793A" w:rsidP="00A5793A">
      <w:pPr>
        <w:spacing w:after="0" w:line="240" w:lineRule="auto"/>
        <w:jc w:val="both"/>
      </w:pPr>
    </w:p>
    <w:p w14:paraId="7F043D8A" w14:textId="77777777" w:rsidR="00A5793A" w:rsidRDefault="00A5793A" w:rsidP="00A5793A">
      <w:pPr>
        <w:spacing w:after="0" w:line="240" w:lineRule="auto"/>
        <w:jc w:val="both"/>
      </w:pPr>
      <w:r>
        <w:t xml:space="preserve">APPROVED </w:t>
      </w:r>
      <w:r>
        <w:tab/>
      </w:r>
      <w:r>
        <w:tab/>
        <w:t>Chairman</w:t>
      </w:r>
      <w:r>
        <w:tab/>
      </w:r>
      <w:r>
        <w:tab/>
      </w:r>
      <w:r>
        <w:tab/>
      </w:r>
      <w:r>
        <w:tab/>
      </w:r>
      <w:r>
        <w:tab/>
        <w:t>Clerk/Auditor</w:t>
      </w:r>
    </w:p>
    <w:p w14:paraId="60B9C068" w14:textId="77777777" w:rsidR="00A5793A" w:rsidRDefault="00A5793A" w:rsidP="00A5793A">
      <w:pPr>
        <w:spacing w:after="0" w:line="240" w:lineRule="auto"/>
        <w:jc w:val="both"/>
      </w:pPr>
    </w:p>
    <w:p w14:paraId="51173790" w14:textId="77777777" w:rsidR="00A5793A" w:rsidRDefault="00A5793A" w:rsidP="00A5793A">
      <w:pPr>
        <w:spacing w:after="0" w:line="240" w:lineRule="auto"/>
        <w:jc w:val="both"/>
      </w:pPr>
      <w:r>
        <w:t xml:space="preserve">                                                              **********************</w:t>
      </w:r>
    </w:p>
    <w:p w14:paraId="6C4F6CFA" w14:textId="77777777" w:rsidR="00CE4A22" w:rsidRPr="00CE4A22" w:rsidRDefault="00CE4A22" w:rsidP="00CE4A22">
      <w:pPr>
        <w:rPr>
          <w:rFonts w:ascii="Calibri" w:hAnsi="Calibri" w:cs="Calibri"/>
          <w:sz w:val="16"/>
          <w:szCs w:val="16"/>
        </w:rPr>
      </w:pPr>
      <w:bookmarkStart w:id="1" w:name="_GoBack"/>
      <w:bookmarkEnd w:id="1"/>
      <w:r w:rsidRPr="00CE4A22">
        <w:rPr>
          <w:rFonts w:ascii="Calibri" w:hAnsi="Calibri" w:cs="Calibri"/>
          <w:sz w:val="16"/>
          <w:szCs w:val="16"/>
        </w:rPr>
        <w:t xml:space="preserve">** </w:t>
      </w:r>
      <w:r w:rsidRPr="00CE4A22">
        <w:rPr>
          <w:rFonts w:ascii="Calibri" w:hAnsi="Calibri" w:cs="Calibri"/>
          <w:i/>
          <w:iCs/>
          <w:sz w:val="16"/>
          <w:szCs w:val="16"/>
        </w:rPr>
        <w:t xml:space="preserve">Some portions of these minutes were edited with assistance from </w:t>
      </w:r>
      <w:proofErr w:type="spellStart"/>
      <w:r w:rsidRPr="00CE4A22">
        <w:rPr>
          <w:rFonts w:ascii="Calibri" w:hAnsi="Calibri" w:cs="Calibri"/>
          <w:i/>
          <w:iCs/>
          <w:sz w:val="16"/>
          <w:szCs w:val="16"/>
        </w:rPr>
        <w:t>ChatGPT</w:t>
      </w:r>
      <w:proofErr w:type="spellEnd"/>
      <w:r w:rsidRPr="00CE4A22">
        <w:rPr>
          <w:rFonts w:ascii="Calibri" w:hAnsi="Calibri" w:cs="Calibri"/>
          <w:i/>
          <w:iCs/>
          <w:sz w:val="16"/>
          <w:szCs w:val="16"/>
        </w:rPr>
        <w:t xml:space="preserve"> for formatting and clarity</w:t>
      </w:r>
      <w:r w:rsidRPr="00CE4A22">
        <w:rPr>
          <w:rFonts w:ascii="Calibri" w:hAnsi="Calibri" w:cs="Calibri"/>
          <w:sz w:val="16"/>
          <w:szCs w:val="16"/>
        </w:rPr>
        <w:t>.</w:t>
      </w:r>
    </w:p>
    <w:p w14:paraId="79C875CE" w14:textId="77777777" w:rsidR="001B60F9" w:rsidRDefault="001B60F9" w:rsidP="00C15E05">
      <w:pPr>
        <w:rPr>
          <w:rFonts w:ascii="Calibri" w:hAnsi="Calibri" w:cs="Calibri"/>
        </w:rPr>
      </w:pPr>
    </w:p>
    <w:p w14:paraId="44EAE1F5" w14:textId="77777777" w:rsidR="001F1294" w:rsidRDefault="001F1294" w:rsidP="00C15E05">
      <w:pPr>
        <w:rPr>
          <w:rFonts w:ascii="Calibri" w:hAnsi="Calibri" w:cs="Calibri"/>
        </w:rPr>
      </w:pPr>
    </w:p>
    <w:p w14:paraId="01EB49BA" w14:textId="77777777" w:rsidR="00C15E05" w:rsidRDefault="00C15E05" w:rsidP="00917A08">
      <w:pPr>
        <w:tabs>
          <w:tab w:val="left" w:pos="7545"/>
        </w:tabs>
      </w:pPr>
    </w:p>
    <w:p w14:paraId="3A781041" w14:textId="77777777" w:rsidR="00C11E8C" w:rsidRDefault="00C11E8C" w:rsidP="00917A08">
      <w:pPr>
        <w:tabs>
          <w:tab w:val="left" w:pos="7545"/>
        </w:tabs>
      </w:pPr>
    </w:p>
    <w:p w14:paraId="2B14637C" w14:textId="77777777" w:rsidR="00917A08" w:rsidRDefault="00917A08" w:rsidP="00917A08">
      <w:pPr>
        <w:tabs>
          <w:tab w:val="left" w:pos="7545"/>
        </w:tabs>
      </w:pPr>
    </w:p>
    <w:p w14:paraId="48395CAB" w14:textId="77777777"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3"/>
    <w:rsid w:val="00046273"/>
    <w:rsid w:val="000517F4"/>
    <w:rsid w:val="00081981"/>
    <w:rsid w:val="000906CC"/>
    <w:rsid w:val="00091839"/>
    <w:rsid w:val="000948CA"/>
    <w:rsid w:val="000F19B3"/>
    <w:rsid w:val="000F1C68"/>
    <w:rsid w:val="000F2E12"/>
    <w:rsid w:val="000F7166"/>
    <w:rsid w:val="000F7819"/>
    <w:rsid w:val="00163EA4"/>
    <w:rsid w:val="001B60F9"/>
    <w:rsid w:val="001C0173"/>
    <w:rsid w:val="001C317E"/>
    <w:rsid w:val="001F1294"/>
    <w:rsid w:val="00223BC5"/>
    <w:rsid w:val="0023247D"/>
    <w:rsid w:val="00244562"/>
    <w:rsid w:val="00260B8A"/>
    <w:rsid w:val="00266C07"/>
    <w:rsid w:val="00283AA0"/>
    <w:rsid w:val="00291388"/>
    <w:rsid w:val="00306951"/>
    <w:rsid w:val="00345C1E"/>
    <w:rsid w:val="0036272F"/>
    <w:rsid w:val="00364CE0"/>
    <w:rsid w:val="003C42C3"/>
    <w:rsid w:val="003F1112"/>
    <w:rsid w:val="003F76A1"/>
    <w:rsid w:val="0040421A"/>
    <w:rsid w:val="0043157B"/>
    <w:rsid w:val="00441738"/>
    <w:rsid w:val="0044703E"/>
    <w:rsid w:val="00451AAD"/>
    <w:rsid w:val="00495F0D"/>
    <w:rsid w:val="004A191B"/>
    <w:rsid w:val="004F0E48"/>
    <w:rsid w:val="00512FFC"/>
    <w:rsid w:val="005304A9"/>
    <w:rsid w:val="005668E7"/>
    <w:rsid w:val="005765AF"/>
    <w:rsid w:val="00621E17"/>
    <w:rsid w:val="0063696A"/>
    <w:rsid w:val="006A674D"/>
    <w:rsid w:val="006D0A81"/>
    <w:rsid w:val="006E11BC"/>
    <w:rsid w:val="00712901"/>
    <w:rsid w:val="00726CE5"/>
    <w:rsid w:val="00751127"/>
    <w:rsid w:val="00777F07"/>
    <w:rsid w:val="007878A3"/>
    <w:rsid w:val="007A4C19"/>
    <w:rsid w:val="007D3DB6"/>
    <w:rsid w:val="0085166F"/>
    <w:rsid w:val="00856C88"/>
    <w:rsid w:val="00867CF0"/>
    <w:rsid w:val="008903A1"/>
    <w:rsid w:val="008C5614"/>
    <w:rsid w:val="00910D9C"/>
    <w:rsid w:val="00917A08"/>
    <w:rsid w:val="00962A94"/>
    <w:rsid w:val="009B3C86"/>
    <w:rsid w:val="009B7EA0"/>
    <w:rsid w:val="009D199C"/>
    <w:rsid w:val="009E0AA2"/>
    <w:rsid w:val="009F00AA"/>
    <w:rsid w:val="009F3B6B"/>
    <w:rsid w:val="00A07B03"/>
    <w:rsid w:val="00A21615"/>
    <w:rsid w:val="00A35894"/>
    <w:rsid w:val="00A5793A"/>
    <w:rsid w:val="00A83493"/>
    <w:rsid w:val="00A84215"/>
    <w:rsid w:val="00AA1D77"/>
    <w:rsid w:val="00B62D70"/>
    <w:rsid w:val="00B662F9"/>
    <w:rsid w:val="00B73D62"/>
    <w:rsid w:val="00BC676A"/>
    <w:rsid w:val="00C11E8C"/>
    <w:rsid w:val="00C15E05"/>
    <w:rsid w:val="00C406C5"/>
    <w:rsid w:val="00C6651E"/>
    <w:rsid w:val="00C71674"/>
    <w:rsid w:val="00C7386A"/>
    <w:rsid w:val="00CC2E2F"/>
    <w:rsid w:val="00CE4A22"/>
    <w:rsid w:val="00D86A2C"/>
    <w:rsid w:val="00DB469B"/>
    <w:rsid w:val="00DC4381"/>
    <w:rsid w:val="00DE251B"/>
    <w:rsid w:val="00E11930"/>
    <w:rsid w:val="00E66448"/>
    <w:rsid w:val="00E90968"/>
    <w:rsid w:val="00ED3D6B"/>
    <w:rsid w:val="00ED55CF"/>
    <w:rsid w:val="00EF37D9"/>
    <w:rsid w:val="00EF4637"/>
    <w:rsid w:val="00F01470"/>
    <w:rsid w:val="00F21B95"/>
    <w:rsid w:val="00F5265F"/>
    <w:rsid w:val="00F61CE1"/>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5F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6403">
      <w:bodyDiv w:val="1"/>
      <w:marLeft w:val="0"/>
      <w:marRight w:val="0"/>
      <w:marTop w:val="0"/>
      <w:marBottom w:val="0"/>
      <w:divBdr>
        <w:top w:val="none" w:sz="0" w:space="0" w:color="auto"/>
        <w:left w:val="none" w:sz="0" w:space="0" w:color="auto"/>
        <w:bottom w:val="none" w:sz="0" w:space="0" w:color="auto"/>
        <w:right w:val="none" w:sz="0" w:space="0" w:color="auto"/>
      </w:divBdr>
      <w:divsChild>
        <w:div w:id="975797024">
          <w:marLeft w:val="0"/>
          <w:marRight w:val="0"/>
          <w:marTop w:val="0"/>
          <w:marBottom w:val="0"/>
          <w:divBdr>
            <w:top w:val="none" w:sz="0" w:space="0" w:color="auto"/>
            <w:left w:val="none" w:sz="0" w:space="0" w:color="auto"/>
            <w:bottom w:val="none" w:sz="0" w:space="0" w:color="auto"/>
            <w:right w:val="none" w:sz="0" w:space="0" w:color="auto"/>
          </w:divBdr>
          <w:divsChild>
            <w:div w:id="1325276650">
              <w:marLeft w:val="0"/>
              <w:marRight w:val="0"/>
              <w:marTop w:val="0"/>
              <w:marBottom w:val="0"/>
              <w:divBdr>
                <w:top w:val="none" w:sz="0" w:space="0" w:color="auto"/>
                <w:left w:val="none" w:sz="0" w:space="0" w:color="auto"/>
                <w:bottom w:val="none" w:sz="0" w:space="0" w:color="auto"/>
                <w:right w:val="none" w:sz="0" w:space="0" w:color="auto"/>
              </w:divBdr>
              <w:divsChild>
                <w:div w:id="1427455923">
                  <w:marLeft w:val="0"/>
                  <w:marRight w:val="0"/>
                  <w:marTop w:val="0"/>
                  <w:marBottom w:val="0"/>
                  <w:divBdr>
                    <w:top w:val="none" w:sz="0" w:space="0" w:color="auto"/>
                    <w:left w:val="none" w:sz="0" w:space="0" w:color="auto"/>
                    <w:bottom w:val="none" w:sz="0" w:space="0" w:color="auto"/>
                    <w:right w:val="none" w:sz="0" w:space="0" w:color="auto"/>
                  </w:divBdr>
                  <w:divsChild>
                    <w:div w:id="8071006">
                      <w:marLeft w:val="0"/>
                      <w:marRight w:val="0"/>
                      <w:marTop w:val="0"/>
                      <w:marBottom w:val="0"/>
                      <w:divBdr>
                        <w:top w:val="none" w:sz="0" w:space="0" w:color="auto"/>
                        <w:left w:val="none" w:sz="0" w:space="0" w:color="auto"/>
                        <w:bottom w:val="none" w:sz="0" w:space="0" w:color="auto"/>
                        <w:right w:val="none" w:sz="0" w:space="0" w:color="auto"/>
                      </w:divBdr>
                      <w:divsChild>
                        <w:div w:id="1509103724">
                          <w:marLeft w:val="0"/>
                          <w:marRight w:val="0"/>
                          <w:marTop w:val="0"/>
                          <w:marBottom w:val="0"/>
                          <w:divBdr>
                            <w:top w:val="none" w:sz="0" w:space="0" w:color="auto"/>
                            <w:left w:val="none" w:sz="0" w:space="0" w:color="auto"/>
                            <w:bottom w:val="none" w:sz="0" w:space="0" w:color="auto"/>
                            <w:right w:val="none" w:sz="0" w:space="0" w:color="auto"/>
                          </w:divBdr>
                          <w:divsChild>
                            <w:div w:id="1672681136">
                              <w:marLeft w:val="0"/>
                              <w:marRight w:val="0"/>
                              <w:marTop w:val="0"/>
                              <w:marBottom w:val="0"/>
                              <w:divBdr>
                                <w:top w:val="none" w:sz="0" w:space="0" w:color="auto"/>
                                <w:left w:val="none" w:sz="0" w:space="0" w:color="auto"/>
                                <w:bottom w:val="none" w:sz="0" w:space="0" w:color="auto"/>
                                <w:right w:val="none" w:sz="0" w:space="0" w:color="auto"/>
                              </w:divBdr>
                              <w:divsChild>
                                <w:div w:id="16637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059371">
      <w:bodyDiv w:val="1"/>
      <w:marLeft w:val="0"/>
      <w:marRight w:val="0"/>
      <w:marTop w:val="0"/>
      <w:marBottom w:val="0"/>
      <w:divBdr>
        <w:top w:val="none" w:sz="0" w:space="0" w:color="auto"/>
        <w:left w:val="none" w:sz="0" w:space="0" w:color="auto"/>
        <w:bottom w:val="none" w:sz="0" w:space="0" w:color="auto"/>
        <w:right w:val="none" w:sz="0" w:space="0" w:color="auto"/>
      </w:divBdr>
    </w:div>
    <w:div w:id="1334452774">
      <w:bodyDiv w:val="1"/>
      <w:marLeft w:val="0"/>
      <w:marRight w:val="0"/>
      <w:marTop w:val="0"/>
      <w:marBottom w:val="0"/>
      <w:divBdr>
        <w:top w:val="none" w:sz="0" w:space="0" w:color="auto"/>
        <w:left w:val="none" w:sz="0" w:space="0" w:color="auto"/>
        <w:bottom w:val="none" w:sz="0" w:space="0" w:color="auto"/>
        <w:right w:val="none" w:sz="0" w:space="0" w:color="auto"/>
      </w:divBdr>
    </w:div>
    <w:div w:id="18929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Lenovo ThinkBook</cp:lastModifiedBy>
  <cp:revision>14</cp:revision>
  <dcterms:created xsi:type="dcterms:W3CDTF">2025-12-15T18:15:00Z</dcterms:created>
  <dcterms:modified xsi:type="dcterms:W3CDTF">2026-01-07T21:36:00Z</dcterms:modified>
</cp:coreProperties>
</file>