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254B820A" w14:textId="5FB92853" w:rsidR="00441040" w:rsidRPr="00AF5105" w:rsidRDefault="00441040" w:rsidP="00441040">
      <w:pPr>
        <w:jc w:val="center"/>
        <w:rPr>
          <w:rFonts w:ascii="Arial" w:hAnsi="Arial" w:cs="Arial"/>
          <w:b/>
        </w:rPr>
      </w:pPr>
      <w:r w:rsidRPr="00AF5105">
        <w:rPr>
          <w:rFonts w:ascii="Arial" w:hAnsi="Arial" w:cs="Arial"/>
          <w:b/>
        </w:rPr>
        <w:t>RESIDENTIAL MORTGAGE REGULATORY COMMISSION</w:t>
      </w:r>
    </w:p>
    <w:p w14:paraId="1D5D8066" w14:textId="77777777" w:rsidR="00E53615" w:rsidRPr="00E53615" w:rsidRDefault="00E53615" w:rsidP="00E53615">
      <w:pPr>
        <w:jc w:val="center"/>
        <w:rPr>
          <w:rFonts w:ascii="Arial" w:hAnsi="Arial" w:cs="Arial"/>
          <w:b/>
        </w:rPr>
      </w:pPr>
      <w:r w:rsidRPr="00E53615">
        <w:rPr>
          <w:rFonts w:ascii="Arial" w:hAnsi="Arial" w:cs="Arial"/>
          <w:b/>
          <w:bCs/>
        </w:rPr>
        <w:t>SPECIAL MEETING MINUTES</w:t>
      </w:r>
    </w:p>
    <w:p w14:paraId="271381B4" w14:textId="77777777" w:rsidR="00E53615" w:rsidRPr="00E53615" w:rsidRDefault="00E53615" w:rsidP="00E53615">
      <w:pPr>
        <w:jc w:val="center"/>
        <w:rPr>
          <w:rFonts w:ascii="Arial" w:hAnsi="Arial" w:cs="Arial"/>
          <w:b/>
        </w:rPr>
      </w:pPr>
      <w:r w:rsidRPr="00E53615">
        <w:rPr>
          <w:rFonts w:ascii="Arial" w:hAnsi="Arial" w:cs="Arial"/>
          <w:b/>
          <w:bCs/>
        </w:rPr>
        <w:t>Mortgage Special Meeting – Amy Bloxham (RE-25-5090)</w:t>
      </w:r>
    </w:p>
    <w:p w14:paraId="3E1A5154" w14:textId="4F6655C1" w:rsidR="00441040" w:rsidRPr="00DC53AC" w:rsidRDefault="00E53615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23</w:t>
      </w:r>
      <w:r w:rsidR="00441040" w:rsidRPr="00AF5105">
        <w:rPr>
          <w:rFonts w:ascii="Arial" w:hAnsi="Arial" w:cs="Arial"/>
        </w:rPr>
        <w:t xml:space="preserve">, </w:t>
      </w:r>
      <w:proofErr w:type="gramStart"/>
      <w:r w:rsidR="00441040" w:rsidRPr="00AF5105">
        <w:rPr>
          <w:rFonts w:ascii="Arial" w:hAnsi="Arial" w:cs="Arial"/>
        </w:rPr>
        <w:t>2025</w:t>
      </w:r>
      <w:proofErr w:type="gramEnd"/>
      <w:r w:rsidR="00441040" w:rsidRPr="00AF5105">
        <w:rPr>
          <w:rFonts w:ascii="Arial" w:hAnsi="Arial" w:cs="Arial"/>
        </w:rPr>
        <w:t xml:space="preserve">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2B243F29" w14:textId="5EDB5884" w:rsidR="00441040" w:rsidRPr="00AF5105" w:rsidRDefault="001710F4" w:rsidP="00441040">
      <w:pPr>
        <w:rPr>
          <w:rFonts w:ascii="Arial" w:hAnsi="Arial" w:cs="Arial"/>
          <w:b/>
        </w:rPr>
      </w:pPr>
      <w:r w:rsidRPr="00AF5105">
        <w:rPr>
          <w:rFonts w:ascii="Arial" w:hAnsi="Arial" w:cs="Arial"/>
          <w:b/>
        </w:rPr>
        <w:t>Residential Mortgage Regulatory Commission</w:t>
      </w:r>
      <w:r w:rsidR="00AF5105" w:rsidRPr="00AF5105">
        <w:rPr>
          <w:rFonts w:ascii="Arial" w:hAnsi="Arial" w:cs="Arial"/>
          <w:b/>
        </w:rPr>
        <w:t>:</w:t>
      </w:r>
    </w:p>
    <w:p w14:paraId="2505D133" w14:textId="1D38BE64" w:rsidR="00441040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Christy Vail</w:t>
      </w:r>
      <w:r w:rsidR="001710F4" w:rsidRPr="00AF5105">
        <w:rPr>
          <w:rFonts w:ascii="Arial" w:hAnsi="Arial" w:cs="Arial"/>
        </w:rPr>
        <w:t>, Chair</w:t>
      </w:r>
      <w:r w:rsidRPr="00AF5105">
        <w:rPr>
          <w:rFonts w:ascii="Arial" w:hAnsi="Arial" w:cs="Arial"/>
        </w:rPr>
        <w:t xml:space="preserve"> </w:t>
      </w:r>
    </w:p>
    <w:p w14:paraId="61A5BE0A" w14:textId="2D0376E3" w:rsidR="001710F4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Jeff Flitton,</w:t>
      </w:r>
      <w:r w:rsidR="001710F4" w:rsidRPr="00AF5105">
        <w:rPr>
          <w:rFonts w:ascii="Arial" w:hAnsi="Arial" w:cs="Arial"/>
        </w:rPr>
        <w:t xml:space="preserve"> Vice</w:t>
      </w:r>
      <w:r w:rsidR="00E81FBE">
        <w:rPr>
          <w:rFonts w:ascii="Arial" w:hAnsi="Arial" w:cs="Arial"/>
        </w:rPr>
        <w:t>-</w:t>
      </w:r>
      <w:r w:rsidR="001710F4" w:rsidRPr="00AF5105">
        <w:rPr>
          <w:rFonts w:ascii="Arial" w:hAnsi="Arial" w:cs="Arial"/>
        </w:rPr>
        <w:t>Chair</w:t>
      </w:r>
    </w:p>
    <w:p w14:paraId="6BFD0B74" w14:textId="24ECCC82" w:rsidR="00441040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Jeff England</w:t>
      </w:r>
      <w:r w:rsidR="008F4922">
        <w:rPr>
          <w:rFonts w:ascii="Arial" w:hAnsi="Arial" w:cs="Arial"/>
        </w:rPr>
        <w:t xml:space="preserve"> </w:t>
      </w:r>
    </w:p>
    <w:p w14:paraId="5DC97200" w14:textId="67AE1CF9" w:rsidR="00AF5105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Gina Johnson</w:t>
      </w:r>
    </w:p>
    <w:p w14:paraId="395DC7BD" w14:textId="440F9CA4" w:rsidR="003F614F" w:rsidRDefault="00AF5105" w:rsidP="00E53615">
      <w:pPr>
        <w:rPr>
          <w:rFonts w:ascii="Arial" w:hAnsi="Arial" w:cs="Arial"/>
        </w:rPr>
      </w:pPr>
      <w:r w:rsidRPr="00AF5105">
        <w:rPr>
          <w:rFonts w:ascii="Arial" w:hAnsi="Arial" w:cs="Arial"/>
        </w:rPr>
        <w:t>Allison Olsen</w:t>
      </w:r>
      <w:r w:rsidR="00BB3457">
        <w:rPr>
          <w:rFonts w:ascii="Arial" w:hAnsi="Arial" w:cs="Arial"/>
        </w:rPr>
        <w:t xml:space="preserve"> </w:t>
      </w:r>
    </w:p>
    <w:p w14:paraId="0249A65C" w14:textId="77777777" w:rsidR="00E53615" w:rsidRPr="00E53615" w:rsidRDefault="00E53615" w:rsidP="00E53615">
      <w:pPr>
        <w:rPr>
          <w:rFonts w:ascii="Arial" w:hAnsi="Arial" w:cs="Arial"/>
          <w:b/>
          <w:bCs/>
        </w:rPr>
      </w:pPr>
      <w:r w:rsidRPr="00E53615">
        <w:rPr>
          <w:rFonts w:ascii="Arial" w:hAnsi="Arial" w:cs="Arial"/>
          <w:b/>
          <w:bCs/>
        </w:rPr>
        <w:t>I. Commencement</w:t>
      </w:r>
    </w:p>
    <w:p w14:paraId="5E7FD1B7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  <w:b/>
          <w:bCs/>
        </w:rPr>
        <w:t>A. Welcome and call to order</w:t>
      </w:r>
    </w:p>
    <w:p w14:paraId="689D3F75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A special meeting of the Residential Mortgage Regulatory Commission (Commission) was convened to consider a stipulation order in the matter of Amy Bloxham, RE-25-5090.</w:t>
      </w:r>
      <w:r w:rsidRPr="00E53615">
        <w:rPr>
          <w:rFonts w:ascii="Arial" w:hAnsi="Arial" w:cs="Arial"/>
        </w:rPr>
        <w:br/>
        <w:t>• Vice Chair Jeff Litton conducted the meeting.</w:t>
      </w:r>
    </w:p>
    <w:p w14:paraId="73986483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pict w14:anchorId="15C32A17">
          <v:rect id="_x0000_i1061" style="width:0;height:1.5pt" o:hralign="center" o:hrstd="t" o:hr="t" fillcolor="#a0a0a0" stroked="f"/>
        </w:pict>
      </w:r>
    </w:p>
    <w:p w14:paraId="3854DCD8" w14:textId="77777777" w:rsidR="00E53615" w:rsidRDefault="00E53615" w:rsidP="00E53615">
      <w:pPr>
        <w:rPr>
          <w:rFonts w:ascii="Arial" w:hAnsi="Arial" w:cs="Arial"/>
          <w:b/>
          <w:bCs/>
        </w:rPr>
      </w:pPr>
      <w:r w:rsidRPr="00E53615">
        <w:rPr>
          <w:rFonts w:ascii="Arial" w:hAnsi="Arial" w:cs="Arial"/>
          <w:b/>
          <w:bCs/>
        </w:rPr>
        <w:t>II. Roll Call and Attendance</w:t>
      </w:r>
    </w:p>
    <w:p w14:paraId="5AE1696B" w14:textId="77777777" w:rsidR="00E53615" w:rsidRPr="00AF5105" w:rsidRDefault="00E53615" w:rsidP="00E5361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 xml:space="preserve">Christy Vail, Chair </w:t>
      </w:r>
    </w:p>
    <w:p w14:paraId="14960B29" w14:textId="77777777" w:rsidR="00E53615" w:rsidRPr="00AF5105" w:rsidRDefault="00E53615" w:rsidP="00E5361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Jeff Flitton, Vice</w:t>
      </w:r>
      <w:r>
        <w:rPr>
          <w:rFonts w:ascii="Arial" w:hAnsi="Arial" w:cs="Arial"/>
        </w:rPr>
        <w:t>-</w:t>
      </w:r>
      <w:r w:rsidRPr="00AF5105">
        <w:rPr>
          <w:rFonts w:ascii="Arial" w:hAnsi="Arial" w:cs="Arial"/>
        </w:rPr>
        <w:t>Chair</w:t>
      </w:r>
    </w:p>
    <w:p w14:paraId="5B36DCD7" w14:textId="77777777" w:rsidR="00E53615" w:rsidRPr="00AF5105" w:rsidRDefault="00E53615" w:rsidP="00E5361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Jeff England</w:t>
      </w:r>
      <w:r>
        <w:rPr>
          <w:rFonts w:ascii="Arial" w:hAnsi="Arial" w:cs="Arial"/>
        </w:rPr>
        <w:t xml:space="preserve"> </w:t>
      </w:r>
    </w:p>
    <w:p w14:paraId="62C2FFBE" w14:textId="77777777" w:rsidR="00E53615" w:rsidRPr="00AF5105" w:rsidRDefault="00E53615" w:rsidP="00E5361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Gina Johnson</w:t>
      </w:r>
    </w:p>
    <w:p w14:paraId="6DD9FB7B" w14:textId="77777777" w:rsidR="00E53615" w:rsidRDefault="00E53615" w:rsidP="00E53615">
      <w:pPr>
        <w:rPr>
          <w:rFonts w:ascii="Arial" w:hAnsi="Arial" w:cs="Arial"/>
        </w:rPr>
      </w:pPr>
      <w:r w:rsidRPr="00AF5105">
        <w:rPr>
          <w:rFonts w:ascii="Arial" w:hAnsi="Arial" w:cs="Arial"/>
        </w:rPr>
        <w:t>Allison Olsen</w:t>
      </w:r>
      <w:r>
        <w:rPr>
          <w:rFonts w:ascii="Arial" w:hAnsi="Arial" w:cs="Arial"/>
        </w:rPr>
        <w:t xml:space="preserve"> </w:t>
      </w:r>
    </w:p>
    <w:p w14:paraId="0DD90D57" w14:textId="77777777" w:rsidR="00E53615" w:rsidRPr="00E53615" w:rsidRDefault="00E53615" w:rsidP="00E53615">
      <w:pPr>
        <w:rPr>
          <w:rFonts w:ascii="Arial" w:hAnsi="Arial" w:cs="Arial"/>
          <w:b/>
          <w:bCs/>
        </w:rPr>
      </w:pPr>
    </w:p>
    <w:p w14:paraId="2AA909A3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  <w:b/>
          <w:bCs/>
        </w:rPr>
        <w:t>Residential Mortgage Regulatory Commission:</w:t>
      </w:r>
    </w:p>
    <w:p w14:paraId="7C7620D2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A quorum was present.</w:t>
      </w:r>
    </w:p>
    <w:p w14:paraId="6C078CF9" w14:textId="333A2E2A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  <w:b/>
          <w:bCs/>
        </w:rPr>
        <w:t>Public Attendance:</w:t>
      </w:r>
      <w:r w:rsidRPr="00E53615">
        <w:rPr>
          <w:rFonts w:ascii="Arial" w:hAnsi="Arial" w:cs="Arial"/>
        </w:rPr>
        <w:br/>
        <w:t>• Marv Everett</w:t>
      </w:r>
    </w:p>
    <w:p w14:paraId="78B81042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pict w14:anchorId="7B3280B4">
          <v:rect id="_x0000_i1062" style="width:0;height:1.5pt" o:hralign="center" o:hrstd="t" o:hr="t" fillcolor="#a0a0a0" stroked="f"/>
        </w:pict>
      </w:r>
    </w:p>
    <w:p w14:paraId="4854B215" w14:textId="77777777" w:rsidR="00E53615" w:rsidRPr="00E53615" w:rsidRDefault="00E53615" w:rsidP="00E53615">
      <w:pPr>
        <w:rPr>
          <w:rFonts w:ascii="Arial" w:hAnsi="Arial" w:cs="Arial"/>
          <w:b/>
          <w:bCs/>
        </w:rPr>
      </w:pPr>
      <w:r w:rsidRPr="00E53615">
        <w:rPr>
          <w:rFonts w:ascii="Arial" w:hAnsi="Arial" w:cs="Arial"/>
          <w:b/>
          <w:bCs/>
        </w:rPr>
        <w:t>III. Public Comment</w:t>
      </w:r>
    </w:p>
    <w:p w14:paraId="74409E13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lastRenderedPageBreak/>
        <w:t>• Jeff thanked Ms. Woods for her emails and acknowledged that she is now full-time with the Division.</w:t>
      </w:r>
      <w:r w:rsidRPr="00E53615">
        <w:rPr>
          <w:rFonts w:ascii="Arial" w:hAnsi="Arial" w:cs="Arial"/>
        </w:rPr>
        <w:br/>
        <w:t>• Ms. Woods responded that it was nice to meet Jeff in person rather than only through email.</w:t>
      </w:r>
      <w:r w:rsidRPr="00E53615">
        <w:rPr>
          <w:rFonts w:ascii="Arial" w:hAnsi="Arial" w:cs="Arial"/>
        </w:rPr>
        <w:br/>
        <w:t>• Marv Everett was present as a public guest. It was later clarified that Mr. Everett was the investigator assigned to the Amy Bloxham matter.</w:t>
      </w:r>
    </w:p>
    <w:p w14:paraId="6DFD45EC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pict w14:anchorId="5B807D1D">
          <v:rect id="_x0000_i1063" style="width:0;height:1.5pt" o:hralign="center" o:hrstd="t" o:hr="t" fillcolor="#a0a0a0" stroked="f"/>
        </w:pict>
      </w:r>
    </w:p>
    <w:p w14:paraId="287054DD" w14:textId="77777777" w:rsidR="00E53615" w:rsidRPr="00E53615" w:rsidRDefault="00E53615" w:rsidP="00E53615">
      <w:pPr>
        <w:rPr>
          <w:rFonts w:ascii="Arial" w:hAnsi="Arial" w:cs="Arial"/>
          <w:b/>
          <w:bCs/>
        </w:rPr>
      </w:pPr>
      <w:r w:rsidRPr="00E53615">
        <w:rPr>
          <w:rFonts w:ascii="Arial" w:hAnsi="Arial" w:cs="Arial"/>
          <w:b/>
          <w:bCs/>
        </w:rPr>
        <w:t>IV. Enforcement</w:t>
      </w:r>
    </w:p>
    <w:p w14:paraId="78746BF0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  <w:b/>
          <w:bCs/>
        </w:rPr>
        <w:t>Amy Bloxham – Stipulation Order (RE-25-5090)</w:t>
      </w:r>
    </w:p>
    <w:p w14:paraId="255DC53C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Chief Investigator Bin Kalin presented the stipulation order for the Commission’s consideration.</w:t>
      </w:r>
      <w:r w:rsidRPr="00E53615">
        <w:rPr>
          <w:rFonts w:ascii="Arial" w:hAnsi="Arial" w:cs="Arial"/>
        </w:rPr>
        <w:br/>
        <w:t>• The stipulation presented was the same as the original stipulation.</w:t>
      </w:r>
    </w:p>
    <w:p w14:paraId="196449C5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The respondent admitted to dishonesty, fraud, and knowingly permitting false information to be submitted to a third party.</w:t>
      </w:r>
      <w:r w:rsidRPr="00E53615">
        <w:rPr>
          <w:rFonts w:ascii="Arial" w:hAnsi="Arial" w:cs="Arial"/>
        </w:rPr>
        <w:br/>
        <w:t>• The conduct was described as a calculated fabrication of documents across multiple transactions.</w:t>
      </w:r>
    </w:p>
    <w:p w14:paraId="376EBC2B" w14:textId="6E22AF53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 xml:space="preserve">• The Division stated that its primary mandate is to protect the public. It was noted that pursuing additional litigation could jeopardize the Division’s position, as the </w:t>
      </w:r>
      <w:r w:rsidRPr="00E53615">
        <w:rPr>
          <w:rFonts w:ascii="Arial" w:hAnsi="Arial" w:cs="Arial"/>
        </w:rPr>
        <w:t>respondents’</w:t>
      </w:r>
      <w:r w:rsidRPr="00E53615">
        <w:rPr>
          <w:rFonts w:ascii="Arial" w:hAnsi="Arial" w:cs="Arial"/>
        </w:rPr>
        <w:t xml:space="preserve"> license expires on the 31st of the month.</w:t>
      </w:r>
      <w:r w:rsidRPr="00E53615">
        <w:rPr>
          <w:rFonts w:ascii="Arial" w:hAnsi="Arial" w:cs="Arial"/>
        </w:rPr>
        <w:br/>
        <w:t>• An expired license with revoked residual rights does not carry the same weight as a formal revocation of an active license and does not provide permanent protection on the public record.</w:t>
      </w:r>
    </w:p>
    <w:p w14:paraId="2E35A0E7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Acceptance of the stipulation provides finality, as the respondent waived all appeal rights and executed a confession of judgment.</w:t>
      </w:r>
      <w:r w:rsidRPr="00E53615">
        <w:rPr>
          <w:rFonts w:ascii="Arial" w:hAnsi="Arial" w:cs="Arial"/>
        </w:rPr>
        <w:br/>
        <w:t>• Acceptance would also allow the Division to publish the details of the scheme in the January newsletter, providing notice to federal agencies and the public.</w:t>
      </w:r>
    </w:p>
    <w:p w14:paraId="5A6A8B3E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The stipulation proposes a $10,000 civil penalty and immediate revocation of the respondent’s license.</w:t>
      </w:r>
      <w:r w:rsidRPr="00E53615">
        <w:rPr>
          <w:rFonts w:ascii="Arial" w:hAnsi="Arial" w:cs="Arial"/>
        </w:rPr>
        <w:br/>
        <w:t>• The revocation permanently bars the respondent from receiving a mortgage license in the State of Utah.</w:t>
      </w:r>
    </w:p>
    <w:p w14:paraId="446CB4BF" w14:textId="166BA061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 xml:space="preserve">• Mr. Everett confirmed that the respondent was an unsophisticated loan originator and did not </w:t>
      </w:r>
      <w:r w:rsidRPr="00E53615">
        <w:rPr>
          <w:rFonts w:ascii="Arial" w:hAnsi="Arial" w:cs="Arial"/>
        </w:rPr>
        <w:t>originate in</w:t>
      </w:r>
      <w:r w:rsidRPr="00E53615">
        <w:rPr>
          <w:rFonts w:ascii="Arial" w:hAnsi="Arial" w:cs="Arial"/>
        </w:rPr>
        <w:t xml:space="preserve"> the fraudulent </w:t>
      </w:r>
      <w:r w:rsidRPr="00E53615">
        <w:rPr>
          <w:rFonts w:ascii="Arial" w:hAnsi="Arial" w:cs="Arial"/>
        </w:rPr>
        <w:t>scheme but</w:t>
      </w:r>
      <w:r w:rsidRPr="00E53615">
        <w:rPr>
          <w:rFonts w:ascii="Arial" w:hAnsi="Arial" w:cs="Arial"/>
        </w:rPr>
        <w:t xml:space="preserve"> processed the transactions and is ultimately responsible.</w:t>
      </w:r>
      <w:r w:rsidRPr="00E53615">
        <w:rPr>
          <w:rFonts w:ascii="Arial" w:hAnsi="Arial" w:cs="Arial"/>
        </w:rPr>
        <w:br/>
        <w:t>• He stated that the respondent understands the seriousness of the misconduct.</w:t>
      </w:r>
    </w:p>
    <w:p w14:paraId="195EDA75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Revocation was identified as the most important enforcement action to prevent the respondent from obtaining any other professional license without disclosure of the Division’s action.</w:t>
      </w:r>
    </w:p>
    <w:p w14:paraId="66EF7086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The civil penalty includes a payment plan to ensure the respondent’s ability to pay. While a three-year term was discussed, the stipulation specifies a 24-month payment period.</w:t>
      </w:r>
    </w:p>
    <w:p w14:paraId="0ABCC376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The investigation originated from a complaint received from another licensee.</w:t>
      </w:r>
      <w:r w:rsidRPr="00E53615">
        <w:rPr>
          <w:rFonts w:ascii="Arial" w:hAnsi="Arial" w:cs="Arial"/>
        </w:rPr>
        <w:br/>
        <w:t>• The fraudulent activity involved gift letters from relatives who had borrowed the funds themselves.</w:t>
      </w:r>
      <w:r w:rsidRPr="00E53615">
        <w:rPr>
          <w:rFonts w:ascii="Arial" w:hAnsi="Arial" w:cs="Arial"/>
        </w:rPr>
        <w:br/>
        <w:t>• The conduct occurred over a period of slightly more than one year.</w:t>
      </w:r>
    </w:p>
    <w:p w14:paraId="06A3463C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pict w14:anchorId="6B4CA7F6">
          <v:rect id="_x0000_i1064" style="width:0;height:1.5pt" o:hralign="center" o:hrstd="t" o:hr="t" fillcolor="#a0a0a0" stroked="f"/>
        </w:pict>
      </w:r>
    </w:p>
    <w:p w14:paraId="40CA2066" w14:textId="77777777" w:rsidR="00E53615" w:rsidRPr="00E53615" w:rsidRDefault="00E53615" w:rsidP="00E53615">
      <w:pPr>
        <w:rPr>
          <w:rFonts w:ascii="Arial" w:hAnsi="Arial" w:cs="Arial"/>
          <w:b/>
          <w:bCs/>
        </w:rPr>
      </w:pPr>
      <w:r w:rsidRPr="00E53615">
        <w:rPr>
          <w:rFonts w:ascii="Arial" w:hAnsi="Arial" w:cs="Arial"/>
          <w:b/>
          <w:bCs/>
        </w:rPr>
        <w:lastRenderedPageBreak/>
        <w:t>V. Executive (Closed) Session</w:t>
      </w:r>
    </w:p>
    <w:p w14:paraId="2549B02A" w14:textId="053D0CC0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 xml:space="preserve">• A motion was made and seconded to close the public portion of the meeting and </w:t>
      </w:r>
      <w:r w:rsidRPr="00E53615">
        <w:rPr>
          <w:rFonts w:ascii="Arial" w:hAnsi="Arial" w:cs="Arial"/>
        </w:rPr>
        <w:t>enter</w:t>
      </w:r>
      <w:r w:rsidRPr="00E53615">
        <w:rPr>
          <w:rFonts w:ascii="Arial" w:hAnsi="Arial" w:cs="Arial"/>
        </w:rPr>
        <w:t xml:space="preserve"> executive session for the purpose of discussing the character, professional competence, or physical or mental health of an individual.</w:t>
      </w:r>
      <w:r w:rsidRPr="00E53615">
        <w:rPr>
          <w:rFonts w:ascii="Arial" w:hAnsi="Arial" w:cs="Arial"/>
        </w:rPr>
        <w:br/>
        <w:t>• The motion passed.</w:t>
      </w:r>
    </w:p>
    <w:p w14:paraId="16F7FD33" w14:textId="3308395A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 xml:space="preserve">• The public session </w:t>
      </w:r>
      <w:r w:rsidRPr="00E53615">
        <w:rPr>
          <w:rFonts w:ascii="Arial" w:hAnsi="Arial" w:cs="Arial"/>
        </w:rPr>
        <w:t>was reconvened</w:t>
      </w:r>
      <w:r w:rsidRPr="00E53615">
        <w:rPr>
          <w:rFonts w:ascii="Arial" w:hAnsi="Arial" w:cs="Arial"/>
        </w:rPr>
        <w:t>.</w:t>
      </w:r>
    </w:p>
    <w:p w14:paraId="42B93B02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pict w14:anchorId="76D46DD1">
          <v:rect id="_x0000_i1065" style="width:0;height:1.5pt" o:hralign="center" o:hrstd="t" o:hr="t" fillcolor="#a0a0a0" stroked="f"/>
        </w:pict>
      </w:r>
    </w:p>
    <w:p w14:paraId="57199F61" w14:textId="77777777" w:rsidR="00E53615" w:rsidRPr="00E53615" w:rsidRDefault="00E53615" w:rsidP="00E53615">
      <w:pPr>
        <w:rPr>
          <w:rFonts w:ascii="Arial" w:hAnsi="Arial" w:cs="Arial"/>
          <w:b/>
          <w:bCs/>
        </w:rPr>
      </w:pPr>
      <w:r w:rsidRPr="00E53615">
        <w:rPr>
          <w:rFonts w:ascii="Arial" w:hAnsi="Arial" w:cs="Arial"/>
          <w:b/>
          <w:bCs/>
        </w:rPr>
        <w:t>VI. Action Taken</w:t>
      </w:r>
    </w:p>
    <w:p w14:paraId="0D043C69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A motion was made and seconded to accept the stipulation as written in the matter of Amy Bloxham, RE-25-5090.</w:t>
      </w:r>
      <w:r w:rsidRPr="00E53615">
        <w:rPr>
          <w:rFonts w:ascii="Arial" w:hAnsi="Arial" w:cs="Arial"/>
        </w:rPr>
        <w:br/>
        <w:t>• The motion passed unanimously.</w:t>
      </w:r>
      <w:r w:rsidRPr="00E53615">
        <w:rPr>
          <w:rFonts w:ascii="Arial" w:hAnsi="Arial" w:cs="Arial"/>
        </w:rPr>
        <w:br/>
        <w:t>• The Division concurred.</w:t>
      </w:r>
    </w:p>
    <w:p w14:paraId="768E3865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pict w14:anchorId="4E85E908">
          <v:rect id="_x0000_i1066" style="width:0;height:1.5pt" o:hralign="center" o:hrstd="t" o:hr="t" fillcolor="#a0a0a0" stroked="f"/>
        </w:pict>
      </w:r>
    </w:p>
    <w:p w14:paraId="491679FF" w14:textId="77777777" w:rsidR="00E53615" w:rsidRPr="00E53615" w:rsidRDefault="00E53615" w:rsidP="00E53615">
      <w:pPr>
        <w:rPr>
          <w:rFonts w:ascii="Arial" w:hAnsi="Arial" w:cs="Arial"/>
          <w:b/>
          <w:bCs/>
        </w:rPr>
      </w:pPr>
      <w:r w:rsidRPr="00E53615">
        <w:rPr>
          <w:rFonts w:ascii="Arial" w:hAnsi="Arial" w:cs="Arial"/>
          <w:b/>
          <w:bCs/>
        </w:rPr>
        <w:t>VII. Adjournment</w:t>
      </w:r>
    </w:p>
    <w:p w14:paraId="7E52F67D" w14:textId="77777777" w:rsidR="00E53615" w:rsidRPr="00E53615" w:rsidRDefault="00E53615" w:rsidP="00E53615">
      <w:pPr>
        <w:rPr>
          <w:rFonts w:ascii="Arial" w:hAnsi="Arial" w:cs="Arial"/>
        </w:rPr>
      </w:pPr>
      <w:r w:rsidRPr="00E53615">
        <w:rPr>
          <w:rFonts w:ascii="Arial" w:hAnsi="Arial" w:cs="Arial"/>
        </w:rPr>
        <w:t>• A motion was made and seconded to adjourn the meeting.</w:t>
      </w:r>
      <w:r w:rsidRPr="00E53615">
        <w:rPr>
          <w:rFonts w:ascii="Arial" w:hAnsi="Arial" w:cs="Arial"/>
        </w:rPr>
        <w:br/>
        <w:t>• The motion passed, and the meeting was adjourned.</w:t>
      </w:r>
    </w:p>
    <w:p w14:paraId="70A97023" w14:textId="77777777" w:rsidR="00E53615" w:rsidRPr="00951C68" w:rsidRDefault="00E53615" w:rsidP="00E53615">
      <w:pPr>
        <w:rPr>
          <w:rFonts w:ascii="Arial" w:hAnsi="Arial" w:cs="Arial"/>
        </w:rPr>
      </w:pPr>
    </w:p>
    <w:p w14:paraId="47722D11" w14:textId="77777777" w:rsidR="00487D12" w:rsidRDefault="00487D12" w:rsidP="00441040">
      <w:pPr>
        <w:rPr>
          <w:rFonts w:ascii="Arial" w:hAnsi="Arial" w:cs="Arial"/>
        </w:rPr>
      </w:pPr>
    </w:p>
    <w:p w14:paraId="3C9F6494" w14:textId="77777777" w:rsidR="00487D12" w:rsidRPr="00DC53AC" w:rsidRDefault="00487D12" w:rsidP="00441040">
      <w:pPr>
        <w:rPr>
          <w:rFonts w:ascii="Arial" w:hAnsi="Arial" w:cs="Arial"/>
        </w:rPr>
      </w:pPr>
    </w:p>
    <w:sectPr w:rsidR="00487D12" w:rsidRPr="00DC5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D6E5" w14:textId="77777777" w:rsidR="00AC0946" w:rsidRDefault="00AC0946" w:rsidP="00AC0946">
      <w:pPr>
        <w:spacing w:after="0" w:line="240" w:lineRule="auto"/>
      </w:pPr>
      <w:r>
        <w:separator/>
      </w:r>
    </w:p>
  </w:endnote>
  <w:endnote w:type="continuationSeparator" w:id="0">
    <w:p w14:paraId="0FEB20FB" w14:textId="77777777" w:rsidR="00AC0946" w:rsidRDefault="00AC0946" w:rsidP="00AC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F887" w14:textId="77777777" w:rsidR="00DF49AD" w:rsidRDefault="00DF4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052201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662833" w14:textId="2BB73E1D" w:rsidR="00AC0946" w:rsidRPr="00AC0946" w:rsidRDefault="00AC0946">
            <w:pPr>
              <w:pStyle w:val="Footer"/>
              <w:jc w:val="center"/>
              <w:rPr>
                <w:rFonts w:ascii="Arial" w:hAnsi="Arial" w:cs="Arial"/>
              </w:rPr>
            </w:pPr>
            <w:r w:rsidRPr="00AC0946">
              <w:rPr>
                <w:rFonts w:ascii="Arial" w:hAnsi="Arial" w:cs="Arial"/>
              </w:rPr>
              <w:t xml:space="preserve">Page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PAGE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C0946">
              <w:rPr>
                <w:rFonts w:ascii="Arial" w:hAnsi="Arial" w:cs="Arial"/>
              </w:rPr>
              <w:t xml:space="preserve"> of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NUMPAGES 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F7E90" w14:textId="77777777" w:rsidR="00AC0946" w:rsidRDefault="00AC0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63BD" w14:textId="77777777" w:rsidR="00DF49AD" w:rsidRDefault="00DF4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3636" w14:textId="77777777" w:rsidR="00AC0946" w:rsidRDefault="00AC0946" w:rsidP="00AC0946">
      <w:pPr>
        <w:spacing w:after="0" w:line="240" w:lineRule="auto"/>
      </w:pPr>
      <w:r>
        <w:separator/>
      </w:r>
    </w:p>
  </w:footnote>
  <w:footnote w:type="continuationSeparator" w:id="0">
    <w:p w14:paraId="65E74C71" w14:textId="77777777" w:rsidR="00AC0946" w:rsidRDefault="00AC0946" w:rsidP="00AC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08F4" w14:textId="62A305ED" w:rsidR="00DF49AD" w:rsidRDefault="00E53615">
    <w:pPr>
      <w:pStyle w:val="Header"/>
    </w:pPr>
    <w:r>
      <w:rPr>
        <w:noProof/>
      </w:rPr>
      <w:pict w14:anchorId="7F866A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94016" o:spid="_x0000_s4098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7EA9" w14:textId="4E43106F" w:rsidR="00DF49AD" w:rsidRDefault="00E53615">
    <w:pPr>
      <w:pStyle w:val="Header"/>
    </w:pPr>
    <w:r>
      <w:rPr>
        <w:noProof/>
      </w:rPr>
      <w:pict w14:anchorId="150DD2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94017" o:spid="_x0000_s4099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ECE6" w14:textId="4210924B" w:rsidR="00DF49AD" w:rsidRDefault="00E53615">
    <w:pPr>
      <w:pStyle w:val="Header"/>
    </w:pPr>
    <w:r>
      <w:rPr>
        <w:noProof/>
      </w:rPr>
      <w:pict w14:anchorId="65D89D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94015" o:spid="_x0000_s4097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5DB"/>
    <w:multiLevelType w:val="hybridMultilevel"/>
    <w:tmpl w:val="A1D0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52D5"/>
    <w:multiLevelType w:val="hybridMultilevel"/>
    <w:tmpl w:val="D758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1735"/>
    <w:multiLevelType w:val="hybridMultilevel"/>
    <w:tmpl w:val="30A6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61119"/>
    <w:multiLevelType w:val="hybridMultilevel"/>
    <w:tmpl w:val="62B0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80003"/>
    <w:multiLevelType w:val="hybridMultilevel"/>
    <w:tmpl w:val="30E4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8377">
    <w:abstractNumId w:val="1"/>
  </w:num>
  <w:num w:numId="2" w16cid:durableId="1224561345">
    <w:abstractNumId w:val="3"/>
  </w:num>
  <w:num w:numId="3" w16cid:durableId="634523711">
    <w:abstractNumId w:val="2"/>
  </w:num>
  <w:num w:numId="4" w16cid:durableId="635136274">
    <w:abstractNumId w:val="0"/>
  </w:num>
  <w:num w:numId="5" w16cid:durableId="831482421">
    <w:abstractNumId w:val="4"/>
  </w:num>
  <w:num w:numId="6" w16cid:durableId="1363049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46815"/>
    <w:rsid w:val="0008182D"/>
    <w:rsid w:val="000B167A"/>
    <w:rsid w:val="000B2F03"/>
    <w:rsid w:val="000E5948"/>
    <w:rsid w:val="000F5401"/>
    <w:rsid w:val="001632D7"/>
    <w:rsid w:val="001710F4"/>
    <w:rsid w:val="002A0B96"/>
    <w:rsid w:val="00324511"/>
    <w:rsid w:val="003F614F"/>
    <w:rsid w:val="00417671"/>
    <w:rsid w:val="00426AC4"/>
    <w:rsid w:val="00441040"/>
    <w:rsid w:val="00487D12"/>
    <w:rsid w:val="004D34BF"/>
    <w:rsid w:val="00504296"/>
    <w:rsid w:val="006048A8"/>
    <w:rsid w:val="006527BE"/>
    <w:rsid w:val="00690BA3"/>
    <w:rsid w:val="006C4F54"/>
    <w:rsid w:val="006D77F6"/>
    <w:rsid w:val="006F678B"/>
    <w:rsid w:val="00751DFB"/>
    <w:rsid w:val="007B42A2"/>
    <w:rsid w:val="0085741F"/>
    <w:rsid w:val="00875782"/>
    <w:rsid w:val="008F4922"/>
    <w:rsid w:val="009008F7"/>
    <w:rsid w:val="00931B3F"/>
    <w:rsid w:val="009452B3"/>
    <w:rsid w:val="00951C68"/>
    <w:rsid w:val="009E03EF"/>
    <w:rsid w:val="00A061DB"/>
    <w:rsid w:val="00A33A65"/>
    <w:rsid w:val="00A50F97"/>
    <w:rsid w:val="00A84099"/>
    <w:rsid w:val="00A9418E"/>
    <w:rsid w:val="00AC0946"/>
    <w:rsid w:val="00AF5105"/>
    <w:rsid w:val="00B21500"/>
    <w:rsid w:val="00B26A16"/>
    <w:rsid w:val="00B7086A"/>
    <w:rsid w:val="00B75C9F"/>
    <w:rsid w:val="00B96531"/>
    <w:rsid w:val="00BA6056"/>
    <w:rsid w:val="00BB3457"/>
    <w:rsid w:val="00BB5192"/>
    <w:rsid w:val="00BC3CF5"/>
    <w:rsid w:val="00C64018"/>
    <w:rsid w:val="00C6733B"/>
    <w:rsid w:val="00CB0239"/>
    <w:rsid w:val="00CD5D4B"/>
    <w:rsid w:val="00CE38D3"/>
    <w:rsid w:val="00D003F9"/>
    <w:rsid w:val="00D93C84"/>
    <w:rsid w:val="00D944DB"/>
    <w:rsid w:val="00DB228A"/>
    <w:rsid w:val="00DC53AC"/>
    <w:rsid w:val="00DF49AD"/>
    <w:rsid w:val="00E235D1"/>
    <w:rsid w:val="00E247B1"/>
    <w:rsid w:val="00E53615"/>
    <w:rsid w:val="00E53EA3"/>
    <w:rsid w:val="00E81FBE"/>
    <w:rsid w:val="00EA682C"/>
    <w:rsid w:val="00EC712D"/>
    <w:rsid w:val="00F00376"/>
    <w:rsid w:val="00F5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946"/>
  </w:style>
  <w:style w:type="paragraph" w:styleId="Footer">
    <w:name w:val="footer"/>
    <w:basedOn w:val="Normal"/>
    <w:link w:val="Foot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4447-96C0-4F66-8383-6E8F4AF8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63</cp:revision>
  <dcterms:created xsi:type="dcterms:W3CDTF">2025-04-02T15:20:00Z</dcterms:created>
  <dcterms:modified xsi:type="dcterms:W3CDTF">2025-12-24T16:07:00Z</dcterms:modified>
</cp:coreProperties>
</file>