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4010" w14:textId="77777777" w:rsidR="00B93404" w:rsidRPr="00F20BCF" w:rsidRDefault="00B93404" w:rsidP="00B93404">
      <w:pPr>
        <w:jc w:val="center"/>
        <w:rPr>
          <w:sz w:val="22"/>
          <w:szCs w:val="22"/>
        </w:rPr>
      </w:pPr>
      <w:r w:rsidRPr="00F20BCF">
        <w:rPr>
          <w:sz w:val="22"/>
          <w:szCs w:val="22"/>
        </w:rPr>
        <w:t>Enforcement Council</w:t>
      </w:r>
    </w:p>
    <w:p w14:paraId="687D6187" w14:textId="77777777" w:rsidR="00B93404" w:rsidRPr="00F20BCF" w:rsidRDefault="00B93404" w:rsidP="00B93404">
      <w:pPr>
        <w:jc w:val="center"/>
        <w:rPr>
          <w:sz w:val="22"/>
          <w:szCs w:val="22"/>
        </w:rPr>
      </w:pPr>
      <w:r w:rsidRPr="00F20BCF">
        <w:rPr>
          <w:sz w:val="22"/>
          <w:szCs w:val="22"/>
        </w:rPr>
        <w:t>Labor Commission, 160 East 300 South, Salt Lake City</w:t>
      </w:r>
    </w:p>
    <w:p w14:paraId="2D136F55" w14:textId="509003F6" w:rsidR="00B93404" w:rsidRDefault="009A0BFE" w:rsidP="00B93404">
      <w:pPr>
        <w:jc w:val="center"/>
        <w:rPr>
          <w:b/>
          <w:sz w:val="22"/>
          <w:szCs w:val="22"/>
        </w:rPr>
      </w:pPr>
      <w:r>
        <w:rPr>
          <w:b/>
          <w:sz w:val="22"/>
          <w:szCs w:val="22"/>
        </w:rPr>
        <w:t>December 2</w:t>
      </w:r>
      <w:r w:rsidR="00BA0368">
        <w:rPr>
          <w:b/>
          <w:sz w:val="22"/>
          <w:szCs w:val="22"/>
        </w:rPr>
        <w:t>,</w:t>
      </w:r>
      <w:r w:rsidR="003F753C">
        <w:rPr>
          <w:b/>
          <w:sz w:val="22"/>
          <w:szCs w:val="22"/>
        </w:rPr>
        <w:t xml:space="preserve"> 2025</w:t>
      </w:r>
      <w:r w:rsidR="00B93404">
        <w:rPr>
          <w:b/>
          <w:sz w:val="22"/>
          <w:szCs w:val="22"/>
        </w:rPr>
        <w:t xml:space="preserve"> </w:t>
      </w:r>
      <w:r w:rsidR="009B3548">
        <w:rPr>
          <w:b/>
          <w:sz w:val="22"/>
          <w:szCs w:val="22"/>
        </w:rPr>
        <w:t xml:space="preserve">- </w:t>
      </w:r>
      <w:r w:rsidR="00B93404">
        <w:rPr>
          <w:b/>
          <w:sz w:val="22"/>
          <w:szCs w:val="22"/>
        </w:rPr>
        <w:t>9:3</w:t>
      </w:r>
      <w:r w:rsidR="00B93404" w:rsidRPr="00D77820">
        <w:rPr>
          <w:b/>
          <w:sz w:val="22"/>
          <w:szCs w:val="22"/>
        </w:rPr>
        <w:t>0 a.m.</w:t>
      </w:r>
    </w:p>
    <w:p w14:paraId="5DA2C9F2" w14:textId="77777777" w:rsidR="00B93404" w:rsidRDefault="00B93404" w:rsidP="00B93404">
      <w:pPr>
        <w:rPr>
          <w:sz w:val="22"/>
          <w:szCs w:val="22"/>
        </w:rPr>
      </w:pPr>
    </w:p>
    <w:p w14:paraId="492A4059" w14:textId="77777777" w:rsidR="00B93404" w:rsidRDefault="00B93404" w:rsidP="00B93404">
      <w:pPr>
        <w:rPr>
          <w:sz w:val="22"/>
          <w:szCs w:val="22"/>
        </w:rPr>
      </w:pPr>
      <w:r w:rsidRPr="00F20BCF">
        <w:rPr>
          <w:b/>
          <w:sz w:val="22"/>
          <w:szCs w:val="22"/>
        </w:rPr>
        <w:t>Council Members Present:</w:t>
      </w:r>
      <w:r w:rsidRPr="00F20BCF">
        <w:rPr>
          <w:sz w:val="22"/>
          <w:szCs w:val="22"/>
        </w:rPr>
        <w:tab/>
      </w:r>
      <w:bookmarkStart w:id="0" w:name="_Hlk181974871"/>
      <w:r>
        <w:rPr>
          <w:sz w:val="22"/>
          <w:szCs w:val="22"/>
        </w:rPr>
        <w:t>Chris Hill, Chair</w:t>
      </w:r>
      <w:r>
        <w:rPr>
          <w:sz w:val="22"/>
          <w:szCs w:val="22"/>
        </w:rPr>
        <w:tab/>
      </w:r>
      <w:r>
        <w:rPr>
          <w:sz w:val="22"/>
          <w:szCs w:val="22"/>
        </w:rPr>
        <w:tab/>
      </w:r>
      <w:r>
        <w:rPr>
          <w:sz w:val="22"/>
          <w:szCs w:val="22"/>
        </w:rPr>
        <w:tab/>
        <w:t xml:space="preserve">Deputy Commissioner, Labor Commission </w:t>
      </w:r>
    </w:p>
    <w:p w14:paraId="2142159B" w14:textId="77777777" w:rsidR="00DA17F2" w:rsidRPr="00EA2A71" w:rsidRDefault="00DA17F2" w:rsidP="00DA17F2">
      <w:pPr>
        <w:ind w:left="720" w:hanging="720"/>
        <w:rPr>
          <w:b/>
          <w:sz w:val="22"/>
          <w:szCs w:val="22"/>
        </w:rPr>
      </w:pPr>
      <w:r>
        <w:t xml:space="preserve">                                                    </w:t>
      </w:r>
      <w:r w:rsidRPr="00842353">
        <w:t xml:space="preserve"> </w:t>
      </w:r>
      <w:r>
        <w:rPr>
          <w:sz w:val="22"/>
          <w:szCs w:val="22"/>
        </w:rPr>
        <w:t xml:space="preserve">Todd Jenson </w:t>
      </w:r>
      <w:r>
        <w:rPr>
          <w:sz w:val="22"/>
          <w:szCs w:val="22"/>
        </w:rPr>
        <w:tab/>
      </w:r>
      <w:r>
        <w:rPr>
          <w:sz w:val="22"/>
          <w:szCs w:val="22"/>
        </w:rPr>
        <w:tab/>
      </w:r>
      <w:r>
        <w:rPr>
          <w:sz w:val="22"/>
          <w:szCs w:val="22"/>
        </w:rPr>
        <w:tab/>
        <w:t>Assistant Attorney General</w:t>
      </w:r>
    </w:p>
    <w:p w14:paraId="3BD042D9" w14:textId="2AFA5FEF" w:rsidR="00673202" w:rsidRPr="00120D74" w:rsidRDefault="004A356A" w:rsidP="00F07BE1">
      <w:pPr>
        <w:ind w:firstLine="2175"/>
      </w:pPr>
      <w:r>
        <w:t xml:space="preserve">       </w:t>
      </w:r>
      <w:bookmarkEnd w:id="0"/>
      <w:r w:rsidR="00673202">
        <w:rPr>
          <w:sz w:val="22"/>
          <w:szCs w:val="22"/>
        </w:rPr>
        <w:tab/>
      </w:r>
      <w:r w:rsidR="00673202" w:rsidRPr="00842353">
        <w:t xml:space="preserve">Allyson Pettley  </w:t>
      </w:r>
      <w:r w:rsidR="00673202">
        <w:t xml:space="preserve">                        Bureau Manager, </w:t>
      </w:r>
      <w:r w:rsidR="00AC7315">
        <w:t>Division of</w:t>
      </w:r>
      <w:r w:rsidR="00673202">
        <w:t xml:space="preserve"> Professional Licensing,</w:t>
      </w:r>
      <w:r w:rsidR="00673202">
        <w:rPr>
          <w:b/>
          <w:sz w:val="22"/>
          <w:szCs w:val="22"/>
        </w:rPr>
        <w:t xml:space="preserve"> </w:t>
      </w:r>
      <w:r w:rsidR="00673202">
        <w:t xml:space="preserve">Utah Department of                                          </w:t>
      </w:r>
      <w:r w:rsidR="00673202">
        <w:tab/>
        <w:t xml:space="preserve">                                                     </w:t>
      </w:r>
      <w:r w:rsidR="00F07BE1">
        <w:t xml:space="preserve">                                        </w:t>
      </w:r>
      <w:r w:rsidR="00673202">
        <w:t xml:space="preserve">Commerce                                                                                   </w:t>
      </w:r>
    </w:p>
    <w:p w14:paraId="3CD0A7BE" w14:textId="696E279B" w:rsidR="00120D74" w:rsidRPr="00DA17F2" w:rsidRDefault="009A0BFE" w:rsidP="00120D74">
      <w:pPr>
        <w:ind w:left="2160" w:firstLine="720"/>
      </w:pPr>
      <w:bookmarkStart w:id="1" w:name="_Hlk217993636"/>
      <w:r>
        <w:rPr>
          <w:sz w:val="22"/>
          <w:szCs w:val="22"/>
        </w:rPr>
        <w:t xml:space="preserve">Mike Miller </w:t>
      </w:r>
      <w:r>
        <w:rPr>
          <w:sz w:val="22"/>
          <w:szCs w:val="22"/>
        </w:rPr>
        <w:tab/>
      </w:r>
      <w:r>
        <w:rPr>
          <w:sz w:val="22"/>
          <w:szCs w:val="22"/>
        </w:rPr>
        <w:tab/>
        <w:t xml:space="preserve">              Unemployment Insurance Division, Department of Workforce Services</w:t>
      </w:r>
    </w:p>
    <w:bookmarkEnd w:id="1"/>
    <w:p w14:paraId="5A82A404" w14:textId="77777777" w:rsidR="00842353" w:rsidRDefault="00842353" w:rsidP="00B93404">
      <w:pPr>
        <w:rPr>
          <w:sz w:val="22"/>
          <w:szCs w:val="22"/>
        </w:rPr>
      </w:pPr>
    </w:p>
    <w:p w14:paraId="3A70A6B2" w14:textId="77777777" w:rsidR="00F1158D" w:rsidRDefault="00833F63" w:rsidP="00120D74">
      <w:pPr>
        <w:rPr>
          <w:b/>
          <w:sz w:val="22"/>
          <w:szCs w:val="22"/>
        </w:rPr>
      </w:pPr>
      <w:r>
        <w:rPr>
          <w:b/>
          <w:sz w:val="22"/>
          <w:szCs w:val="22"/>
        </w:rPr>
        <w:t xml:space="preserve">                          </w:t>
      </w:r>
      <w:r w:rsidR="00842353">
        <w:rPr>
          <w:b/>
          <w:sz w:val="22"/>
          <w:szCs w:val="22"/>
        </w:rPr>
        <w:t xml:space="preserve">                               </w:t>
      </w:r>
      <w:r w:rsidR="002C24C6">
        <w:rPr>
          <w:b/>
          <w:sz w:val="22"/>
          <w:szCs w:val="22"/>
        </w:rPr>
        <w:tab/>
      </w:r>
    </w:p>
    <w:p w14:paraId="60BC3D26" w14:textId="617757D0" w:rsidR="004A356A" w:rsidRPr="00F1158D" w:rsidRDefault="00B93404" w:rsidP="00120D74">
      <w:pPr>
        <w:rPr>
          <w:b/>
          <w:sz w:val="22"/>
          <w:szCs w:val="22"/>
        </w:rPr>
      </w:pPr>
      <w:r w:rsidRPr="00795374">
        <w:rPr>
          <w:b/>
          <w:sz w:val="22"/>
          <w:szCs w:val="22"/>
        </w:rPr>
        <w:t>Council Members Excused</w:t>
      </w:r>
      <w:r>
        <w:rPr>
          <w:sz w:val="22"/>
          <w:szCs w:val="22"/>
        </w:rPr>
        <w:t>:</w:t>
      </w:r>
      <w:r w:rsidRPr="00F20BCF">
        <w:rPr>
          <w:sz w:val="22"/>
          <w:szCs w:val="22"/>
        </w:rPr>
        <w:tab/>
      </w:r>
    </w:p>
    <w:p w14:paraId="0C45D65D" w14:textId="13A2F500" w:rsidR="00120D74" w:rsidRDefault="00120D74" w:rsidP="00120D74">
      <w:pPr>
        <w:ind w:left="2160" w:firstLine="720"/>
      </w:pPr>
    </w:p>
    <w:p w14:paraId="40F3AE42" w14:textId="77777777" w:rsidR="00F07BE1" w:rsidRPr="00DA17F2" w:rsidRDefault="00F07BE1" w:rsidP="009A0BFE">
      <w:pPr>
        <w:ind w:left="2160" w:firstLine="720"/>
        <w:rPr>
          <w:sz w:val="22"/>
          <w:szCs w:val="22"/>
        </w:rPr>
      </w:pPr>
      <w:bookmarkStart w:id="2" w:name="_Hlk213414952"/>
      <w:r>
        <w:t xml:space="preserve">Justin Williams                          Unemployment Insurance Division Director, Department of Workforce </w:t>
      </w:r>
    </w:p>
    <w:p w14:paraId="5F70F6F6" w14:textId="77777777" w:rsidR="00F07BE1" w:rsidRDefault="00F07BE1" w:rsidP="00F07BE1">
      <w:pPr>
        <w:ind w:left="2160" w:firstLine="720"/>
      </w:pPr>
      <w:r>
        <w:rPr>
          <w:b/>
          <w:sz w:val="22"/>
          <w:szCs w:val="22"/>
        </w:rPr>
        <w:t xml:space="preserve">                                                          </w:t>
      </w:r>
      <w:r>
        <w:t>Services</w:t>
      </w:r>
    </w:p>
    <w:p w14:paraId="1B197667" w14:textId="77777777" w:rsidR="00F07BE1" w:rsidRDefault="00F07BE1" w:rsidP="00F07BE1">
      <w:pPr>
        <w:ind w:left="2160" w:firstLine="720"/>
      </w:pPr>
      <w:bookmarkStart w:id="3" w:name="_Hlk213414968"/>
      <w:r>
        <w:rPr>
          <w:sz w:val="22"/>
          <w:szCs w:val="22"/>
        </w:rPr>
        <w:t xml:space="preserve">Angie Hillas                                     </w:t>
      </w:r>
      <w:r>
        <w:t>Director, Income Tax and Education Division, Utah State Tax Commission</w:t>
      </w:r>
    </w:p>
    <w:bookmarkEnd w:id="3"/>
    <w:p w14:paraId="3826C1B1" w14:textId="77777777" w:rsidR="00F07BE1" w:rsidRDefault="00F07BE1" w:rsidP="00F07BE1">
      <w:pPr>
        <w:ind w:left="2160" w:firstLine="720"/>
      </w:pPr>
    </w:p>
    <w:bookmarkEnd w:id="2"/>
    <w:p w14:paraId="2C11C65D" w14:textId="77777777" w:rsidR="00F07BE1" w:rsidRDefault="00F07BE1" w:rsidP="00120D74">
      <w:pPr>
        <w:ind w:left="2160" w:firstLine="720"/>
      </w:pPr>
    </w:p>
    <w:p w14:paraId="1494F960" w14:textId="77777777" w:rsidR="00C152A2" w:rsidRDefault="00C152A2" w:rsidP="00C152A2">
      <w:pPr>
        <w:rPr>
          <w:b/>
          <w:sz w:val="22"/>
          <w:szCs w:val="22"/>
        </w:rPr>
      </w:pPr>
    </w:p>
    <w:p w14:paraId="44A8739D" w14:textId="77777777" w:rsidR="00673202" w:rsidRDefault="00673202" w:rsidP="00C152A2">
      <w:pPr>
        <w:rPr>
          <w:b/>
          <w:sz w:val="22"/>
          <w:szCs w:val="22"/>
        </w:rPr>
      </w:pPr>
    </w:p>
    <w:p w14:paraId="42D7707D" w14:textId="0B11CB14" w:rsidR="00B93404" w:rsidRPr="00F20BCF" w:rsidRDefault="00B93404" w:rsidP="00C152A2">
      <w:pPr>
        <w:rPr>
          <w:sz w:val="22"/>
          <w:szCs w:val="22"/>
        </w:rPr>
      </w:pPr>
      <w:r w:rsidRPr="00F20BCF">
        <w:rPr>
          <w:b/>
          <w:sz w:val="22"/>
          <w:szCs w:val="22"/>
        </w:rPr>
        <w:t>Visitors:</w:t>
      </w:r>
      <w:r w:rsidRPr="00F20BCF">
        <w:rPr>
          <w:sz w:val="22"/>
          <w:szCs w:val="22"/>
        </w:rPr>
        <w:t xml:space="preserve"> </w:t>
      </w:r>
      <w:r w:rsidRPr="00F20BCF">
        <w:rPr>
          <w:sz w:val="22"/>
          <w:szCs w:val="22"/>
        </w:rPr>
        <w:tab/>
      </w:r>
      <w:r w:rsidRPr="00F20BCF">
        <w:rPr>
          <w:sz w:val="22"/>
          <w:szCs w:val="22"/>
        </w:rPr>
        <w:tab/>
      </w:r>
      <w:r w:rsidRPr="00F20BCF">
        <w:rPr>
          <w:sz w:val="22"/>
          <w:szCs w:val="22"/>
        </w:rPr>
        <w:tab/>
        <w:t>A list of visitors is provided at the end of the Minutes.</w:t>
      </w:r>
      <w:r w:rsidRPr="00F20BCF">
        <w:rPr>
          <w:sz w:val="22"/>
          <w:szCs w:val="22"/>
        </w:rPr>
        <w:tab/>
      </w:r>
    </w:p>
    <w:p w14:paraId="3DCC8233" w14:textId="77777777" w:rsidR="00B93404" w:rsidRDefault="00B93404" w:rsidP="00B93404">
      <w:pPr>
        <w:rPr>
          <w:sz w:val="22"/>
          <w:szCs w:val="22"/>
        </w:rPr>
      </w:pPr>
    </w:p>
    <w:tbl>
      <w:tblPr>
        <w:tblW w:w="1342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A0" w:firstRow="1" w:lastRow="0" w:firstColumn="1" w:lastColumn="0" w:noHBand="0" w:noVBand="0"/>
      </w:tblPr>
      <w:tblGrid>
        <w:gridCol w:w="2008"/>
        <w:gridCol w:w="9540"/>
        <w:gridCol w:w="1880"/>
      </w:tblGrid>
      <w:tr w:rsidR="00B93404" w:rsidRPr="00DF7528" w14:paraId="052D5752" w14:textId="77777777" w:rsidTr="008C0BFB">
        <w:trPr>
          <w:trHeight w:val="280"/>
          <w:tblCellSpacing w:w="20" w:type="dxa"/>
        </w:trPr>
        <w:tc>
          <w:tcPr>
            <w:tcW w:w="1948" w:type="dxa"/>
          </w:tcPr>
          <w:p w14:paraId="69ABB31F" w14:textId="77777777" w:rsidR="00B93404" w:rsidRPr="00DF7528" w:rsidRDefault="00B93404" w:rsidP="008C0BFB">
            <w:pPr>
              <w:pStyle w:val="Heading4"/>
              <w:jc w:val="center"/>
              <w:rPr>
                <w:rFonts w:cs="Calibri"/>
                <w:b w:val="0"/>
                <w:bCs w:val="0"/>
                <w:sz w:val="22"/>
                <w:szCs w:val="22"/>
              </w:rPr>
            </w:pPr>
            <w:r w:rsidRPr="00DF7528">
              <w:rPr>
                <w:rFonts w:cs="Calibri"/>
                <w:b w:val="0"/>
                <w:bCs w:val="0"/>
                <w:sz w:val="22"/>
                <w:szCs w:val="22"/>
              </w:rPr>
              <w:t>Topic</w:t>
            </w:r>
          </w:p>
        </w:tc>
        <w:tc>
          <w:tcPr>
            <w:tcW w:w="9500" w:type="dxa"/>
          </w:tcPr>
          <w:p w14:paraId="7B0388DF" w14:textId="77777777" w:rsidR="00B93404" w:rsidRPr="00DF7528" w:rsidRDefault="00B93404" w:rsidP="008C0BFB">
            <w:pPr>
              <w:jc w:val="center"/>
              <w:rPr>
                <w:rFonts w:cs="Calibri"/>
                <w:sz w:val="22"/>
                <w:szCs w:val="22"/>
              </w:rPr>
            </w:pPr>
            <w:r w:rsidRPr="00DF7528">
              <w:rPr>
                <w:rFonts w:cs="Calibri"/>
                <w:sz w:val="22"/>
                <w:szCs w:val="22"/>
              </w:rPr>
              <w:t>Discussion</w:t>
            </w:r>
          </w:p>
        </w:tc>
        <w:tc>
          <w:tcPr>
            <w:tcW w:w="1820" w:type="dxa"/>
          </w:tcPr>
          <w:p w14:paraId="51A6C055" w14:textId="77777777" w:rsidR="00B93404" w:rsidRPr="00DF7528" w:rsidRDefault="00B93404" w:rsidP="008C0BFB">
            <w:pPr>
              <w:jc w:val="center"/>
              <w:rPr>
                <w:rFonts w:cs="Calibri"/>
                <w:sz w:val="22"/>
                <w:szCs w:val="22"/>
              </w:rPr>
            </w:pPr>
            <w:r w:rsidRPr="00DF7528">
              <w:rPr>
                <w:rFonts w:cs="Calibri"/>
                <w:sz w:val="22"/>
                <w:szCs w:val="22"/>
              </w:rPr>
              <w:t>Action</w:t>
            </w:r>
          </w:p>
        </w:tc>
      </w:tr>
      <w:tr w:rsidR="00B93404" w:rsidRPr="00DF7528" w14:paraId="446A2C3A" w14:textId="77777777" w:rsidTr="008C0BFB">
        <w:trPr>
          <w:trHeight w:val="280"/>
          <w:tblCellSpacing w:w="20" w:type="dxa"/>
        </w:trPr>
        <w:tc>
          <w:tcPr>
            <w:tcW w:w="1948" w:type="dxa"/>
          </w:tcPr>
          <w:p w14:paraId="377BA17B" w14:textId="77777777" w:rsidR="00B93404" w:rsidRPr="00DF7528" w:rsidRDefault="00B93404" w:rsidP="008C0BFB">
            <w:pPr>
              <w:pStyle w:val="Footer"/>
              <w:tabs>
                <w:tab w:val="clear" w:pos="4320"/>
                <w:tab w:val="clear" w:pos="8640"/>
              </w:tabs>
              <w:jc w:val="center"/>
              <w:rPr>
                <w:rFonts w:cs="Calibri"/>
                <w:sz w:val="22"/>
                <w:szCs w:val="22"/>
              </w:rPr>
            </w:pPr>
            <w:r w:rsidRPr="00DF7528">
              <w:rPr>
                <w:rFonts w:cs="Calibri"/>
                <w:sz w:val="22"/>
                <w:szCs w:val="22"/>
              </w:rPr>
              <w:t>Welcome and Approval of Minutes</w:t>
            </w:r>
          </w:p>
          <w:p w14:paraId="1CEECA78" w14:textId="77777777" w:rsidR="00B93404" w:rsidRPr="00DF7528" w:rsidRDefault="00B93404" w:rsidP="008C0BFB">
            <w:pPr>
              <w:pStyle w:val="Footer"/>
              <w:tabs>
                <w:tab w:val="clear" w:pos="4320"/>
                <w:tab w:val="clear" w:pos="8640"/>
              </w:tabs>
              <w:jc w:val="center"/>
              <w:rPr>
                <w:rFonts w:cs="Calibri"/>
                <w:sz w:val="22"/>
                <w:szCs w:val="22"/>
              </w:rPr>
            </w:pPr>
          </w:p>
          <w:p w14:paraId="0FDA2ED2" w14:textId="77777777" w:rsidR="00B93404" w:rsidRPr="00DF7528" w:rsidRDefault="00B93404" w:rsidP="008C0BFB">
            <w:pPr>
              <w:pStyle w:val="Footer"/>
              <w:tabs>
                <w:tab w:val="clear" w:pos="4320"/>
                <w:tab w:val="clear" w:pos="8640"/>
              </w:tabs>
              <w:jc w:val="center"/>
              <w:rPr>
                <w:rFonts w:cs="Calibri"/>
                <w:sz w:val="22"/>
                <w:szCs w:val="22"/>
              </w:rPr>
            </w:pPr>
          </w:p>
          <w:p w14:paraId="4042DDDE" w14:textId="77777777" w:rsidR="00B93404" w:rsidRPr="00DF7528" w:rsidRDefault="00B93404" w:rsidP="008C0BFB">
            <w:pPr>
              <w:pStyle w:val="Footer"/>
              <w:tabs>
                <w:tab w:val="clear" w:pos="4320"/>
                <w:tab w:val="clear" w:pos="8640"/>
              </w:tabs>
              <w:jc w:val="center"/>
              <w:rPr>
                <w:rFonts w:cs="Calibri"/>
                <w:sz w:val="22"/>
                <w:szCs w:val="22"/>
              </w:rPr>
            </w:pPr>
          </w:p>
        </w:tc>
        <w:tc>
          <w:tcPr>
            <w:tcW w:w="9500" w:type="dxa"/>
          </w:tcPr>
          <w:p w14:paraId="60467499" w14:textId="785C2B7D" w:rsidR="00B93404" w:rsidRDefault="00B93404" w:rsidP="008C0BFB">
            <w:pPr>
              <w:rPr>
                <w:sz w:val="22"/>
                <w:szCs w:val="22"/>
              </w:rPr>
            </w:pPr>
            <w:r w:rsidRPr="008762AA">
              <w:rPr>
                <w:sz w:val="22"/>
                <w:szCs w:val="22"/>
              </w:rPr>
              <w:t>Chair Hill called the meeting to order a</w:t>
            </w:r>
            <w:r w:rsidR="00665784">
              <w:rPr>
                <w:sz w:val="22"/>
                <w:szCs w:val="22"/>
              </w:rPr>
              <w:t>t 9:3</w:t>
            </w:r>
            <w:r w:rsidR="00830B7A">
              <w:rPr>
                <w:sz w:val="22"/>
                <w:szCs w:val="22"/>
              </w:rPr>
              <w:t>1</w:t>
            </w:r>
            <w:r w:rsidR="00665784">
              <w:rPr>
                <w:sz w:val="22"/>
                <w:szCs w:val="22"/>
              </w:rPr>
              <w:t xml:space="preserve"> </w:t>
            </w:r>
            <w:r w:rsidR="00CC4966">
              <w:rPr>
                <w:sz w:val="22"/>
                <w:szCs w:val="22"/>
              </w:rPr>
              <w:t>a</w:t>
            </w:r>
            <w:r w:rsidR="00BE084C">
              <w:rPr>
                <w:sz w:val="22"/>
                <w:szCs w:val="22"/>
              </w:rPr>
              <w:t>.</w:t>
            </w:r>
            <w:r w:rsidR="00CC4966">
              <w:rPr>
                <w:sz w:val="22"/>
                <w:szCs w:val="22"/>
              </w:rPr>
              <w:t>m</w:t>
            </w:r>
            <w:r w:rsidR="00BE084C">
              <w:rPr>
                <w:sz w:val="22"/>
                <w:szCs w:val="22"/>
              </w:rPr>
              <w:t>.</w:t>
            </w:r>
            <w:r w:rsidR="00CC4966">
              <w:rPr>
                <w:sz w:val="22"/>
                <w:szCs w:val="22"/>
              </w:rPr>
              <w:t xml:space="preserve"> and welcomed everyone. </w:t>
            </w:r>
            <w:r w:rsidR="00120D74" w:rsidRPr="00120D74">
              <w:rPr>
                <w:sz w:val="22"/>
                <w:szCs w:val="22"/>
              </w:rPr>
              <w:t>C</w:t>
            </w:r>
            <w:r w:rsidR="00120D74">
              <w:rPr>
                <w:sz w:val="22"/>
                <w:szCs w:val="22"/>
              </w:rPr>
              <w:t xml:space="preserve">hair </w:t>
            </w:r>
            <w:r w:rsidR="00120D74" w:rsidRPr="00120D74">
              <w:rPr>
                <w:sz w:val="22"/>
                <w:szCs w:val="22"/>
              </w:rPr>
              <w:t xml:space="preserve">Hill </w:t>
            </w:r>
            <w:r w:rsidR="00673202">
              <w:rPr>
                <w:sz w:val="22"/>
                <w:szCs w:val="22"/>
              </w:rPr>
              <w:t xml:space="preserve">moved to approve the </w:t>
            </w:r>
            <w:r w:rsidR="009A0BFE">
              <w:rPr>
                <w:sz w:val="22"/>
                <w:szCs w:val="22"/>
              </w:rPr>
              <w:t>September</w:t>
            </w:r>
            <w:r w:rsidR="00D12B37">
              <w:rPr>
                <w:sz w:val="22"/>
                <w:szCs w:val="22"/>
              </w:rPr>
              <w:t xml:space="preserve"> meeting minute</w:t>
            </w:r>
            <w:r w:rsidR="009A0BFE">
              <w:rPr>
                <w:sz w:val="22"/>
                <w:szCs w:val="22"/>
              </w:rPr>
              <w:t>s</w:t>
            </w:r>
            <w:r w:rsidR="00D12B37">
              <w:rPr>
                <w:sz w:val="22"/>
                <w:szCs w:val="22"/>
              </w:rPr>
              <w:t xml:space="preserve">.  The minutes were approved after an amendment proposed by Allyson Pettley </w:t>
            </w:r>
            <w:r w:rsidR="00242497">
              <w:rPr>
                <w:sz w:val="22"/>
                <w:szCs w:val="22"/>
              </w:rPr>
              <w:t>correcting her title to read Division of Professional Licensing</w:t>
            </w:r>
            <w:r w:rsidR="00D12B37">
              <w:rPr>
                <w:sz w:val="22"/>
                <w:szCs w:val="22"/>
              </w:rPr>
              <w:t>.  Allyson seconded the motion with the proposed amendment.  All were in favor.</w:t>
            </w:r>
          </w:p>
          <w:p w14:paraId="09F40174" w14:textId="77777777" w:rsidR="00B93404" w:rsidRDefault="00B93404" w:rsidP="008C0BFB">
            <w:pPr>
              <w:rPr>
                <w:sz w:val="22"/>
                <w:szCs w:val="22"/>
              </w:rPr>
            </w:pPr>
          </w:p>
          <w:p w14:paraId="2198BC87" w14:textId="77777777" w:rsidR="00B93404" w:rsidRPr="00DF7528" w:rsidRDefault="00B93404" w:rsidP="00120D74">
            <w:pPr>
              <w:rPr>
                <w:rFonts w:cs="Calibri"/>
                <w:sz w:val="22"/>
                <w:szCs w:val="22"/>
              </w:rPr>
            </w:pPr>
          </w:p>
        </w:tc>
        <w:tc>
          <w:tcPr>
            <w:tcW w:w="1820" w:type="dxa"/>
          </w:tcPr>
          <w:p w14:paraId="7B855065" w14:textId="77777777" w:rsidR="00B93404" w:rsidRPr="00DF7528" w:rsidRDefault="00B93404" w:rsidP="008C0BFB">
            <w:pPr>
              <w:rPr>
                <w:rFonts w:cs="Calibri"/>
                <w:sz w:val="22"/>
                <w:szCs w:val="22"/>
              </w:rPr>
            </w:pPr>
          </w:p>
        </w:tc>
      </w:tr>
      <w:tr w:rsidR="00B93404" w:rsidRPr="00DF7528" w14:paraId="354FBF39" w14:textId="77777777" w:rsidTr="008C0BFB">
        <w:trPr>
          <w:cantSplit/>
          <w:trHeight w:val="280"/>
          <w:tblCellSpacing w:w="20" w:type="dxa"/>
        </w:trPr>
        <w:tc>
          <w:tcPr>
            <w:tcW w:w="13348" w:type="dxa"/>
            <w:gridSpan w:val="3"/>
          </w:tcPr>
          <w:p w14:paraId="382F7886" w14:textId="77777777" w:rsidR="00B93404" w:rsidRDefault="00B93404" w:rsidP="008C0BFB">
            <w:pPr>
              <w:pStyle w:val="Footer"/>
              <w:tabs>
                <w:tab w:val="clear" w:pos="4320"/>
                <w:tab w:val="clear" w:pos="8640"/>
              </w:tabs>
              <w:rPr>
                <w:rFonts w:cs="Calibri"/>
                <w:sz w:val="22"/>
                <w:szCs w:val="22"/>
              </w:rPr>
            </w:pPr>
            <w:r w:rsidRPr="00DF7528">
              <w:rPr>
                <w:rFonts w:cs="Calibri"/>
                <w:sz w:val="22"/>
                <w:szCs w:val="22"/>
              </w:rPr>
              <w:t xml:space="preserve">  </w:t>
            </w:r>
          </w:p>
          <w:p w14:paraId="102F8326" w14:textId="77777777" w:rsidR="00B93404" w:rsidRDefault="00B93404" w:rsidP="008C0BFB">
            <w:pPr>
              <w:pStyle w:val="Footer"/>
              <w:tabs>
                <w:tab w:val="clear" w:pos="4320"/>
                <w:tab w:val="clear" w:pos="8640"/>
              </w:tabs>
              <w:rPr>
                <w:rFonts w:cs="Calibri"/>
                <w:sz w:val="22"/>
                <w:szCs w:val="22"/>
              </w:rPr>
            </w:pPr>
            <w:r w:rsidRPr="00DF7528">
              <w:rPr>
                <w:rFonts w:cs="Calibri"/>
                <w:sz w:val="22"/>
                <w:szCs w:val="22"/>
              </w:rPr>
              <w:t xml:space="preserve">    </w:t>
            </w:r>
          </w:p>
          <w:p w14:paraId="09C713D0" w14:textId="77777777" w:rsidR="00B93404" w:rsidRPr="00DF7528" w:rsidRDefault="00B93404" w:rsidP="008C0BFB">
            <w:pPr>
              <w:pStyle w:val="Footer"/>
              <w:tabs>
                <w:tab w:val="clear" w:pos="4320"/>
                <w:tab w:val="clear" w:pos="8640"/>
              </w:tabs>
              <w:rPr>
                <w:rFonts w:cs="Calibri"/>
                <w:sz w:val="22"/>
                <w:szCs w:val="22"/>
              </w:rPr>
            </w:pPr>
          </w:p>
        </w:tc>
      </w:tr>
      <w:tr w:rsidR="00B93404" w:rsidRPr="00DF7528" w14:paraId="696A54A0" w14:textId="77777777" w:rsidTr="008C0BFB">
        <w:trPr>
          <w:trHeight w:val="1070"/>
          <w:tblCellSpacing w:w="20" w:type="dxa"/>
        </w:trPr>
        <w:tc>
          <w:tcPr>
            <w:tcW w:w="1948" w:type="dxa"/>
          </w:tcPr>
          <w:p w14:paraId="4F67AB13" w14:textId="77777777" w:rsidR="00842353" w:rsidRDefault="00842353" w:rsidP="008C0BFB">
            <w:pPr>
              <w:rPr>
                <w:rFonts w:cs="Calibri"/>
                <w:sz w:val="22"/>
                <w:szCs w:val="22"/>
              </w:rPr>
            </w:pPr>
            <w:r w:rsidRPr="00DF7528">
              <w:rPr>
                <w:rFonts w:cs="Calibri"/>
                <w:sz w:val="22"/>
                <w:szCs w:val="22"/>
              </w:rPr>
              <w:lastRenderedPageBreak/>
              <w:t>Business</w:t>
            </w:r>
          </w:p>
          <w:p w14:paraId="571AC8AD" w14:textId="77777777" w:rsidR="00842353" w:rsidRDefault="00842353" w:rsidP="008C0BFB">
            <w:pPr>
              <w:rPr>
                <w:rFonts w:cs="Calibri"/>
                <w:sz w:val="22"/>
                <w:szCs w:val="22"/>
              </w:rPr>
            </w:pPr>
          </w:p>
          <w:p w14:paraId="6C59A8B9" w14:textId="77777777" w:rsidR="003F753C" w:rsidRDefault="003F753C" w:rsidP="008C0BFB">
            <w:pPr>
              <w:rPr>
                <w:rFonts w:cs="Calibri"/>
                <w:sz w:val="22"/>
                <w:szCs w:val="22"/>
              </w:rPr>
            </w:pPr>
          </w:p>
          <w:p w14:paraId="48060A39" w14:textId="7DCAE900" w:rsidR="00B93404" w:rsidRDefault="00B93404" w:rsidP="008C0BFB">
            <w:pPr>
              <w:rPr>
                <w:rFonts w:cs="Calibri"/>
                <w:sz w:val="22"/>
                <w:szCs w:val="22"/>
              </w:rPr>
            </w:pPr>
            <w:r>
              <w:rPr>
                <w:rFonts w:cs="Calibri"/>
                <w:sz w:val="22"/>
                <w:szCs w:val="22"/>
              </w:rPr>
              <w:t xml:space="preserve">Legislative updates </w:t>
            </w:r>
          </w:p>
          <w:p w14:paraId="2AC3111D" w14:textId="77777777" w:rsidR="00B93404" w:rsidRDefault="00B93404" w:rsidP="008C0BFB">
            <w:pPr>
              <w:rPr>
                <w:rFonts w:cs="Calibri"/>
                <w:sz w:val="22"/>
                <w:szCs w:val="22"/>
              </w:rPr>
            </w:pPr>
          </w:p>
          <w:p w14:paraId="14069C92" w14:textId="77777777" w:rsidR="00F82756" w:rsidRDefault="00F82756" w:rsidP="008C0BFB">
            <w:pPr>
              <w:rPr>
                <w:rFonts w:cs="Calibri"/>
                <w:sz w:val="22"/>
                <w:szCs w:val="22"/>
              </w:rPr>
            </w:pPr>
          </w:p>
          <w:p w14:paraId="5F88E445" w14:textId="77777777" w:rsidR="002A70AB" w:rsidRDefault="002A70AB" w:rsidP="008C0BFB">
            <w:pPr>
              <w:rPr>
                <w:rFonts w:cs="Calibri"/>
                <w:sz w:val="22"/>
                <w:szCs w:val="22"/>
              </w:rPr>
            </w:pPr>
          </w:p>
          <w:p w14:paraId="1874484D" w14:textId="6E0867F6" w:rsidR="00B93404" w:rsidRDefault="00B93404" w:rsidP="008C0BFB">
            <w:pPr>
              <w:rPr>
                <w:rFonts w:cs="Calibri"/>
                <w:sz w:val="22"/>
                <w:szCs w:val="22"/>
              </w:rPr>
            </w:pPr>
            <w:r>
              <w:rPr>
                <w:rFonts w:cs="Calibri"/>
                <w:sz w:val="22"/>
                <w:szCs w:val="22"/>
              </w:rPr>
              <w:t xml:space="preserve">Misclassification Issues Presentation </w:t>
            </w:r>
          </w:p>
          <w:p w14:paraId="40065F61" w14:textId="77777777" w:rsidR="00B93404" w:rsidRDefault="00B93404" w:rsidP="008C0BFB">
            <w:pPr>
              <w:rPr>
                <w:rFonts w:cs="Calibri"/>
                <w:sz w:val="22"/>
                <w:szCs w:val="22"/>
              </w:rPr>
            </w:pPr>
            <w:r w:rsidRPr="00DF7528">
              <w:rPr>
                <w:rFonts w:cs="Calibri"/>
                <w:sz w:val="22"/>
                <w:szCs w:val="22"/>
              </w:rPr>
              <w:t xml:space="preserve"> </w:t>
            </w:r>
            <w:r>
              <w:rPr>
                <w:rFonts w:cs="Calibri"/>
                <w:sz w:val="22"/>
                <w:szCs w:val="22"/>
              </w:rPr>
              <w:t xml:space="preserve"> </w:t>
            </w:r>
          </w:p>
          <w:p w14:paraId="3FC9B97A" w14:textId="77777777" w:rsidR="00C152A2" w:rsidRDefault="00C152A2" w:rsidP="00FB7E36">
            <w:pPr>
              <w:rPr>
                <w:rFonts w:cs="Calibri"/>
                <w:sz w:val="22"/>
                <w:szCs w:val="22"/>
              </w:rPr>
            </w:pPr>
          </w:p>
          <w:p w14:paraId="1D461E80" w14:textId="77777777" w:rsidR="00C152A2" w:rsidRDefault="00C152A2" w:rsidP="00FB7E36">
            <w:pPr>
              <w:rPr>
                <w:rFonts w:cs="Calibri"/>
                <w:sz w:val="22"/>
                <w:szCs w:val="22"/>
              </w:rPr>
            </w:pPr>
          </w:p>
          <w:p w14:paraId="7DDE1F23" w14:textId="77777777" w:rsidR="000671EE" w:rsidRDefault="000671EE" w:rsidP="00FB7E36">
            <w:pPr>
              <w:rPr>
                <w:rFonts w:cs="Calibri"/>
                <w:sz w:val="22"/>
                <w:szCs w:val="22"/>
              </w:rPr>
            </w:pPr>
          </w:p>
          <w:p w14:paraId="15317E6F" w14:textId="77777777" w:rsidR="000671EE" w:rsidRDefault="000671EE" w:rsidP="00FB7E36">
            <w:pPr>
              <w:rPr>
                <w:rFonts w:cs="Calibri"/>
                <w:sz w:val="22"/>
                <w:szCs w:val="22"/>
              </w:rPr>
            </w:pPr>
          </w:p>
          <w:p w14:paraId="016CE0F7" w14:textId="77777777" w:rsidR="000671EE" w:rsidRDefault="000671EE" w:rsidP="00FB7E36">
            <w:pPr>
              <w:rPr>
                <w:rFonts w:cs="Calibri"/>
                <w:sz w:val="22"/>
                <w:szCs w:val="22"/>
              </w:rPr>
            </w:pPr>
          </w:p>
          <w:p w14:paraId="7C978485" w14:textId="77777777" w:rsidR="000671EE" w:rsidRDefault="000671EE" w:rsidP="00FB7E36">
            <w:pPr>
              <w:rPr>
                <w:rFonts w:cs="Calibri"/>
                <w:sz w:val="22"/>
                <w:szCs w:val="22"/>
              </w:rPr>
            </w:pPr>
          </w:p>
          <w:p w14:paraId="037CE996" w14:textId="77777777" w:rsidR="000671EE" w:rsidRDefault="000671EE" w:rsidP="00FB7E36">
            <w:pPr>
              <w:rPr>
                <w:rFonts w:cs="Calibri"/>
                <w:sz w:val="22"/>
                <w:szCs w:val="22"/>
              </w:rPr>
            </w:pPr>
          </w:p>
          <w:p w14:paraId="7C1861C1" w14:textId="77777777" w:rsidR="000671EE" w:rsidRDefault="000671EE" w:rsidP="00FB7E36">
            <w:pPr>
              <w:rPr>
                <w:rFonts w:cs="Calibri"/>
                <w:sz w:val="22"/>
                <w:szCs w:val="22"/>
              </w:rPr>
            </w:pPr>
          </w:p>
          <w:p w14:paraId="7E25D0BA" w14:textId="77777777" w:rsidR="000671EE" w:rsidRDefault="000671EE" w:rsidP="00FB7E36">
            <w:pPr>
              <w:rPr>
                <w:rFonts w:cs="Calibri"/>
                <w:sz w:val="22"/>
                <w:szCs w:val="22"/>
              </w:rPr>
            </w:pPr>
          </w:p>
          <w:p w14:paraId="2F247ED9" w14:textId="77777777" w:rsidR="000671EE" w:rsidRDefault="000671EE" w:rsidP="00FB7E36">
            <w:pPr>
              <w:rPr>
                <w:rFonts w:cs="Calibri"/>
                <w:sz w:val="22"/>
                <w:szCs w:val="22"/>
              </w:rPr>
            </w:pPr>
          </w:p>
          <w:p w14:paraId="2D9BC826" w14:textId="77777777" w:rsidR="000671EE" w:rsidRDefault="000671EE" w:rsidP="00FB7E36">
            <w:pPr>
              <w:rPr>
                <w:rFonts w:cs="Calibri"/>
                <w:sz w:val="22"/>
                <w:szCs w:val="22"/>
              </w:rPr>
            </w:pPr>
          </w:p>
          <w:p w14:paraId="005DC0AB" w14:textId="77777777" w:rsidR="000671EE" w:rsidRDefault="000671EE" w:rsidP="00FB7E36">
            <w:pPr>
              <w:rPr>
                <w:rFonts w:cs="Calibri"/>
                <w:sz w:val="22"/>
                <w:szCs w:val="22"/>
              </w:rPr>
            </w:pPr>
          </w:p>
          <w:p w14:paraId="69673E9F" w14:textId="77777777" w:rsidR="000671EE" w:rsidRDefault="000671EE" w:rsidP="00FB7E36">
            <w:pPr>
              <w:rPr>
                <w:rFonts w:cs="Calibri"/>
                <w:sz w:val="22"/>
                <w:szCs w:val="22"/>
              </w:rPr>
            </w:pPr>
          </w:p>
          <w:p w14:paraId="2BDF88B9" w14:textId="77777777" w:rsidR="000671EE" w:rsidRDefault="000671EE" w:rsidP="00FB7E36">
            <w:pPr>
              <w:rPr>
                <w:rFonts w:cs="Calibri"/>
                <w:sz w:val="22"/>
                <w:szCs w:val="22"/>
              </w:rPr>
            </w:pPr>
          </w:p>
          <w:p w14:paraId="6E2F080F" w14:textId="77777777" w:rsidR="000671EE" w:rsidRDefault="000671EE" w:rsidP="00FB7E36">
            <w:pPr>
              <w:rPr>
                <w:rFonts w:cs="Calibri"/>
                <w:sz w:val="22"/>
                <w:szCs w:val="22"/>
              </w:rPr>
            </w:pPr>
          </w:p>
          <w:p w14:paraId="63A60874" w14:textId="77777777" w:rsidR="000671EE" w:rsidRDefault="000671EE" w:rsidP="00FB7E36">
            <w:pPr>
              <w:rPr>
                <w:rFonts w:cs="Calibri"/>
                <w:sz w:val="22"/>
                <w:szCs w:val="22"/>
              </w:rPr>
            </w:pPr>
          </w:p>
          <w:p w14:paraId="1F63BE48" w14:textId="1D551226" w:rsidR="00FB7E36" w:rsidRDefault="00FB7E36" w:rsidP="00FB7E36">
            <w:pPr>
              <w:rPr>
                <w:rFonts w:cs="Calibri"/>
                <w:sz w:val="22"/>
                <w:szCs w:val="22"/>
              </w:rPr>
            </w:pPr>
            <w:r>
              <w:rPr>
                <w:rFonts w:cs="Calibri"/>
                <w:sz w:val="22"/>
                <w:szCs w:val="22"/>
              </w:rPr>
              <w:t>Next Meeting</w:t>
            </w:r>
          </w:p>
          <w:p w14:paraId="26EC8228" w14:textId="62FD5CA2" w:rsidR="00FB7E36" w:rsidRDefault="00FB7E36" w:rsidP="008C0BFB">
            <w:pPr>
              <w:rPr>
                <w:rFonts w:cs="Calibri"/>
                <w:sz w:val="22"/>
                <w:szCs w:val="22"/>
              </w:rPr>
            </w:pPr>
          </w:p>
          <w:p w14:paraId="7C42FF0C" w14:textId="77777777" w:rsidR="005D1C99" w:rsidRDefault="005D1C99" w:rsidP="008C0BFB">
            <w:pPr>
              <w:rPr>
                <w:rFonts w:cs="Calibri"/>
                <w:sz w:val="22"/>
                <w:szCs w:val="22"/>
              </w:rPr>
            </w:pPr>
          </w:p>
          <w:p w14:paraId="143A9348" w14:textId="77777777" w:rsidR="000671EE" w:rsidRDefault="000671EE" w:rsidP="008C0BFB">
            <w:pPr>
              <w:rPr>
                <w:rFonts w:cs="Calibri"/>
                <w:sz w:val="22"/>
                <w:szCs w:val="22"/>
              </w:rPr>
            </w:pPr>
          </w:p>
          <w:p w14:paraId="3B6F9BA8" w14:textId="77777777" w:rsidR="000671EE" w:rsidRDefault="000671EE" w:rsidP="008C0BFB">
            <w:pPr>
              <w:rPr>
                <w:rFonts w:cs="Calibri"/>
                <w:sz w:val="22"/>
                <w:szCs w:val="22"/>
              </w:rPr>
            </w:pPr>
          </w:p>
          <w:p w14:paraId="4F659B0A" w14:textId="77777777" w:rsidR="000671EE" w:rsidRDefault="000671EE" w:rsidP="008C0BFB">
            <w:pPr>
              <w:rPr>
                <w:rFonts w:cs="Calibri"/>
                <w:sz w:val="22"/>
                <w:szCs w:val="22"/>
              </w:rPr>
            </w:pPr>
          </w:p>
          <w:p w14:paraId="11E602EE" w14:textId="77777777" w:rsidR="000671EE" w:rsidRDefault="000671EE" w:rsidP="008C0BFB">
            <w:pPr>
              <w:rPr>
                <w:rFonts w:cs="Calibri"/>
                <w:sz w:val="22"/>
                <w:szCs w:val="22"/>
              </w:rPr>
            </w:pPr>
          </w:p>
          <w:p w14:paraId="0756E4B2" w14:textId="77777777" w:rsidR="000671EE" w:rsidRDefault="000671EE" w:rsidP="008C0BFB">
            <w:pPr>
              <w:rPr>
                <w:rFonts w:cs="Calibri"/>
                <w:sz w:val="22"/>
                <w:szCs w:val="22"/>
              </w:rPr>
            </w:pPr>
          </w:p>
          <w:p w14:paraId="56BFB427" w14:textId="77777777" w:rsidR="000671EE" w:rsidRDefault="000671EE" w:rsidP="008C0BFB">
            <w:pPr>
              <w:rPr>
                <w:rFonts w:cs="Calibri"/>
                <w:sz w:val="22"/>
                <w:szCs w:val="22"/>
              </w:rPr>
            </w:pPr>
          </w:p>
          <w:p w14:paraId="5D80FEA4" w14:textId="77777777" w:rsidR="000671EE" w:rsidRDefault="000671EE" w:rsidP="008C0BFB">
            <w:pPr>
              <w:rPr>
                <w:rFonts w:cs="Calibri"/>
                <w:sz w:val="22"/>
                <w:szCs w:val="22"/>
              </w:rPr>
            </w:pPr>
          </w:p>
          <w:p w14:paraId="2E23DC5F" w14:textId="77777777" w:rsidR="000671EE" w:rsidRDefault="000671EE" w:rsidP="008C0BFB">
            <w:pPr>
              <w:rPr>
                <w:rFonts w:cs="Calibri"/>
                <w:sz w:val="22"/>
                <w:szCs w:val="22"/>
              </w:rPr>
            </w:pPr>
          </w:p>
          <w:p w14:paraId="4F02DCCD" w14:textId="77777777" w:rsidR="000671EE" w:rsidRDefault="000671EE" w:rsidP="008C0BFB">
            <w:pPr>
              <w:rPr>
                <w:rFonts w:cs="Calibri"/>
                <w:sz w:val="22"/>
                <w:szCs w:val="22"/>
              </w:rPr>
            </w:pPr>
          </w:p>
          <w:p w14:paraId="3B0A1752" w14:textId="77777777" w:rsidR="000671EE" w:rsidRDefault="000671EE" w:rsidP="008C0BFB">
            <w:pPr>
              <w:rPr>
                <w:rFonts w:cs="Calibri"/>
                <w:sz w:val="22"/>
                <w:szCs w:val="22"/>
              </w:rPr>
            </w:pPr>
          </w:p>
          <w:p w14:paraId="2628EF1C" w14:textId="77777777" w:rsidR="000671EE" w:rsidRDefault="000671EE" w:rsidP="008C0BFB">
            <w:pPr>
              <w:rPr>
                <w:rFonts w:cs="Calibri"/>
                <w:sz w:val="22"/>
                <w:szCs w:val="22"/>
              </w:rPr>
            </w:pPr>
          </w:p>
          <w:p w14:paraId="4D45FCDE" w14:textId="77777777" w:rsidR="006508A1" w:rsidRDefault="006508A1" w:rsidP="008C0BFB">
            <w:pPr>
              <w:rPr>
                <w:rFonts w:cs="Calibri"/>
                <w:sz w:val="22"/>
                <w:szCs w:val="22"/>
              </w:rPr>
            </w:pPr>
          </w:p>
          <w:p w14:paraId="060E93F8" w14:textId="40887038" w:rsidR="00B93404" w:rsidRDefault="00B93404" w:rsidP="008C0BFB">
            <w:pPr>
              <w:rPr>
                <w:rFonts w:cs="Calibri"/>
                <w:sz w:val="22"/>
                <w:szCs w:val="22"/>
              </w:rPr>
            </w:pPr>
            <w:r>
              <w:rPr>
                <w:rFonts w:cs="Calibri"/>
                <w:sz w:val="22"/>
                <w:szCs w:val="22"/>
              </w:rPr>
              <w:t>Public Comment</w:t>
            </w:r>
          </w:p>
          <w:p w14:paraId="784F4611" w14:textId="77777777" w:rsidR="00B93404" w:rsidRDefault="00B93404" w:rsidP="008C0BFB">
            <w:pPr>
              <w:rPr>
                <w:rFonts w:cs="Calibri"/>
                <w:sz w:val="22"/>
                <w:szCs w:val="22"/>
              </w:rPr>
            </w:pPr>
          </w:p>
          <w:p w14:paraId="169EA425" w14:textId="77777777" w:rsidR="00DB191F" w:rsidRDefault="00DB191F" w:rsidP="008C0BFB">
            <w:pPr>
              <w:rPr>
                <w:rFonts w:cs="Calibri"/>
                <w:sz w:val="22"/>
                <w:szCs w:val="22"/>
              </w:rPr>
            </w:pPr>
          </w:p>
          <w:p w14:paraId="7DCCE24E" w14:textId="77777777" w:rsidR="00E91177" w:rsidRDefault="00E91177" w:rsidP="008C0BFB">
            <w:pPr>
              <w:rPr>
                <w:rFonts w:cs="Calibri"/>
                <w:sz w:val="22"/>
                <w:szCs w:val="22"/>
              </w:rPr>
            </w:pPr>
          </w:p>
          <w:p w14:paraId="4967BF98" w14:textId="4F4DFC17" w:rsidR="00B93404" w:rsidRDefault="00B93404" w:rsidP="008C0BFB">
            <w:pPr>
              <w:rPr>
                <w:rFonts w:cs="Calibri"/>
                <w:sz w:val="22"/>
                <w:szCs w:val="22"/>
              </w:rPr>
            </w:pPr>
            <w:r>
              <w:rPr>
                <w:rFonts w:cs="Calibri"/>
                <w:sz w:val="22"/>
                <w:szCs w:val="22"/>
              </w:rPr>
              <w:t>Closed Meeting</w:t>
            </w:r>
          </w:p>
          <w:p w14:paraId="2C2E0CC0" w14:textId="77777777" w:rsidR="00B93404" w:rsidRDefault="00B93404" w:rsidP="008C0BFB">
            <w:pPr>
              <w:rPr>
                <w:rFonts w:cs="Calibri"/>
                <w:sz w:val="22"/>
                <w:szCs w:val="22"/>
              </w:rPr>
            </w:pPr>
          </w:p>
          <w:p w14:paraId="3C61F59A" w14:textId="77777777" w:rsidR="005B5F28" w:rsidRDefault="005B5F28" w:rsidP="008C0BFB">
            <w:pPr>
              <w:rPr>
                <w:rFonts w:cs="Calibri"/>
                <w:sz w:val="22"/>
                <w:szCs w:val="22"/>
              </w:rPr>
            </w:pPr>
          </w:p>
          <w:p w14:paraId="2BCB1191" w14:textId="77777777" w:rsidR="00E91177" w:rsidRDefault="00E91177" w:rsidP="008C0BFB">
            <w:pPr>
              <w:rPr>
                <w:rFonts w:cs="Calibri"/>
                <w:sz w:val="22"/>
                <w:szCs w:val="22"/>
              </w:rPr>
            </w:pPr>
          </w:p>
          <w:p w14:paraId="13FC49C5" w14:textId="77777777" w:rsidR="00E91177" w:rsidRDefault="00E91177" w:rsidP="008C0BFB">
            <w:pPr>
              <w:rPr>
                <w:rFonts w:cs="Calibri"/>
                <w:sz w:val="22"/>
                <w:szCs w:val="22"/>
              </w:rPr>
            </w:pPr>
          </w:p>
          <w:p w14:paraId="7DABF61E" w14:textId="0341342F" w:rsidR="00B93404" w:rsidRDefault="00B93404" w:rsidP="008C0BFB">
            <w:pPr>
              <w:rPr>
                <w:rFonts w:cs="Calibri"/>
                <w:sz w:val="22"/>
                <w:szCs w:val="22"/>
              </w:rPr>
            </w:pPr>
            <w:r>
              <w:rPr>
                <w:rFonts w:cs="Calibri"/>
                <w:sz w:val="22"/>
                <w:szCs w:val="22"/>
              </w:rPr>
              <w:t>Opened Meeting</w:t>
            </w:r>
          </w:p>
          <w:p w14:paraId="490DCAF8" w14:textId="77777777" w:rsidR="00B93404" w:rsidRDefault="00B93404" w:rsidP="008C0BFB">
            <w:pPr>
              <w:rPr>
                <w:rFonts w:cs="Calibri"/>
                <w:sz w:val="22"/>
                <w:szCs w:val="22"/>
              </w:rPr>
            </w:pPr>
          </w:p>
          <w:p w14:paraId="31305F7D" w14:textId="77777777" w:rsidR="00B93404" w:rsidRDefault="00B93404" w:rsidP="008C0BFB">
            <w:pPr>
              <w:rPr>
                <w:rFonts w:cs="Calibri"/>
                <w:sz w:val="22"/>
                <w:szCs w:val="22"/>
              </w:rPr>
            </w:pPr>
          </w:p>
          <w:p w14:paraId="27CC1E9F" w14:textId="77777777" w:rsidR="00B93404" w:rsidRDefault="00B93404" w:rsidP="008C0BFB">
            <w:pPr>
              <w:rPr>
                <w:rFonts w:cs="Calibri"/>
                <w:sz w:val="22"/>
                <w:szCs w:val="22"/>
              </w:rPr>
            </w:pPr>
          </w:p>
          <w:p w14:paraId="5CBF75ED" w14:textId="77777777" w:rsidR="00B93404" w:rsidRDefault="00B93404" w:rsidP="008C0BFB">
            <w:pPr>
              <w:rPr>
                <w:rFonts w:cs="Calibri"/>
                <w:sz w:val="22"/>
                <w:szCs w:val="22"/>
              </w:rPr>
            </w:pPr>
          </w:p>
          <w:p w14:paraId="381BFFD5" w14:textId="77777777" w:rsidR="00B93404" w:rsidRPr="00DF7528" w:rsidRDefault="00B93404" w:rsidP="008C0BFB">
            <w:pPr>
              <w:rPr>
                <w:rFonts w:cs="Calibri"/>
                <w:sz w:val="22"/>
                <w:szCs w:val="22"/>
              </w:rPr>
            </w:pPr>
          </w:p>
        </w:tc>
        <w:tc>
          <w:tcPr>
            <w:tcW w:w="9500" w:type="dxa"/>
          </w:tcPr>
          <w:p w14:paraId="718E25C9" w14:textId="4BACBBDF" w:rsidR="006B51E2" w:rsidRDefault="00242497" w:rsidP="008C0BFB">
            <w:r>
              <w:lastRenderedPageBreak/>
              <w:t>Todd Jenson gave the annual Open and Public Meetings Act training to the council.</w:t>
            </w:r>
          </w:p>
          <w:p w14:paraId="46EC4E53" w14:textId="77777777" w:rsidR="005020E2" w:rsidRDefault="005020E2" w:rsidP="008C0BFB"/>
          <w:p w14:paraId="1BEDD762" w14:textId="77777777" w:rsidR="003F753C" w:rsidRDefault="003F753C" w:rsidP="008C0BFB"/>
          <w:p w14:paraId="280FA6C4" w14:textId="67B47C92" w:rsidR="00D12B37" w:rsidRDefault="005D1C99" w:rsidP="008C0BFB">
            <w:r>
              <w:t>None</w:t>
            </w:r>
          </w:p>
          <w:p w14:paraId="2837E0F6" w14:textId="77777777" w:rsidR="00E85766" w:rsidRDefault="00E85766" w:rsidP="008C0BFB"/>
          <w:p w14:paraId="661B6C79" w14:textId="77777777" w:rsidR="00DB191F" w:rsidRDefault="00DB191F" w:rsidP="008C0BFB"/>
          <w:p w14:paraId="5A585DB0" w14:textId="77777777" w:rsidR="003F753C" w:rsidRDefault="003F753C" w:rsidP="008C0BFB"/>
          <w:p w14:paraId="03E4C7BE" w14:textId="4E672C29" w:rsidR="000671EE" w:rsidRDefault="00E91177" w:rsidP="008C0BFB">
            <w:r w:rsidRPr="00E91177">
              <w:t>Ch</w:t>
            </w:r>
            <w:r>
              <w:t>air</w:t>
            </w:r>
            <w:r w:rsidRPr="00E91177">
              <w:t xml:space="preserve"> Hill </w:t>
            </w:r>
            <w:r w:rsidR="005D1C99">
              <w:t>emailed the</w:t>
            </w:r>
            <w:r w:rsidR="002A70AB" w:rsidRPr="002A70AB">
              <w:t xml:space="preserve"> labor commission</w:t>
            </w:r>
            <w:r w:rsidR="005D1C99">
              <w:t xml:space="preserve"> spreadsheet,</w:t>
            </w:r>
            <w:r w:rsidR="002A70AB" w:rsidRPr="002A70AB">
              <w:t xml:space="preserve"> noting that Krystal Smith is handling these cases.</w:t>
            </w:r>
            <w:r w:rsidR="005D1C99">
              <w:t xml:space="preserve"> Chair Hill also noted there are about 40 new cases that have been received this quarter.  </w:t>
            </w:r>
            <w:r w:rsidR="002A70AB" w:rsidRPr="002A70AB">
              <w:t xml:space="preserve"> Krystal confirmed that the</w:t>
            </w:r>
            <w:r w:rsidR="005D1C99">
              <w:t xml:space="preserve">re is a slight uptick in </w:t>
            </w:r>
            <w:r w:rsidR="002A70AB" w:rsidRPr="002A70AB">
              <w:t xml:space="preserve">activity </w:t>
            </w:r>
            <w:r w:rsidR="005D1C99">
              <w:t>and they are keeping an eye on the increased number of cases.  Mike</w:t>
            </w:r>
            <w:r w:rsidR="00CD71ED">
              <w:t xml:space="preserve"> Miller</w:t>
            </w:r>
            <w:r w:rsidR="005D1C99">
              <w:t xml:space="preserve"> stated there is not an uptick in unemployment misclassification cases and the numbers remain consistent.  Mike asked the council if there was any interest in working together before the final determination is made specifically before the appeal process.  Chair Hill asked about the appeal process. </w:t>
            </w:r>
            <w:r w:rsidR="000671EE">
              <w:t xml:space="preserve"> Mike explained process to the council. Chair Hill stated it would be beneficial for all agencies to work together earlier in the process.  Krystal will confirm with the Deputy Director of Industrial Accidents, but she agrees it would be beneficial.  Allyson</w:t>
            </w:r>
            <w:r w:rsidR="00CD71ED">
              <w:t xml:space="preserve"> Pettley</w:t>
            </w:r>
            <w:r w:rsidR="000671EE">
              <w:t xml:space="preserve"> also agrees and would like the Division of Professional Licensing to be involved.  All agreed to email Mike.  Allyson stated the Division of Professional Licensing has hired a prosecutor to help with filing criminal charges along with the task force that is already in place.  Allyson noted there have not been any criminal charges filed at this time.  Allyson also stated Adam Watson will be the new Assistant Director and he will also be co-chairing the task force as of January 1, 2026.</w:t>
            </w:r>
          </w:p>
          <w:p w14:paraId="4E065B59" w14:textId="5A121CB9" w:rsidR="009B3548" w:rsidRDefault="005D1C99" w:rsidP="008C0BFB">
            <w:r>
              <w:t xml:space="preserve"> </w:t>
            </w:r>
          </w:p>
          <w:p w14:paraId="321C730D" w14:textId="77777777" w:rsidR="009B3548" w:rsidRDefault="009B3548" w:rsidP="008C0BFB"/>
          <w:p w14:paraId="09DB6309" w14:textId="77777777" w:rsidR="002A70AB" w:rsidRDefault="002A70AB" w:rsidP="008C0BFB"/>
          <w:p w14:paraId="1351B48E" w14:textId="77777777" w:rsidR="006508A1" w:rsidRDefault="006508A1" w:rsidP="008C0BFB"/>
          <w:p w14:paraId="622CDA80" w14:textId="340A89B5" w:rsidR="00155AFA" w:rsidRDefault="00B93404" w:rsidP="008C0BFB">
            <w:r>
              <w:t>C</w:t>
            </w:r>
            <w:r w:rsidR="00415EDA">
              <w:t>hair Hill offered</w:t>
            </w:r>
            <w:r w:rsidR="00622422">
              <w:t xml:space="preserve"> </w:t>
            </w:r>
            <w:r w:rsidR="00242497">
              <w:t>March 24, 2026</w:t>
            </w:r>
            <w:r w:rsidR="00592615">
              <w:t>,</w:t>
            </w:r>
            <w:r w:rsidR="00442DEB">
              <w:t xml:space="preserve"> </w:t>
            </w:r>
            <w:r>
              <w:t>at 9:30 a</w:t>
            </w:r>
            <w:r w:rsidR="00BE084C">
              <w:t>.</w:t>
            </w:r>
            <w:r>
              <w:t>m</w:t>
            </w:r>
            <w:r w:rsidR="00BE084C">
              <w:t>.</w:t>
            </w:r>
            <w:r>
              <w:t xml:space="preserve"> for the next meeting</w:t>
            </w:r>
            <w:r w:rsidR="00242497">
              <w:t>.</w:t>
            </w:r>
          </w:p>
          <w:p w14:paraId="0C377CAA" w14:textId="77777777" w:rsidR="00E85766" w:rsidRDefault="00E85766" w:rsidP="00442DEB"/>
          <w:p w14:paraId="2A9A5AA5" w14:textId="77777777" w:rsidR="000671EE" w:rsidRDefault="000671EE" w:rsidP="00442DEB"/>
          <w:p w14:paraId="18FDFE90" w14:textId="77777777" w:rsidR="000671EE" w:rsidRDefault="000671EE" w:rsidP="00442DEB"/>
          <w:p w14:paraId="36FDE34F" w14:textId="77777777" w:rsidR="000671EE" w:rsidRDefault="000671EE" w:rsidP="00442DEB"/>
          <w:p w14:paraId="171F36B5" w14:textId="77777777" w:rsidR="000671EE" w:rsidRDefault="000671EE" w:rsidP="00442DEB"/>
          <w:p w14:paraId="01AFC133" w14:textId="450620A5" w:rsidR="00155AFA" w:rsidRDefault="00155AFA" w:rsidP="00442DEB">
            <w:r>
              <w:t>Future meeting schedule proposal:</w:t>
            </w:r>
            <w:r w:rsidR="00E85766">
              <w:t xml:space="preserve"> </w:t>
            </w:r>
          </w:p>
          <w:p w14:paraId="464F417F" w14:textId="77777777" w:rsidR="009B3548" w:rsidRDefault="009B3548" w:rsidP="00442DEB"/>
          <w:p w14:paraId="6570BA21" w14:textId="70841964" w:rsidR="00E171D5" w:rsidRDefault="00242497" w:rsidP="00442DEB">
            <w:r>
              <w:t>March 24</w:t>
            </w:r>
            <w:r w:rsidR="00E171D5">
              <w:t>, 202</w:t>
            </w:r>
            <w:r>
              <w:t>6</w:t>
            </w:r>
          </w:p>
          <w:p w14:paraId="2050A69F" w14:textId="55D61D57" w:rsidR="00242497" w:rsidRDefault="00242497" w:rsidP="00442DEB">
            <w:r>
              <w:t>June 9, 2026</w:t>
            </w:r>
          </w:p>
          <w:p w14:paraId="6AAE15B1" w14:textId="6B960D94" w:rsidR="00242497" w:rsidRDefault="00242497" w:rsidP="00442DEB">
            <w:r>
              <w:t>September 8, 2026</w:t>
            </w:r>
          </w:p>
          <w:p w14:paraId="1E3F6166" w14:textId="52F721D3" w:rsidR="00242497" w:rsidRDefault="00242497" w:rsidP="00442DEB">
            <w:r>
              <w:t>December 8, 2026</w:t>
            </w:r>
          </w:p>
          <w:p w14:paraId="2167F644" w14:textId="77777777" w:rsidR="009B3548" w:rsidRDefault="009B3548" w:rsidP="008C0BFB"/>
          <w:p w14:paraId="3FBCCA63" w14:textId="77777777" w:rsidR="002A70AB" w:rsidRDefault="002A70AB" w:rsidP="008C0BFB"/>
          <w:p w14:paraId="653881F8" w14:textId="37DCB795" w:rsidR="00415EDA" w:rsidRDefault="000671EE" w:rsidP="008C0BFB">
            <w:r>
              <w:t>None</w:t>
            </w:r>
          </w:p>
          <w:p w14:paraId="219ECBCA" w14:textId="77777777" w:rsidR="00DB191F" w:rsidRDefault="00DB191F" w:rsidP="008C0BFB"/>
          <w:p w14:paraId="7179A0D7" w14:textId="77777777" w:rsidR="00DB191F" w:rsidRDefault="00DB191F" w:rsidP="008C0BFB"/>
          <w:p w14:paraId="632EE6B0" w14:textId="77777777" w:rsidR="00F1158D" w:rsidRDefault="00F1158D" w:rsidP="008C0BFB"/>
          <w:p w14:paraId="5CF14E3F" w14:textId="052D3E92" w:rsidR="00622422" w:rsidRDefault="00592615" w:rsidP="008C0BFB">
            <w:r>
              <w:t>Chair Hill</w:t>
            </w:r>
            <w:r w:rsidR="005B5F28">
              <w:t xml:space="preserve"> motioned to close the open meeting.  </w:t>
            </w:r>
            <w:r w:rsidR="002A70AB">
              <w:t>Allyson Pettley</w:t>
            </w:r>
            <w:r w:rsidR="005020E2">
              <w:t xml:space="preserve"> </w:t>
            </w:r>
            <w:r w:rsidR="00E85766">
              <w:t>seconded the motion.</w:t>
            </w:r>
            <w:r w:rsidR="005020E2">
              <w:t xml:space="preserve">  All</w:t>
            </w:r>
            <w:r w:rsidR="006A6E18">
              <w:t xml:space="preserve"> were</w:t>
            </w:r>
            <w:r w:rsidR="005020E2">
              <w:t xml:space="preserve"> in favor.</w:t>
            </w:r>
            <w:r w:rsidR="00187CE1">
              <w:t xml:space="preserve">  The meeting </w:t>
            </w:r>
            <w:r w:rsidR="006A6E18">
              <w:t>adjourned</w:t>
            </w:r>
            <w:r w:rsidR="00F1158D">
              <w:t xml:space="preserve"> </w:t>
            </w:r>
            <w:r w:rsidR="00187CE1">
              <w:t xml:space="preserve">at </w:t>
            </w:r>
            <w:r w:rsidR="00253EC6">
              <w:t>9</w:t>
            </w:r>
            <w:r w:rsidR="002A70AB">
              <w:t>:</w:t>
            </w:r>
            <w:r w:rsidR="006508A1">
              <w:t>55</w:t>
            </w:r>
            <w:r w:rsidR="00187CE1">
              <w:t xml:space="preserve"> a.m.</w:t>
            </w:r>
          </w:p>
          <w:p w14:paraId="41B1890E" w14:textId="56102C1F" w:rsidR="00B93404" w:rsidRPr="00190567" w:rsidRDefault="00B93404" w:rsidP="008C0BFB">
            <w:pPr>
              <w:rPr>
                <w:sz w:val="22"/>
                <w:szCs w:val="22"/>
              </w:rPr>
            </w:pPr>
          </w:p>
          <w:p w14:paraId="52E3C171" w14:textId="77777777" w:rsidR="00B93404" w:rsidRDefault="00B93404" w:rsidP="008C0BFB"/>
          <w:p w14:paraId="22F832C7" w14:textId="77777777" w:rsidR="00B93404" w:rsidRDefault="00B93404" w:rsidP="008C0BFB">
            <w:pPr>
              <w:rPr>
                <w:rFonts w:cs="Calibri"/>
                <w:sz w:val="22"/>
                <w:szCs w:val="22"/>
              </w:rPr>
            </w:pPr>
          </w:p>
          <w:p w14:paraId="6D67D11B" w14:textId="6DACCEEF" w:rsidR="00F1158D" w:rsidRDefault="00F1158D" w:rsidP="008C0BFB">
            <w:pPr>
              <w:rPr>
                <w:rFonts w:cs="Calibri"/>
                <w:sz w:val="22"/>
                <w:szCs w:val="22"/>
              </w:rPr>
            </w:pPr>
            <w:r>
              <w:rPr>
                <w:rFonts w:cs="Calibri"/>
                <w:sz w:val="22"/>
                <w:szCs w:val="22"/>
              </w:rPr>
              <w:t>Chair Hill opened the meeting at 9:</w:t>
            </w:r>
            <w:r w:rsidR="006508A1">
              <w:rPr>
                <w:rFonts w:cs="Calibri"/>
                <w:sz w:val="22"/>
                <w:szCs w:val="22"/>
              </w:rPr>
              <w:t>57</w:t>
            </w:r>
            <w:r>
              <w:rPr>
                <w:rFonts w:cs="Calibri"/>
                <w:sz w:val="22"/>
                <w:szCs w:val="22"/>
              </w:rPr>
              <w:t xml:space="preserve"> a.m.  </w:t>
            </w:r>
            <w:r w:rsidR="006A6E18">
              <w:rPr>
                <w:rFonts w:cs="Calibri"/>
                <w:sz w:val="22"/>
                <w:szCs w:val="22"/>
              </w:rPr>
              <w:t xml:space="preserve"> </w:t>
            </w:r>
            <w:r w:rsidR="0097528C">
              <w:rPr>
                <w:rFonts w:cs="Calibri"/>
                <w:sz w:val="22"/>
                <w:szCs w:val="22"/>
              </w:rPr>
              <w:t>Chair Hill</w:t>
            </w:r>
            <w:r w:rsidR="006A6E18">
              <w:rPr>
                <w:rFonts w:cs="Calibri"/>
                <w:sz w:val="22"/>
                <w:szCs w:val="22"/>
              </w:rPr>
              <w:t xml:space="preserve"> motioned to close the meeting.  </w:t>
            </w:r>
            <w:r w:rsidR="0097528C">
              <w:rPr>
                <w:rFonts w:cs="Calibri"/>
                <w:sz w:val="22"/>
                <w:szCs w:val="22"/>
              </w:rPr>
              <w:t>Allyson Pettley</w:t>
            </w:r>
            <w:r w:rsidR="006A6E18">
              <w:rPr>
                <w:rFonts w:cs="Calibri"/>
                <w:sz w:val="22"/>
                <w:szCs w:val="22"/>
              </w:rPr>
              <w:t xml:space="preserve"> seconded the motion.  All were in favor.  The meeting adjourned at 9:</w:t>
            </w:r>
            <w:r w:rsidR="006508A1">
              <w:rPr>
                <w:rFonts w:cs="Calibri"/>
                <w:sz w:val="22"/>
                <w:szCs w:val="22"/>
              </w:rPr>
              <w:t>58</w:t>
            </w:r>
            <w:r w:rsidR="006A6E18">
              <w:rPr>
                <w:rFonts w:cs="Calibri"/>
                <w:sz w:val="22"/>
                <w:szCs w:val="22"/>
              </w:rPr>
              <w:t xml:space="preserve"> a.m.</w:t>
            </w:r>
          </w:p>
          <w:p w14:paraId="397073F1" w14:textId="77777777" w:rsidR="00F1158D" w:rsidRDefault="00F1158D" w:rsidP="008C0BFB">
            <w:pPr>
              <w:rPr>
                <w:rFonts w:cs="Calibri"/>
                <w:sz w:val="22"/>
                <w:szCs w:val="22"/>
              </w:rPr>
            </w:pPr>
          </w:p>
          <w:p w14:paraId="2C61CCC2" w14:textId="77777777" w:rsidR="00F1158D" w:rsidRDefault="00F1158D" w:rsidP="008C0BFB">
            <w:pPr>
              <w:rPr>
                <w:rFonts w:cs="Calibri"/>
                <w:sz w:val="22"/>
                <w:szCs w:val="22"/>
              </w:rPr>
            </w:pPr>
          </w:p>
          <w:p w14:paraId="0680E059" w14:textId="77777777" w:rsidR="00F1158D" w:rsidRPr="005845EC" w:rsidRDefault="00F1158D" w:rsidP="008C0BFB">
            <w:pPr>
              <w:rPr>
                <w:rFonts w:cs="Calibri"/>
                <w:sz w:val="22"/>
                <w:szCs w:val="22"/>
              </w:rPr>
            </w:pPr>
          </w:p>
        </w:tc>
        <w:tc>
          <w:tcPr>
            <w:tcW w:w="1820" w:type="dxa"/>
          </w:tcPr>
          <w:p w14:paraId="192B7713" w14:textId="77777777" w:rsidR="00B93404" w:rsidRDefault="00B93404" w:rsidP="008C0BFB">
            <w:pPr>
              <w:rPr>
                <w:rFonts w:cs="Calibri"/>
                <w:sz w:val="22"/>
                <w:szCs w:val="22"/>
              </w:rPr>
            </w:pPr>
          </w:p>
          <w:p w14:paraId="3383C4FB" w14:textId="77777777" w:rsidR="00B93404" w:rsidRDefault="00B93404" w:rsidP="008C0BFB">
            <w:pPr>
              <w:rPr>
                <w:rFonts w:cs="Calibri"/>
                <w:sz w:val="22"/>
                <w:szCs w:val="22"/>
              </w:rPr>
            </w:pPr>
          </w:p>
          <w:p w14:paraId="6128AA0C" w14:textId="77777777" w:rsidR="00B93404" w:rsidRDefault="00B93404" w:rsidP="008C0BFB">
            <w:pPr>
              <w:rPr>
                <w:rFonts w:cs="Calibri"/>
                <w:sz w:val="22"/>
                <w:szCs w:val="22"/>
              </w:rPr>
            </w:pPr>
          </w:p>
          <w:p w14:paraId="70107888" w14:textId="77777777" w:rsidR="00B93404" w:rsidRDefault="00B93404" w:rsidP="008C0BFB">
            <w:pPr>
              <w:rPr>
                <w:rFonts w:cs="Calibri"/>
                <w:sz w:val="22"/>
                <w:szCs w:val="22"/>
              </w:rPr>
            </w:pPr>
          </w:p>
          <w:p w14:paraId="42ECE202" w14:textId="77777777" w:rsidR="00B93404" w:rsidRDefault="00B93404" w:rsidP="008C0BFB">
            <w:pPr>
              <w:rPr>
                <w:rFonts w:cs="Calibri"/>
                <w:sz w:val="22"/>
                <w:szCs w:val="22"/>
              </w:rPr>
            </w:pPr>
          </w:p>
          <w:p w14:paraId="14A73016" w14:textId="77777777" w:rsidR="00B93404" w:rsidRDefault="00B93404" w:rsidP="008C0BFB">
            <w:pPr>
              <w:rPr>
                <w:rFonts w:cs="Calibri"/>
                <w:sz w:val="22"/>
                <w:szCs w:val="22"/>
              </w:rPr>
            </w:pPr>
          </w:p>
          <w:p w14:paraId="6CEC68CC" w14:textId="77777777" w:rsidR="00B93404" w:rsidRDefault="00B93404" w:rsidP="008C0BFB">
            <w:pPr>
              <w:rPr>
                <w:rFonts w:cs="Calibri"/>
                <w:sz w:val="22"/>
                <w:szCs w:val="22"/>
              </w:rPr>
            </w:pPr>
          </w:p>
          <w:p w14:paraId="447D4BC7" w14:textId="77777777" w:rsidR="00B93404" w:rsidRDefault="00B93404" w:rsidP="008C0BFB">
            <w:pPr>
              <w:rPr>
                <w:rFonts w:cs="Calibri"/>
                <w:sz w:val="22"/>
                <w:szCs w:val="22"/>
              </w:rPr>
            </w:pPr>
          </w:p>
          <w:p w14:paraId="15D0D9E7" w14:textId="77777777" w:rsidR="00B93404" w:rsidRDefault="00B93404" w:rsidP="008C0BFB">
            <w:pPr>
              <w:rPr>
                <w:rFonts w:cs="Calibri"/>
                <w:sz w:val="22"/>
                <w:szCs w:val="22"/>
              </w:rPr>
            </w:pPr>
          </w:p>
          <w:p w14:paraId="084426C6" w14:textId="77777777" w:rsidR="00B93404" w:rsidRDefault="00B93404" w:rsidP="008C0BFB">
            <w:pPr>
              <w:rPr>
                <w:rFonts w:cs="Calibri"/>
                <w:sz w:val="22"/>
                <w:szCs w:val="22"/>
              </w:rPr>
            </w:pPr>
          </w:p>
          <w:p w14:paraId="399021B8" w14:textId="77777777" w:rsidR="00B93404" w:rsidRPr="00B0464E" w:rsidRDefault="00B93404" w:rsidP="008C0BFB">
            <w:pPr>
              <w:jc w:val="center"/>
              <w:rPr>
                <w:rFonts w:cs="Calibri"/>
                <w:sz w:val="22"/>
                <w:szCs w:val="22"/>
              </w:rPr>
            </w:pPr>
          </w:p>
        </w:tc>
      </w:tr>
    </w:tbl>
    <w:p w14:paraId="5465A885" w14:textId="76299C4E" w:rsidR="004C2099" w:rsidRDefault="00665784">
      <w:pPr>
        <w:rPr>
          <w:rFonts w:cs="Calibri"/>
          <w:b/>
          <w:sz w:val="22"/>
          <w:szCs w:val="22"/>
        </w:rPr>
      </w:pPr>
      <w:r w:rsidRPr="00DF7528">
        <w:rPr>
          <w:rFonts w:cs="Calibri"/>
          <w:b/>
          <w:sz w:val="22"/>
          <w:szCs w:val="22"/>
        </w:rPr>
        <w:t>Visitors:</w:t>
      </w:r>
      <w:r w:rsidR="004C2099">
        <w:rPr>
          <w:rFonts w:cs="Calibri"/>
          <w:b/>
          <w:sz w:val="22"/>
          <w:szCs w:val="22"/>
        </w:rPr>
        <w:t xml:space="preserve"> </w:t>
      </w:r>
    </w:p>
    <w:p w14:paraId="536C5342" w14:textId="42BCC211" w:rsidR="003F753C" w:rsidRDefault="003F753C">
      <w:pPr>
        <w:rPr>
          <w:rFonts w:cs="Calibri"/>
          <w:b/>
          <w:sz w:val="22"/>
          <w:szCs w:val="22"/>
        </w:rPr>
      </w:pPr>
      <w:r>
        <w:rPr>
          <w:rFonts w:cs="Calibri"/>
          <w:b/>
          <w:sz w:val="22"/>
          <w:szCs w:val="22"/>
        </w:rPr>
        <w:t xml:space="preserve">                 Krystal Smith, Utah Labor Commission, Industrial Accidents, Senior Business Analyst</w:t>
      </w:r>
    </w:p>
    <w:p w14:paraId="67BC8785" w14:textId="529E0C45" w:rsidR="00673202" w:rsidRDefault="00673202">
      <w:pPr>
        <w:rPr>
          <w:rFonts w:cs="Calibri"/>
          <w:b/>
          <w:sz w:val="22"/>
          <w:szCs w:val="22"/>
        </w:rPr>
      </w:pPr>
      <w:r>
        <w:rPr>
          <w:rFonts w:cs="Calibri"/>
          <w:b/>
          <w:sz w:val="22"/>
          <w:szCs w:val="22"/>
        </w:rPr>
        <w:t xml:space="preserve">                 </w:t>
      </w:r>
    </w:p>
    <w:p w14:paraId="2F3D7497" w14:textId="3CB8DF15" w:rsidR="00822B27" w:rsidRPr="00415EDA" w:rsidRDefault="00830B7A">
      <w:pPr>
        <w:rPr>
          <w:rFonts w:cs="Calibri"/>
          <w:sz w:val="22"/>
          <w:szCs w:val="22"/>
        </w:rPr>
      </w:pPr>
      <w:r>
        <w:rPr>
          <w:rFonts w:cs="Calibri"/>
          <w:b/>
          <w:sz w:val="22"/>
          <w:szCs w:val="22"/>
        </w:rPr>
        <w:t xml:space="preserve">                </w:t>
      </w:r>
    </w:p>
    <w:sectPr w:rsidR="00822B27" w:rsidRPr="00415EDA" w:rsidSect="007309D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01E1" w14:textId="77777777" w:rsidR="00C971ED" w:rsidRDefault="00C971ED" w:rsidP="0095170D">
      <w:r>
        <w:separator/>
      </w:r>
    </w:p>
  </w:endnote>
  <w:endnote w:type="continuationSeparator" w:id="0">
    <w:p w14:paraId="0315FF45" w14:textId="77777777" w:rsidR="00C971ED" w:rsidRDefault="00C971ED" w:rsidP="0095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0E96" w14:textId="77777777" w:rsidR="00C971ED" w:rsidRDefault="00C971ED" w:rsidP="0095170D">
      <w:r>
        <w:separator/>
      </w:r>
    </w:p>
  </w:footnote>
  <w:footnote w:type="continuationSeparator" w:id="0">
    <w:p w14:paraId="4AA8E0F5" w14:textId="77777777" w:rsidR="00C971ED" w:rsidRDefault="00C971ED" w:rsidP="00951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A03"/>
    <w:multiLevelType w:val="multilevel"/>
    <w:tmpl w:val="F63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41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04"/>
    <w:rsid w:val="0000189C"/>
    <w:rsid w:val="00010178"/>
    <w:rsid w:val="000671EE"/>
    <w:rsid w:val="00097EAA"/>
    <w:rsid w:val="000C2B7C"/>
    <w:rsid w:val="00107A9E"/>
    <w:rsid w:val="00120D74"/>
    <w:rsid w:val="00155AFA"/>
    <w:rsid w:val="001746A5"/>
    <w:rsid w:val="00174D7A"/>
    <w:rsid w:val="00187CE1"/>
    <w:rsid w:val="001B0718"/>
    <w:rsid w:val="001E0351"/>
    <w:rsid w:val="001E4F76"/>
    <w:rsid w:val="002253F1"/>
    <w:rsid w:val="00242497"/>
    <w:rsid w:val="00253EC6"/>
    <w:rsid w:val="002A70AB"/>
    <w:rsid w:val="002C24C6"/>
    <w:rsid w:val="00333B2D"/>
    <w:rsid w:val="00356A19"/>
    <w:rsid w:val="00357173"/>
    <w:rsid w:val="0039190D"/>
    <w:rsid w:val="003B60FB"/>
    <w:rsid w:val="003F753C"/>
    <w:rsid w:val="00405A78"/>
    <w:rsid w:val="00415EDA"/>
    <w:rsid w:val="00442DEB"/>
    <w:rsid w:val="004766F4"/>
    <w:rsid w:val="004A356A"/>
    <w:rsid w:val="004C2099"/>
    <w:rsid w:val="004C503B"/>
    <w:rsid w:val="004F1468"/>
    <w:rsid w:val="004F64DA"/>
    <w:rsid w:val="005020E2"/>
    <w:rsid w:val="005111BD"/>
    <w:rsid w:val="00557DFC"/>
    <w:rsid w:val="00560F35"/>
    <w:rsid w:val="00592615"/>
    <w:rsid w:val="00592A46"/>
    <w:rsid w:val="005B2584"/>
    <w:rsid w:val="005B5F28"/>
    <w:rsid w:val="005C52B6"/>
    <w:rsid w:val="005C692E"/>
    <w:rsid w:val="005D1C99"/>
    <w:rsid w:val="006013EC"/>
    <w:rsid w:val="00606B6E"/>
    <w:rsid w:val="00622422"/>
    <w:rsid w:val="006508A1"/>
    <w:rsid w:val="00654D1D"/>
    <w:rsid w:val="00665784"/>
    <w:rsid w:val="00673202"/>
    <w:rsid w:val="006A6E18"/>
    <w:rsid w:val="006B51E2"/>
    <w:rsid w:val="006C5B99"/>
    <w:rsid w:val="006F17F9"/>
    <w:rsid w:val="007309DA"/>
    <w:rsid w:val="007844BE"/>
    <w:rsid w:val="007D3300"/>
    <w:rsid w:val="00810C46"/>
    <w:rsid w:val="00822B27"/>
    <w:rsid w:val="00830B7A"/>
    <w:rsid w:val="00833F63"/>
    <w:rsid w:val="00841ACB"/>
    <w:rsid w:val="00842353"/>
    <w:rsid w:val="00864BF3"/>
    <w:rsid w:val="00871B25"/>
    <w:rsid w:val="00880013"/>
    <w:rsid w:val="00893F0E"/>
    <w:rsid w:val="008A4F66"/>
    <w:rsid w:val="008E3AFB"/>
    <w:rsid w:val="008F1E3C"/>
    <w:rsid w:val="0095170D"/>
    <w:rsid w:val="00965958"/>
    <w:rsid w:val="00970A61"/>
    <w:rsid w:val="0097528C"/>
    <w:rsid w:val="00995EC0"/>
    <w:rsid w:val="009A0BFE"/>
    <w:rsid w:val="009B3548"/>
    <w:rsid w:val="009C6BBE"/>
    <w:rsid w:val="009D4374"/>
    <w:rsid w:val="00A00047"/>
    <w:rsid w:val="00A06B23"/>
    <w:rsid w:val="00A35CF4"/>
    <w:rsid w:val="00AB79F5"/>
    <w:rsid w:val="00AC182B"/>
    <w:rsid w:val="00AC7315"/>
    <w:rsid w:val="00AD13D1"/>
    <w:rsid w:val="00B419AB"/>
    <w:rsid w:val="00B42540"/>
    <w:rsid w:val="00B93404"/>
    <w:rsid w:val="00BA0368"/>
    <w:rsid w:val="00BA0DF8"/>
    <w:rsid w:val="00BB4A34"/>
    <w:rsid w:val="00BD72AA"/>
    <w:rsid w:val="00BE084C"/>
    <w:rsid w:val="00BE2D3A"/>
    <w:rsid w:val="00C152A2"/>
    <w:rsid w:val="00C81FFC"/>
    <w:rsid w:val="00C86357"/>
    <w:rsid w:val="00C971ED"/>
    <w:rsid w:val="00CC4966"/>
    <w:rsid w:val="00CC72AD"/>
    <w:rsid w:val="00CD71ED"/>
    <w:rsid w:val="00CE3B29"/>
    <w:rsid w:val="00D10D92"/>
    <w:rsid w:val="00D12B37"/>
    <w:rsid w:val="00D15681"/>
    <w:rsid w:val="00D60F08"/>
    <w:rsid w:val="00DA17F2"/>
    <w:rsid w:val="00DB191F"/>
    <w:rsid w:val="00DE0D8C"/>
    <w:rsid w:val="00DF0384"/>
    <w:rsid w:val="00E171D5"/>
    <w:rsid w:val="00E2745B"/>
    <w:rsid w:val="00E678E2"/>
    <w:rsid w:val="00E806D5"/>
    <w:rsid w:val="00E81A44"/>
    <w:rsid w:val="00E85766"/>
    <w:rsid w:val="00E87097"/>
    <w:rsid w:val="00E91177"/>
    <w:rsid w:val="00ED2682"/>
    <w:rsid w:val="00F07BE1"/>
    <w:rsid w:val="00F1158D"/>
    <w:rsid w:val="00F1370C"/>
    <w:rsid w:val="00F6286B"/>
    <w:rsid w:val="00F64B7B"/>
    <w:rsid w:val="00F82756"/>
    <w:rsid w:val="00FB7E36"/>
    <w:rsid w:val="00FC6C79"/>
    <w:rsid w:val="00FF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FB0B"/>
  <w15:chartTrackingRefBased/>
  <w15:docId w15:val="{B8096F06-9959-4932-9A01-367EF0B9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202"/>
    <w:pPr>
      <w:spacing w:after="0" w:line="240" w:lineRule="auto"/>
    </w:pPr>
    <w:rPr>
      <w:rFonts w:ascii="Calibri" w:eastAsia="Times New Roman" w:hAnsi="Calibri" w:cs="Times New Roman"/>
      <w:sz w:val="24"/>
      <w:szCs w:val="24"/>
    </w:rPr>
  </w:style>
  <w:style w:type="paragraph" w:styleId="Heading4">
    <w:name w:val="heading 4"/>
    <w:basedOn w:val="Normal"/>
    <w:next w:val="Normal"/>
    <w:link w:val="Heading4Char"/>
    <w:qFormat/>
    <w:rsid w:val="00B93404"/>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93404"/>
    <w:rPr>
      <w:rFonts w:ascii="Calibri" w:eastAsia="Times New Roman" w:hAnsi="Calibri" w:cs="Times New Roman"/>
      <w:b/>
      <w:bCs/>
      <w:sz w:val="24"/>
      <w:szCs w:val="24"/>
    </w:rPr>
  </w:style>
  <w:style w:type="paragraph" w:styleId="Footer">
    <w:name w:val="footer"/>
    <w:basedOn w:val="Normal"/>
    <w:link w:val="FooterChar"/>
    <w:semiHidden/>
    <w:rsid w:val="00B93404"/>
    <w:pPr>
      <w:tabs>
        <w:tab w:val="center" w:pos="4320"/>
        <w:tab w:val="right" w:pos="8640"/>
      </w:tabs>
    </w:pPr>
  </w:style>
  <w:style w:type="character" w:customStyle="1" w:styleId="FooterChar">
    <w:name w:val="Footer Char"/>
    <w:basedOn w:val="DefaultParagraphFont"/>
    <w:link w:val="Footer"/>
    <w:semiHidden/>
    <w:rsid w:val="00B93404"/>
    <w:rPr>
      <w:rFonts w:ascii="Calibri" w:eastAsia="Times New Roman" w:hAnsi="Calibri" w:cs="Times New Roman"/>
      <w:sz w:val="24"/>
      <w:szCs w:val="24"/>
    </w:rPr>
  </w:style>
  <w:style w:type="paragraph" w:styleId="Header">
    <w:name w:val="header"/>
    <w:basedOn w:val="Normal"/>
    <w:link w:val="HeaderChar"/>
    <w:uiPriority w:val="99"/>
    <w:unhideWhenUsed/>
    <w:rsid w:val="0095170D"/>
    <w:pPr>
      <w:tabs>
        <w:tab w:val="center" w:pos="4680"/>
        <w:tab w:val="right" w:pos="9360"/>
      </w:tabs>
    </w:pPr>
  </w:style>
  <w:style w:type="character" w:customStyle="1" w:styleId="HeaderChar">
    <w:name w:val="Header Char"/>
    <w:basedOn w:val="DefaultParagraphFont"/>
    <w:link w:val="Header"/>
    <w:uiPriority w:val="99"/>
    <w:rsid w:val="0095170D"/>
    <w:rPr>
      <w:rFonts w:ascii="Calibri" w:eastAsia="Times New Roman" w:hAnsi="Calibri" w:cs="Times New Roman"/>
      <w:sz w:val="24"/>
      <w:szCs w:val="24"/>
    </w:rPr>
  </w:style>
  <w:style w:type="character" w:styleId="Hyperlink">
    <w:name w:val="Hyperlink"/>
    <w:basedOn w:val="DefaultParagraphFont"/>
    <w:uiPriority w:val="99"/>
    <w:unhideWhenUsed/>
    <w:rsid w:val="00592A46"/>
    <w:rPr>
      <w:color w:val="0563C1" w:themeColor="hyperlink"/>
      <w:u w:val="single"/>
    </w:rPr>
  </w:style>
  <w:style w:type="character" w:styleId="UnresolvedMention">
    <w:name w:val="Unresolved Mention"/>
    <w:basedOn w:val="DefaultParagraphFont"/>
    <w:uiPriority w:val="99"/>
    <w:semiHidden/>
    <w:unhideWhenUsed/>
    <w:rsid w:val="0059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4682">
      <w:bodyDiv w:val="1"/>
      <w:marLeft w:val="0"/>
      <w:marRight w:val="0"/>
      <w:marTop w:val="0"/>
      <w:marBottom w:val="0"/>
      <w:divBdr>
        <w:top w:val="none" w:sz="0" w:space="0" w:color="auto"/>
        <w:left w:val="none" w:sz="0" w:space="0" w:color="auto"/>
        <w:bottom w:val="none" w:sz="0" w:space="0" w:color="auto"/>
        <w:right w:val="none" w:sz="0" w:space="0" w:color="auto"/>
      </w:divBdr>
    </w:div>
    <w:div w:id="16527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New</dc:creator>
  <cp:keywords/>
  <dc:description/>
  <cp:lastModifiedBy>Felicia New</cp:lastModifiedBy>
  <cp:revision>2</cp:revision>
  <dcterms:created xsi:type="dcterms:W3CDTF">2025-12-30T20:38:00Z</dcterms:created>
  <dcterms:modified xsi:type="dcterms:W3CDTF">2025-12-30T20:38:00Z</dcterms:modified>
</cp:coreProperties>
</file>