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446F" w14:textId="77777777" w:rsidR="006F4DBE" w:rsidRPr="000658DB" w:rsidRDefault="006F4DBE" w:rsidP="006F4DBE">
      <w:pPr>
        <w:autoSpaceDE w:val="0"/>
        <w:autoSpaceDN w:val="0"/>
        <w:adjustRightInd w:val="0"/>
        <w:spacing w:after="0" w:line="360" w:lineRule="auto"/>
        <w:rPr>
          <w:rFonts w:ascii="Times New Roman" w:hAnsi="Times New Roman" w:cs="Times New Roman"/>
          <w:b/>
          <w:bCs/>
          <w:color w:val="595A6C"/>
          <w:kern w:val="0"/>
        </w:rPr>
      </w:pPr>
      <w:r w:rsidRPr="000658DB">
        <w:rPr>
          <w:rFonts w:ascii="Times New Roman" w:hAnsi="Times New Roman" w:cs="Times New Roman"/>
          <w:b/>
          <w:bCs/>
          <w:color w:val="595A6C"/>
          <w:kern w:val="0"/>
        </w:rPr>
        <w:t>TICABOO UTILITY IMPROVEMENT DISTRICT</w:t>
      </w:r>
    </w:p>
    <w:p w14:paraId="243A2E24" w14:textId="6ADD7DC0" w:rsidR="006F4DBE" w:rsidRPr="000658DB" w:rsidRDefault="006F4DBE" w:rsidP="006F4DBE">
      <w:pPr>
        <w:autoSpaceDE w:val="0"/>
        <w:autoSpaceDN w:val="0"/>
        <w:adjustRightInd w:val="0"/>
        <w:spacing w:after="0" w:line="360" w:lineRule="auto"/>
        <w:rPr>
          <w:rFonts w:ascii="Times New Roman" w:hAnsi="Times New Roman" w:cs="Times New Roman"/>
          <w:b/>
          <w:bCs/>
          <w:color w:val="595A6C"/>
          <w:kern w:val="0"/>
        </w:rPr>
      </w:pPr>
      <w:r w:rsidRPr="000658DB">
        <w:rPr>
          <w:rFonts w:ascii="Times New Roman" w:hAnsi="Times New Roman" w:cs="Times New Roman"/>
          <w:b/>
          <w:bCs/>
          <w:color w:val="595A6C"/>
          <w:kern w:val="0"/>
        </w:rPr>
        <w:t>PUBLIC NOTICE</w:t>
      </w:r>
      <w:r>
        <w:rPr>
          <w:rFonts w:ascii="Times New Roman" w:hAnsi="Times New Roman" w:cs="Times New Roman"/>
          <w:b/>
          <w:bCs/>
          <w:color w:val="595A6C"/>
          <w:kern w:val="0"/>
        </w:rPr>
        <w:t>:</w:t>
      </w:r>
      <w:r w:rsidRPr="000658DB">
        <w:rPr>
          <w:rFonts w:ascii="Times New Roman" w:hAnsi="Times New Roman" w:cs="Times New Roman"/>
          <w:b/>
          <w:bCs/>
          <w:color w:val="595A6C"/>
          <w:kern w:val="0"/>
        </w:rPr>
        <w:t xml:space="preserve"> </w:t>
      </w:r>
      <w:r>
        <w:rPr>
          <w:rFonts w:ascii="Times New Roman" w:hAnsi="Times New Roman" w:cs="Times New Roman"/>
          <w:b/>
          <w:bCs/>
          <w:color w:val="595A6C"/>
          <w:kern w:val="0"/>
        </w:rPr>
        <w:t xml:space="preserve">REGULAR SCHEDULED </w:t>
      </w:r>
      <w:r w:rsidRPr="000658DB">
        <w:rPr>
          <w:rFonts w:ascii="Times New Roman" w:hAnsi="Times New Roman" w:cs="Times New Roman"/>
          <w:b/>
          <w:bCs/>
          <w:color w:val="595A6C"/>
          <w:kern w:val="0"/>
        </w:rPr>
        <w:t>MEETING and PUBLIC HEARING M</w:t>
      </w:r>
      <w:r w:rsidR="006C62A5">
        <w:rPr>
          <w:rFonts w:ascii="Times New Roman" w:hAnsi="Times New Roman" w:cs="Times New Roman"/>
          <w:b/>
          <w:bCs/>
          <w:color w:val="595A6C"/>
          <w:kern w:val="0"/>
        </w:rPr>
        <w:t>INUTES</w:t>
      </w:r>
    </w:p>
    <w:p w14:paraId="57FC191A" w14:textId="72B637DE"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b/>
          <w:bCs/>
          <w:kern w:val="0"/>
          <w14:ligatures w14:val="none"/>
        </w:rPr>
        <w:t>Date:</w:t>
      </w:r>
      <w:r w:rsidRPr="00484444">
        <w:rPr>
          <w:rFonts w:ascii="Times New Roman" w:eastAsia="Times New Roman" w:hAnsi="Times New Roman" w:cs="Times New Roman"/>
          <w:kern w:val="0"/>
          <w14:ligatures w14:val="none"/>
        </w:rPr>
        <w:t xml:space="preserve"> Wednesday, December 10, 2025</w:t>
      </w:r>
      <w:r w:rsidRPr="00484444">
        <w:rPr>
          <w:rFonts w:ascii="Times New Roman" w:eastAsia="Times New Roman" w:hAnsi="Times New Roman" w:cs="Times New Roman"/>
          <w:kern w:val="0"/>
          <w14:ligatures w14:val="none"/>
        </w:rPr>
        <w:br/>
      </w:r>
      <w:r w:rsidRPr="00484444">
        <w:rPr>
          <w:rFonts w:ascii="Times New Roman" w:eastAsia="Times New Roman" w:hAnsi="Times New Roman" w:cs="Times New Roman"/>
          <w:b/>
          <w:bCs/>
          <w:kern w:val="0"/>
          <w14:ligatures w14:val="none"/>
        </w:rPr>
        <w:t>Time:</w:t>
      </w:r>
      <w:r w:rsidRPr="00484444">
        <w:rPr>
          <w:rFonts w:ascii="Times New Roman" w:eastAsia="Times New Roman" w:hAnsi="Times New Roman" w:cs="Times New Roman"/>
          <w:kern w:val="0"/>
          <w14:ligatures w14:val="none"/>
        </w:rPr>
        <w:t xml:space="preserve"> 5:30 PM</w:t>
      </w:r>
      <w:r w:rsidRPr="00484444">
        <w:rPr>
          <w:rFonts w:ascii="Times New Roman" w:eastAsia="Times New Roman" w:hAnsi="Times New Roman" w:cs="Times New Roman"/>
          <w:kern w:val="0"/>
          <w14:ligatures w14:val="none"/>
        </w:rPr>
        <w:br/>
      </w:r>
      <w:r w:rsidRPr="00484444">
        <w:rPr>
          <w:rFonts w:ascii="Times New Roman" w:eastAsia="Times New Roman" w:hAnsi="Times New Roman" w:cs="Times New Roman"/>
          <w:b/>
          <w:bCs/>
          <w:kern w:val="0"/>
          <w14:ligatures w14:val="none"/>
        </w:rPr>
        <w:t>Location:</w:t>
      </w:r>
      <w:r w:rsidRPr="00484444">
        <w:rPr>
          <w:rFonts w:ascii="Times New Roman" w:eastAsia="Times New Roman" w:hAnsi="Times New Roman" w:cs="Times New Roman"/>
          <w:kern w:val="0"/>
          <w14:ligatures w14:val="none"/>
        </w:rPr>
        <w:t xml:space="preserve"> Electronic Meeting</w:t>
      </w:r>
    </w:p>
    <w:p w14:paraId="7D5BD70E"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Pursuant to House Bill 5002, </w:t>
      </w:r>
      <w:r w:rsidRPr="00484444">
        <w:rPr>
          <w:rFonts w:ascii="Times New Roman" w:eastAsia="Times New Roman" w:hAnsi="Times New Roman" w:cs="Times New Roman"/>
          <w:i/>
          <w:iCs/>
          <w:kern w:val="0"/>
          <w14:ligatures w14:val="none"/>
        </w:rPr>
        <w:t>Open and Public Meetings Act Amendments</w:t>
      </w:r>
      <w:r w:rsidRPr="00484444">
        <w:rPr>
          <w:rFonts w:ascii="Times New Roman" w:eastAsia="Times New Roman" w:hAnsi="Times New Roman" w:cs="Times New Roman"/>
          <w:kern w:val="0"/>
          <w14:ligatures w14:val="none"/>
        </w:rPr>
        <w:t>,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47562168"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772CBF">
          <v:rect id="_x0000_i1025" style="width:0;height:1.5pt" o:hralign="center" o:hrstd="t" o:hr="t" fillcolor="#a0a0a0" stroked="f"/>
        </w:pict>
      </w:r>
    </w:p>
    <w:p w14:paraId="4E4C6D38"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Call to Order</w:t>
      </w:r>
    </w:p>
    <w:p w14:paraId="6506E066"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Chair Alexa Wilson called the meeting to order at </w:t>
      </w:r>
      <w:r w:rsidRPr="00484444">
        <w:rPr>
          <w:rFonts w:ascii="Times New Roman" w:eastAsia="Times New Roman" w:hAnsi="Times New Roman" w:cs="Times New Roman"/>
          <w:b/>
          <w:bCs/>
          <w:kern w:val="0"/>
          <w14:ligatures w14:val="none"/>
        </w:rPr>
        <w:t>5:30 PM</w:t>
      </w:r>
      <w:r w:rsidRPr="00484444">
        <w:rPr>
          <w:rFonts w:ascii="Times New Roman" w:eastAsia="Times New Roman" w:hAnsi="Times New Roman" w:cs="Times New Roman"/>
          <w:kern w:val="0"/>
          <w14:ligatures w14:val="none"/>
        </w:rPr>
        <w:t xml:space="preserve"> and welcomed board members, staff, and members of the public.</w:t>
      </w:r>
    </w:p>
    <w:p w14:paraId="53DB87D7"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2FC5EE6">
          <v:rect id="_x0000_i1026" style="width:0;height:1.5pt" o:hralign="center" o:hrstd="t" o:hr="t" fillcolor="#a0a0a0" stroked="f"/>
        </w:pict>
      </w:r>
    </w:p>
    <w:p w14:paraId="27F71454"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Roll Call</w:t>
      </w:r>
    </w:p>
    <w:p w14:paraId="4CD3B075"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b/>
          <w:bCs/>
          <w:kern w:val="0"/>
          <w14:ligatures w14:val="none"/>
        </w:rPr>
        <w:t>Board Members Present:</w:t>
      </w:r>
      <w:r w:rsidRPr="00484444">
        <w:rPr>
          <w:rFonts w:ascii="Times New Roman" w:eastAsia="Times New Roman" w:hAnsi="Times New Roman" w:cs="Times New Roman"/>
          <w:kern w:val="0"/>
          <w14:ligatures w14:val="none"/>
        </w:rPr>
        <w:br/>
        <w:t>Alexa Wilson, Chair</w:t>
      </w:r>
      <w:r w:rsidRPr="00484444">
        <w:rPr>
          <w:rFonts w:ascii="Times New Roman" w:eastAsia="Times New Roman" w:hAnsi="Times New Roman" w:cs="Times New Roman"/>
          <w:kern w:val="0"/>
          <w14:ligatures w14:val="none"/>
        </w:rPr>
        <w:br/>
        <w:t>Amy Golden, Trustee</w:t>
      </w:r>
    </w:p>
    <w:p w14:paraId="70255F74"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b/>
          <w:bCs/>
          <w:kern w:val="0"/>
          <w14:ligatures w14:val="none"/>
        </w:rPr>
        <w:t>Staff Present:</w:t>
      </w:r>
      <w:r w:rsidRPr="00484444">
        <w:rPr>
          <w:rFonts w:ascii="Times New Roman" w:eastAsia="Times New Roman" w:hAnsi="Times New Roman" w:cs="Times New Roman"/>
          <w:kern w:val="0"/>
          <w14:ligatures w14:val="none"/>
        </w:rPr>
        <w:br/>
        <w:t>John Motley, General Manager</w:t>
      </w:r>
    </w:p>
    <w:p w14:paraId="64CBD502"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b/>
          <w:bCs/>
          <w:kern w:val="0"/>
          <w14:ligatures w14:val="none"/>
        </w:rPr>
        <w:t>Others Present:</w:t>
      </w:r>
      <w:r w:rsidRPr="00484444">
        <w:rPr>
          <w:rFonts w:ascii="Times New Roman" w:eastAsia="Times New Roman" w:hAnsi="Times New Roman" w:cs="Times New Roman"/>
          <w:kern w:val="0"/>
          <w14:ligatures w14:val="none"/>
        </w:rPr>
        <w:br/>
        <w:t>Members of the public</w:t>
      </w:r>
      <w:r w:rsidRPr="00484444">
        <w:rPr>
          <w:rFonts w:ascii="Times New Roman" w:eastAsia="Times New Roman" w:hAnsi="Times New Roman" w:cs="Times New Roman"/>
          <w:kern w:val="0"/>
          <w14:ligatures w14:val="none"/>
        </w:rPr>
        <w:br/>
        <w:t>Adam Long, Attorney, Smith Hartvigsen</w:t>
      </w:r>
    </w:p>
    <w:p w14:paraId="7AB78EE8"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D16A48">
          <v:rect id="_x0000_i1027" style="width:0;height:1.5pt" o:hralign="center" o:hrstd="t" o:hr="t" fillcolor="#a0a0a0" stroked="f"/>
        </w:pict>
      </w:r>
    </w:p>
    <w:p w14:paraId="6EF24AAC"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Adoption of the Agenda</w:t>
      </w:r>
    </w:p>
    <w:p w14:paraId="60279401"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A motion was made to adopt the agenda as presented. The motion was seconded and adopted unanimously. Procedures for handling electronic participation and public comment were reviewed.</w:t>
      </w:r>
    </w:p>
    <w:p w14:paraId="6965DD60"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6AE725FE">
          <v:rect id="_x0000_i1028" style="width:0;height:1.5pt" o:hralign="center" o:hrstd="t" o:hr="t" fillcolor="#a0a0a0" stroked="f"/>
        </w:pict>
      </w:r>
    </w:p>
    <w:p w14:paraId="03EAA51D"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Public Comment (3 minutes per speaker, 15 minutes total)</w:t>
      </w:r>
    </w:p>
    <w:p w14:paraId="5BCCF8F7"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The public was invited to comment, with budget-related comments reserved for the public hearing.</w:t>
      </w:r>
    </w:p>
    <w:p w14:paraId="6177F4BE"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A property owner expressed concerns that the water rights complaint did not name all potentially responsible and insured parties, including the prior TUID board, and stated that naming additional insured defendants could increase potential recovery. He alleged a potential conflict of interest involving Jones &amp; DeMille Engineering due to its representation of other water districts, stated that the proposed settlement should be publicly reviewed prior to approval, and suggested that a current board member who served on the previous board should abstain from voting. Additional concerns were raised regarding protection of residents’ interests related to water rights and future development, and that the issue should be reviewed by a larger governing body prior to final action.</w:t>
      </w:r>
    </w:p>
    <w:p w14:paraId="51F51522"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A9794F">
          <v:rect id="_x0000_i1029" style="width:0;height:1.5pt" o:hralign="center" o:hrstd="t" o:hr="t" fillcolor="#a0a0a0" stroked="f"/>
        </w:pict>
      </w:r>
    </w:p>
    <w:p w14:paraId="423899B6"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Board Reports &amp; Business</w:t>
      </w:r>
    </w:p>
    <w:p w14:paraId="106DA539" w14:textId="77777777" w:rsidR="00484444" w:rsidRPr="00484444" w:rsidRDefault="00484444" w:rsidP="004844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4444">
        <w:rPr>
          <w:rFonts w:ascii="Times New Roman" w:eastAsia="Times New Roman" w:hAnsi="Times New Roman" w:cs="Times New Roman"/>
          <w:b/>
          <w:bCs/>
          <w:kern w:val="0"/>
          <w14:ligatures w14:val="none"/>
        </w:rPr>
        <w:t>Water Rights Settlement Discussion</w:t>
      </w:r>
    </w:p>
    <w:p w14:paraId="596847D5"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Adam Long, legal counsel assisting TUID with the water rights issue, was introduced. Mr. Long summarized the matter, stating that a settlement agreement had been offered whereby Jones &amp; DeMille Engineering would pay </w:t>
      </w:r>
      <w:r w:rsidRPr="00484444">
        <w:rPr>
          <w:rFonts w:ascii="Times New Roman" w:eastAsia="Times New Roman" w:hAnsi="Times New Roman" w:cs="Times New Roman"/>
          <w:b/>
          <w:bCs/>
          <w:kern w:val="0"/>
          <w14:ligatures w14:val="none"/>
        </w:rPr>
        <w:t>$250,000</w:t>
      </w:r>
      <w:r w:rsidRPr="00484444">
        <w:rPr>
          <w:rFonts w:ascii="Times New Roman" w:eastAsia="Times New Roman" w:hAnsi="Times New Roman" w:cs="Times New Roman"/>
          <w:kern w:val="0"/>
          <w14:ligatures w14:val="none"/>
        </w:rPr>
        <w:t xml:space="preserve"> to TUID in exchange for mutual releases of claims, with TUID assuming sole responsibility for future water rights matters.</w:t>
      </w:r>
    </w:p>
    <w:p w14:paraId="4B0661CE" w14:textId="4D3B5F8E"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The Chair noted that the agreement did not contain material provisions beyond those </w:t>
      </w:r>
      <w:r w:rsidR="009B34DD">
        <w:rPr>
          <w:rFonts w:ascii="Times New Roman" w:eastAsia="Times New Roman" w:hAnsi="Times New Roman" w:cs="Times New Roman"/>
          <w:kern w:val="0"/>
          <w14:ligatures w14:val="none"/>
        </w:rPr>
        <w:t xml:space="preserve">just </w:t>
      </w:r>
      <w:r w:rsidRPr="00484444">
        <w:rPr>
          <w:rFonts w:ascii="Times New Roman" w:eastAsia="Times New Roman" w:hAnsi="Times New Roman" w:cs="Times New Roman"/>
          <w:kern w:val="0"/>
          <w14:ligatures w14:val="none"/>
        </w:rPr>
        <w:t>summarized</w:t>
      </w:r>
      <w:r w:rsidR="00684ED5">
        <w:rPr>
          <w:rFonts w:ascii="Times New Roman" w:eastAsia="Times New Roman" w:hAnsi="Times New Roman" w:cs="Times New Roman"/>
          <w:kern w:val="0"/>
          <w14:ligatures w14:val="none"/>
        </w:rPr>
        <w:t xml:space="preserve">, and while the </w:t>
      </w:r>
      <w:r w:rsidRPr="00484444">
        <w:rPr>
          <w:rFonts w:ascii="Times New Roman" w:eastAsia="Times New Roman" w:hAnsi="Times New Roman" w:cs="Times New Roman"/>
          <w:kern w:val="0"/>
          <w14:ligatures w14:val="none"/>
        </w:rPr>
        <w:t xml:space="preserve">settlement did not fully cover damages, continued litigation would involve substantial legal costs and uncertainty, potentially reducing net recovery. </w:t>
      </w:r>
      <w:r w:rsidR="000D0E88">
        <w:rPr>
          <w:rFonts w:ascii="Times New Roman" w:eastAsia="Times New Roman" w:hAnsi="Times New Roman" w:cs="Times New Roman"/>
          <w:kern w:val="0"/>
          <w14:ligatures w14:val="none"/>
        </w:rPr>
        <w:t xml:space="preserve">For this </w:t>
      </w:r>
      <w:proofErr w:type="gramStart"/>
      <w:r w:rsidR="000D0E88">
        <w:rPr>
          <w:rFonts w:ascii="Times New Roman" w:eastAsia="Times New Roman" w:hAnsi="Times New Roman" w:cs="Times New Roman"/>
          <w:kern w:val="0"/>
          <w14:ligatures w14:val="none"/>
        </w:rPr>
        <w:t>reason</w:t>
      </w:r>
      <w:proofErr w:type="gramEnd"/>
      <w:r w:rsidR="000D0E88">
        <w:rPr>
          <w:rFonts w:ascii="Times New Roman" w:eastAsia="Times New Roman" w:hAnsi="Times New Roman" w:cs="Times New Roman"/>
          <w:kern w:val="0"/>
          <w14:ligatures w14:val="none"/>
        </w:rPr>
        <w:t xml:space="preserve"> accepting </w:t>
      </w:r>
      <w:r w:rsidRPr="00484444">
        <w:rPr>
          <w:rFonts w:ascii="Times New Roman" w:eastAsia="Times New Roman" w:hAnsi="Times New Roman" w:cs="Times New Roman"/>
          <w:kern w:val="0"/>
          <w14:ligatures w14:val="none"/>
        </w:rPr>
        <w:t>the settlement and prudently managing the funds would be in TUID’s best interest.</w:t>
      </w:r>
    </w:p>
    <w:p w14:paraId="4EE2F23A" w14:textId="38028925"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Mr. Long responded to </w:t>
      </w:r>
      <w:r w:rsidR="00F55699">
        <w:rPr>
          <w:rFonts w:ascii="Times New Roman" w:eastAsia="Times New Roman" w:hAnsi="Times New Roman" w:cs="Times New Roman"/>
          <w:kern w:val="0"/>
          <w14:ligatures w14:val="none"/>
        </w:rPr>
        <w:t xml:space="preserve">the </w:t>
      </w:r>
      <w:r w:rsidRPr="00484444">
        <w:rPr>
          <w:rFonts w:ascii="Times New Roman" w:eastAsia="Times New Roman" w:hAnsi="Times New Roman" w:cs="Times New Roman"/>
          <w:kern w:val="0"/>
          <w14:ligatures w14:val="none"/>
        </w:rPr>
        <w:t>public comments, explaining that the prior board and TUID are legally the same entity and that individual board members are not personally liable. He stated that he did not believe a viable claim existed against the prior board and that recovery would be unlikely even if such a claim were pursued.</w:t>
      </w:r>
    </w:p>
    <w:p w14:paraId="73738577" w14:textId="3C3FF9D2"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 board member expressed concern that the settlement would not fully restore water rights and that future development and property values could be affected, and suggested hearing from additional stakeholders before </w:t>
      </w:r>
      <w:r w:rsidR="00F55699" w:rsidRPr="00484444">
        <w:rPr>
          <w:rFonts w:ascii="Times New Roman" w:eastAsia="Times New Roman" w:hAnsi="Times New Roman" w:cs="Times New Roman"/>
          <w:kern w:val="0"/>
          <w14:ligatures w14:val="none"/>
        </w:rPr>
        <w:t>deciding</w:t>
      </w:r>
      <w:r w:rsidRPr="00484444">
        <w:rPr>
          <w:rFonts w:ascii="Times New Roman" w:eastAsia="Times New Roman" w:hAnsi="Times New Roman" w:cs="Times New Roman"/>
          <w:kern w:val="0"/>
          <w14:ligatures w14:val="none"/>
        </w:rPr>
        <w:t>.</w:t>
      </w:r>
    </w:p>
    <w:p w14:paraId="31D423BD" w14:textId="2B0583F5"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Mr. Long advised that tabling the matter was within the board’s discretion but could not guarantee the settlement offer would remain open. Discussion occurred regarding tabling the decision for no more than one week and potentially convening a full board vote. Mr. Long noted that legal strategy discussions would be appropriate in </w:t>
      </w:r>
      <w:r w:rsidR="0092037F">
        <w:rPr>
          <w:rFonts w:ascii="Times New Roman" w:eastAsia="Times New Roman" w:hAnsi="Times New Roman" w:cs="Times New Roman"/>
          <w:kern w:val="0"/>
          <w14:ligatures w14:val="none"/>
        </w:rPr>
        <w:t xml:space="preserve">the </w:t>
      </w:r>
      <w:r w:rsidRPr="00484444">
        <w:rPr>
          <w:rFonts w:ascii="Times New Roman" w:eastAsia="Times New Roman" w:hAnsi="Times New Roman" w:cs="Times New Roman"/>
          <w:kern w:val="0"/>
          <w14:ligatures w14:val="none"/>
        </w:rPr>
        <w:t>closed session.</w:t>
      </w:r>
    </w:p>
    <w:p w14:paraId="326BC6BA"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lastRenderedPageBreak/>
        <w:t>The Chair proposed entering a closed meeting later in the agenda for purposes of discussing pending litigation.</w:t>
      </w:r>
    </w:p>
    <w:p w14:paraId="6BB3A8D5"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9FA53D">
          <v:rect id="_x0000_i1030" style="width:0;height:1.5pt" o:hralign="center" o:hrstd="t" o:hr="t" fillcolor="#a0a0a0" stroked="f"/>
        </w:pict>
      </w:r>
    </w:p>
    <w:p w14:paraId="6660D65B"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General Manager Report (John Motley)</w:t>
      </w:r>
    </w:p>
    <w:p w14:paraId="2C0C5F50" w14:textId="1C196E15"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The General Manager provided updates on operations, including generator performance, power imbalances, and mechanical issues with the MQ generator. He reported that </w:t>
      </w:r>
      <w:r w:rsidR="00A5078E">
        <w:rPr>
          <w:rFonts w:ascii="Times New Roman" w:eastAsia="Times New Roman" w:hAnsi="Times New Roman" w:cs="Times New Roman"/>
          <w:kern w:val="0"/>
          <w14:ligatures w14:val="none"/>
        </w:rPr>
        <w:t xml:space="preserve">he would </w:t>
      </w:r>
      <w:r w:rsidR="000A0393">
        <w:rPr>
          <w:rFonts w:ascii="Times New Roman" w:eastAsia="Times New Roman" w:hAnsi="Times New Roman" w:cs="Times New Roman"/>
          <w:kern w:val="0"/>
          <w14:ligatures w14:val="none"/>
        </w:rPr>
        <w:t xml:space="preserve">attempt to </w:t>
      </w:r>
      <w:r w:rsidR="008315BB">
        <w:rPr>
          <w:rFonts w:ascii="Times New Roman" w:eastAsia="Times New Roman" w:hAnsi="Times New Roman" w:cs="Times New Roman"/>
          <w:kern w:val="0"/>
          <w14:ligatures w14:val="none"/>
        </w:rPr>
        <w:t xml:space="preserve">solve the issue by replacing </w:t>
      </w:r>
      <w:r w:rsidR="000A0393">
        <w:rPr>
          <w:rFonts w:ascii="Times New Roman" w:eastAsia="Times New Roman" w:hAnsi="Times New Roman" w:cs="Times New Roman"/>
          <w:kern w:val="0"/>
          <w14:ligatures w14:val="none"/>
        </w:rPr>
        <w:t xml:space="preserve">the </w:t>
      </w:r>
      <w:r w:rsidRPr="00484444">
        <w:rPr>
          <w:rFonts w:ascii="Times New Roman" w:eastAsia="Times New Roman" w:hAnsi="Times New Roman" w:cs="Times New Roman"/>
          <w:kern w:val="0"/>
          <w14:ligatures w14:val="none"/>
        </w:rPr>
        <w:t xml:space="preserve">vehicle speed sensor </w:t>
      </w:r>
      <w:r w:rsidR="000A0393">
        <w:rPr>
          <w:rFonts w:ascii="Times New Roman" w:eastAsia="Times New Roman" w:hAnsi="Times New Roman" w:cs="Times New Roman"/>
          <w:kern w:val="0"/>
          <w14:ligatures w14:val="none"/>
        </w:rPr>
        <w:t xml:space="preserve">first </w:t>
      </w:r>
      <w:r w:rsidRPr="00484444">
        <w:rPr>
          <w:rFonts w:ascii="Times New Roman" w:eastAsia="Times New Roman" w:hAnsi="Times New Roman" w:cs="Times New Roman"/>
          <w:kern w:val="0"/>
          <w14:ligatures w14:val="none"/>
        </w:rPr>
        <w:t xml:space="preserve">at an estimated cost of </w:t>
      </w:r>
      <w:r w:rsidRPr="00484444">
        <w:rPr>
          <w:rFonts w:ascii="Times New Roman" w:eastAsia="Times New Roman" w:hAnsi="Times New Roman" w:cs="Times New Roman"/>
          <w:b/>
          <w:bCs/>
          <w:kern w:val="0"/>
          <w14:ligatures w14:val="none"/>
        </w:rPr>
        <w:t>$80</w:t>
      </w:r>
      <w:r w:rsidRPr="00484444">
        <w:rPr>
          <w:rFonts w:ascii="Times New Roman" w:eastAsia="Times New Roman" w:hAnsi="Times New Roman" w:cs="Times New Roman"/>
          <w:kern w:val="0"/>
          <w14:ligatures w14:val="none"/>
        </w:rPr>
        <w:t xml:space="preserve"> </w:t>
      </w:r>
      <w:r w:rsidR="00A5078E">
        <w:rPr>
          <w:rFonts w:ascii="Times New Roman" w:eastAsia="Times New Roman" w:hAnsi="Times New Roman" w:cs="Times New Roman"/>
          <w:kern w:val="0"/>
          <w14:ligatures w14:val="none"/>
        </w:rPr>
        <w:t>vs. the</w:t>
      </w:r>
      <w:r w:rsidRPr="00484444">
        <w:rPr>
          <w:rFonts w:ascii="Times New Roman" w:eastAsia="Times New Roman" w:hAnsi="Times New Roman" w:cs="Times New Roman"/>
          <w:kern w:val="0"/>
          <w14:ligatures w14:val="none"/>
        </w:rPr>
        <w:t xml:space="preserve"> higher-cost fuel pump repair</w:t>
      </w:r>
      <w:r w:rsidR="00A5078E">
        <w:rPr>
          <w:rFonts w:ascii="Times New Roman" w:eastAsia="Times New Roman" w:hAnsi="Times New Roman" w:cs="Times New Roman"/>
          <w:kern w:val="0"/>
          <w14:ligatures w14:val="none"/>
        </w:rPr>
        <w:t xml:space="preserve">, which would require a technician, </w:t>
      </w:r>
      <w:r w:rsidRPr="00484444">
        <w:rPr>
          <w:rFonts w:ascii="Times New Roman" w:eastAsia="Times New Roman" w:hAnsi="Times New Roman" w:cs="Times New Roman"/>
          <w:kern w:val="0"/>
          <w14:ligatures w14:val="none"/>
        </w:rPr>
        <w:t xml:space="preserve">estimated at </w:t>
      </w:r>
      <w:r w:rsidRPr="00484444">
        <w:rPr>
          <w:rFonts w:ascii="Times New Roman" w:eastAsia="Times New Roman" w:hAnsi="Times New Roman" w:cs="Times New Roman"/>
          <w:b/>
          <w:bCs/>
          <w:kern w:val="0"/>
          <w14:ligatures w14:val="none"/>
        </w:rPr>
        <w:t>$5,000</w:t>
      </w:r>
      <w:r w:rsidR="00A5078E">
        <w:rPr>
          <w:rFonts w:ascii="Times New Roman" w:eastAsia="Times New Roman" w:hAnsi="Times New Roman" w:cs="Times New Roman"/>
          <w:kern w:val="0"/>
          <w14:ligatures w14:val="none"/>
        </w:rPr>
        <w:t>.</w:t>
      </w:r>
      <w:r w:rsidRPr="00484444">
        <w:rPr>
          <w:rFonts w:ascii="Times New Roman" w:eastAsia="Times New Roman" w:hAnsi="Times New Roman" w:cs="Times New Roman"/>
          <w:kern w:val="0"/>
          <w14:ligatures w14:val="none"/>
        </w:rPr>
        <w:t xml:space="preserve"> He also discussed upcoming year-end water meter readings, completion of three-year extensive water testing, and PFAS testing conducted earlier in the year, which returned negative results.</w:t>
      </w:r>
    </w:p>
    <w:p w14:paraId="71B15C5F"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792F152">
          <v:rect id="_x0000_i1031" style="width:0;height:1.5pt" o:hralign="center" o:hrstd="t" o:hr="t" fillcolor="#a0a0a0" stroked="f"/>
        </w:pict>
      </w:r>
    </w:p>
    <w:p w14:paraId="3C31A053"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Public Hearing – 2026 Operating Budget</w:t>
      </w:r>
    </w:p>
    <w:p w14:paraId="56E054B6"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 motion was made and seconded to enter the public hearing to adopt the </w:t>
      </w:r>
      <w:r w:rsidRPr="00484444">
        <w:rPr>
          <w:rFonts w:ascii="Times New Roman" w:eastAsia="Times New Roman" w:hAnsi="Times New Roman" w:cs="Times New Roman"/>
          <w:b/>
          <w:bCs/>
          <w:kern w:val="0"/>
          <w14:ligatures w14:val="none"/>
        </w:rPr>
        <w:t>2026 TUID Operating Budget</w:t>
      </w:r>
      <w:r w:rsidRPr="00484444">
        <w:rPr>
          <w:rFonts w:ascii="Times New Roman" w:eastAsia="Times New Roman" w:hAnsi="Times New Roman" w:cs="Times New Roman"/>
          <w:kern w:val="0"/>
          <w14:ligatures w14:val="none"/>
        </w:rPr>
        <w:t>. The motion passed unanimously.</w:t>
      </w:r>
    </w:p>
    <w:p w14:paraId="771EABAC"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Members of the public were offered the opportunity to comment; no comments were received.</w:t>
      </w:r>
    </w:p>
    <w:p w14:paraId="6EACD25A" w14:textId="2141523A"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The General Manager reviewed the proposed budget, emphasizing efficiency through simplification and potential future cost reductions, including moving certain accounting functions in-house. He reported that 2025 costs were under or close to budget, </w:t>
      </w:r>
      <w:r w:rsidR="00FD2C71">
        <w:rPr>
          <w:rFonts w:ascii="Times New Roman" w:eastAsia="Times New Roman" w:hAnsi="Times New Roman" w:cs="Times New Roman"/>
          <w:kern w:val="0"/>
          <w14:ligatures w14:val="none"/>
        </w:rPr>
        <w:t xml:space="preserve">with a significant </w:t>
      </w:r>
      <w:r w:rsidR="00FF4CB2">
        <w:rPr>
          <w:rFonts w:ascii="Times New Roman" w:eastAsia="Times New Roman" w:hAnsi="Times New Roman" w:cs="Times New Roman"/>
          <w:kern w:val="0"/>
          <w14:ligatures w14:val="none"/>
        </w:rPr>
        <w:t xml:space="preserve">reduction in </w:t>
      </w:r>
      <w:r w:rsidRPr="00484444">
        <w:rPr>
          <w:rFonts w:ascii="Times New Roman" w:eastAsia="Times New Roman" w:hAnsi="Times New Roman" w:cs="Times New Roman"/>
          <w:kern w:val="0"/>
          <w14:ligatures w14:val="none"/>
        </w:rPr>
        <w:t xml:space="preserve">fuel </w:t>
      </w:r>
      <w:r w:rsidR="00FF4CB2">
        <w:rPr>
          <w:rFonts w:ascii="Times New Roman" w:eastAsia="Times New Roman" w:hAnsi="Times New Roman" w:cs="Times New Roman"/>
          <w:kern w:val="0"/>
          <w14:ligatures w14:val="none"/>
        </w:rPr>
        <w:t xml:space="preserve">costs due to consistently lower 2025 fuel pricing and the use of the MQ </w:t>
      </w:r>
      <w:r w:rsidR="00D26151">
        <w:rPr>
          <w:rFonts w:ascii="Times New Roman" w:eastAsia="Times New Roman" w:hAnsi="Times New Roman" w:cs="Times New Roman"/>
          <w:kern w:val="0"/>
          <w14:ligatures w14:val="none"/>
        </w:rPr>
        <w:t>generator during mild</w:t>
      </w:r>
      <w:r w:rsidR="00F0400D">
        <w:rPr>
          <w:rFonts w:ascii="Times New Roman" w:eastAsia="Times New Roman" w:hAnsi="Times New Roman" w:cs="Times New Roman"/>
          <w:kern w:val="0"/>
          <w14:ligatures w14:val="none"/>
        </w:rPr>
        <w:t xml:space="preserve"> temperatures. </w:t>
      </w:r>
    </w:p>
    <w:p w14:paraId="770EC40C"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 motion was made and seconded to approve the </w:t>
      </w:r>
      <w:r w:rsidRPr="00484444">
        <w:rPr>
          <w:rFonts w:ascii="Times New Roman" w:eastAsia="Times New Roman" w:hAnsi="Times New Roman" w:cs="Times New Roman"/>
          <w:b/>
          <w:bCs/>
          <w:kern w:val="0"/>
          <w14:ligatures w14:val="none"/>
        </w:rPr>
        <w:t>2026 Operating Budget</w:t>
      </w:r>
      <w:r w:rsidRPr="00484444">
        <w:rPr>
          <w:rFonts w:ascii="Times New Roman" w:eastAsia="Times New Roman" w:hAnsi="Times New Roman" w:cs="Times New Roman"/>
          <w:kern w:val="0"/>
          <w14:ligatures w14:val="none"/>
        </w:rPr>
        <w:t xml:space="preserve"> as presented. All board members voted in favor.</w:t>
      </w:r>
    </w:p>
    <w:p w14:paraId="0C83FC38"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A motion was made and seconded to close the public hearing. The motion passed unanimously.</w:t>
      </w:r>
    </w:p>
    <w:p w14:paraId="3E6FAD90"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40C0A9">
          <v:rect id="_x0000_i1032" style="width:0;height:1.5pt" o:hralign="center" o:hrstd="t" o:hr="t" fillcolor="#a0a0a0" stroked="f"/>
        </w:pict>
      </w:r>
    </w:p>
    <w:p w14:paraId="5D623026"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Altris Energy Solar Power Purchase Agreement (PPA)</w:t>
      </w:r>
    </w:p>
    <w:p w14:paraId="1ADDFC8C"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The Board reviewed </w:t>
      </w:r>
      <w:r w:rsidRPr="00484444">
        <w:rPr>
          <w:rFonts w:ascii="Times New Roman" w:eastAsia="Times New Roman" w:hAnsi="Times New Roman" w:cs="Times New Roman"/>
          <w:b/>
          <w:bCs/>
          <w:kern w:val="0"/>
          <w14:ligatures w14:val="none"/>
        </w:rPr>
        <w:t>Resolution R-2025-02</w:t>
      </w:r>
      <w:r w:rsidRPr="00484444">
        <w:rPr>
          <w:rFonts w:ascii="Times New Roman" w:eastAsia="Times New Roman" w:hAnsi="Times New Roman" w:cs="Times New Roman"/>
          <w:kern w:val="0"/>
          <w14:ligatures w14:val="none"/>
        </w:rPr>
        <w:t xml:space="preserve"> regarding entering into a Power Purchase Agreement with Altris Energy.</w:t>
      </w:r>
    </w:p>
    <w:p w14:paraId="512E3910"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Outstanding items under review included clarification of billing methodology for multiple meters, pro-rata billing when energy input is split between solar PV and generators, removal of a fixed storage charge in favor of a per-kWh rate, and legal review for consistency and risk.</w:t>
      </w:r>
    </w:p>
    <w:p w14:paraId="754FE91C"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lastRenderedPageBreak/>
        <w:t xml:space="preserve">The competitive procurement process was summarized, noting that five providers were evaluated and that Altris’ pricing remained the most cost-effective option. Documentation is included as </w:t>
      </w:r>
      <w:r w:rsidRPr="00484444">
        <w:rPr>
          <w:rFonts w:ascii="Times New Roman" w:eastAsia="Times New Roman" w:hAnsi="Times New Roman" w:cs="Times New Roman"/>
          <w:b/>
          <w:bCs/>
          <w:kern w:val="0"/>
          <w14:ligatures w14:val="none"/>
        </w:rPr>
        <w:t>Exhibit A</w:t>
      </w:r>
      <w:r w:rsidRPr="00484444">
        <w:rPr>
          <w:rFonts w:ascii="Times New Roman" w:eastAsia="Times New Roman" w:hAnsi="Times New Roman" w:cs="Times New Roman"/>
          <w:kern w:val="0"/>
          <w14:ligatures w14:val="none"/>
        </w:rPr>
        <w:t xml:space="preserve">, with the PPA included as </w:t>
      </w:r>
      <w:r w:rsidRPr="00484444">
        <w:rPr>
          <w:rFonts w:ascii="Times New Roman" w:eastAsia="Times New Roman" w:hAnsi="Times New Roman" w:cs="Times New Roman"/>
          <w:b/>
          <w:bCs/>
          <w:kern w:val="0"/>
          <w14:ligatures w14:val="none"/>
        </w:rPr>
        <w:t>Exhibit B</w:t>
      </w:r>
      <w:r w:rsidRPr="00484444">
        <w:rPr>
          <w:rFonts w:ascii="Times New Roman" w:eastAsia="Times New Roman" w:hAnsi="Times New Roman" w:cs="Times New Roman"/>
          <w:kern w:val="0"/>
          <w14:ligatures w14:val="none"/>
        </w:rPr>
        <w:t>.</w:t>
      </w:r>
    </w:p>
    <w:p w14:paraId="15AED042"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A board member stated that Altris represented the best solution available and that timely action was necessary.</w:t>
      </w:r>
    </w:p>
    <w:p w14:paraId="6E783BD5"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b/>
          <w:bCs/>
          <w:kern w:val="0"/>
          <w14:ligatures w14:val="none"/>
        </w:rPr>
        <w:t>Motion:</w:t>
      </w:r>
      <w:r w:rsidRPr="00484444">
        <w:rPr>
          <w:rFonts w:ascii="Times New Roman" w:eastAsia="Times New Roman" w:hAnsi="Times New Roman" w:cs="Times New Roman"/>
          <w:kern w:val="0"/>
          <w14:ligatures w14:val="none"/>
        </w:rPr>
        <w:t xml:space="preserve"> To approve Resolution R-2025-02 and authorize the Chair to sign the Power Purchase Agreement, subject to final legal review and non-substantive changes, including clarification of metering, pro-rata billing, and removal of the fixed storage charge.</w:t>
      </w:r>
      <w:r w:rsidRPr="00484444">
        <w:rPr>
          <w:rFonts w:ascii="Times New Roman" w:eastAsia="Times New Roman" w:hAnsi="Times New Roman" w:cs="Times New Roman"/>
          <w:kern w:val="0"/>
          <w14:ligatures w14:val="none"/>
        </w:rPr>
        <w:br/>
        <w:t>The motion was seconded and approved unanimously.</w:t>
      </w:r>
    </w:p>
    <w:p w14:paraId="159C3BA4"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2C067C">
          <v:rect id="_x0000_i1033" style="width:0;height:1.5pt" o:hralign="center" o:hrstd="t" o:hr="t" fillcolor="#a0a0a0" stroked="f"/>
        </w:pict>
      </w:r>
    </w:p>
    <w:p w14:paraId="25A8AD5D"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2026 Meeting Schedule</w:t>
      </w:r>
    </w:p>
    <w:p w14:paraId="530F97C2" w14:textId="77777777" w:rsid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The proposed 2026 meeting schedule was discussed. The next Board of Trustees meeting was scheduled for </w:t>
      </w:r>
      <w:r w:rsidRPr="00484444">
        <w:rPr>
          <w:rFonts w:ascii="Times New Roman" w:eastAsia="Times New Roman" w:hAnsi="Times New Roman" w:cs="Times New Roman"/>
          <w:b/>
          <w:bCs/>
          <w:kern w:val="0"/>
          <w14:ligatures w14:val="none"/>
        </w:rPr>
        <w:t>March 11, 2026, at 5:30 PM</w:t>
      </w:r>
      <w:r w:rsidRPr="00484444">
        <w:rPr>
          <w:rFonts w:ascii="Times New Roman" w:eastAsia="Times New Roman" w:hAnsi="Times New Roman" w:cs="Times New Roman"/>
          <w:kern w:val="0"/>
          <w14:ligatures w14:val="none"/>
        </w:rPr>
        <w:t>. The meeting schedule will be posted on the Utah Public Notice Website.</w:t>
      </w:r>
    </w:p>
    <w:p w14:paraId="12FB6C42" w14:textId="69D7B8AB" w:rsidR="00397578" w:rsidRPr="00484444" w:rsidRDefault="00F1677F" w:rsidP="0048444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74E73C">
          <v:rect id="_x0000_i1034" style="width:0;height:1.5pt" o:hralign="center" o:hrstd="t" o:hr="t" fillcolor="#a0a0a0" stroked="f"/>
        </w:pict>
      </w:r>
    </w:p>
    <w:p w14:paraId="56F6B265" w14:textId="1E83B18D" w:rsidR="00397578" w:rsidRPr="00BF15BE" w:rsidRDefault="00397578" w:rsidP="00484444">
      <w:pPr>
        <w:spacing w:before="100" w:beforeAutospacing="1" w:after="100" w:afterAutospacing="1" w:line="240" w:lineRule="auto"/>
        <w:rPr>
          <w:rFonts w:ascii="Times New Roman" w:eastAsia="Times New Roman" w:hAnsi="Times New Roman" w:cs="Times New Roman"/>
          <w:b/>
          <w:bCs/>
          <w:kern w:val="0"/>
          <w14:ligatures w14:val="none"/>
        </w:rPr>
      </w:pPr>
      <w:r w:rsidRPr="00BF15BE">
        <w:rPr>
          <w:rFonts w:ascii="Times New Roman" w:eastAsia="Times New Roman" w:hAnsi="Times New Roman" w:cs="Times New Roman"/>
          <w:b/>
          <w:bCs/>
          <w:kern w:val="0"/>
          <w14:ligatures w14:val="none"/>
        </w:rPr>
        <w:t>Additional Public Comment</w:t>
      </w:r>
    </w:p>
    <w:p w14:paraId="183DD88D" w14:textId="13D46A1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A second property owner/developer encouraged the Board to allow counsel review of the settlement agreement due to its potential impact on development planning. The Chair reiterated the limited options available to TUID.</w:t>
      </w:r>
    </w:p>
    <w:p w14:paraId="17A9625B"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019CE2">
          <v:rect id="_x0000_i1035" style="width:0;height:1.5pt" o:hralign="center" o:hrstd="t" o:hr="t" fillcolor="#a0a0a0" stroked="f"/>
        </w:pict>
      </w:r>
    </w:p>
    <w:p w14:paraId="582EFB53"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Closed Session</w:t>
      </w:r>
    </w:p>
    <w:p w14:paraId="1D6C76D2"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 motion was made and seconded to enter a closed meeting for discussion of pending litigation. The Board entered closed session at </w:t>
      </w:r>
      <w:r w:rsidRPr="00484444">
        <w:rPr>
          <w:rFonts w:ascii="Times New Roman" w:eastAsia="Times New Roman" w:hAnsi="Times New Roman" w:cs="Times New Roman"/>
          <w:b/>
          <w:bCs/>
          <w:kern w:val="0"/>
          <w14:ligatures w14:val="none"/>
        </w:rPr>
        <w:t>6:21 PM</w:t>
      </w:r>
      <w:r w:rsidRPr="00484444">
        <w:rPr>
          <w:rFonts w:ascii="Times New Roman" w:eastAsia="Times New Roman" w:hAnsi="Times New Roman" w:cs="Times New Roman"/>
          <w:kern w:val="0"/>
          <w14:ligatures w14:val="none"/>
        </w:rPr>
        <w:t>.</w:t>
      </w:r>
    </w:p>
    <w:p w14:paraId="65171DB2"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 motion was made and seconded to return to open session at </w:t>
      </w:r>
      <w:r w:rsidRPr="00484444">
        <w:rPr>
          <w:rFonts w:ascii="Times New Roman" w:eastAsia="Times New Roman" w:hAnsi="Times New Roman" w:cs="Times New Roman"/>
          <w:b/>
          <w:bCs/>
          <w:kern w:val="0"/>
          <w14:ligatures w14:val="none"/>
        </w:rPr>
        <w:t>6:47 PM</w:t>
      </w:r>
      <w:r w:rsidRPr="00484444">
        <w:rPr>
          <w:rFonts w:ascii="Times New Roman" w:eastAsia="Times New Roman" w:hAnsi="Times New Roman" w:cs="Times New Roman"/>
          <w:kern w:val="0"/>
          <w14:ligatures w14:val="none"/>
        </w:rPr>
        <w:t>.</w:t>
      </w:r>
    </w:p>
    <w:p w14:paraId="42DB1379"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EC8223">
          <v:rect id="_x0000_i1036" style="width:0;height:1.5pt" o:hralign="center" o:hrstd="t" o:hr="t" fillcolor="#a0a0a0" stroked="f"/>
        </w:pict>
      </w:r>
    </w:p>
    <w:p w14:paraId="6986F2AE"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Action on Water Rights Settlement</w:t>
      </w:r>
    </w:p>
    <w:p w14:paraId="7918E25C"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The settlement agreement between Ticaboo Utility Improvement District and Jones &amp; DeMille Engineering was reviewed.</w:t>
      </w:r>
    </w:p>
    <w:p w14:paraId="4AB0EBDE"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 motion was made to approve </w:t>
      </w:r>
      <w:r w:rsidRPr="00484444">
        <w:rPr>
          <w:rFonts w:ascii="Times New Roman" w:eastAsia="Times New Roman" w:hAnsi="Times New Roman" w:cs="Times New Roman"/>
          <w:b/>
          <w:bCs/>
          <w:kern w:val="0"/>
          <w14:ligatures w14:val="none"/>
        </w:rPr>
        <w:t>Resolution No. 2025-00</w:t>
      </w:r>
      <w:r w:rsidRPr="00484444">
        <w:rPr>
          <w:rFonts w:ascii="Times New Roman" w:eastAsia="Times New Roman" w:hAnsi="Times New Roman" w:cs="Times New Roman"/>
          <w:kern w:val="0"/>
          <w14:ligatures w14:val="none"/>
        </w:rPr>
        <w:t>, authorizing the Chair to make minor changes as needed. The motion was seconded and approved unanimously.</w:t>
      </w:r>
    </w:p>
    <w:p w14:paraId="005574A6"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3E49521B">
          <v:rect id="_x0000_i1037" style="width:0;height:1.5pt" o:hralign="center" o:hrstd="t" o:hr="t" fillcolor="#a0a0a0" stroked="f"/>
        </w:pict>
      </w:r>
    </w:p>
    <w:p w14:paraId="6968C557" w14:textId="77777777" w:rsidR="00484444" w:rsidRPr="00484444" w:rsidRDefault="00484444" w:rsidP="004844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4444">
        <w:rPr>
          <w:rFonts w:ascii="Times New Roman" w:eastAsia="Times New Roman" w:hAnsi="Times New Roman" w:cs="Times New Roman"/>
          <w:b/>
          <w:bCs/>
          <w:kern w:val="0"/>
          <w:sz w:val="27"/>
          <w:szCs w:val="27"/>
          <w14:ligatures w14:val="none"/>
        </w:rPr>
        <w:t>Adjournment</w:t>
      </w:r>
    </w:p>
    <w:p w14:paraId="73678DEB" w14:textId="77777777" w:rsidR="00484444" w:rsidRPr="00484444" w:rsidRDefault="00484444" w:rsidP="00484444">
      <w:pPr>
        <w:spacing w:before="100" w:beforeAutospacing="1" w:after="100" w:afterAutospacing="1" w:line="240" w:lineRule="auto"/>
        <w:rPr>
          <w:rFonts w:ascii="Times New Roman" w:eastAsia="Times New Roman" w:hAnsi="Times New Roman" w:cs="Times New Roman"/>
          <w:kern w:val="0"/>
          <w14:ligatures w14:val="none"/>
        </w:rPr>
      </w:pPr>
      <w:r w:rsidRPr="00484444">
        <w:rPr>
          <w:rFonts w:ascii="Times New Roman" w:eastAsia="Times New Roman" w:hAnsi="Times New Roman" w:cs="Times New Roman"/>
          <w:kern w:val="0"/>
          <w14:ligatures w14:val="none"/>
        </w:rPr>
        <w:t xml:space="preserve">A motion was made and seconded to adjourn the meeting. The meeting was adjourned at </w:t>
      </w:r>
      <w:r w:rsidRPr="00484444">
        <w:rPr>
          <w:rFonts w:ascii="Times New Roman" w:eastAsia="Times New Roman" w:hAnsi="Times New Roman" w:cs="Times New Roman"/>
          <w:b/>
          <w:bCs/>
          <w:kern w:val="0"/>
          <w14:ligatures w14:val="none"/>
        </w:rPr>
        <w:t>6:51 PM</w:t>
      </w:r>
      <w:r w:rsidRPr="00484444">
        <w:rPr>
          <w:rFonts w:ascii="Times New Roman" w:eastAsia="Times New Roman" w:hAnsi="Times New Roman" w:cs="Times New Roman"/>
          <w:kern w:val="0"/>
          <w14:ligatures w14:val="none"/>
        </w:rPr>
        <w:t>.</w:t>
      </w:r>
    </w:p>
    <w:p w14:paraId="66BC6D80" w14:textId="77777777" w:rsidR="00484444" w:rsidRPr="00484444" w:rsidRDefault="00F1677F" w:rsidP="004844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DFA409">
          <v:rect id="_x0000_i1038" style="width:0;height:1.5pt" o:hralign="center" o:hrstd="t" o:hr="t" fillcolor="#a0a0a0" stroked="f"/>
        </w:pict>
      </w:r>
    </w:p>
    <w:p w14:paraId="67327C37" w14:textId="77777777" w:rsidR="00ED334A" w:rsidRDefault="00ED334A"/>
    <w:sectPr w:rsidR="00ED334A" w:rsidSect="00EA561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231C" w14:textId="77777777" w:rsidR="00F1677F" w:rsidRDefault="00F1677F" w:rsidP="006C62A5">
      <w:pPr>
        <w:spacing w:after="0" w:line="240" w:lineRule="auto"/>
      </w:pPr>
      <w:r>
        <w:separator/>
      </w:r>
    </w:p>
  </w:endnote>
  <w:endnote w:type="continuationSeparator" w:id="0">
    <w:p w14:paraId="64179A18" w14:textId="77777777" w:rsidR="00F1677F" w:rsidRDefault="00F1677F" w:rsidP="006C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5993" w14:textId="77777777" w:rsidR="00F1677F" w:rsidRDefault="00F1677F" w:rsidP="006C62A5">
      <w:pPr>
        <w:spacing w:after="0" w:line="240" w:lineRule="auto"/>
      </w:pPr>
      <w:r>
        <w:separator/>
      </w:r>
    </w:p>
  </w:footnote>
  <w:footnote w:type="continuationSeparator" w:id="0">
    <w:p w14:paraId="180FA055" w14:textId="77777777" w:rsidR="00F1677F" w:rsidRDefault="00F1677F" w:rsidP="006C6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9216" w14:textId="2CFD5AFE" w:rsidR="006C62A5" w:rsidRDefault="0000115E">
    <w:pPr>
      <w:pStyle w:val="Header"/>
    </w:pPr>
    <w:r>
      <w:rPr>
        <w:noProof/>
      </w:rPr>
      <mc:AlternateContent>
        <mc:Choice Requires="wps">
          <w:drawing>
            <wp:anchor distT="45720" distB="45720" distL="114300" distR="114300" simplePos="0" relativeHeight="251659264" behindDoc="1" locked="0" layoutInCell="1" allowOverlap="1" wp14:anchorId="62D78DDC" wp14:editId="7BF151EF">
              <wp:simplePos x="0" y="0"/>
              <wp:positionH relativeFrom="column">
                <wp:posOffset>590550</wp:posOffset>
              </wp:positionH>
              <wp:positionV relativeFrom="paragraph">
                <wp:posOffset>-363855</wp:posOffset>
              </wp:positionV>
              <wp:extent cx="4251960" cy="1000125"/>
              <wp:effectExtent l="0" t="0" r="0" b="9525"/>
              <wp:wrapSquare wrapText="bothSides"/>
              <wp:docPr id="238939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1000125"/>
                      </a:xfrm>
                      <a:prstGeom prst="rect">
                        <a:avLst/>
                      </a:prstGeom>
                      <a:solidFill>
                        <a:srgbClr val="FFFFFF"/>
                      </a:solidFill>
                      <a:ln w="9525">
                        <a:noFill/>
                        <a:miter lim="800000"/>
                        <a:headEnd/>
                        <a:tailEnd/>
                      </a:ln>
                    </wps:spPr>
                    <wps:txbx>
                      <w:txbxContent>
                        <w:p w14:paraId="69380EB5" w14:textId="77777777" w:rsidR="00760CBD" w:rsidRDefault="00760CBD" w:rsidP="00760CBD">
                          <w:pPr>
                            <w:autoSpaceDE w:val="0"/>
                            <w:autoSpaceDN w:val="0"/>
                            <w:adjustRightInd w:val="0"/>
                            <w:spacing w:after="0" w:line="240" w:lineRule="auto"/>
                            <w:rPr>
                              <w:rFonts w:ascii="CIDFont+F1" w:hAnsi="CIDFont+F1" w:cs="CIDFont+F1"/>
                              <w:color w:val="5273A7"/>
                              <w:kern w:val="0"/>
                              <w:sz w:val="16"/>
                              <w:szCs w:val="16"/>
                            </w:rPr>
                          </w:pPr>
                          <w:r>
                            <w:rPr>
                              <w:rFonts w:ascii="CIDFont+F1" w:hAnsi="CIDFont+F1" w:cs="CIDFont+F1"/>
                              <w:color w:val="5273A7"/>
                              <w:kern w:val="0"/>
                              <w:sz w:val="16"/>
                              <w:szCs w:val="16"/>
                            </w:rPr>
                            <w:t>Ticaboo Utility Improvement District</w:t>
                          </w:r>
                        </w:p>
                        <w:p w14:paraId="269922B4"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Hwy 276 MM 28</w:t>
                          </w:r>
                        </w:p>
                        <w:p w14:paraId="5BD50AE9"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PO Box 2140</w:t>
                          </w:r>
                        </w:p>
                        <w:p w14:paraId="17107D57"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Ticaboo, UT 84533</w:t>
                          </w:r>
                        </w:p>
                        <w:p w14:paraId="6EA52D46"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(435) 337-2021</w:t>
                          </w:r>
                        </w:p>
                        <w:p w14:paraId="51C6B8E2" w14:textId="77777777" w:rsidR="00760CBD" w:rsidRDefault="00760CBD" w:rsidP="00760CBD">
                          <w:pPr>
                            <w:autoSpaceDE w:val="0"/>
                            <w:autoSpaceDN w:val="0"/>
                            <w:adjustRightInd w:val="0"/>
                            <w:spacing w:after="0" w:line="240" w:lineRule="auto"/>
                            <w:rPr>
                              <w:rFonts w:ascii="CIDFont+F2" w:hAnsi="CIDFont+F2" w:cs="CIDFont+F2"/>
                              <w:color w:val="668C9B"/>
                              <w:kern w:val="0"/>
                              <w:sz w:val="16"/>
                              <w:szCs w:val="16"/>
                            </w:rPr>
                          </w:pPr>
                          <w:r>
                            <w:rPr>
                              <w:rFonts w:ascii="CIDFont+F2" w:hAnsi="CIDFont+F2" w:cs="CIDFont+F2"/>
                              <w:color w:val="668C9B"/>
                              <w:kern w:val="0"/>
                              <w:sz w:val="16"/>
                              <w:szCs w:val="16"/>
                            </w:rPr>
                            <w:t>mail@ticaboouid.com</w:t>
                          </w:r>
                        </w:p>
                        <w:p w14:paraId="4FAFAA04" w14:textId="77777777" w:rsidR="00760CBD" w:rsidRDefault="00760CBD" w:rsidP="00760CBD">
                          <w:pPr>
                            <w:rPr>
                              <w:rFonts w:ascii="CIDFont+F3" w:hAnsi="CIDFont+F3" w:cs="CIDFont+F3"/>
                              <w:color w:val="4D4D4F"/>
                              <w:kern w:val="0"/>
                              <w:sz w:val="16"/>
                              <w:szCs w:val="16"/>
                            </w:rPr>
                          </w:pPr>
                          <w:r>
                            <w:rPr>
                              <w:rFonts w:ascii="CIDFont+F3" w:hAnsi="CIDFont+F3" w:cs="CIDFont+F3"/>
                              <w:color w:val="4D4D4F"/>
                              <w:kern w:val="0"/>
                              <w:sz w:val="16"/>
                              <w:szCs w:val="16"/>
                            </w:rPr>
                            <w:t>Committed to providing reliable power and clean, safe, drinking water to the community</w:t>
                          </w:r>
                        </w:p>
                        <w:p w14:paraId="211A3538" w14:textId="77777777" w:rsidR="00760CBD" w:rsidRDefault="00760CBD" w:rsidP="00760CBD"/>
                        <w:p w14:paraId="0578700D" w14:textId="77777777" w:rsidR="00760CBD" w:rsidRDefault="00760CBD" w:rsidP="00760C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78DDC" id="_x0000_t202" coordsize="21600,21600" o:spt="202" path="m,l,21600r21600,l21600,xe">
              <v:stroke joinstyle="miter"/>
              <v:path gradientshapeok="t" o:connecttype="rect"/>
            </v:shapetype>
            <v:shape id="Text Box 2" o:spid="_x0000_s1026" type="#_x0000_t202" style="position:absolute;margin-left:46.5pt;margin-top:-28.65pt;width:334.8pt;height:7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" stroked="f">
              <v:textbox>
                <w:txbxContent>
                  <w:p w14:paraId="69380EB5" w14:textId="77777777" w:rsidR="00760CBD" w:rsidRDefault="00760CBD" w:rsidP="00760CBD">
                    <w:pPr>
                      <w:autoSpaceDE w:val="0"/>
                      <w:autoSpaceDN w:val="0"/>
                      <w:adjustRightInd w:val="0"/>
                      <w:spacing w:after="0" w:line="240" w:lineRule="auto"/>
                      <w:rPr>
                        <w:rFonts w:ascii="CIDFont+F1" w:hAnsi="CIDFont+F1" w:cs="CIDFont+F1"/>
                        <w:color w:val="5273A7"/>
                        <w:kern w:val="0"/>
                        <w:sz w:val="16"/>
                        <w:szCs w:val="16"/>
                      </w:rPr>
                    </w:pPr>
                    <w:r>
                      <w:rPr>
                        <w:rFonts w:ascii="CIDFont+F1" w:hAnsi="CIDFont+F1" w:cs="CIDFont+F1"/>
                        <w:color w:val="5273A7"/>
                        <w:kern w:val="0"/>
                        <w:sz w:val="16"/>
                        <w:szCs w:val="16"/>
                      </w:rPr>
                      <w:t>Ticaboo Utility Improvement District</w:t>
                    </w:r>
                  </w:p>
                  <w:p w14:paraId="269922B4"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Hwy 276 MM 28</w:t>
                    </w:r>
                  </w:p>
                  <w:p w14:paraId="5BD50AE9"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PO Box 2140</w:t>
                    </w:r>
                  </w:p>
                  <w:p w14:paraId="17107D57"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Ticaboo, UT 84533</w:t>
                    </w:r>
                  </w:p>
                  <w:p w14:paraId="6EA52D46" w14:textId="77777777" w:rsidR="00760CBD" w:rsidRDefault="00760CBD" w:rsidP="00760CBD">
                    <w:pPr>
                      <w:autoSpaceDE w:val="0"/>
                      <w:autoSpaceDN w:val="0"/>
                      <w:adjustRightInd w:val="0"/>
                      <w:spacing w:after="0" w:line="240" w:lineRule="auto"/>
                      <w:rPr>
                        <w:rFonts w:ascii="CIDFont+F1" w:hAnsi="CIDFont+F1" w:cs="CIDFont+F1"/>
                        <w:color w:val="4D4D4F"/>
                        <w:kern w:val="0"/>
                        <w:sz w:val="16"/>
                        <w:szCs w:val="16"/>
                      </w:rPr>
                    </w:pPr>
                    <w:r>
                      <w:rPr>
                        <w:rFonts w:ascii="CIDFont+F1" w:hAnsi="CIDFont+F1" w:cs="CIDFont+F1"/>
                        <w:color w:val="4D4D4F"/>
                        <w:kern w:val="0"/>
                        <w:sz w:val="16"/>
                        <w:szCs w:val="16"/>
                      </w:rPr>
                      <w:t>(435) 337-2021</w:t>
                    </w:r>
                  </w:p>
                  <w:p w14:paraId="51C6B8E2" w14:textId="77777777" w:rsidR="00760CBD" w:rsidRDefault="00760CBD" w:rsidP="00760CBD">
                    <w:pPr>
                      <w:autoSpaceDE w:val="0"/>
                      <w:autoSpaceDN w:val="0"/>
                      <w:adjustRightInd w:val="0"/>
                      <w:spacing w:after="0" w:line="240" w:lineRule="auto"/>
                      <w:rPr>
                        <w:rFonts w:ascii="CIDFont+F2" w:hAnsi="CIDFont+F2" w:cs="CIDFont+F2"/>
                        <w:color w:val="668C9B"/>
                        <w:kern w:val="0"/>
                        <w:sz w:val="16"/>
                        <w:szCs w:val="16"/>
                      </w:rPr>
                    </w:pPr>
                    <w:r>
                      <w:rPr>
                        <w:rFonts w:ascii="CIDFont+F2" w:hAnsi="CIDFont+F2" w:cs="CIDFont+F2"/>
                        <w:color w:val="668C9B"/>
                        <w:kern w:val="0"/>
                        <w:sz w:val="16"/>
                        <w:szCs w:val="16"/>
                      </w:rPr>
                      <w:t>mail@ticaboouid.com</w:t>
                    </w:r>
                  </w:p>
                  <w:p w14:paraId="4FAFAA04" w14:textId="77777777" w:rsidR="00760CBD" w:rsidRDefault="00760CBD" w:rsidP="00760CBD">
                    <w:pPr>
                      <w:rPr>
                        <w:rFonts w:ascii="CIDFont+F3" w:hAnsi="CIDFont+F3" w:cs="CIDFont+F3"/>
                        <w:color w:val="4D4D4F"/>
                        <w:kern w:val="0"/>
                        <w:sz w:val="16"/>
                        <w:szCs w:val="16"/>
                      </w:rPr>
                    </w:pPr>
                    <w:r>
                      <w:rPr>
                        <w:rFonts w:ascii="CIDFont+F3" w:hAnsi="CIDFont+F3" w:cs="CIDFont+F3"/>
                        <w:color w:val="4D4D4F"/>
                        <w:kern w:val="0"/>
                        <w:sz w:val="16"/>
                        <w:szCs w:val="16"/>
                      </w:rPr>
                      <w:t>Committed to providing reliable power and clean, safe, drinking water to the community</w:t>
                    </w:r>
                  </w:p>
                  <w:p w14:paraId="211A3538" w14:textId="77777777" w:rsidR="00760CBD" w:rsidRDefault="00760CBD" w:rsidP="00760CBD"/>
                  <w:p w14:paraId="0578700D" w14:textId="77777777" w:rsidR="00760CBD" w:rsidRDefault="00760CBD" w:rsidP="00760CBD"/>
                </w:txbxContent>
              </v:textbox>
              <w10:wrap type="square"/>
            </v:shape>
          </w:pict>
        </mc:Fallback>
      </mc:AlternateContent>
    </w:r>
    <w:r w:rsidR="007C0BC3">
      <w:rPr>
        <w:noProof/>
      </w:rPr>
      <mc:AlternateContent>
        <mc:Choice Requires="wps">
          <w:drawing>
            <wp:anchor distT="45720" distB="45720" distL="114300" distR="114300" simplePos="0" relativeHeight="251661312" behindDoc="0" locked="0" layoutInCell="1" allowOverlap="1" wp14:anchorId="5D157818" wp14:editId="31070402">
              <wp:simplePos x="0" y="0"/>
              <wp:positionH relativeFrom="column">
                <wp:posOffset>-486410</wp:posOffset>
              </wp:positionH>
              <wp:positionV relativeFrom="paragraph">
                <wp:posOffset>-361950</wp:posOffset>
              </wp:positionV>
              <wp:extent cx="1076325"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933450"/>
                      </a:xfrm>
                      <a:prstGeom prst="rect">
                        <a:avLst/>
                      </a:prstGeom>
                      <a:noFill/>
                      <a:ln w="9525">
                        <a:noFill/>
                        <a:miter lim="800000"/>
                        <a:headEnd/>
                        <a:tailEnd/>
                      </a:ln>
                    </wps:spPr>
                    <wps:txbx>
                      <w:txbxContent>
                        <w:p w14:paraId="73E2AA8C" w14:textId="67B23495" w:rsidR="007C0BC3" w:rsidRDefault="0000115E">
                          <w:r w:rsidRPr="0082732A">
                            <w:rPr>
                              <w:rFonts w:ascii="Times New Roman" w:hAnsi="Times New Roman" w:cs="Times New Roman"/>
                              <w:noProof/>
                              <w:kern w:val="0"/>
                              <w:sz w:val="20"/>
                              <w:szCs w:val="20"/>
                            </w:rPr>
                            <w:drawing>
                              <wp:inline distT="0" distB="0" distL="0" distR="0" wp14:anchorId="3A98181D" wp14:editId="10B3E40B">
                                <wp:extent cx="800100" cy="790575"/>
                                <wp:effectExtent l="0" t="0" r="0" b="9525"/>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7818" id="_x0000_s1027" type="#_x0000_t202" style="position:absolute;margin-left:-38.3pt;margin-top:-28.5pt;width:84.75pt;height: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" filled="f" stroked="f">
              <v:textbox>
                <w:txbxContent>
                  <w:p w14:paraId="73E2AA8C" w14:textId="67B23495" w:rsidR="007C0BC3" w:rsidRDefault="0000115E">
                    <w:r w:rsidRPr="0082732A">
                      <w:rPr>
                        <w:rFonts w:ascii="Times New Roman" w:hAnsi="Times New Roman" w:cs="Times New Roman"/>
                        <w:noProof/>
                        <w:kern w:val="0"/>
                        <w:sz w:val="20"/>
                        <w:szCs w:val="20"/>
                      </w:rPr>
                      <w:drawing>
                        <wp:inline distT="0" distB="0" distL="0" distR="0" wp14:anchorId="3A98181D" wp14:editId="10B3E40B">
                          <wp:extent cx="800100" cy="790575"/>
                          <wp:effectExtent l="0" t="0" r="0" b="9525"/>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txbxContent>
              </v:textbox>
              <w10:wrap type="square"/>
            </v:shape>
          </w:pict>
        </mc:Fallback>
      </mc:AlternateContent>
    </w:r>
  </w:p>
  <w:p w14:paraId="2326A427" w14:textId="77777777" w:rsidR="00EC75B1" w:rsidRDefault="00EC75B1">
    <w:pPr>
      <w:pStyle w:val="Header"/>
    </w:pPr>
  </w:p>
  <w:p w14:paraId="015863A7" w14:textId="77777777" w:rsidR="00EC75B1" w:rsidRDefault="00EC75B1">
    <w:pPr>
      <w:pStyle w:val="Header"/>
    </w:pPr>
  </w:p>
  <w:p w14:paraId="3B7B65A9" w14:textId="77777777" w:rsidR="00EC75B1" w:rsidRDefault="00EC7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16D"/>
    <w:multiLevelType w:val="multilevel"/>
    <w:tmpl w:val="02E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A1F30"/>
    <w:multiLevelType w:val="multilevel"/>
    <w:tmpl w:val="689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50982"/>
    <w:multiLevelType w:val="multilevel"/>
    <w:tmpl w:val="C4C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2591F"/>
    <w:multiLevelType w:val="multilevel"/>
    <w:tmpl w:val="A03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9654D"/>
    <w:multiLevelType w:val="multilevel"/>
    <w:tmpl w:val="2F76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B424B"/>
    <w:multiLevelType w:val="multilevel"/>
    <w:tmpl w:val="DCA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61CAF"/>
    <w:multiLevelType w:val="multilevel"/>
    <w:tmpl w:val="4A7C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750557">
    <w:abstractNumId w:val="5"/>
  </w:num>
  <w:num w:numId="2" w16cid:durableId="168253565">
    <w:abstractNumId w:val="4"/>
  </w:num>
  <w:num w:numId="3" w16cid:durableId="1320188033">
    <w:abstractNumId w:val="0"/>
  </w:num>
  <w:num w:numId="4" w16cid:durableId="341473478">
    <w:abstractNumId w:val="3"/>
  </w:num>
  <w:num w:numId="5" w16cid:durableId="1690522365">
    <w:abstractNumId w:val="1"/>
  </w:num>
  <w:num w:numId="6" w16cid:durableId="772359469">
    <w:abstractNumId w:val="6"/>
  </w:num>
  <w:num w:numId="7" w16cid:durableId="184346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4A"/>
    <w:rsid w:val="0000115E"/>
    <w:rsid w:val="00027634"/>
    <w:rsid w:val="0009294C"/>
    <w:rsid w:val="000A0393"/>
    <w:rsid w:val="000D0E88"/>
    <w:rsid w:val="002779A7"/>
    <w:rsid w:val="002F3E36"/>
    <w:rsid w:val="00397578"/>
    <w:rsid w:val="00406A6E"/>
    <w:rsid w:val="00477A0B"/>
    <w:rsid w:val="00484444"/>
    <w:rsid w:val="004E05AB"/>
    <w:rsid w:val="004E5069"/>
    <w:rsid w:val="004F2900"/>
    <w:rsid w:val="0056413C"/>
    <w:rsid w:val="005B1412"/>
    <w:rsid w:val="00684ED5"/>
    <w:rsid w:val="006A7781"/>
    <w:rsid w:val="006C1E08"/>
    <w:rsid w:val="006C62A5"/>
    <w:rsid w:val="006D440D"/>
    <w:rsid w:val="006F4DBE"/>
    <w:rsid w:val="00760CBD"/>
    <w:rsid w:val="007C0BC3"/>
    <w:rsid w:val="008315BB"/>
    <w:rsid w:val="00884443"/>
    <w:rsid w:val="0092037F"/>
    <w:rsid w:val="00930204"/>
    <w:rsid w:val="009B34DD"/>
    <w:rsid w:val="009B3FA1"/>
    <w:rsid w:val="00A07B81"/>
    <w:rsid w:val="00A34C12"/>
    <w:rsid w:val="00A471CF"/>
    <w:rsid w:val="00A5078E"/>
    <w:rsid w:val="00A672BF"/>
    <w:rsid w:val="00A94A57"/>
    <w:rsid w:val="00AC1370"/>
    <w:rsid w:val="00B8629F"/>
    <w:rsid w:val="00BF15BE"/>
    <w:rsid w:val="00D26151"/>
    <w:rsid w:val="00D40AC0"/>
    <w:rsid w:val="00E12AC6"/>
    <w:rsid w:val="00E739F5"/>
    <w:rsid w:val="00EA561E"/>
    <w:rsid w:val="00EC6CEC"/>
    <w:rsid w:val="00EC75B1"/>
    <w:rsid w:val="00ED334A"/>
    <w:rsid w:val="00EE1423"/>
    <w:rsid w:val="00F0400D"/>
    <w:rsid w:val="00F1677F"/>
    <w:rsid w:val="00F55699"/>
    <w:rsid w:val="00F86382"/>
    <w:rsid w:val="00FB565E"/>
    <w:rsid w:val="00FD2C71"/>
    <w:rsid w:val="00FF2400"/>
    <w:rsid w:val="00FF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5FF4"/>
  <w15:chartTrackingRefBased/>
  <w15:docId w15:val="{BE8F57D6-348A-4143-92C6-D6C1ED10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1CF"/>
  </w:style>
  <w:style w:type="paragraph" w:styleId="Heading1">
    <w:name w:val="heading 1"/>
    <w:basedOn w:val="Normal"/>
    <w:next w:val="Normal"/>
    <w:link w:val="Heading1Char"/>
    <w:uiPriority w:val="9"/>
    <w:qFormat/>
    <w:rsid w:val="00ED3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34A"/>
    <w:rPr>
      <w:rFonts w:eastAsiaTheme="majorEastAsia" w:cstheme="majorBidi"/>
      <w:color w:val="272727" w:themeColor="text1" w:themeTint="D8"/>
    </w:rPr>
  </w:style>
  <w:style w:type="paragraph" w:styleId="Title">
    <w:name w:val="Title"/>
    <w:basedOn w:val="Normal"/>
    <w:next w:val="Normal"/>
    <w:link w:val="TitleChar"/>
    <w:uiPriority w:val="10"/>
    <w:qFormat/>
    <w:rsid w:val="00ED3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34A"/>
    <w:pPr>
      <w:spacing w:before="160"/>
      <w:jc w:val="center"/>
    </w:pPr>
    <w:rPr>
      <w:i/>
      <w:iCs/>
      <w:color w:val="404040" w:themeColor="text1" w:themeTint="BF"/>
    </w:rPr>
  </w:style>
  <w:style w:type="character" w:customStyle="1" w:styleId="QuoteChar">
    <w:name w:val="Quote Char"/>
    <w:basedOn w:val="DefaultParagraphFont"/>
    <w:link w:val="Quote"/>
    <w:uiPriority w:val="29"/>
    <w:rsid w:val="00ED334A"/>
    <w:rPr>
      <w:i/>
      <w:iCs/>
      <w:color w:val="404040" w:themeColor="text1" w:themeTint="BF"/>
    </w:rPr>
  </w:style>
  <w:style w:type="paragraph" w:styleId="ListParagraph">
    <w:name w:val="List Paragraph"/>
    <w:basedOn w:val="Normal"/>
    <w:uiPriority w:val="34"/>
    <w:qFormat/>
    <w:rsid w:val="00ED334A"/>
    <w:pPr>
      <w:ind w:left="720"/>
      <w:contextualSpacing/>
    </w:pPr>
  </w:style>
  <w:style w:type="character" w:styleId="IntenseEmphasis">
    <w:name w:val="Intense Emphasis"/>
    <w:basedOn w:val="DefaultParagraphFont"/>
    <w:uiPriority w:val="21"/>
    <w:qFormat/>
    <w:rsid w:val="00ED334A"/>
    <w:rPr>
      <w:i/>
      <w:iCs/>
      <w:color w:val="0F4761" w:themeColor="accent1" w:themeShade="BF"/>
    </w:rPr>
  </w:style>
  <w:style w:type="paragraph" w:styleId="IntenseQuote">
    <w:name w:val="Intense Quote"/>
    <w:basedOn w:val="Normal"/>
    <w:next w:val="Normal"/>
    <w:link w:val="IntenseQuoteChar"/>
    <w:uiPriority w:val="30"/>
    <w:qFormat/>
    <w:rsid w:val="00ED3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34A"/>
    <w:rPr>
      <w:i/>
      <w:iCs/>
      <w:color w:val="0F4761" w:themeColor="accent1" w:themeShade="BF"/>
    </w:rPr>
  </w:style>
  <w:style w:type="character" w:styleId="IntenseReference">
    <w:name w:val="Intense Reference"/>
    <w:basedOn w:val="DefaultParagraphFont"/>
    <w:uiPriority w:val="32"/>
    <w:qFormat/>
    <w:rsid w:val="00ED334A"/>
    <w:rPr>
      <w:b/>
      <w:bCs/>
      <w:smallCaps/>
      <w:color w:val="0F4761" w:themeColor="accent1" w:themeShade="BF"/>
      <w:spacing w:val="5"/>
    </w:rPr>
  </w:style>
  <w:style w:type="paragraph" w:styleId="Header">
    <w:name w:val="header"/>
    <w:basedOn w:val="Normal"/>
    <w:link w:val="HeaderChar"/>
    <w:uiPriority w:val="99"/>
    <w:unhideWhenUsed/>
    <w:rsid w:val="006C6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2A5"/>
  </w:style>
  <w:style w:type="paragraph" w:styleId="Footer">
    <w:name w:val="footer"/>
    <w:basedOn w:val="Normal"/>
    <w:link w:val="FooterChar"/>
    <w:uiPriority w:val="99"/>
    <w:unhideWhenUsed/>
    <w:rsid w:val="006C6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Ticaboo Utility</dc:creator>
  <cp:keywords/>
  <dc:description/>
  <cp:lastModifiedBy>Ticaboo Utility</cp:lastModifiedBy>
  <cp:revision>51</cp:revision>
  <dcterms:created xsi:type="dcterms:W3CDTF">2025-12-17T21:49:00Z</dcterms:created>
  <dcterms:modified xsi:type="dcterms:W3CDTF">2025-12-17T23:28:00Z</dcterms:modified>
</cp:coreProperties>
</file>