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ERDA, UTAH</w:t>
      </w:r>
      <w:r w:rsidDel="00000000" w:rsidR="00000000" w:rsidRPr="00000000">
        <w:rPr>
          <w:rtl w:val="0"/>
        </w:rPr>
      </w:r>
    </w:p>
    <w:p w:rsidR="00000000" w:rsidDel="00000000" w:rsidP="00000000" w:rsidRDefault="00000000" w:rsidRPr="00000000" w14:paraId="00000002">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ORDINANCE NO. 25-22  </w:t>
      </w: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hanging="2"/>
        <w:jc w:val="center"/>
        <w:rPr>
          <w:rFonts w:ascii="Times New Roman" w:cs="Times New Roman" w:eastAsia="Times New Roman" w:hAnsi="Times New Roman"/>
        </w:rPr>
      </w:pPr>
      <w:bookmarkStart w:colFirst="0" w:colLast="0" w:name="_heading=h.hlra3ydsp7xo" w:id="0"/>
      <w:bookmarkEnd w:id="0"/>
      <w:r w:rsidDel="00000000" w:rsidR="00000000" w:rsidRPr="00000000">
        <w:rPr>
          <w:rFonts w:ascii="Times New Roman" w:cs="Times New Roman" w:eastAsia="Times New Roman" w:hAnsi="Times New Roman"/>
          <w:b w:val="1"/>
          <w:bCs w:val="1"/>
          <w:rtl w:val="0"/>
        </w:rPr>
        <w:t xml:space="preserve">AN ORDINANCE AMENDING TITLE 6, CHAPTER 17, ADOPTING THE CURRENT  EDITION OF THE UTAH WILDLAND URBAN INTERFACE CODE, ISSUED BY THE INTERNATIONAL CODE COUNCIL, WITH THE ALTERNATIVES OR AMENDMENTS APPROVED BY THE UTAH DIVISION OF FORESTRY, FIRE, AND STATE LANDS, AS A CONSTRUCTION CODE  AND A WILDLAND URBAN INTERFACE MAP</w:t>
      </w:r>
      <w:r w:rsidDel="00000000" w:rsidR="00000000" w:rsidRPr="00000000">
        <w:rPr>
          <w:rtl w:val="0"/>
        </w:rPr>
      </w:r>
    </w:p>
    <w:p w:rsidR="00000000" w:rsidDel="00000000" w:rsidP="00000000" w:rsidRDefault="00000000" w:rsidRPr="00000000" w14:paraId="00000005">
      <w:pPr>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 Erda City Council (the </w:t>
      </w:r>
      <w:r w:rsidDel="00000000" w:rsidR="00000000" w:rsidRPr="00000000">
        <w:rPr>
          <w:rFonts w:ascii="Times New Roman" w:cs="Times New Roman" w:eastAsia="Times New Roman" w:hAnsi="Times New Roman"/>
          <w:i w:val="1"/>
          <w:iCs w:val="1"/>
          <w:rtl w:val="0"/>
        </w:rPr>
        <w:t xml:space="preserve">“Council”</w:t>
      </w:r>
      <w:r w:rsidDel="00000000" w:rsidR="00000000" w:rsidRPr="00000000">
        <w:rPr>
          <w:rFonts w:ascii="Times New Roman" w:cs="Times New Roman" w:eastAsia="Times New Roman" w:hAnsi="Times New Roman"/>
          <w:rtl w:val="0"/>
        </w:rPr>
        <w:t xml:space="preserve">) met in regular session on December 11th, 2025  to consider, among other the current edition of the Utah Wildland Urban Interface Code, issued by the International Code Council, with the alternatives or amendments approved by the Utah Division of Forestry, Fire, and State Lands, as a construction code and a Wildland Urban Interface Map; and</w:t>
      </w:r>
    </w:p>
    <w:p w:rsidR="00000000" w:rsidDel="00000000" w:rsidP="00000000" w:rsidRDefault="00000000" w:rsidRPr="00000000" w14:paraId="00000007">
      <w:pPr>
        <w:ind w:left="0"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rPr>
      </w:pPr>
      <w:bookmarkStart w:colFirst="0" w:colLast="0" w:name="_heading=h.gjdgxs" w:id="1"/>
      <w:bookmarkEnd w:id="1"/>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in the 2025 Utah Legislature General Session the Legislature amended Utah Code section 65A-8-203  that provides among other things that “[i]f the state under Section 15A-2-103 adopts an edition of the Utah Wildland Urban Interface Code, issued by the International Code Council, with the alternatives or amendments approved by the division, as a wildland urban interface building standard that may be adopted by a local compliance agency …for purposes of an incorporated area within a county, the relevant municipality shall adopt and enforce the wildland urban interface building standard described” in Utah Code section 15A-2-; and</w:t>
      </w:r>
    </w:p>
    <w:p w:rsidR="00000000" w:rsidDel="00000000" w:rsidP="00000000" w:rsidRDefault="00000000" w:rsidRPr="00000000" w14:paraId="00000009">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0" w:firstLine="720"/>
        <w:jc w:val="both"/>
        <w:rPr>
          <w:rFonts w:ascii="Times New Roman" w:cs="Times New Roman" w:eastAsia="Times New Roman" w:hAnsi="Times New Roman"/>
        </w:rPr>
      </w:pPr>
      <w:bookmarkStart w:colFirst="0" w:colLast="0" w:name="_heading=h.30j0zll" w:id="2"/>
      <w:bookmarkEnd w:id="2"/>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 purpose of this amendment is to, among other things, regulate and govern the mitigation of hazard to life and property from the intrusion of fire from wildland exposures, fire from adjacent structures, and the prevention of structure fires from spreading to wildland and</w:t>
      </w:r>
    </w:p>
    <w:p w:rsidR="00000000" w:rsidDel="00000000" w:rsidP="00000000" w:rsidRDefault="00000000" w:rsidRPr="00000000" w14:paraId="0000000B">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International Code Council adopted the 2006 Utah Wildfire-Urban Interface Code (“Wildfire Code”), which the Council is adopting by this ordinance.  Section 301 of the Wildfire Code requires, among other things, that the Council in cooperation with the Division of Forestry, Fire, and State Lands (“FFSL”) declare wildfire-urban interface areas. The FFSL and City staff have cooperated to designate such areas that are shown on the attached  map (“Map”); and </w:t>
      </w:r>
    </w:p>
    <w:p w:rsidR="00000000" w:rsidDel="00000000" w:rsidP="00000000" w:rsidRDefault="00000000" w:rsidRPr="00000000" w14:paraId="0000000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Council finds that the Map shows the boundaries of natural or man-made features of wildland-urban interface areas and was prepared in cooperation with the FFSL; and </w:t>
      </w:r>
    </w:p>
    <w:p w:rsidR="00000000" w:rsidDel="00000000" w:rsidP="00000000" w:rsidRDefault="00000000" w:rsidRPr="00000000" w14:paraId="0000000F">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after careful consideration, the Council has determined that amending  Title  6 Chapter 17 and adopting the Map is in the best interest of Erda's health, safety, and welfare. </w:t>
      </w:r>
    </w:p>
    <w:p w:rsidR="00000000" w:rsidDel="00000000" w:rsidP="00000000" w:rsidRDefault="00000000" w:rsidRPr="00000000" w14:paraId="00000011">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NOW, THEREFORE, BE IT ORDAINED,</w:t>
      </w:r>
      <w:r w:rsidDel="00000000" w:rsidR="00000000" w:rsidRPr="00000000">
        <w:rPr>
          <w:rFonts w:ascii="Times New Roman" w:cs="Times New Roman" w:eastAsia="Times New Roman" w:hAnsi="Times New Roman"/>
          <w:rtl w:val="0"/>
        </w:rPr>
        <w:t xml:space="preserve"> the following is hereby adopted and added to the Erda Municipal Code.</w:t>
      </w:r>
    </w:p>
    <w:p w:rsidR="00000000" w:rsidDel="00000000" w:rsidP="00000000" w:rsidRDefault="00000000" w:rsidRPr="00000000" w14:paraId="00000013">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Style w:val="Heading3"/>
        <w:spacing w:after="0" w:before="0" w:lineRule="auto"/>
        <w:ind w:left="0" w:hanging="2"/>
        <w:jc w:val="both"/>
        <w:rPr>
          <w:color w:val="000000"/>
          <w:vertAlign w:val="baseline"/>
        </w:rPr>
      </w:pPr>
      <w:r w:rsidDel="00000000" w:rsidR="00000000" w:rsidRPr="00000000">
        <w:rPr>
          <w:rFonts w:ascii="Calibri" w:cs="Calibri" w:eastAsia="Calibri" w:hAnsi="Calibri"/>
          <w:color w:val="000000"/>
          <w:sz w:val="24"/>
          <w:szCs w:val="24"/>
          <w:rtl w:val="0"/>
        </w:rPr>
        <w:tab/>
        <w:tab/>
        <w:t xml:space="preserve">6-17-3. Adoption of the International Fire Code.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The 2021 edition of the International Fire Code, as well as Appendix B: Fire-Flow Requirements for Buildings, Appendix C: Fire Hydrant Locations and Distribution, and Appendix D: Fire Apparatus Access Roads, published by the International Code Council, is hereby adopted as part of the Erda Code to be used as the standard in Erda. All future amendments to the aforementioned code and appendices are to be immediately included within the provisions of this section without further action of the City.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tab/>
        <w:t xml:space="preserve">Persons who violate provisions of the International Fire Code shall be guilty of a class C misdemeanor.</w:t>
      </w:r>
    </w:p>
    <w:p w:rsidR="00000000" w:rsidDel="00000000" w:rsidP="00000000" w:rsidRDefault="00000000" w:rsidRPr="00000000" w14:paraId="00000017">
      <w:pPr>
        <w:spacing w:after="240" w:lineRule="auto"/>
        <w:ind w:left="0" w:hanging="2"/>
        <w:rPr/>
      </w:pPr>
      <w:r w:rsidDel="00000000" w:rsidR="00000000" w:rsidRPr="00000000">
        <w:rPr>
          <w:rtl w:val="0"/>
        </w:rPr>
      </w:r>
    </w:p>
    <w:p w:rsidR="00000000" w:rsidDel="00000000" w:rsidP="00000000" w:rsidRDefault="00000000" w:rsidRPr="00000000" w14:paraId="00000018">
      <w:pPr>
        <w:ind w:left="0" w:hanging="2"/>
        <w:rPr/>
      </w:pPr>
      <w:r w:rsidDel="00000000" w:rsidR="00000000" w:rsidRPr="00000000">
        <w:rPr>
          <w:rtl w:val="0"/>
        </w:rPr>
      </w:r>
    </w:p>
    <w:p w:rsidR="00000000" w:rsidDel="00000000" w:rsidP="00000000" w:rsidRDefault="00000000" w:rsidRPr="00000000" w14:paraId="00000019">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6.17.3.1 Wildland Urban Interface Code</w:t>
      </w:r>
    </w:p>
    <w:p w:rsidR="00000000" w:rsidDel="00000000" w:rsidP="00000000" w:rsidRDefault="00000000" w:rsidRPr="00000000" w14:paraId="0000001C">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2006 edition of the Utah Wildland Urban Interface Code, issued by the International Code Council, with the alternatives or amendments approved by the Utah Division of Forestry, Fire, and State Lands, is hereby adopted as a construction code.  </w:t>
      </w:r>
    </w:p>
    <w:p w:rsidR="00000000" w:rsidDel="00000000" w:rsidP="00000000" w:rsidRDefault="00000000" w:rsidRPr="00000000" w14:paraId="0000001E">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6.17.3.2 Adoption of Map</w:t>
      </w:r>
    </w:p>
    <w:p w:rsidR="00000000" w:rsidDel="00000000" w:rsidP="00000000" w:rsidRDefault="00000000" w:rsidRPr="00000000" w14:paraId="00000022">
      <w:pPr>
        <w:ind w:left="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3">
      <w:pPr>
        <w:ind w:left="0"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attached map showing the boundaries of high-risk wildland-urban interface property and what constitutes wildland-urban interface property that is not high-risk is hereby adopted.</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4">
      <w:pPr>
        <w:ind w:left="0"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PASSED AND APPROVED</w:t>
      </w:r>
      <w:r w:rsidDel="00000000" w:rsidR="00000000" w:rsidRPr="00000000">
        <w:rPr>
          <w:rFonts w:ascii="Times New Roman" w:cs="Times New Roman" w:eastAsia="Times New Roman" w:hAnsi="Times New Roman"/>
          <w:rtl w:val="0"/>
        </w:rPr>
        <w:t xml:space="preserve"> this 11th day of December 2025.</w:t>
      </w:r>
    </w:p>
    <w:p w:rsidR="00000000" w:rsidDel="00000000" w:rsidP="00000000" w:rsidRDefault="00000000" w:rsidRPr="00000000" w14:paraId="0000002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1"/>
        <w:keepLines w:val="1"/>
        <w:widowControl w:val="1"/>
        <w:tabs>
          <w:tab w:val="left" w:leader="none" w:pos="5040"/>
          <w:tab w:val="right" w:leader="none" w:pos="9360"/>
        </w:tabs>
        <w:spacing w:line="240" w:lineRule="auto"/>
        <w:ind w:left="4320" w:firstLine="0"/>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ERDA</w:t>
      </w:r>
    </w:p>
    <w:p w:rsidR="00000000" w:rsidDel="00000000" w:rsidP="00000000" w:rsidRDefault="00000000" w:rsidRPr="00000000" w14:paraId="0000002B">
      <w:pPr>
        <w:keepNext w:val="1"/>
        <w:keepLines w:val="1"/>
        <w:widowControl w:val="1"/>
        <w:tabs>
          <w:tab w:val="left" w:leader="none" w:pos="5040"/>
          <w:tab w:val="right" w:leader="none" w:pos="9360"/>
        </w:tabs>
        <w:spacing w:line="240" w:lineRule="auto"/>
        <w:ind w:left="432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C">
      <w:pPr>
        <w:keepNext w:val="1"/>
        <w:keepLines w:val="1"/>
        <w:widowControl w:val="1"/>
        <w:tabs>
          <w:tab w:val="left" w:leader="none" w:pos="5040"/>
          <w:tab w:val="right" w:leader="none" w:pos="9360"/>
        </w:tabs>
        <w:spacing w:line="240" w:lineRule="auto"/>
        <w:ind w:left="432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D">
      <w:pPr>
        <w:keepNext w:val="1"/>
        <w:keepLines w:val="1"/>
        <w:widowControl w:val="1"/>
        <w:tabs>
          <w:tab w:val="left" w:leader="none" w:pos="5040"/>
          <w:tab w:val="right" w:leader="none" w:pos="9360"/>
        </w:tabs>
        <w:spacing w:line="240" w:lineRule="auto"/>
        <w:ind w:left="4320"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By: ______________________________________</w:t>
      </w:r>
    </w:p>
    <w:p w:rsidR="00000000" w:rsidDel="00000000" w:rsidP="00000000" w:rsidRDefault="00000000" w:rsidRPr="00000000" w14:paraId="0000002E">
      <w:pPr>
        <w:keepNext w:val="1"/>
        <w:keepLines w:val="1"/>
        <w:widowControl w:val="1"/>
        <w:tabs>
          <w:tab w:val="left" w:leader="none" w:pos="5040"/>
          <w:tab w:val="right" w:leader="none" w:pos="9360"/>
        </w:tabs>
        <w:spacing w:line="240" w:lineRule="auto"/>
        <w:ind w:left="4320"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Sheldon Birch, Chair</w:t>
      </w:r>
    </w:p>
    <w:p w:rsidR="00000000" w:rsidDel="00000000" w:rsidP="00000000" w:rsidRDefault="00000000" w:rsidRPr="00000000" w14:paraId="0000002F">
      <w:pPr>
        <w:spacing w:line="240" w:lineRule="auto"/>
        <w:ind w:left="0"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ATTEST</w:t>
      </w:r>
      <w:r w:rsidDel="00000000" w:rsidR="00000000" w:rsidRPr="00000000">
        <w:rPr>
          <w:rFonts w:ascii="Times New Roman" w:cs="Times New Roman" w:eastAsia="Times New Roman" w:hAnsi="Times New Roman"/>
          <w:color w:val="000000"/>
          <w:vertAlign w:val="baseline"/>
          <w:rtl w:val="0"/>
        </w:rPr>
        <w:t xml:space="preserve">: </w:t>
      </w:r>
    </w:p>
    <w:p w:rsidR="00000000" w:rsidDel="00000000" w:rsidP="00000000" w:rsidRDefault="00000000" w:rsidRPr="00000000" w14:paraId="00000030">
      <w:pPr>
        <w:spacing w:line="240"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1">
      <w:pPr>
        <w:spacing w:line="240" w:lineRule="auto"/>
        <w:ind w:left="0"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___________________________________</w:t>
      </w:r>
    </w:p>
    <w:p w:rsidR="00000000" w:rsidDel="00000000" w:rsidP="00000000" w:rsidRDefault="00000000" w:rsidRPr="00000000" w14:paraId="00000032">
      <w:pPr>
        <w:spacing w:line="240" w:lineRule="auto"/>
        <w:ind w:left="0"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Jennifer Poole, City Recorder</w:t>
      </w:r>
      <w:r w:rsidDel="00000000" w:rsidR="00000000" w:rsidRPr="00000000">
        <w:br w:type="page"/>
      </w:r>
      <w:r w:rsidDel="00000000" w:rsidR="00000000" w:rsidRPr="00000000">
        <w:rPr>
          <w:rtl w:val="0"/>
        </w:rPr>
      </w:r>
    </w:p>
    <w:p w:rsidR="00000000" w:rsidDel="00000000" w:rsidP="00000000" w:rsidRDefault="00000000" w:rsidRPr="00000000" w14:paraId="00000033">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9730627" cy="4648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5400000">
                      <a:off x="0" y="0"/>
                      <a:ext cx="9730627" cy="4648200"/>
                    </a:xfrm>
                    <a:prstGeom prst="rect"/>
                    <a:ln/>
                  </pic:spPr>
                </pic:pic>
              </a:graphicData>
            </a:graphic>
          </wp:inline>
        </w:drawing>
      </w:r>
      <w:r w:rsidDel="00000000" w:rsidR="00000000" w:rsidRPr="00000000">
        <w:rPr>
          <w:rtl w:val="0"/>
        </w:rPr>
      </w:r>
    </w:p>
    <w:sectPr>
      <w:footerReference r:id="rId8" w:type="default"/>
      <w:pgSz w:h="15840" w:w="12240" w:orient="portrait"/>
      <w:pgMar w:bottom="1440" w:top="1440" w:left="1440" w:right="1440" w:header="360"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4"/>
        <w:szCs w:val="24"/>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rFonts w:ascii="Bookman Old Style" w:hAnsi="Bookman Old Style"/>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rFonts w:ascii="Bookman Old Style" w:hAnsi="Bookman Old Style"/>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Style3" w:customStyle="1">
    <w:name w:val="Style 3"/>
    <w:basedOn w:val="Normal"/>
    <w:pPr>
      <w:keepNext w:val="1"/>
      <w:keepLines w:val="1"/>
      <w:widowControl w:val="1"/>
      <w:tabs>
        <w:tab w:val="left" w:pos="5040"/>
        <w:tab w:val="right" w:pos="9360"/>
      </w:tabs>
      <w:autoSpaceDE w:val="1"/>
      <w:autoSpaceDN w:val="1"/>
      <w:adjustRightInd w:val="1"/>
      <w:ind w:left="4320"/>
    </w:pPr>
    <w:rPr>
      <w:rFonts w:ascii="Times New Roman" w:hAnsi="Times New Roman"/>
    </w:rPr>
  </w:style>
  <w:style w:type="paragraph" w:styleId="Revision">
    <w:name w:val="Revision"/>
    <w:hidden w:val="1"/>
    <w:uiPriority w:val="99"/>
    <w:semiHidden w:val="1"/>
    <w:rsid w:val="00984348"/>
    <w:pPr>
      <w:widowControl w:val="1"/>
    </w:pPr>
    <w:rPr>
      <w:position w:val="-1"/>
    </w:rPr>
  </w:style>
  <w:style w:type="character" w:styleId="CommentReference">
    <w:name w:val="annotation reference"/>
    <w:basedOn w:val="DefaultParagraphFont"/>
    <w:uiPriority w:val="99"/>
    <w:semiHidden w:val="1"/>
    <w:unhideWhenUsed w:val="1"/>
    <w:rsid w:val="00984348"/>
    <w:rPr>
      <w:sz w:val="16"/>
      <w:szCs w:val="16"/>
    </w:rPr>
  </w:style>
  <w:style w:type="paragraph" w:styleId="CommentText">
    <w:name w:val="annotation text"/>
    <w:basedOn w:val="Normal"/>
    <w:link w:val="CommentTextChar"/>
    <w:uiPriority w:val="99"/>
    <w:unhideWhenUsed w:val="1"/>
    <w:rsid w:val="00984348"/>
    <w:pPr>
      <w:spacing w:line="240" w:lineRule="auto"/>
    </w:pPr>
    <w:rPr>
      <w:sz w:val="20"/>
      <w:szCs w:val="20"/>
    </w:rPr>
  </w:style>
  <w:style w:type="character" w:styleId="CommentTextChar" w:customStyle="1">
    <w:name w:val="Comment Text Char"/>
    <w:basedOn w:val="DefaultParagraphFont"/>
    <w:link w:val="CommentText"/>
    <w:uiPriority w:val="99"/>
    <w:rsid w:val="00984348"/>
    <w:rPr>
      <w:position w:val="-1"/>
      <w:sz w:val="20"/>
      <w:szCs w:val="20"/>
    </w:rPr>
  </w:style>
  <w:style w:type="paragraph" w:styleId="CommentSubject">
    <w:name w:val="annotation subject"/>
    <w:basedOn w:val="CommentText"/>
    <w:next w:val="CommentText"/>
    <w:link w:val="CommentSubjectChar"/>
    <w:uiPriority w:val="99"/>
    <w:semiHidden w:val="1"/>
    <w:unhideWhenUsed w:val="1"/>
    <w:rsid w:val="00984348"/>
    <w:rPr>
      <w:b w:val="1"/>
      <w:bCs w:val="1"/>
    </w:rPr>
  </w:style>
  <w:style w:type="character" w:styleId="CommentSubjectChar" w:customStyle="1">
    <w:name w:val="Comment Subject Char"/>
    <w:basedOn w:val="CommentTextChar"/>
    <w:link w:val="CommentSubject"/>
    <w:uiPriority w:val="99"/>
    <w:semiHidden w:val="1"/>
    <w:rsid w:val="00984348"/>
    <w:rPr>
      <w:b w:val="1"/>
      <w:bCs w:val="1"/>
      <w:position w:val="-1"/>
      <w:sz w:val="20"/>
      <w:szCs w:val="20"/>
    </w:rPr>
  </w:style>
  <w:style w:type="paragraph" w:styleId="NormalWeb">
    <w:name w:val="Normal (Web)"/>
    <w:basedOn w:val="Normal"/>
    <w:uiPriority w:val="99"/>
    <w:semiHidden w:val="1"/>
    <w:unhideWhenUsed w:val="1"/>
    <w:rsid w:val="00457E15"/>
    <w:pPr>
      <w:widowControl w:val="1"/>
      <w:suppressAutoHyphens w:val="0"/>
      <w:autoSpaceDE w:val="1"/>
      <w:autoSpaceDN w:val="1"/>
      <w:adjustRightInd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rPr>
  </w:style>
  <w:style w:type="character" w:styleId="apple-tab-span" w:customStyle="1">
    <w:name w:val="apple-tab-span"/>
    <w:basedOn w:val="DefaultParagraphFont"/>
    <w:rsid w:val="00457E1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QwSEYS2W2Igb5oZHBBHCE/zSQ==">CgMxLjAyDmguaGxyYTN5ZHNwN3hvMghoLmdqZGd4czIJaC4zMGowemxsOAByITFnR0o3SzZVeGxSMk8ycnM1bmpVQldBRzZqZzhfekZZWQ==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2025-12-05T18:25:00Z</dcterms:created>
  <dc:creator>Jackie Nostrom</dc:creator>
</cp:coreProperties>
</file>