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EED5" w14:textId="77777777" w:rsidR="00317313" w:rsidRDefault="00317313" w:rsidP="00D65794">
      <w:pPr>
        <w:pStyle w:val="Title"/>
        <w:rPr>
          <w:bCs w:val="0"/>
          <w:szCs w:val="28"/>
        </w:rPr>
      </w:pPr>
    </w:p>
    <w:p w14:paraId="1576749F" w14:textId="34694EAC" w:rsidR="00090281" w:rsidRPr="00D65794" w:rsidRDefault="00D65794" w:rsidP="00D65794">
      <w:pPr>
        <w:pStyle w:val="Title"/>
        <w:rPr>
          <w:bCs w:val="0"/>
          <w:szCs w:val="28"/>
        </w:rPr>
      </w:pPr>
      <w:r w:rsidRPr="00D65794">
        <w:rPr>
          <w:bCs w:val="0"/>
          <w:szCs w:val="28"/>
        </w:rPr>
        <w:t xml:space="preserve">MONROE CITY, UTAH </w:t>
      </w:r>
    </w:p>
    <w:p w14:paraId="7AA5DBDF" w14:textId="66F61D5E" w:rsidR="00D65794" w:rsidRPr="00D65794" w:rsidRDefault="00D65794" w:rsidP="00D65794">
      <w:pPr>
        <w:pStyle w:val="Title"/>
        <w:rPr>
          <w:bCs w:val="0"/>
          <w:szCs w:val="28"/>
        </w:rPr>
      </w:pPr>
      <w:r w:rsidRPr="00D65794">
        <w:rPr>
          <w:bCs w:val="0"/>
          <w:szCs w:val="28"/>
        </w:rPr>
        <w:t>ORDINANCE 12 01 2025</w:t>
      </w:r>
    </w:p>
    <w:p w14:paraId="7C64A40A" w14:textId="77777777" w:rsidR="004A0D37" w:rsidRDefault="004A0D37" w:rsidP="004A0D37">
      <w:pPr>
        <w:pStyle w:val="Title"/>
      </w:pPr>
    </w:p>
    <w:p w14:paraId="3BF6213F" w14:textId="0E684CE3" w:rsidR="006406F3" w:rsidRDefault="00090281">
      <w:pPr>
        <w:pStyle w:val="BodyText"/>
        <w:rPr>
          <w:b w:val="0"/>
          <w:bCs w:val="0"/>
        </w:rPr>
      </w:pPr>
      <w:r>
        <w:rPr>
          <w:b w:val="0"/>
          <w:bCs w:val="0"/>
        </w:rPr>
        <w:t>AN ORDINANCE</w:t>
      </w:r>
      <w:r w:rsidR="00317313">
        <w:rPr>
          <w:b w:val="0"/>
          <w:bCs w:val="0"/>
        </w:rPr>
        <w:t xml:space="preserve"> </w:t>
      </w:r>
      <w:r w:rsidR="008821D5">
        <w:rPr>
          <w:b w:val="0"/>
          <w:bCs w:val="0"/>
        </w:rPr>
        <w:t xml:space="preserve">ENACTING </w:t>
      </w:r>
      <w:r w:rsidR="00CF57E5">
        <w:rPr>
          <w:b w:val="0"/>
          <w:bCs w:val="0"/>
        </w:rPr>
        <w:t xml:space="preserve">A LOCAL SALES AND USE TAX IN THE AMOUNT OF ONE-TENTH OF ONE PERCENT TO ASSIST IN FUNDING ITEMS SUCH AS </w:t>
      </w:r>
      <w:r w:rsidR="00D65794">
        <w:rPr>
          <w:b w:val="0"/>
          <w:bCs w:val="0"/>
        </w:rPr>
        <w:t xml:space="preserve">MONROE CITY </w:t>
      </w:r>
      <w:r w:rsidR="00CF57E5">
        <w:rPr>
          <w:b w:val="0"/>
          <w:bCs w:val="0"/>
        </w:rPr>
        <w:t>PARK</w:t>
      </w:r>
      <w:r w:rsidR="00D65794">
        <w:rPr>
          <w:b w:val="0"/>
          <w:bCs w:val="0"/>
        </w:rPr>
        <w:t xml:space="preserve"> </w:t>
      </w:r>
      <w:r w:rsidR="00CF57E5">
        <w:rPr>
          <w:b w:val="0"/>
          <w:bCs w:val="0"/>
        </w:rPr>
        <w:t xml:space="preserve">FACILITIES, </w:t>
      </w:r>
      <w:r w:rsidR="00D65794">
        <w:rPr>
          <w:b w:val="0"/>
          <w:bCs w:val="0"/>
        </w:rPr>
        <w:t xml:space="preserve">AND </w:t>
      </w:r>
      <w:r w:rsidR="00CF57E5">
        <w:rPr>
          <w:b w:val="0"/>
          <w:bCs w:val="0"/>
        </w:rPr>
        <w:t>PROGRAMS</w:t>
      </w:r>
      <w:r w:rsidR="00D65794">
        <w:rPr>
          <w:b w:val="0"/>
          <w:bCs w:val="0"/>
        </w:rPr>
        <w:t xml:space="preserve">. </w:t>
      </w:r>
    </w:p>
    <w:p w14:paraId="6C66536A" w14:textId="77777777" w:rsidR="009E23FA" w:rsidRDefault="009E23FA" w:rsidP="00E874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9AE812" w14:textId="000740C3" w:rsidR="009E23FA" w:rsidRDefault="009E23FA" w:rsidP="009E2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>PREAMBLE:</w:t>
      </w:r>
      <w:r>
        <w:tab/>
      </w:r>
      <w:r w:rsidR="004A7B8C">
        <w:t xml:space="preserve">Pursuant to the authority granted to </w:t>
      </w:r>
      <w:r w:rsidR="00D65794">
        <w:t>Monroe City</w:t>
      </w:r>
      <w:r w:rsidR="004A7B8C">
        <w:t xml:space="preserve"> by the State of Utah, t</w:t>
      </w:r>
      <w:r>
        <w:t xml:space="preserve">his </w:t>
      </w:r>
      <w:r w:rsidR="00533A65">
        <w:t xml:space="preserve">Ordinance </w:t>
      </w:r>
      <w:r w:rsidR="00D65794">
        <w:t xml:space="preserve">enacts </w:t>
      </w:r>
      <w:r w:rsidR="00014AF9">
        <w:t xml:space="preserve">a local sales and use tax in the amount of one-tenth of one percent to assist in funding items such as </w:t>
      </w:r>
      <w:r w:rsidR="00D65794">
        <w:t xml:space="preserve">Monroe City Park facilities, and programs. </w:t>
      </w:r>
    </w:p>
    <w:p w14:paraId="4DC5B701" w14:textId="77777777" w:rsidR="00C63F30" w:rsidRDefault="00090281" w:rsidP="00E874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</w:p>
    <w:p w14:paraId="350A919B" w14:textId="6E25184A" w:rsidR="00FE75E1" w:rsidRDefault="00090281" w:rsidP="00A52F09">
      <w:pPr>
        <w:ind w:firstLine="720"/>
      </w:pPr>
      <w:proofErr w:type="gramStart"/>
      <w:r w:rsidRPr="00E87494">
        <w:t>WHEREAS,</w:t>
      </w:r>
      <w:proofErr w:type="gramEnd"/>
      <w:r w:rsidR="00803E80">
        <w:t xml:space="preserve"> </w:t>
      </w:r>
      <w:r w:rsidR="00D65794">
        <w:t xml:space="preserve">Monroe </w:t>
      </w:r>
      <w:r w:rsidR="00FE75E1">
        <w:t>City (“the City”) has a strong history of and continued interest in supporting facilities, programs and organizations designed to improve</w:t>
      </w:r>
      <w:r w:rsidR="00462140">
        <w:t xml:space="preserve"> Recreation, Arts, and</w:t>
      </w:r>
      <w:r w:rsidR="00FE75E1">
        <w:t xml:space="preserve"> Park</w:t>
      </w:r>
      <w:r w:rsidR="00317313">
        <w:t>s</w:t>
      </w:r>
      <w:r w:rsidR="00FE75E1">
        <w:t xml:space="preserve"> (“</w:t>
      </w:r>
      <w:r w:rsidR="00251C13">
        <w:t>RAP</w:t>
      </w:r>
      <w:r w:rsidR="00FE75E1">
        <w:t xml:space="preserve">”) opportunities for its residents; and </w:t>
      </w:r>
    </w:p>
    <w:p w14:paraId="7180C4E4" w14:textId="77777777" w:rsidR="00FE75E1" w:rsidRDefault="00FE75E1" w:rsidP="00A52F09">
      <w:pPr>
        <w:ind w:firstLine="720"/>
      </w:pPr>
    </w:p>
    <w:p w14:paraId="740E5A02" w14:textId="0DC381E9" w:rsidR="00FE75E1" w:rsidRDefault="00FE75E1" w:rsidP="00A52F09">
      <w:pPr>
        <w:ind w:firstLine="720"/>
      </w:pPr>
      <w:proofErr w:type="gramStart"/>
      <w:r>
        <w:t>WHEREAS,</w:t>
      </w:r>
      <w:proofErr w:type="gramEnd"/>
      <w:r>
        <w:t xml:space="preserve"> the City’s </w:t>
      </w:r>
      <w:r w:rsidR="008767B5">
        <w:t xml:space="preserve">support of such </w:t>
      </w:r>
      <w:r w:rsidR="00251C13">
        <w:t>RAP</w:t>
      </w:r>
      <w:r w:rsidR="008767B5">
        <w:t xml:space="preserve"> facilities, programs and organizations for its residents could be enhanced by providing additional revenue to be used for those purposes; and</w:t>
      </w:r>
    </w:p>
    <w:p w14:paraId="659FF03E" w14:textId="77777777" w:rsidR="008767B5" w:rsidRDefault="008767B5" w:rsidP="00A52F09">
      <w:pPr>
        <w:ind w:firstLine="720"/>
      </w:pPr>
    </w:p>
    <w:p w14:paraId="43D05B8E" w14:textId="4382B770" w:rsidR="008767B5" w:rsidRDefault="008767B5" w:rsidP="00A52F09">
      <w:pPr>
        <w:ind w:firstLine="720"/>
      </w:pPr>
      <w:proofErr w:type="gramStart"/>
      <w:r>
        <w:t>WHEREAS,</w:t>
      </w:r>
      <w:proofErr w:type="gramEnd"/>
      <w:r>
        <w:t xml:space="preserve"> the City submitted an opinion question to voters </w:t>
      </w:r>
      <w:r w:rsidR="001527C5">
        <w:t xml:space="preserve">during the General </w:t>
      </w:r>
      <w:r w:rsidR="00251C13">
        <w:t xml:space="preserve">Municipal </w:t>
      </w:r>
      <w:r w:rsidR="001527C5">
        <w:t xml:space="preserve">Election held on November </w:t>
      </w:r>
      <w:r w:rsidR="00251C13">
        <w:t>4</w:t>
      </w:r>
      <w:r w:rsidR="001527C5">
        <w:t>, 20</w:t>
      </w:r>
      <w:r w:rsidR="008D1DEF">
        <w:t>2</w:t>
      </w:r>
      <w:r w:rsidR="00251C13">
        <w:t>5</w:t>
      </w:r>
      <w:r w:rsidR="001527C5">
        <w:t xml:space="preserve">, </w:t>
      </w:r>
      <w:r>
        <w:t>regarding the imposition of a local sales and use tax to assi</w:t>
      </w:r>
      <w:r w:rsidR="001527C5">
        <w:t>st</w:t>
      </w:r>
      <w:r>
        <w:t xml:space="preserve"> in funding items such as the </w:t>
      </w:r>
      <w:r w:rsidR="00251C13">
        <w:t>Monroe City</w:t>
      </w:r>
      <w:r w:rsidR="00462140">
        <w:t xml:space="preserve"> </w:t>
      </w:r>
      <w:r w:rsidR="00462140">
        <w:t>Recreation, Arts, and Parks</w:t>
      </w:r>
      <w:r w:rsidR="00317313">
        <w:t xml:space="preserve"> </w:t>
      </w:r>
      <w:r w:rsidR="001527C5">
        <w:t>(“</w:t>
      </w:r>
      <w:r w:rsidR="00251C13">
        <w:t>RAP</w:t>
      </w:r>
      <w:r w:rsidR="001527C5">
        <w:t>”) facilities, programs and/or organizations in accordance with Utah Code Ann. § 59-12-1402; and</w:t>
      </w:r>
    </w:p>
    <w:p w14:paraId="2B55390B" w14:textId="77777777" w:rsidR="001527C5" w:rsidRDefault="001527C5" w:rsidP="00A52F09">
      <w:pPr>
        <w:ind w:firstLine="720"/>
      </w:pPr>
    </w:p>
    <w:p w14:paraId="7F7A2865" w14:textId="32740F69" w:rsidR="001527C5" w:rsidRDefault="00D5062B" w:rsidP="00A52F09">
      <w:pPr>
        <w:ind w:firstLine="720"/>
      </w:pPr>
      <w:r>
        <w:t xml:space="preserve">WHEREAS, </w:t>
      </w:r>
      <w:r w:rsidR="00251C13">
        <w:t>Monroe City</w:t>
      </w:r>
      <w:r>
        <w:t xml:space="preserve"> voters supported the imposition of the one-tenth of one percent local sales and use tax </w:t>
      </w:r>
      <w:r w:rsidRPr="00C12FC9">
        <w:t xml:space="preserve">with </w:t>
      </w:r>
      <w:r w:rsidR="00251C13">
        <w:t>407</w:t>
      </w:r>
      <w:r w:rsidRPr="00C12FC9">
        <w:t>(</w:t>
      </w:r>
      <w:r w:rsidR="00251C13">
        <w:t>68</w:t>
      </w:r>
      <w:r w:rsidRPr="00C12FC9">
        <w:t>%)</w:t>
      </w:r>
      <w:r>
        <w:t xml:space="preserve"> </w:t>
      </w:r>
      <w:r w:rsidR="00002361">
        <w:t xml:space="preserve">votes cast for the </w:t>
      </w:r>
      <w:r w:rsidR="000A5014">
        <w:t>imposition of the tax</w:t>
      </w:r>
      <w:r w:rsidR="00002361">
        <w:t xml:space="preserve"> and </w:t>
      </w:r>
      <w:r w:rsidR="00251C13">
        <w:t xml:space="preserve">192 </w:t>
      </w:r>
      <w:r w:rsidR="00002361" w:rsidRPr="00C12FC9">
        <w:t>(</w:t>
      </w:r>
      <w:r w:rsidR="00251C13">
        <w:t>32</w:t>
      </w:r>
      <w:r w:rsidR="00002361" w:rsidRPr="00C12FC9">
        <w:t>%)</w:t>
      </w:r>
      <w:r w:rsidR="00002361">
        <w:t xml:space="preserve"> votes cast against the </w:t>
      </w:r>
      <w:r w:rsidR="000A5014">
        <w:t>imposition of the tax</w:t>
      </w:r>
      <w:r w:rsidR="00002361">
        <w:t xml:space="preserve">; and </w:t>
      </w:r>
    </w:p>
    <w:p w14:paraId="0C6C9CE3" w14:textId="77777777" w:rsidR="00FE75E1" w:rsidRDefault="00FE75E1" w:rsidP="00A52F09">
      <w:pPr>
        <w:ind w:firstLine="720"/>
      </w:pPr>
    </w:p>
    <w:p w14:paraId="3DCB5D0C" w14:textId="4883933A" w:rsidR="00184BEB" w:rsidRDefault="00184BEB" w:rsidP="003434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proofErr w:type="gramStart"/>
      <w:r>
        <w:t>WHEREAS,</w:t>
      </w:r>
      <w:proofErr w:type="gramEnd"/>
      <w:r>
        <w:t xml:space="preserve"> the City Council determined that the </w:t>
      </w:r>
      <w:r w:rsidR="00002361">
        <w:t xml:space="preserve">imposition of a one-tenth of one percent </w:t>
      </w:r>
      <w:r w:rsidR="00C22D02">
        <w:t xml:space="preserve">(.1%) </w:t>
      </w:r>
      <w:r w:rsidR="00002361">
        <w:t xml:space="preserve">sales and use tax </w:t>
      </w:r>
      <w:r w:rsidR="00C22D02">
        <w:t xml:space="preserve">for funding </w:t>
      </w:r>
      <w:r w:rsidR="00317313">
        <w:t xml:space="preserve">Recreation, Arts, and Parks </w:t>
      </w:r>
      <w:r w:rsidR="00C22D02">
        <w:t>(“</w:t>
      </w:r>
      <w:r w:rsidR="00251C13">
        <w:t>RAP</w:t>
      </w:r>
      <w:r w:rsidR="00C22D02">
        <w:t xml:space="preserve">”) facilities, programs and organizations </w:t>
      </w:r>
      <w:r w:rsidR="00002361">
        <w:t xml:space="preserve">is </w:t>
      </w:r>
      <w:r>
        <w:t xml:space="preserve">in the best interests of </w:t>
      </w:r>
      <w:r w:rsidR="00251C13">
        <w:t>Monroe City</w:t>
      </w:r>
      <w:r>
        <w:t>, its residents and the</w:t>
      </w:r>
      <w:r w:rsidR="00B54085">
        <w:t xml:space="preserve"> surrounding</w:t>
      </w:r>
      <w:r>
        <w:t xml:space="preserve"> </w:t>
      </w:r>
      <w:r w:rsidR="00B54085">
        <w:t>community</w:t>
      </w:r>
      <w:r>
        <w:t>;</w:t>
      </w:r>
    </w:p>
    <w:p w14:paraId="3DBD721F" w14:textId="77777777" w:rsidR="0034347F" w:rsidRDefault="0034347F" w:rsidP="003434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7CFE428" w14:textId="0844F3DF" w:rsidR="00090281" w:rsidRDefault="00090281" w:rsidP="00D23043">
      <w:r>
        <w:tab/>
        <w:t>NOW THEREFORE</w:t>
      </w:r>
      <w:r w:rsidR="00782C01">
        <w:t xml:space="preserve"> BE IT ORDAINED, by the </w:t>
      </w:r>
      <w:r w:rsidR="00251C13">
        <w:t xml:space="preserve">Monroe </w:t>
      </w:r>
      <w:r w:rsidR="00782C01">
        <w:t>City Council</w:t>
      </w:r>
      <w:r w:rsidR="00B758C2">
        <w:t xml:space="preserve"> that</w:t>
      </w:r>
      <w:r>
        <w:t>:</w:t>
      </w:r>
    </w:p>
    <w:p w14:paraId="6D70A4A6" w14:textId="77777777" w:rsidR="00090281" w:rsidRDefault="00090281">
      <w:pPr>
        <w:ind w:firstLine="720"/>
      </w:pPr>
    </w:p>
    <w:p w14:paraId="15697782" w14:textId="56409F6A" w:rsidR="00184BEB" w:rsidRDefault="00090281" w:rsidP="4BD31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4BD31061">
        <w:rPr>
          <w:u w:val="single"/>
        </w:rPr>
        <w:t xml:space="preserve">Section </w:t>
      </w:r>
      <w:r w:rsidR="00C023B1" w:rsidRPr="4BD31061">
        <w:rPr>
          <w:u w:val="single"/>
        </w:rPr>
        <w:t>I</w:t>
      </w:r>
      <w:r w:rsidRPr="4BD31061">
        <w:rPr>
          <w:u w:val="single"/>
        </w:rPr>
        <w:t xml:space="preserve">. </w:t>
      </w:r>
      <w:r w:rsidR="00C07B33" w:rsidRPr="4BD31061">
        <w:rPr>
          <w:u w:val="single"/>
        </w:rPr>
        <w:t>Enactment</w:t>
      </w:r>
      <w:r w:rsidRPr="4BD31061">
        <w:rPr>
          <w:u w:val="single"/>
        </w:rPr>
        <w:t>:</w:t>
      </w:r>
      <w:r>
        <w:t xml:space="preserve"> </w:t>
      </w:r>
      <w:r w:rsidR="00462140">
        <w:t>Monroe</w:t>
      </w:r>
      <w:r w:rsidR="00C07B33">
        <w:t xml:space="preserve"> City hereby </w:t>
      </w:r>
      <w:r w:rsidR="00FA6E49">
        <w:t xml:space="preserve">authorizes, </w:t>
      </w:r>
      <w:r w:rsidR="00462140">
        <w:t>to</w:t>
      </w:r>
      <w:r w:rsidR="00FA6E49">
        <w:t xml:space="preserve"> impose</w:t>
      </w:r>
      <w:r w:rsidR="00462140">
        <w:t xml:space="preserve"> </w:t>
      </w:r>
      <w:r w:rsidR="00C07B33">
        <w:t xml:space="preserve">a one-tenth of one percent </w:t>
      </w:r>
      <w:r w:rsidR="00C22D02">
        <w:t xml:space="preserve">(.1%) </w:t>
      </w:r>
      <w:r w:rsidR="00C07B33">
        <w:t xml:space="preserve">local sales and use tax </w:t>
      </w:r>
      <w:r w:rsidR="00C22D02">
        <w:t xml:space="preserve">for </w:t>
      </w:r>
      <w:r w:rsidR="00C07B33">
        <w:t xml:space="preserve">funding </w:t>
      </w:r>
      <w:r w:rsidR="00317313">
        <w:t>Recreation, Arts, and Parks</w:t>
      </w:r>
      <w:r w:rsidR="00317313">
        <w:t xml:space="preserve"> </w:t>
      </w:r>
      <w:r w:rsidR="00C07B33">
        <w:t>(“</w:t>
      </w:r>
      <w:r w:rsidR="00317313">
        <w:t>RAP</w:t>
      </w:r>
      <w:r w:rsidR="00C07B33">
        <w:t>”) facilities, programs, and organizations.</w:t>
      </w:r>
    </w:p>
    <w:p w14:paraId="0A1A6BCE" w14:textId="77777777" w:rsidR="00C07B33" w:rsidRDefault="00C07B33" w:rsidP="00E874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A66C71" w14:textId="6AE4D375" w:rsidR="00C023B1" w:rsidRDefault="00184BEB" w:rsidP="00A10B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84BEB">
        <w:rPr>
          <w:u w:val="single"/>
        </w:rPr>
        <w:t xml:space="preserve">Section </w:t>
      </w:r>
      <w:r w:rsidR="00C023B1">
        <w:rPr>
          <w:u w:val="single"/>
        </w:rPr>
        <w:t>II.</w:t>
      </w:r>
      <w:r w:rsidR="00C023B1">
        <w:t xml:space="preserve"> </w:t>
      </w:r>
      <w:r w:rsidR="0073290E">
        <w:t>Pursuant to Title 59, Chapter 12, Part 14 of the Utah Code, City s</w:t>
      </w:r>
      <w:r w:rsidR="00C023B1">
        <w:t xml:space="preserve">taff is hereby directed to file notice </w:t>
      </w:r>
      <w:r w:rsidR="0073290E">
        <w:t xml:space="preserve">of this </w:t>
      </w:r>
      <w:r w:rsidR="000A5014">
        <w:t xml:space="preserve">enactment </w:t>
      </w:r>
      <w:r w:rsidR="00CA7F39">
        <w:t xml:space="preserve">and imposition </w:t>
      </w:r>
      <w:r w:rsidR="000A5014">
        <w:t xml:space="preserve">of the </w:t>
      </w:r>
      <w:r w:rsidR="00317313">
        <w:t>RAP</w:t>
      </w:r>
      <w:r w:rsidR="0073290E">
        <w:t xml:space="preserve"> T</w:t>
      </w:r>
      <w:r w:rsidR="000A5014">
        <w:t xml:space="preserve">ax </w:t>
      </w:r>
      <w:r w:rsidR="00CA7F39">
        <w:t xml:space="preserve">in </w:t>
      </w:r>
      <w:r w:rsidR="00317313">
        <w:t>Monroe</w:t>
      </w:r>
      <w:r w:rsidR="00CA7F39">
        <w:t xml:space="preserve"> </w:t>
      </w:r>
      <w:r w:rsidR="000A5014">
        <w:t>with the Utah State Tax Commission</w:t>
      </w:r>
      <w:r w:rsidR="0073290E">
        <w:t xml:space="preserve"> and to post this Ordinance in three public places within </w:t>
      </w:r>
      <w:r w:rsidR="00CA7F39">
        <w:t>the City</w:t>
      </w:r>
      <w:r w:rsidR="000A5014">
        <w:t xml:space="preserve">. </w:t>
      </w:r>
    </w:p>
    <w:p w14:paraId="359B0424" w14:textId="77777777" w:rsidR="000A5014" w:rsidRPr="00A10B1A" w:rsidRDefault="000A5014" w:rsidP="00A10B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A8394FC" w14:textId="7C1458B6" w:rsidR="00090281" w:rsidRDefault="00090281">
      <w:r w:rsidRPr="4BD31061">
        <w:rPr>
          <w:u w:val="single"/>
        </w:rPr>
        <w:t xml:space="preserve">Section </w:t>
      </w:r>
      <w:r w:rsidR="00C023B1" w:rsidRPr="4BD31061">
        <w:rPr>
          <w:u w:val="single"/>
        </w:rPr>
        <w:t>I</w:t>
      </w:r>
      <w:r w:rsidR="00A10B1A" w:rsidRPr="4BD31061">
        <w:rPr>
          <w:u w:val="single"/>
        </w:rPr>
        <w:t>II</w:t>
      </w:r>
      <w:r w:rsidRPr="4BD31061">
        <w:rPr>
          <w:u w:val="single"/>
        </w:rPr>
        <w:t>. Effective Date:</w:t>
      </w:r>
      <w:r>
        <w:t xml:space="preserve"> </w:t>
      </w:r>
      <w:r w:rsidR="0073290E">
        <w:t>Pursuant to Utah Code Ann. § 59-12-1402 (5)(b) (2014), t</w:t>
      </w:r>
      <w:r>
        <w:t xml:space="preserve">his </w:t>
      </w:r>
      <w:r w:rsidR="0073290E">
        <w:t xml:space="preserve">enactment and imposition of the </w:t>
      </w:r>
      <w:r w:rsidR="00317313">
        <w:t>RAP</w:t>
      </w:r>
      <w:r w:rsidR="0073290E">
        <w:t xml:space="preserve"> Tax </w:t>
      </w:r>
      <w:r>
        <w:t xml:space="preserve">shall </w:t>
      </w:r>
      <w:r w:rsidR="0073290E">
        <w:t xml:space="preserve">take </w:t>
      </w:r>
      <w:r>
        <w:t>effect</w:t>
      </w:r>
      <w:r w:rsidR="0073290E">
        <w:t xml:space="preserve"> on April 1, 20</w:t>
      </w:r>
      <w:r w:rsidR="09D59683">
        <w:t>25</w:t>
      </w:r>
      <w:r w:rsidR="00317313">
        <w:t>,</w:t>
      </w:r>
      <w:r w:rsidR="004A7B8C">
        <w:t xml:space="preserve"> and shall be levied for a period of </w:t>
      </w:r>
      <w:r w:rsidR="00317313">
        <w:t>eight</w:t>
      </w:r>
      <w:r w:rsidR="004A7B8C">
        <w:t xml:space="preserve"> years from the effective date unless repealed or reauthorized</w:t>
      </w:r>
      <w:r>
        <w:t>.</w:t>
      </w:r>
    </w:p>
    <w:p w14:paraId="0D8270C8" w14:textId="77777777" w:rsidR="00317313" w:rsidRDefault="00317313"/>
    <w:p w14:paraId="6AE2BB36" w14:textId="77777777" w:rsidR="00317313" w:rsidRDefault="00317313" w:rsidP="00317313">
      <w:pPr>
        <w:ind w:firstLine="360"/>
        <w:jc w:val="center"/>
        <w:rPr>
          <w:color w:val="000000"/>
        </w:rPr>
      </w:pPr>
      <w:r>
        <w:rPr>
          <w:color w:val="000000"/>
        </w:rPr>
        <w:t>**Signatures On Next Page**</w:t>
      </w:r>
    </w:p>
    <w:p w14:paraId="47F4ED5C" w14:textId="77777777" w:rsidR="00317313" w:rsidRDefault="00317313"/>
    <w:p w14:paraId="003DC336" w14:textId="77777777" w:rsidR="00317313" w:rsidRDefault="00317313" w:rsidP="00A10B1A">
      <w:pPr>
        <w:widowControl w:val="0"/>
        <w:autoSpaceDE w:val="0"/>
        <w:autoSpaceDN w:val="0"/>
        <w:adjustRightInd w:val="0"/>
        <w:ind w:firstLine="720"/>
      </w:pPr>
    </w:p>
    <w:p w14:paraId="4F323903" w14:textId="77777777" w:rsidR="00317313" w:rsidRDefault="00317313" w:rsidP="00A10B1A">
      <w:pPr>
        <w:widowControl w:val="0"/>
        <w:autoSpaceDE w:val="0"/>
        <w:autoSpaceDN w:val="0"/>
        <w:adjustRightInd w:val="0"/>
        <w:ind w:firstLine="720"/>
      </w:pPr>
    </w:p>
    <w:p w14:paraId="314C9F15" w14:textId="77777777" w:rsidR="00317313" w:rsidRDefault="00317313" w:rsidP="00A10B1A">
      <w:pPr>
        <w:widowControl w:val="0"/>
        <w:autoSpaceDE w:val="0"/>
        <w:autoSpaceDN w:val="0"/>
        <w:adjustRightInd w:val="0"/>
        <w:ind w:firstLine="720"/>
      </w:pPr>
    </w:p>
    <w:p w14:paraId="6AF86A4D" w14:textId="77777777" w:rsidR="00317313" w:rsidRDefault="00317313" w:rsidP="00317313">
      <w:pPr>
        <w:widowControl w:val="0"/>
        <w:autoSpaceDE w:val="0"/>
        <w:autoSpaceDN w:val="0"/>
        <w:adjustRightInd w:val="0"/>
      </w:pPr>
    </w:p>
    <w:p w14:paraId="11062941" w14:textId="77777777" w:rsidR="00317313" w:rsidRDefault="00317313" w:rsidP="00A10B1A">
      <w:pPr>
        <w:widowControl w:val="0"/>
        <w:autoSpaceDE w:val="0"/>
        <w:autoSpaceDN w:val="0"/>
        <w:adjustRightInd w:val="0"/>
        <w:ind w:firstLine="720"/>
      </w:pPr>
    </w:p>
    <w:p w14:paraId="14F75207" w14:textId="55B9074B" w:rsidR="00A10B1A" w:rsidRPr="00317313" w:rsidRDefault="00A10B1A" w:rsidP="00A10B1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317313">
        <w:rPr>
          <w:b/>
          <w:bCs/>
          <w:sz w:val="28"/>
          <w:szCs w:val="28"/>
        </w:rPr>
        <w:t>Passed and adopted by the City Council</w:t>
      </w:r>
      <w:r w:rsidR="00317313">
        <w:rPr>
          <w:b/>
          <w:bCs/>
          <w:sz w:val="28"/>
          <w:szCs w:val="28"/>
        </w:rPr>
        <w:t xml:space="preserve">, this </w:t>
      </w:r>
      <w:r w:rsidR="00317313" w:rsidRPr="00317313">
        <w:rPr>
          <w:b/>
          <w:bCs/>
          <w:sz w:val="28"/>
          <w:szCs w:val="28"/>
        </w:rPr>
        <w:t>9</w:t>
      </w:r>
      <w:r w:rsidRPr="00317313">
        <w:rPr>
          <w:b/>
          <w:bCs/>
          <w:sz w:val="28"/>
          <w:szCs w:val="28"/>
          <w:vertAlign w:val="superscript"/>
        </w:rPr>
        <w:t>th</w:t>
      </w:r>
      <w:r w:rsidRPr="00317313">
        <w:rPr>
          <w:b/>
          <w:bCs/>
          <w:sz w:val="28"/>
          <w:szCs w:val="28"/>
        </w:rPr>
        <w:t xml:space="preserve"> day of</w:t>
      </w:r>
      <w:r w:rsidR="00317313" w:rsidRPr="00317313">
        <w:rPr>
          <w:b/>
          <w:bCs/>
          <w:sz w:val="28"/>
          <w:szCs w:val="28"/>
        </w:rPr>
        <w:t xml:space="preserve"> December 2025</w:t>
      </w:r>
      <w:r w:rsidRPr="00317313">
        <w:rPr>
          <w:b/>
          <w:bCs/>
          <w:sz w:val="28"/>
          <w:szCs w:val="28"/>
        </w:rPr>
        <w:t>.</w:t>
      </w:r>
    </w:p>
    <w:p w14:paraId="6F129F25" w14:textId="77777777" w:rsidR="00090281" w:rsidRPr="00317313" w:rsidRDefault="00090281">
      <w:pPr>
        <w:rPr>
          <w:b/>
          <w:bCs/>
          <w:sz w:val="28"/>
          <w:szCs w:val="28"/>
        </w:rPr>
      </w:pPr>
    </w:p>
    <w:p w14:paraId="38704F05" w14:textId="77777777" w:rsidR="00090281" w:rsidRDefault="00090281"/>
    <w:p w14:paraId="479440F7" w14:textId="77777777" w:rsidR="00090281" w:rsidRDefault="00090281"/>
    <w:p w14:paraId="1D8D2EE1" w14:textId="6F4A1EB7" w:rsidR="00090281" w:rsidRDefault="00090281">
      <w:r>
        <w:tab/>
      </w:r>
      <w:r>
        <w:tab/>
      </w:r>
      <w:r>
        <w:tab/>
      </w:r>
      <w:r>
        <w:tab/>
      </w:r>
      <w:r>
        <w:tab/>
      </w:r>
      <w:r>
        <w:tab/>
      </w:r>
      <w:r w:rsidR="00317313">
        <w:t xml:space="preserve">MONROE </w:t>
      </w:r>
      <w:r>
        <w:t>CITY CORPORATION</w:t>
      </w:r>
    </w:p>
    <w:p w14:paraId="4C4C3DD6" w14:textId="77777777" w:rsidR="00090281" w:rsidRDefault="00090281"/>
    <w:p w14:paraId="23ED1B40" w14:textId="77777777" w:rsidR="00B758C2" w:rsidRDefault="00B758C2"/>
    <w:p w14:paraId="5A3B3E4A" w14:textId="77777777" w:rsidR="00090281" w:rsidRDefault="00090281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2DD18722" w14:textId="450FF7EB" w:rsidR="00090281" w:rsidRDefault="00090281">
      <w:r>
        <w:tab/>
      </w:r>
      <w:r>
        <w:tab/>
      </w:r>
      <w:r>
        <w:tab/>
      </w:r>
      <w:r>
        <w:tab/>
      </w:r>
      <w:r>
        <w:tab/>
      </w:r>
      <w:r>
        <w:tab/>
      </w:r>
      <w:r w:rsidR="00317313">
        <w:t>Johnny C. Parsons</w:t>
      </w:r>
      <w:r>
        <w:t>, Mayor</w:t>
      </w:r>
      <w:r w:rsidR="003D78AC">
        <w:t xml:space="preserve"> </w:t>
      </w:r>
    </w:p>
    <w:p w14:paraId="5A39EC8E" w14:textId="77777777" w:rsidR="00090281" w:rsidRDefault="00090281"/>
    <w:p w14:paraId="7B34EF2E" w14:textId="77777777" w:rsidR="00090281" w:rsidRDefault="00090281"/>
    <w:p w14:paraId="38C8B19F" w14:textId="77777777" w:rsidR="00090281" w:rsidRDefault="00090281">
      <w:r>
        <w:t>ATTEST</w:t>
      </w:r>
    </w:p>
    <w:p w14:paraId="0652E89F" w14:textId="77777777" w:rsidR="00090281" w:rsidRDefault="00090281"/>
    <w:p w14:paraId="35B2D6A8" w14:textId="77777777" w:rsidR="00B758C2" w:rsidRDefault="00B758C2"/>
    <w:p w14:paraId="28E1BC08" w14:textId="77777777" w:rsidR="00090281" w:rsidRDefault="00090281">
      <w:r>
        <w:t>_________________________________</w:t>
      </w:r>
    </w:p>
    <w:p w14:paraId="76F73FF1" w14:textId="39E70672" w:rsidR="00090281" w:rsidRDefault="00317313">
      <w:r>
        <w:t>Allison Leavitt,</w:t>
      </w:r>
      <w:r w:rsidR="008C6D0D">
        <w:t xml:space="preserve"> </w:t>
      </w:r>
      <w:r w:rsidR="00206A19">
        <w:t>City Recorder</w:t>
      </w:r>
    </w:p>
    <w:p w14:paraId="065CF3DF" w14:textId="77777777" w:rsidR="00090281" w:rsidRDefault="00090281"/>
    <w:p w14:paraId="3704541B" w14:textId="77777777" w:rsidR="00090281" w:rsidRDefault="00090281"/>
    <w:p w14:paraId="3C1B5C16" w14:textId="77777777" w:rsidR="00090281" w:rsidRDefault="00090281"/>
    <w:p w14:paraId="00A88E64" w14:textId="77777777" w:rsidR="00090281" w:rsidRDefault="00090281"/>
    <w:p w14:paraId="0F225EBF" w14:textId="77777777" w:rsidR="00317313" w:rsidRDefault="00317313" w:rsidP="00317313">
      <w:pPr>
        <w:tabs>
          <w:tab w:val="right" w:pos="3639"/>
        </w:tabs>
        <w:jc w:val="both"/>
      </w:pPr>
      <w:r>
        <w:t>City Council Vote as Recorded:</w:t>
      </w:r>
    </w:p>
    <w:p w14:paraId="3499806E" w14:textId="77777777" w:rsidR="00317313" w:rsidRDefault="00317313" w:rsidP="00317313">
      <w:pPr>
        <w:tabs>
          <w:tab w:val="right" w:pos="3639"/>
        </w:tabs>
        <w:jc w:val="both"/>
      </w:pP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16"/>
        <w:gridCol w:w="736"/>
        <w:gridCol w:w="1260"/>
        <w:gridCol w:w="1170"/>
      </w:tblGrid>
      <w:tr w:rsidR="00317313" w14:paraId="6BE33FB9" w14:textId="77777777" w:rsidTr="007B7084">
        <w:tc>
          <w:tcPr>
            <w:tcW w:w="2689" w:type="dxa"/>
          </w:tcPr>
          <w:p w14:paraId="7FE0DAE4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Councilmember</w:t>
            </w:r>
          </w:p>
        </w:tc>
        <w:tc>
          <w:tcPr>
            <w:tcW w:w="816" w:type="dxa"/>
          </w:tcPr>
          <w:p w14:paraId="703A6259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AYE</w:t>
            </w:r>
          </w:p>
        </w:tc>
        <w:tc>
          <w:tcPr>
            <w:tcW w:w="720" w:type="dxa"/>
          </w:tcPr>
          <w:p w14:paraId="0ADBE48D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</w:t>
            </w:r>
          </w:p>
        </w:tc>
        <w:tc>
          <w:tcPr>
            <w:tcW w:w="1260" w:type="dxa"/>
          </w:tcPr>
          <w:p w14:paraId="30DB9E36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ABSTAIN</w:t>
            </w:r>
          </w:p>
        </w:tc>
        <w:tc>
          <w:tcPr>
            <w:tcW w:w="1170" w:type="dxa"/>
          </w:tcPr>
          <w:p w14:paraId="74513ECD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317313" w14:paraId="4DFB5394" w14:textId="77777777" w:rsidTr="007B7084">
        <w:tc>
          <w:tcPr>
            <w:tcW w:w="2689" w:type="dxa"/>
          </w:tcPr>
          <w:p w14:paraId="081082CA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 CARTWRIGHT</w:t>
            </w:r>
          </w:p>
        </w:tc>
        <w:tc>
          <w:tcPr>
            <w:tcW w:w="816" w:type="dxa"/>
          </w:tcPr>
          <w:p w14:paraId="7C76261E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BA14994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5909632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6DED76E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17313" w14:paraId="09EBE008" w14:textId="77777777" w:rsidTr="007B7084">
        <w:tc>
          <w:tcPr>
            <w:tcW w:w="2689" w:type="dxa"/>
          </w:tcPr>
          <w:p w14:paraId="3DC22C95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JOHNSON</w:t>
            </w:r>
          </w:p>
        </w:tc>
        <w:tc>
          <w:tcPr>
            <w:tcW w:w="816" w:type="dxa"/>
          </w:tcPr>
          <w:p w14:paraId="5D352579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AEB6886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415C728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2860148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17313" w14:paraId="117F0D31" w14:textId="77777777" w:rsidTr="007B7084">
        <w:tc>
          <w:tcPr>
            <w:tcW w:w="2689" w:type="dxa"/>
          </w:tcPr>
          <w:p w14:paraId="38FE4136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MATHIE</w:t>
            </w:r>
          </w:p>
        </w:tc>
        <w:tc>
          <w:tcPr>
            <w:tcW w:w="816" w:type="dxa"/>
          </w:tcPr>
          <w:p w14:paraId="0D189833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3939F5E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1558D86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A23263E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17313" w14:paraId="2B79FAA0" w14:textId="77777777" w:rsidTr="007B7084">
        <w:tc>
          <w:tcPr>
            <w:tcW w:w="2689" w:type="dxa"/>
          </w:tcPr>
          <w:p w14:paraId="5229BD28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PERRY PAYNE</w:t>
            </w:r>
          </w:p>
        </w:tc>
        <w:tc>
          <w:tcPr>
            <w:tcW w:w="816" w:type="dxa"/>
          </w:tcPr>
          <w:p w14:paraId="264A95C1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65FC803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388C5B9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116319B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17313" w14:paraId="492E97A7" w14:textId="77777777" w:rsidTr="007B7084">
        <w:tc>
          <w:tcPr>
            <w:tcW w:w="2689" w:type="dxa"/>
          </w:tcPr>
          <w:p w14:paraId="01909483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ERICA SIRRINE</w:t>
            </w:r>
          </w:p>
        </w:tc>
        <w:tc>
          <w:tcPr>
            <w:tcW w:w="816" w:type="dxa"/>
          </w:tcPr>
          <w:p w14:paraId="229E048A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320D649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DC97DAF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5E76585" w14:textId="77777777" w:rsidR="00317313" w:rsidRDefault="00317313" w:rsidP="007B7084">
            <w:pPr>
              <w:tabs>
                <w:tab w:val="right" w:pos="363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6B3000" w14:textId="77777777" w:rsidR="00090281" w:rsidRDefault="00090281"/>
    <w:sectPr w:rsidR="00090281" w:rsidSect="00317313">
      <w:footerReference w:type="default" r:id="rId6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9728" w14:textId="77777777" w:rsidR="00317313" w:rsidRDefault="00317313" w:rsidP="00317313">
      <w:r>
        <w:separator/>
      </w:r>
    </w:p>
  </w:endnote>
  <w:endnote w:type="continuationSeparator" w:id="0">
    <w:p w14:paraId="454FE84F" w14:textId="77777777" w:rsidR="00317313" w:rsidRDefault="00317313" w:rsidP="0031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924821"/>
      <w:docPartObj>
        <w:docPartGallery w:val="Page Numbers (Bottom of Page)"/>
        <w:docPartUnique/>
      </w:docPartObj>
    </w:sdtPr>
    <w:sdtContent>
      <w:sdt>
        <w:sdtPr>
          <w:rPr>
            <w:color w:val="747474" w:themeColor="background2" w:themeShade="8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06C2D7F9" w14:textId="7CBB65D7" w:rsidR="00317313" w:rsidRPr="00317313" w:rsidRDefault="00317313" w:rsidP="00317313">
            <w:pPr>
              <w:pStyle w:val="Footer"/>
              <w:rPr>
                <w:color w:val="747474" w:themeColor="background2" w:themeShade="80"/>
              </w:rPr>
            </w:pPr>
            <w:r w:rsidRPr="00317313">
              <w:rPr>
                <w:color w:val="747474" w:themeColor="background2" w:themeShade="80"/>
              </w:rPr>
              <w:t>Ordinance 12 01 2025</w:t>
            </w:r>
          </w:p>
          <w:p w14:paraId="36BAF08E" w14:textId="677752A2" w:rsidR="00317313" w:rsidRDefault="00317313" w:rsidP="00317313">
            <w:pPr>
              <w:pStyle w:val="Footer"/>
            </w:pPr>
            <w:r w:rsidRPr="00317313">
              <w:rPr>
                <w:color w:val="747474" w:themeColor="background2" w:themeShade="80"/>
              </w:rPr>
              <w:t>Monroe City RAP tax adoption</w:t>
            </w:r>
          </w:p>
          <w:p w14:paraId="772F0626" w14:textId="4ED61A7C" w:rsidR="00317313" w:rsidRDefault="0031731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F4A61D" w14:textId="77777777" w:rsidR="00317313" w:rsidRDefault="00317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427E" w14:textId="77777777" w:rsidR="00317313" w:rsidRDefault="00317313" w:rsidP="00317313">
      <w:r>
        <w:separator/>
      </w:r>
    </w:p>
  </w:footnote>
  <w:footnote w:type="continuationSeparator" w:id="0">
    <w:p w14:paraId="7CAA44CE" w14:textId="77777777" w:rsidR="00317313" w:rsidRDefault="00317313" w:rsidP="0031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62"/>
    <w:rsid w:val="00002361"/>
    <w:rsid w:val="0000280E"/>
    <w:rsid w:val="00014AF9"/>
    <w:rsid w:val="00017DDB"/>
    <w:rsid w:val="00027813"/>
    <w:rsid w:val="00090281"/>
    <w:rsid w:val="000A5014"/>
    <w:rsid w:val="000D1223"/>
    <w:rsid w:val="000D6BB7"/>
    <w:rsid w:val="000F74CE"/>
    <w:rsid w:val="001018A6"/>
    <w:rsid w:val="00105D16"/>
    <w:rsid w:val="001231EF"/>
    <w:rsid w:val="00146BB0"/>
    <w:rsid w:val="00147CF6"/>
    <w:rsid w:val="001527C5"/>
    <w:rsid w:val="001609B8"/>
    <w:rsid w:val="00184BEB"/>
    <w:rsid w:val="001A79CE"/>
    <w:rsid w:val="001C1871"/>
    <w:rsid w:val="001F5963"/>
    <w:rsid w:val="001F7890"/>
    <w:rsid w:val="00206A19"/>
    <w:rsid w:val="00251209"/>
    <w:rsid w:val="00251C13"/>
    <w:rsid w:val="0027427B"/>
    <w:rsid w:val="0028554E"/>
    <w:rsid w:val="00317313"/>
    <w:rsid w:val="00334EF0"/>
    <w:rsid w:val="0034347F"/>
    <w:rsid w:val="00371E79"/>
    <w:rsid w:val="00376F49"/>
    <w:rsid w:val="003974EE"/>
    <w:rsid w:val="003D6703"/>
    <w:rsid w:val="003D78AC"/>
    <w:rsid w:val="003E17F2"/>
    <w:rsid w:val="003F0769"/>
    <w:rsid w:val="00422B11"/>
    <w:rsid w:val="00462140"/>
    <w:rsid w:val="00484B85"/>
    <w:rsid w:val="004870E6"/>
    <w:rsid w:val="004A0D37"/>
    <w:rsid w:val="004A2676"/>
    <w:rsid w:val="004A7B8C"/>
    <w:rsid w:val="004C0760"/>
    <w:rsid w:val="004E4A3F"/>
    <w:rsid w:val="004F0895"/>
    <w:rsid w:val="00515562"/>
    <w:rsid w:val="00533A65"/>
    <w:rsid w:val="00537C79"/>
    <w:rsid w:val="00577F0E"/>
    <w:rsid w:val="005948BD"/>
    <w:rsid w:val="00611CA0"/>
    <w:rsid w:val="00617F5F"/>
    <w:rsid w:val="006406F3"/>
    <w:rsid w:val="00642261"/>
    <w:rsid w:val="006A59C5"/>
    <w:rsid w:val="006B22B0"/>
    <w:rsid w:val="00710CE4"/>
    <w:rsid w:val="0073290E"/>
    <w:rsid w:val="00782C01"/>
    <w:rsid w:val="00791B01"/>
    <w:rsid w:val="007E42B1"/>
    <w:rsid w:val="00803E80"/>
    <w:rsid w:val="00804A22"/>
    <w:rsid w:val="008767B5"/>
    <w:rsid w:val="008821D5"/>
    <w:rsid w:val="00890211"/>
    <w:rsid w:val="008C6D0D"/>
    <w:rsid w:val="008D1DEF"/>
    <w:rsid w:val="009E23FA"/>
    <w:rsid w:val="009F699F"/>
    <w:rsid w:val="00A04311"/>
    <w:rsid w:val="00A10B1A"/>
    <w:rsid w:val="00A52F09"/>
    <w:rsid w:val="00A53775"/>
    <w:rsid w:val="00A97166"/>
    <w:rsid w:val="00AA599A"/>
    <w:rsid w:val="00AE320B"/>
    <w:rsid w:val="00AF0539"/>
    <w:rsid w:val="00AF6C93"/>
    <w:rsid w:val="00B2619A"/>
    <w:rsid w:val="00B53826"/>
    <w:rsid w:val="00B53F24"/>
    <w:rsid w:val="00B54085"/>
    <w:rsid w:val="00B758C2"/>
    <w:rsid w:val="00BB111C"/>
    <w:rsid w:val="00BE07D0"/>
    <w:rsid w:val="00BE7C52"/>
    <w:rsid w:val="00BF0EA8"/>
    <w:rsid w:val="00C023B1"/>
    <w:rsid w:val="00C03212"/>
    <w:rsid w:val="00C07B33"/>
    <w:rsid w:val="00C12FC9"/>
    <w:rsid w:val="00C137FA"/>
    <w:rsid w:val="00C224AD"/>
    <w:rsid w:val="00C22D02"/>
    <w:rsid w:val="00C255E3"/>
    <w:rsid w:val="00C5717F"/>
    <w:rsid w:val="00C63F30"/>
    <w:rsid w:val="00CA7F39"/>
    <w:rsid w:val="00CC622D"/>
    <w:rsid w:val="00CF57E5"/>
    <w:rsid w:val="00D15EBB"/>
    <w:rsid w:val="00D23043"/>
    <w:rsid w:val="00D5062B"/>
    <w:rsid w:val="00D55CE3"/>
    <w:rsid w:val="00D57844"/>
    <w:rsid w:val="00D651B6"/>
    <w:rsid w:val="00D65794"/>
    <w:rsid w:val="00DA11A4"/>
    <w:rsid w:val="00DB68B7"/>
    <w:rsid w:val="00DF5618"/>
    <w:rsid w:val="00E37E64"/>
    <w:rsid w:val="00E652F5"/>
    <w:rsid w:val="00E71C55"/>
    <w:rsid w:val="00E87494"/>
    <w:rsid w:val="00ED6503"/>
    <w:rsid w:val="00EE0EFE"/>
    <w:rsid w:val="00EF6949"/>
    <w:rsid w:val="00EF7866"/>
    <w:rsid w:val="00F2151F"/>
    <w:rsid w:val="00F30D7A"/>
    <w:rsid w:val="00F66262"/>
    <w:rsid w:val="00F84562"/>
    <w:rsid w:val="00FA6E49"/>
    <w:rsid w:val="00FA7C33"/>
    <w:rsid w:val="00FE44A9"/>
    <w:rsid w:val="00FE75E1"/>
    <w:rsid w:val="00FF7862"/>
    <w:rsid w:val="09D59683"/>
    <w:rsid w:val="0DE5D7DD"/>
    <w:rsid w:val="18954BA2"/>
    <w:rsid w:val="285C7428"/>
    <w:rsid w:val="2E2D879D"/>
    <w:rsid w:val="2E391E86"/>
    <w:rsid w:val="37EA8944"/>
    <w:rsid w:val="3DEE0E82"/>
    <w:rsid w:val="4BD31061"/>
    <w:rsid w:val="4E3184BA"/>
    <w:rsid w:val="5D2E6AB5"/>
    <w:rsid w:val="6F27C49B"/>
    <w:rsid w:val="74879319"/>
    <w:rsid w:val="7CB68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9F96E"/>
  <w15:chartTrackingRefBased/>
  <w15:docId w15:val="{37C562D4-422F-4691-B657-EF6F7647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4F089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855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5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554E"/>
  </w:style>
  <w:style w:type="paragraph" w:styleId="CommentSubject">
    <w:name w:val="annotation subject"/>
    <w:basedOn w:val="CommentText"/>
    <w:next w:val="CommentText"/>
    <w:link w:val="CommentSubjectChar"/>
    <w:rsid w:val="0028554E"/>
    <w:rPr>
      <w:b/>
      <w:bCs/>
    </w:rPr>
  </w:style>
  <w:style w:type="character" w:customStyle="1" w:styleId="CommentSubjectChar">
    <w:name w:val="Comment Subject Char"/>
    <w:link w:val="CommentSubject"/>
    <w:rsid w:val="0028554E"/>
    <w:rPr>
      <w:b/>
      <w:bCs/>
    </w:rPr>
  </w:style>
  <w:style w:type="paragraph" w:styleId="Header">
    <w:name w:val="header"/>
    <w:basedOn w:val="Normal"/>
    <w:link w:val="HeaderChar"/>
    <w:rsid w:val="00317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73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7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13"/>
    <w:rPr>
      <w:sz w:val="24"/>
      <w:szCs w:val="24"/>
    </w:rPr>
  </w:style>
  <w:style w:type="table" w:styleId="TableGrid">
    <w:name w:val="Table Grid"/>
    <w:basedOn w:val="TableNormal"/>
    <w:uiPriority w:val="39"/>
    <w:rsid w:val="00317313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472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CLEARFIELD CITY ORDINANCE 02-06</vt:lpstr>
    </vt:vector>
  </TitlesOfParts>
  <Company>Clearfield City Corporation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CLEARFIELD CITY ORDINANCE 02-06</dc:title>
  <dc:subject/>
  <dc:creator>Clearfield City</dc:creator>
  <cp:keywords/>
  <cp:lastModifiedBy>Allison</cp:lastModifiedBy>
  <cp:revision>3</cp:revision>
  <cp:lastPrinted>2025-11-20T19:15:00Z</cp:lastPrinted>
  <dcterms:created xsi:type="dcterms:W3CDTF">2025-11-20T19:15:00Z</dcterms:created>
  <dcterms:modified xsi:type="dcterms:W3CDTF">2025-11-20T19:29:00Z</dcterms:modified>
</cp:coreProperties>
</file>