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7D" w:rsidRPr="00B3637D" w:rsidRDefault="00B3637D" w:rsidP="00B3637D">
      <w:pPr>
        <w:rPr>
          <w:rFonts w:ascii="Times New Roman" w:hAnsi="Times New Roman" w:cs="Times New Roman"/>
          <w:b/>
          <w:sz w:val="24"/>
          <w:szCs w:val="24"/>
        </w:rPr>
      </w:pPr>
      <w:r w:rsidRPr="00B3637D">
        <w:rPr>
          <w:rFonts w:ascii="Times New Roman" w:hAnsi="Times New Roman" w:cs="Times New Roman"/>
          <w:b/>
          <w:sz w:val="24"/>
          <w:szCs w:val="24"/>
        </w:rPr>
        <w:t>Final Report, LAND Trust Plan and Expenditures, 2024-25</w:t>
      </w:r>
    </w:p>
    <w:p w:rsidR="00B3637D" w:rsidRPr="00B3637D" w:rsidRDefault="00B3637D" w:rsidP="00B3637D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637D">
        <w:rPr>
          <w:rFonts w:ascii="Times New Roman" w:hAnsi="Times New Roman" w:cs="Times New Roman"/>
          <w:sz w:val="24"/>
          <w:szCs w:val="24"/>
        </w:rPr>
        <w:t xml:space="preserve">During the 2024–2025 school year, the school’s </w:t>
      </w:r>
      <w:proofErr w:type="spellStart"/>
      <w:r w:rsidRPr="00B3637D">
        <w:rPr>
          <w:rFonts w:ascii="Times New Roman" w:hAnsi="Times New Roman" w:cs="Times New Roman"/>
          <w:sz w:val="24"/>
          <w:szCs w:val="24"/>
        </w:rPr>
        <w:t>Trustlands</w:t>
      </w:r>
      <w:proofErr w:type="spellEnd"/>
      <w:r w:rsidRPr="00B3637D">
        <w:rPr>
          <w:rFonts w:ascii="Times New Roman" w:hAnsi="Times New Roman" w:cs="Times New Roman"/>
          <w:sz w:val="24"/>
          <w:szCs w:val="24"/>
        </w:rPr>
        <w:t xml:space="preserve"> funds were used to support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academic growth and provide targeted interventions to help students reach grade-level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proficiency. A total of $47,448.56 was spent from the fund to cover salaries and benefits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for an intervention teacher, who provided small-group and individualized instruction in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reading and math. This position allowed us to continue offering consistent intervention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time and targeted academic support to students throughout the year.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This year, we transitioned to using IXL as our primary program for collecting and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tracking student data in both reading and math. Because of this change, we adapted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our goals to focus on student growth rather than overall proficiency. The 2024–2025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school year served as our baseline year for future comparisons and goal-setting.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By the end of the year, 17% of students in English Language Arts (ELA) increased by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one grade level, and 13% advanced by two or more grade levels. In mathematics, 23%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of students improved by one grade level, while 3% demonstrated growth of two or more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grade levels.</w:t>
      </w:r>
    </w:p>
    <w:p w:rsidR="00B3637D" w:rsidRPr="00B3637D" w:rsidRDefault="00B3637D" w:rsidP="00B363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These results provide a strong starting point for measuring continued progress. Moving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forward, our goal for the 2025–2026 school year is to increase these percentages by</w:t>
      </w:r>
    </w:p>
    <w:p w:rsidR="00B3637D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10% through ongoing intervention support, effective use of IXL data, and continued</w:t>
      </w:r>
    </w:p>
    <w:p w:rsidR="007803F8" w:rsidRPr="00B3637D" w:rsidRDefault="00B3637D" w:rsidP="00B3637D">
      <w:pPr>
        <w:rPr>
          <w:rFonts w:ascii="Times New Roman" w:hAnsi="Times New Roman" w:cs="Times New Roman"/>
          <w:sz w:val="24"/>
          <w:szCs w:val="24"/>
        </w:rPr>
      </w:pPr>
      <w:r w:rsidRPr="00B3637D">
        <w:rPr>
          <w:rFonts w:ascii="Times New Roman" w:hAnsi="Times New Roman" w:cs="Times New Roman"/>
          <w:sz w:val="24"/>
          <w:szCs w:val="24"/>
        </w:rPr>
        <w:t>focus on individualized student growth.</w:t>
      </w:r>
      <w:bookmarkEnd w:id="0"/>
    </w:p>
    <w:sectPr w:rsidR="007803F8" w:rsidRPr="00B3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7D"/>
    <w:rsid w:val="007803F8"/>
    <w:rsid w:val="00B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8C20"/>
  <w15:chartTrackingRefBased/>
  <w15:docId w15:val="{002B7B69-28DD-48BB-AC34-77D0DD79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Luck</dc:creator>
  <cp:keywords/>
  <dc:description/>
  <cp:lastModifiedBy>Brittany Luck</cp:lastModifiedBy>
  <cp:revision>1</cp:revision>
  <dcterms:created xsi:type="dcterms:W3CDTF">2025-11-14T18:41:00Z</dcterms:created>
  <dcterms:modified xsi:type="dcterms:W3CDTF">2025-11-14T18:42:00Z</dcterms:modified>
</cp:coreProperties>
</file>