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05A9" w14:textId="1D02C682" w:rsidR="00AB75CD" w:rsidRPr="00AB75CD" w:rsidRDefault="00AB75CD" w:rsidP="00AB75CD">
      <w:pPr>
        <w:spacing w:before="100" w:beforeAutospacing="1" w:after="100" w:afterAutospacing="1"/>
        <w:jc w:val="center"/>
        <w:outlineLvl w:val="0"/>
        <w:rPr>
          <w:rFonts w:ascii="Helvetica" w:eastAsia="Times New Roman" w:hAnsi="Helvetica" w:cs="Times New Roman"/>
          <w:kern w:val="36"/>
          <w:sz w:val="32"/>
          <w:szCs w:val="32"/>
        </w:rPr>
      </w:pPr>
      <w:r>
        <w:rPr>
          <w:rFonts w:ascii="Helvetica" w:eastAsia="Times New Roman" w:hAnsi="Helvetica" w:cs="Times New Roman"/>
          <w:kern w:val="36"/>
          <w:sz w:val="32"/>
          <w:szCs w:val="32"/>
        </w:rPr>
        <w:t>Altris Energy &amp; TUID</w:t>
      </w:r>
      <w:r w:rsidRPr="00AB75CD">
        <w:rPr>
          <w:rFonts w:ascii="Helvetica" w:eastAsia="Times New Roman" w:hAnsi="Helvetica" w:cs="Times New Roman"/>
          <w:kern w:val="36"/>
          <w:sz w:val="32"/>
          <w:szCs w:val="32"/>
        </w:rPr>
        <w:t xml:space="preserve"> Term Sheet (Draft)</w:t>
      </w:r>
    </w:p>
    <w:p w14:paraId="55231DB4" w14:textId="77777777" w:rsidR="00AB75CD" w:rsidRPr="00AB75CD" w:rsidRDefault="00AB75CD" w:rsidP="00AB75CD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Parties</w:t>
      </w:r>
    </w:p>
    <w:p w14:paraId="3F375F3A" w14:textId="77777777" w:rsidR="00AB75CD" w:rsidRPr="00AB75CD" w:rsidRDefault="00AB75CD" w:rsidP="00AB75CD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Vendor: Altris Energy, LLC (“Altris” / “Vendor”) — 86 W 1100 S, Farmington, UT 84025</w:t>
      </w:r>
    </w:p>
    <w:p w14:paraId="4A4D0FEF" w14:textId="77777777" w:rsidR="00AB75CD" w:rsidRPr="00AB75CD" w:rsidRDefault="00AB75CD" w:rsidP="00AB75CD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Company: Ticaboo Utility Improvement District (“TUID” / “Company”) — Hwy 276 MM 28, Ticaboo, UT 84533</w:t>
      </w:r>
    </w:p>
    <w:p w14:paraId="096911D4" w14:textId="77777777" w:rsidR="00AB75CD" w:rsidRPr="00AB75CD" w:rsidRDefault="00AB75CD" w:rsidP="00AB75CD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Project</w:t>
      </w:r>
    </w:p>
    <w:p w14:paraId="1EDDA8DE" w14:textId="77777777" w:rsidR="00AB75CD" w:rsidRPr="00AB75CD" w:rsidRDefault="00AB75CD" w:rsidP="00AB75CD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Site/Delivery Point: TUID Main Plant, 135 Mesa Dr., Lake Powell, UT 84533</w:t>
      </w:r>
    </w:p>
    <w:p w14:paraId="38A3FEA0" w14:textId="2E5F0EF6" w:rsidR="00AB75CD" w:rsidRPr="00AB75CD" w:rsidRDefault="00AB75CD" w:rsidP="00AB75CD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Equipment/Capacity: ~</w:t>
      </w:r>
      <w:r w:rsidR="008D7BB3">
        <w:rPr>
          <w:rFonts w:ascii="Helvetica" w:eastAsia="Times New Roman" w:hAnsi="Helvetica" w:cs="Times New Roman"/>
        </w:rPr>
        <w:t>53</w:t>
      </w:r>
      <w:r w:rsidRPr="00AB75CD">
        <w:rPr>
          <w:rFonts w:ascii="Helvetica" w:eastAsia="Times New Roman" w:hAnsi="Helvetica" w:cs="Times New Roman"/>
        </w:rPr>
        <w:t>0 kW DC solar PV + 1,750 kWh BESS; all BOS, EMS, cabling, meters.</w:t>
      </w:r>
    </w:p>
    <w:p w14:paraId="066C1FE3" w14:textId="77777777" w:rsidR="00AB75CD" w:rsidRPr="00AB75CD" w:rsidRDefault="00AB75CD" w:rsidP="00AB75CD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 xml:space="preserve">Existing Assets: ~30 kW of Company-owned PV (“Existing Solar”) will be operated/maintained by Altris and counted as Project Energy; generator energy is excluded (see </w:t>
      </w:r>
      <w:proofErr w:type="gramStart"/>
      <w:r w:rsidRPr="00AB75CD">
        <w:rPr>
          <w:rFonts w:ascii="Helvetica" w:eastAsia="Times New Roman" w:hAnsi="Helvetica" w:cs="Times New Roman"/>
        </w:rPr>
        <w:t>Non-Project</w:t>
      </w:r>
      <w:proofErr w:type="gramEnd"/>
      <w:r w:rsidRPr="00AB75CD">
        <w:rPr>
          <w:rFonts w:ascii="Helvetica" w:eastAsia="Times New Roman" w:hAnsi="Helvetica" w:cs="Times New Roman"/>
        </w:rPr>
        <w:t xml:space="preserve"> storage service below).</w:t>
      </w:r>
    </w:p>
    <w:p w14:paraId="7D10002F" w14:textId="77777777" w:rsidR="00AB75CD" w:rsidRPr="00AB75CD" w:rsidRDefault="00AB75CD" w:rsidP="00AB75CD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Expected Annual Output: ≥ 565 MWh (“Output”).</w:t>
      </w:r>
    </w:p>
    <w:p w14:paraId="69E3F82B" w14:textId="77777777" w:rsidR="00AB75CD" w:rsidRPr="00AB75CD" w:rsidRDefault="00AB75CD" w:rsidP="00AB75CD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Term</w:t>
      </w:r>
    </w:p>
    <w:p w14:paraId="69B47571" w14:textId="77777777" w:rsidR="00AB75CD" w:rsidRPr="00AB75CD" w:rsidRDefault="00AB75CD" w:rsidP="00AB75CD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PPA/Services Term: 20 years from Commissioning (“Commission Date”), with mutual 5-year extension options.</w:t>
      </w:r>
    </w:p>
    <w:p w14:paraId="4B0A5880" w14:textId="77777777" w:rsidR="00AB75CD" w:rsidRPr="00AB75CD" w:rsidRDefault="00AB75CD" w:rsidP="00AB75CD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Energy Sale &amp; Pricing</w:t>
      </w:r>
    </w:p>
    <w:p w14:paraId="66F20848" w14:textId="77777777" w:rsidR="00AB75CD" w:rsidRPr="00AB75CD" w:rsidRDefault="00AB75CD" w:rsidP="00AB75CD">
      <w:pPr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Energy + Managed Services Charge: $0.1765/kWh of Energy consumed by Company’s connected customers (“Ratepayers”).</w:t>
      </w:r>
    </w:p>
    <w:p w14:paraId="6E348D91" w14:textId="77777777" w:rsidR="00AB75CD" w:rsidRPr="00AB75CD" w:rsidRDefault="00AB75CD" w:rsidP="00AB75CD">
      <w:pPr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Escalator: 2.0% annually, applied on each Commission Date anniversary.</w:t>
      </w:r>
    </w:p>
    <w:p w14:paraId="7127E497" w14:textId="77777777" w:rsidR="00AB75CD" w:rsidRPr="00AB75CD" w:rsidRDefault="00AB75CD" w:rsidP="00AB75CD">
      <w:pPr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Billing: Invoiced monthly in arrears; Net 30.</w:t>
      </w:r>
    </w:p>
    <w:p w14:paraId="22796ADF" w14:textId="77777777" w:rsidR="00AB75CD" w:rsidRPr="00AB75CD" w:rsidRDefault="00AB75CD" w:rsidP="00AB75CD">
      <w:pPr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Environmental Attributes/RECs: Altris retains all incentives/RECs/green tags; Company will cooperate with registrations and filings.</w:t>
      </w:r>
    </w:p>
    <w:p w14:paraId="2705A3C9" w14:textId="77777777" w:rsidR="00AB75CD" w:rsidRPr="00AB75CD" w:rsidRDefault="00AB75CD" w:rsidP="00AB75CD">
      <w:pPr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Public Reporting: Within 60 days after each Contract Year, Altris provides Company a summary of net GHG reductions/renewable delivery for non-commercial public use (brand use subject to prior written approval).</w:t>
      </w:r>
    </w:p>
    <w:p w14:paraId="1E692765" w14:textId="77777777" w:rsidR="00AB75CD" w:rsidRPr="00AB75CD" w:rsidRDefault="00AB75CD" w:rsidP="00AB75CD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Minimum Annual Purchase / Shortfall</w:t>
      </w:r>
    </w:p>
    <w:p w14:paraId="43190B35" w14:textId="77777777" w:rsidR="00AB75CD" w:rsidRPr="00AB75CD" w:rsidRDefault="00AB75CD" w:rsidP="00AB75CD">
      <w:pPr>
        <w:numPr>
          <w:ilvl w:val="0"/>
          <w:numId w:val="5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Consumption Floor: If annual Consumption &lt; 84% of Output, Company trues up the shortfall at the contract $/kWh.</w:t>
      </w:r>
    </w:p>
    <w:p w14:paraId="32CFCEF7" w14:textId="77777777" w:rsidR="00AB75CD" w:rsidRPr="00AB75CD" w:rsidRDefault="00AB75CD" w:rsidP="00AB75CD">
      <w:pPr>
        <w:numPr>
          <w:ilvl w:val="0"/>
          <w:numId w:val="5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Minimum Annual Payment (for reference): $83,766.90 (= 84% × 565,000 kWh × $0.1765).</w:t>
      </w:r>
    </w:p>
    <w:p w14:paraId="6943A3FB" w14:textId="77777777" w:rsidR="00AB75CD" w:rsidRPr="00AB75CD" w:rsidRDefault="00AB75CD" w:rsidP="00AB75CD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Non-Project “Generator-to-BESS” Storage Service (optional)</w:t>
      </w:r>
    </w:p>
    <w:p w14:paraId="62F6D49C" w14:textId="77777777" w:rsidR="00AB75CD" w:rsidRPr="00AB75CD" w:rsidRDefault="00AB75CD" w:rsidP="00AB75CD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lastRenderedPageBreak/>
        <w:t>Scope: Company may store generator energy in the BESS; no energy sale—storage service only.</w:t>
      </w:r>
    </w:p>
    <w:p w14:paraId="32474B40" w14:textId="77777777" w:rsidR="00AB75CD" w:rsidRPr="00AB75CD" w:rsidRDefault="00AB75CD" w:rsidP="00AB75CD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Dispatch Priorities: Solar-charged energy has priority; prudent SOC reserve maintained.</w:t>
      </w:r>
    </w:p>
    <w:p w14:paraId="741EA346" w14:textId="77777777" w:rsidR="00AB75CD" w:rsidRPr="00AB75CD" w:rsidRDefault="00AB75CD" w:rsidP="00AB75CD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Fees:</w:t>
      </w:r>
    </w:p>
    <w:p w14:paraId="566AAA24" w14:textId="52387D48" w:rsidR="00AB75CD" w:rsidRPr="00AB75CD" w:rsidRDefault="00AB75CD" w:rsidP="00AB75CD">
      <w:pPr>
        <w:numPr>
          <w:ilvl w:val="1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 xml:space="preserve">Throughput Fee: </w:t>
      </w:r>
      <w:r>
        <w:rPr>
          <w:rFonts w:ascii="Helvetica" w:eastAsia="Times New Roman" w:hAnsi="Helvetica" w:cs="Times New Roman"/>
        </w:rPr>
        <w:t>$.</w:t>
      </w:r>
      <w:r w:rsidRPr="00AB75CD">
        <w:rPr>
          <w:rFonts w:ascii="Helvetica" w:eastAsia="Times New Roman" w:hAnsi="Helvetica" w:cs="Times New Roman"/>
        </w:rPr>
        <w:t>1132</w:t>
      </w:r>
      <w:r>
        <w:rPr>
          <w:rFonts w:ascii="Helvetica" w:eastAsia="Times New Roman" w:hAnsi="Helvetica" w:cs="Times New Roman"/>
        </w:rPr>
        <w:t>/</w:t>
      </w:r>
      <w:r w:rsidRPr="00AB75CD">
        <w:rPr>
          <w:rFonts w:ascii="Helvetica" w:eastAsia="Times New Roman" w:hAnsi="Helvetica" w:cs="Times New Roman"/>
        </w:rPr>
        <w:t>kWh applied to G-to-BESS Discharged Energy (net of verified RTE).</w:t>
      </w:r>
    </w:p>
    <w:p w14:paraId="550E0EB4" w14:textId="77777777" w:rsidR="00AB75CD" w:rsidRPr="00AB75CD" w:rsidRDefault="00AB75CD" w:rsidP="00AB75CD">
      <w:pPr>
        <w:numPr>
          <w:ilvl w:val="1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Average Monthly Usage Fee: $905.75/month (based on ~16% battery use).</w:t>
      </w:r>
    </w:p>
    <w:p w14:paraId="1756F140" w14:textId="77777777" w:rsidR="00AB75CD" w:rsidRPr="00AB75CD" w:rsidRDefault="00AB75CD" w:rsidP="00AB75CD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Exclusions: These charges don’t count toward the minimum purchase and aren’t eligible for Energy-Charge service credits.</w:t>
      </w:r>
    </w:p>
    <w:p w14:paraId="7D71E044" w14:textId="77777777" w:rsidR="00AB75CD" w:rsidRPr="00AB75CD" w:rsidRDefault="00AB75CD" w:rsidP="00AB75CD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Settlement: Separately metered and invoiced line items.</w:t>
      </w:r>
    </w:p>
    <w:p w14:paraId="14B57D81" w14:textId="77777777" w:rsidR="00AB75CD" w:rsidRPr="00AB75CD" w:rsidRDefault="00AB75CD" w:rsidP="00AB75CD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Performance &amp; Availability (technology uptime targets, not energy yield guarantees)</w:t>
      </w:r>
    </w:p>
    <w:p w14:paraId="119C6774" w14:textId="77777777" w:rsidR="00AB75CD" w:rsidRPr="00AB75CD" w:rsidRDefault="00AB75CD" w:rsidP="00AB75CD">
      <w:pPr>
        <w:numPr>
          <w:ilvl w:val="0"/>
          <w:numId w:val="7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PV Operational Availability: ≥ 97.0% (Contract-Year avg, Solar-Eligible Intervals ≥200 W/m²).</w:t>
      </w:r>
    </w:p>
    <w:p w14:paraId="38397959" w14:textId="77777777" w:rsidR="00AB75CD" w:rsidRPr="00AB75CD" w:rsidRDefault="00AB75CD" w:rsidP="00AB75CD">
      <w:pPr>
        <w:numPr>
          <w:ilvl w:val="0"/>
          <w:numId w:val="7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BESS Operational Availability: ≥ 95.0% (Contract-Year avg).</w:t>
      </w:r>
    </w:p>
    <w:p w14:paraId="0FF12B9E" w14:textId="77777777" w:rsidR="00AB75CD" w:rsidRPr="00AB75CD" w:rsidRDefault="00AB75CD" w:rsidP="00AB75CD">
      <w:pPr>
        <w:numPr>
          <w:ilvl w:val="0"/>
          <w:numId w:val="7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Credits: If a subsystem falls &gt;1.0 pp below target in a Contract Quarter (after Permitted Exclusions), Company receives 1.5% credit of Energy Charges allocable to that subsystem per full pp shortfall, capped at 7.5% per quarter per subsystem.</w:t>
      </w:r>
    </w:p>
    <w:p w14:paraId="32230F89" w14:textId="77777777" w:rsidR="00AB75CD" w:rsidRPr="00AB75CD" w:rsidRDefault="00AB75CD" w:rsidP="00AB75CD">
      <w:pPr>
        <w:numPr>
          <w:ilvl w:val="0"/>
          <w:numId w:val="7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 xml:space="preserve">Chronic Under-performance: Two consecutive quarters ≥5 pp below target </w:t>
      </w:r>
      <w:r w:rsidRPr="00AB75CD">
        <w:rPr>
          <w:rFonts w:ascii="Times New Roman" w:eastAsia="Times New Roman" w:hAnsi="Times New Roman" w:cs="Times New Roman"/>
        </w:rPr>
        <w:t>→</w:t>
      </w:r>
      <w:r w:rsidRPr="00AB75CD">
        <w:rPr>
          <w:rFonts w:ascii="Helvetica" w:eastAsia="Times New Roman" w:hAnsi="Helvetica" w:cs="Times New Roman"/>
        </w:rPr>
        <w:t xml:space="preserve"> Corrective Action Plan; if persists two additional consecutive quarters </w:t>
      </w:r>
      <w:r w:rsidRPr="00AB75CD">
        <w:rPr>
          <w:rFonts w:ascii="Times New Roman" w:eastAsia="Times New Roman" w:hAnsi="Times New Roman" w:cs="Times New Roman"/>
        </w:rPr>
        <w:t>→</w:t>
      </w:r>
      <w:r w:rsidRPr="00AB75CD">
        <w:rPr>
          <w:rFonts w:ascii="Helvetica" w:eastAsia="Times New Roman" w:hAnsi="Helvetica" w:cs="Times New Roman"/>
        </w:rPr>
        <w:t xml:space="preserve"> Company may declare Vendor Default (with notice &amp; cure).</w:t>
      </w:r>
    </w:p>
    <w:p w14:paraId="0617CB06" w14:textId="77777777" w:rsidR="00AB75CD" w:rsidRPr="00AB75CD" w:rsidRDefault="00AB75CD" w:rsidP="00AB75CD">
      <w:pPr>
        <w:numPr>
          <w:ilvl w:val="0"/>
          <w:numId w:val="7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 xml:space="preserve">Response Times (unplanned tech outages): acknowledge ≤1 </w:t>
      </w:r>
      <w:proofErr w:type="spellStart"/>
      <w:r w:rsidRPr="00AB75CD">
        <w:rPr>
          <w:rFonts w:ascii="Helvetica" w:eastAsia="Times New Roman" w:hAnsi="Helvetica" w:cs="Times New Roman"/>
        </w:rPr>
        <w:t>hr</w:t>
      </w:r>
      <w:proofErr w:type="spellEnd"/>
      <w:r w:rsidRPr="00AB75CD">
        <w:rPr>
          <w:rFonts w:ascii="Helvetica" w:eastAsia="Times New Roman" w:hAnsi="Helvetica" w:cs="Times New Roman"/>
        </w:rPr>
        <w:t xml:space="preserve">; remote remediation ≤2 </w:t>
      </w:r>
      <w:proofErr w:type="spellStart"/>
      <w:r w:rsidRPr="00AB75CD">
        <w:rPr>
          <w:rFonts w:ascii="Helvetica" w:eastAsia="Times New Roman" w:hAnsi="Helvetica" w:cs="Times New Roman"/>
        </w:rPr>
        <w:t>hrs</w:t>
      </w:r>
      <w:proofErr w:type="spellEnd"/>
      <w:r w:rsidRPr="00AB75CD">
        <w:rPr>
          <w:rFonts w:ascii="Helvetica" w:eastAsia="Times New Roman" w:hAnsi="Helvetica" w:cs="Times New Roman"/>
        </w:rPr>
        <w:t xml:space="preserve">; onsite mobilization ≤24 </w:t>
      </w:r>
      <w:proofErr w:type="spellStart"/>
      <w:r w:rsidRPr="00AB75CD">
        <w:rPr>
          <w:rFonts w:ascii="Helvetica" w:eastAsia="Times New Roman" w:hAnsi="Helvetica" w:cs="Times New Roman"/>
        </w:rPr>
        <w:t>hrs</w:t>
      </w:r>
      <w:proofErr w:type="spellEnd"/>
      <w:r w:rsidRPr="00AB75CD">
        <w:rPr>
          <w:rFonts w:ascii="Helvetica" w:eastAsia="Times New Roman" w:hAnsi="Helvetica" w:cs="Times New Roman"/>
        </w:rPr>
        <w:t xml:space="preserve"> (or next Business Day after noon).</w:t>
      </w:r>
    </w:p>
    <w:p w14:paraId="59D446E5" w14:textId="77777777" w:rsidR="00AB75CD" w:rsidRPr="00AB75CD" w:rsidRDefault="00AB75CD" w:rsidP="00AB75CD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Development, Budget &amp; Approvals</w:t>
      </w:r>
    </w:p>
    <w:p w14:paraId="3FB0B55B" w14:textId="77777777" w:rsidR="00AB75CD" w:rsidRPr="00AB75CD" w:rsidRDefault="00AB75CD" w:rsidP="00AB75CD">
      <w:pPr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Preliminary Cost Estimate: $2,050,000; Contingency: $50,000; Net System Cost (</w:t>
      </w:r>
      <w:proofErr w:type="spellStart"/>
      <w:r w:rsidRPr="00AB75CD">
        <w:rPr>
          <w:rFonts w:ascii="Helvetica" w:eastAsia="Times New Roman" w:hAnsi="Helvetica" w:cs="Times New Roman"/>
        </w:rPr>
        <w:t>Exh</w:t>
      </w:r>
      <w:proofErr w:type="spellEnd"/>
      <w:r w:rsidRPr="00AB75CD">
        <w:rPr>
          <w:rFonts w:ascii="Helvetica" w:eastAsia="Times New Roman" w:hAnsi="Helvetica" w:cs="Times New Roman"/>
        </w:rPr>
        <w:t>. B): $2,100,000.</w:t>
      </w:r>
    </w:p>
    <w:p w14:paraId="792A28B1" w14:textId="77777777" w:rsidR="00AB75CD" w:rsidRPr="00AB75CD" w:rsidRDefault="00AB75CD" w:rsidP="00AB75CD">
      <w:pPr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Design &amp; Approvals: Altris provides 50% / 90% design, then a Final Site Plan (equipment list, location map, schedule, Final Cost Estimate).</w:t>
      </w:r>
    </w:p>
    <w:p w14:paraId="6167F6D3" w14:textId="77777777" w:rsidR="00AB75CD" w:rsidRPr="00AB75CD" w:rsidRDefault="00AB75CD" w:rsidP="00AB75CD">
      <w:pPr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Proceed/Terminate Window: Company has 10 Business Days after receipt of Final Site Plan to:</w:t>
      </w:r>
    </w:p>
    <w:p w14:paraId="6C74E57A" w14:textId="77777777" w:rsidR="00AB75CD" w:rsidRPr="00AB75CD" w:rsidRDefault="00AB75CD" w:rsidP="00AB75CD">
      <w:pPr>
        <w:numPr>
          <w:ilvl w:val="1"/>
          <w:numId w:val="8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Approve and proceed with installation (pricing may be amended by mutual agreement if Final Cost Estimate &gt;120% of Preliminary); or</w:t>
      </w:r>
    </w:p>
    <w:p w14:paraId="5B945794" w14:textId="77777777" w:rsidR="00AB75CD" w:rsidRPr="00AB75CD" w:rsidRDefault="00AB75CD" w:rsidP="00AB75CD">
      <w:pPr>
        <w:numPr>
          <w:ilvl w:val="1"/>
          <w:numId w:val="8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Terminate:</w:t>
      </w:r>
    </w:p>
    <w:p w14:paraId="64F0B616" w14:textId="77777777" w:rsidR="00AB75CD" w:rsidRPr="00AB75CD" w:rsidRDefault="00AB75CD" w:rsidP="00AB75CD">
      <w:pPr>
        <w:numPr>
          <w:ilvl w:val="2"/>
          <w:numId w:val="8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If ≤120% of Preliminary: Company may terminate on payment of a $20,000 design fee and receives the Project Materials.</w:t>
      </w:r>
    </w:p>
    <w:p w14:paraId="0186445C" w14:textId="77777777" w:rsidR="00AB75CD" w:rsidRPr="00AB75CD" w:rsidRDefault="00AB75CD" w:rsidP="00AB75CD">
      <w:pPr>
        <w:numPr>
          <w:ilvl w:val="2"/>
          <w:numId w:val="8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If &gt;120% or if extra land purchase is required: Company may terminate at no cost; no Project Materials delivered.</w:t>
      </w:r>
    </w:p>
    <w:p w14:paraId="16F93326" w14:textId="77777777" w:rsidR="00AB75CD" w:rsidRPr="00AB75CD" w:rsidRDefault="00AB75CD" w:rsidP="00AB75CD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Ownership, Title &amp; Risk</w:t>
      </w:r>
    </w:p>
    <w:p w14:paraId="712BF558" w14:textId="77777777" w:rsidR="00AB75CD" w:rsidRPr="00AB75CD" w:rsidRDefault="00AB75CD" w:rsidP="00AB75CD">
      <w:pPr>
        <w:numPr>
          <w:ilvl w:val="0"/>
          <w:numId w:val="9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lastRenderedPageBreak/>
        <w:t>Project Title/Risk: Altris retains title &amp; risk in Project equipment during the Term; Company keeps title &amp; risk to existing generation assets.</w:t>
      </w:r>
    </w:p>
    <w:p w14:paraId="3E7033AE" w14:textId="77777777" w:rsidR="00AB75CD" w:rsidRPr="00AB75CD" w:rsidRDefault="00AB75CD" w:rsidP="00AB75CD">
      <w:pPr>
        <w:numPr>
          <w:ilvl w:val="0"/>
          <w:numId w:val="9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 xml:space="preserve">End-of-Term: At </w:t>
      </w:r>
      <w:proofErr w:type="spellStart"/>
      <w:r w:rsidRPr="00AB75CD">
        <w:rPr>
          <w:rFonts w:ascii="Helvetica" w:eastAsia="Times New Roman" w:hAnsi="Helvetica" w:cs="Times New Roman"/>
        </w:rPr>
        <w:t>Altris’s</w:t>
      </w:r>
      <w:proofErr w:type="spellEnd"/>
      <w:r w:rsidRPr="00AB75CD">
        <w:rPr>
          <w:rFonts w:ascii="Helvetica" w:eastAsia="Times New Roman" w:hAnsi="Helvetica" w:cs="Times New Roman"/>
        </w:rPr>
        <w:t xml:space="preserve"> election: (</w:t>
      </w:r>
      <w:proofErr w:type="spellStart"/>
      <w:r w:rsidRPr="00AB75CD">
        <w:rPr>
          <w:rFonts w:ascii="Helvetica" w:eastAsia="Times New Roman" w:hAnsi="Helvetica" w:cs="Times New Roman"/>
        </w:rPr>
        <w:t>i</w:t>
      </w:r>
      <w:proofErr w:type="spellEnd"/>
      <w:r w:rsidRPr="00AB75CD">
        <w:rPr>
          <w:rFonts w:ascii="Helvetica" w:eastAsia="Times New Roman" w:hAnsi="Helvetica" w:cs="Times New Roman"/>
        </w:rPr>
        <w:t xml:space="preserve">) leave equipment (then becomes/ remains Company property) or (ii) remove and restore site at </w:t>
      </w:r>
      <w:proofErr w:type="spellStart"/>
      <w:r w:rsidRPr="00AB75CD">
        <w:rPr>
          <w:rFonts w:ascii="Helvetica" w:eastAsia="Times New Roman" w:hAnsi="Helvetica" w:cs="Times New Roman"/>
        </w:rPr>
        <w:t>Altris’s</w:t>
      </w:r>
      <w:proofErr w:type="spellEnd"/>
      <w:r w:rsidRPr="00AB75CD">
        <w:rPr>
          <w:rFonts w:ascii="Helvetica" w:eastAsia="Times New Roman" w:hAnsi="Helvetica" w:cs="Times New Roman"/>
        </w:rPr>
        <w:t xml:space="preserve"> expense.</w:t>
      </w:r>
    </w:p>
    <w:p w14:paraId="717B826F" w14:textId="77777777" w:rsidR="00AB75CD" w:rsidRPr="00AB75CD" w:rsidRDefault="00AB75CD" w:rsidP="00AB75CD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Metering &amp; Settlement (Exhibit C)</w:t>
      </w:r>
    </w:p>
    <w:p w14:paraId="2A47CF91" w14:textId="77777777" w:rsidR="00AB75CD" w:rsidRPr="00AB75CD" w:rsidRDefault="00AB75CD" w:rsidP="00AB75CD">
      <w:pPr>
        <w:numPr>
          <w:ilvl w:val="0"/>
          <w:numId w:val="10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Meters: Revenue-grade, ANSI C12.20 0.2% or better; PV production, BESS charge/discharge, site delivery, and Generator-to-BESS (if used).</w:t>
      </w:r>
    </w:p>
    <w:p w14:paraId="1FF2AF3E" w14:textId="77777777" w:rsidR="00AB75CD" w:rsidRPr="00AB75CD" w:rsidRDefault="00AB75CD" w:rsidP="00AB75CD">
      <w:pPr>
        <w:numPr>
          <w:ilvl w:val="0"/>
          <w:numId w:val="10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Data: 15-minute intervals; retention ≥7 Contract Years; audit and dispute windows per Exhibit C.</w:t>
      </w:r>
    </w:p>
    <w:p w14:paraId="3C398E87" w14:textId="77777777" w:rsidR="00AB75CD" w:rsidRPr="00AB75CD" w:rsidRDefault="00AB75CD" w:rsidP="00AB75CD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Change-in-Law (per MSA)</w:t>
      </w:r>
    </w:p>
    <w:p w14:paraId="071DA2F2" w14:textId="77777777" w:rsidR="00AB75CD" w:rsidRPr="00AB75CD" w:rsidRDefault="00AB75CD" w:rsidP="00AB75CD">
      <w:pPr>
        <w:numPr>
          <w:ilvl w:val="0"/>
          <w:numId w:val="1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Tariff adjustment if cost impact &gt;±3% of annualized Energy Charges; subject to audit, ±10% cap per Contract Year; interim payments and true-up.</w:t>
      </w:r>
    </w:p>
    <w:p w14:paraId="1700BF7C" w14:textId="77777777" w:rsidR="00AB75CD" w:rsidRPr="00AB75CD" w:rsidRDefault="00AB75CD" w:rsidP="00AB75CD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Insurance (minimums; subject to customary terms/endorsements)</w:t>
      </w:r>
    </w:p>
    <w:p w14:paraId="12BEB9E9" w14:textId="77777777" w:rsidR="00AB75CD" w:rsidRPr="00AB75CD" w:rsidRDefault="00AB75CD" w:rsidP="00AB75CD">
      <w:pPr>
        <w:numPr>
          <w:ilvl w:val="0"/>
          <w:numId w:val="12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Vendor: CGL $1M/$2M; Auto $1M; WC/EL $1M; Umbrella $5M per occ./</w:t>
      </w:r>
      <w:proofErr w:type="spellStart"/>
      <w:r w:rsidRPr="00AB75CD">
        <w:rPr>
          <w:rFonts w:ascii="Helvetica" w:eastAsia="Times New Roman" w:hAnsi="Helvetica" w:cs="Times New Roman"/>
        </w:rPr>
        <w:t>agg</w:t>
      </w:r>
      <w:proofErr w:type="spellEnd"/>
      <w:r w:rsidRPr="00AB75CD">
        <w:rPr>
          <w:rFonts w:ascii="Helvetica" w:eastAsia="Times New Roman" w:hAnsi="Helvetica" w:cs="Times New Roman"/>
        </w:rPr>
        <w:t>. (or agreed self-insurance).</w:t>
      </w:r>
    </w:p>
    <w:p w14:paraId="39EEEC86" w14:textId="77777777" w:rsidR="00AB75CD" w:rsidRPr="00AB75CD" w:rsidRDefault="00AB75CD" w:rsidP="00AB75CD">
      <w:pPr>
        <w:numPr>
          <w:ilvl w:val="0"/>
          <w:numId w:val="12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Company: CGL $1M/$2M (via insurance, self-insurance, risk pool, etc.).</w:t>
      </w:r>
    </w:p>
    <w:p w14:paraId="1DF49218" w14:textId="77777777" w:rsidR="00AB75CD" w:rsidRPr="00AB75CD" w:rsidRDefault="00AB75CD" w:rsidP="00AB75CD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Indemnities &amp; Liability</w:t>
      </w:r>
    </w:p>
    <w:p w14:paraId="4A956C26" w14:textId="77777777" w:rsidR="00AB75CD" w:rsidRPr="00AB75CD" w:rsidRDefault="00AB75CD" w:rsidP="00AB75CD">
      <w:pPr>
        <w:numPr>
          <w:ilvl w:val="0"/>
          <w:numId w:val="13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Mutual indemnities (third-party claims) per PPA/MSA; no consequential damages; annual liability generally limited to annual fees (subject to insurance/indemnity carve-outs).</w:t>
      </w:r>
    </w:p>
    <w:p w14:paraId="6162C7F1" w14:textId="77777777" w:rsidR="00AB75CD" w:rsidRPr="00AB75CD" w:rsidRDefault="00AB75CD" w:rsidP="00AB75CD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Confidentiality</w:t>
      </w:r>
    </w:p>
    <w:p w14:paraId="259D5619" w14:textId="77777777" w:rsidR="00AB75CD" w:rsidRPr="00AB75CD" w:rsidRDefault="00AB75CD" w:rsidP="00AB75CD">
      <w:pPr>
        <w:numPr>
          <w:ilvl w:val="0"/>
          <w:numId w:val="14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Mutual confidentiality; 3-year survival post-termination; standard exceptions and compelled disclosure.</w:t>
      </w:r>
    </w:p>
    <w:p w14:paraId="1FFCC5FD" w14:textId="77777777" w:rsidR="00AB75CD" w:rsidRPr="00AB75CD" w:rsidRDefault="00AB75CD" w:rsidP="00AB75CD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Assignments &amp; ROFR</w:t>
      </w:r>
    </w:p>
    <w:p w14:paraId="3F444AA2" w14:textId="77777777" w:rsidR="00AB75CD" w:rsidRPr="00AB75CD" w:rsidRDefault="00AB75CD" w:rsidP="00AB75CD">
      <w:pPr>
        <w:numPr>
          <w:ilvl w:val="0"/>
          <w:numId w:val="15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Either Party may assign to affiliates or acquirers of substantially all assets/business with notice.</w:t>
      </w:r>
    </w:p>
    <w:p w14:paraId="39F00CE2" w14:textId="77777777" w:rsidR="00AB75CD" w:rsidRPr="00AB75CD" w:rsidRDefault="00AB75CD" w:rsidP="00AB75CD">
      <w:pPr>
        <w:numPr>
          <w:ilvl w:val="0"/>
          <w:numId w:val="15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Vendor ROFR to Company: If Vendor sells its interests (outside of carve-outs), Company has 10 days to match third-party terms.</w:t>
      </w:r>
    </w:p>
    <w:p w14:paraId="492B0062" w14:textId="77777777" w:rsidR="00AB75CD" w:rsidRPr="00AB75CD" w:rsidRDefault="00AB75CD" w:rsidP="00AB75CD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Dispute Resolution; Governing Law</w:t>
      </w:r>
    </w:p>
    <w:p w14:paraId="11BA97FB" w14:textId="77777777" w:rsidR="00AB75CD" w:rsidRPr="00AB75CD" w:rsidRDefault="00AB75CD" w:rsidP="00AB75CD">
      <w:pPr>
        <w:numPr>
          <w:ilvl w:val="0"/>
          <w:numId w:val="1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AAA arbitration (Commercial Rules); parties continue performance during dispute.</w:t>
      </w:r>
    </w:p>
    <w:p w14:paraId="3E652CA2" w14:textId="77777777" w:rsidR="00AB75CD" w:rsidRPr="00AB75CD" w:rsidRDefault="00AB75CD" w:rsidP="00AB75CD">
      <w:pPr>
        <w:numPr>
          <w:ilvl w:val="0"/>
          <w:numId w:val="16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Law/Venue: Utah law; exclusive courts in Salt Lake City for judicial proceedings.</w:t>
      </w:r>
    </w:p>
    <w:p w14:paraId="4A6E2263" w14:textId="77777777" w:rsidR="00AB75CD" w:rsidRPr="00AB75CD" w:rsidRDefault="00AB75CD" w:rsidP="00AB75CD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lastRenderedPageBreak/>
        <w:t>Notices</w:t>
      </w:r>
    </w:p>
    <w:p w14:paraId="7E29FA24" w14:textId="77777777" w:rsidR="00AB75CD" w:rsidRPr="00AB75CD" w:rsidRDefault="00AB75CD" w:rsidP="00AB75CD">
      <w:pPr>
        <w:numPr>
          <w:ilvl w:val="0"/>
          <w:numId w:val="17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As listed in the PPA/MSA; electronic delivery permitted.</w:t>
      </w:r>
    </w:p>
    <w:p w14:paraId="2B6E308A" w14:textId="77777777" w:rsidR="00AB75CD" w:rsidRPr="00AB75CD" w:rsidRDefault="00AB75CD" w:rsidP="00AB75CD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Key Dates &amp; Placeholders</w:t>
      </w:r>
    </w:p>
    <w:p w14:paraId="3D48E28B" w14:textId="77777777" w:rsidR="00AB75CD" w:rsidRPr="00AB75CD" w:rsidRDefault="00AB75CD" w:rsidP="00AB75CD">
      <w:pPr>
        <w:numPr>
          <w:ilvl w:val="0"/>
          <w:numId w:val="18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Effective Date: ____________</w:t>
      </w:r>
    </w:p>
    <w:p w14:paraId="3027C21E" w14:textId="5FAE46B5" w:rsidR="00AB75CD" w:rsidRPr="00AB75CD" w:rsidRDefault="00AB75CD" w:rsidP="00AB75CD">
      <w:pPr>
        <w:numPr>
          <w:ilvl w:val="0"/>
          <w:numId w:val="18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 xml:space="preserve">Commission Date (est.): </w:t>
      </w:r>
      <w:r>
        <w:rPr>
          <w:rFonts w:ascii="Helvetica" w:eastAsia="Times New Roman" w:hAnsi="Helvetica" w:cs="Times New Roman"/>
        </w:rPr>
        <w:t>May – June 2026</w:t>
      </w:r>
    </w:p>
    <w:p w14:paraId="004EC7A7" w14:textId="77777777" w:rsidR="00AB75CD" w:rsidRPr="00AB75CD" w:rsidRDefault="00AB75CD" w:rsidP="00AB75CD">
      <w:pPr>
        <w:numPr>
          <w:ilvl w:val="0"/>
          <w:numId w:val="18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Escalator Start: Each anniversary of Commission Date</w:t>
      </w:r>
    </w:p>
    <w:p w14:paraId="694E0178" w14:textId="77777777" w:rsidR="00AB75CD" w:rsidRPr="00AB75CD" w:rsidRDefault="00AB75CD" w:rsidP="00AB75CD">
      <w:pPr>
        <w:numPr>
          <w:ilvl w:val="0"/>
          <w:numId w:val="18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Availability Measurement Start: Post-commissioning, per Contract Quarter/Year definitions</w:t>
      </w:r>
    </w:p>
    <w:p w14:paraId="045CC55B" w14:textId="12A06504" w:rsidR="001D4648" w:rsidRPr="00AB75CD" w:rsidRDefault="00AB75CD" w:rsidP="00AB75CD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AB75CD">
        <w:rPr>
          <w:rFonts w:ascii="Helvetica" w:eastAsia="Times New Roman" w:hAnsi="Helvetica" w:cs="Times New Roman"/>
        </w:rPr>
        <w:t>Non-Binding Summary</w:t>
      </w:r>
      <w:r w:rsidRPr="00AB75CD">
        <w:rPr>
          <w:rFonts w:ascii="Helvetica" w:eastAsia="Times New Roman" w:hAnsi="Helvetica" w:cs="Times New Roman"/>
        </w:rPr>
        <w:br/>
        <w:t>This Term Sheet is a commercial summary for discussion. The executed PPA and Managed Services Agreement (including Exhibits) control. In any conflict, the PPA governs.</w:t>
      </w:r>
    </w:p>
    <w:sectPr w:rsidR="001D4648" w:rsidRPr="00AB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402E"/>
    <w:multiLevelType w:val="multilevel"/>
    <w:tmpl w:val="C1C8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F1CF7"/>
    <w:multiLevelType w:val="multilevel"/>
    <w:tmpl w:val="CF1C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C2330"/>
    <w:multiLevelType w:val="multilevel"/>
    <w:tmpl w:val="61A0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93B3C"/>
    <w:multiLevelType w:val="multilevel"/>
    <w:tmpl w:val="3806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93938"/>
    <w:multiLevelType w:val="multilevel"/>
    <w:tmpl w:val="CBF4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E368F"/>
    <w:multiLevelType w:val="multilevel"/>
    <w:tmpl w:val="900C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95CA1"/>
    <w:multiLevelType w:val="multilevel"/>
    <w:tmpl w:val="AFFC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F62F3E"/>
    <w:multiLevelType w:val="multilevel"/>
    <w:tmpl w:val="525C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7905A1"/>
    <w:multiLevelType w:val="multilevel"/>
    <w:tmpl w:val="4CDA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225FD1"/>
    <w:multiLevelType w:val="multilevel"/>
    <w:tmpl w:val="5628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B0607"/>
    <w:multiLevelType w:val="multilevel"/>
    <w:tmpl w:val="C7F6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94F5D"/>
    <w:multiLevelType w:val="multilevel"/>
    <w:tmpl w:val="F146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DA57E1"/>
    <w:multiLevelType w:val="multilevel"/>
    <w:tmpl w:val="16D2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380423"/>
    <w:multiLevelType w:val="multilevel"/>
    <w:tmpl w:val="B15A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8545E"/>
    <w:multiLevelType w:val="multilevel"/>
    <w:tmpl w:val="C7BC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0213A0"/>
    <w:multiLevelType w:val="multilevel"/>
    <w:tmpl w:val="2D46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EF3757"/>
    <w:multiLevelType w:val="multilevel"/>
    <w:tmpl w:val="69FA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DE4ABF"/>
    <w:multiLevelType w:val="multilevel"/>
    <w:tmpl w:val="910E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0716">
    <w:abstractNumId w:val="2"/>
  </w:num>
  <w:num w:numId="2" w16cid:durableId="1987971627">
    <w:abstractNumId w:val="10"/>
  </w:num>
  <w:num w:numId="3" w16cid:durableId="1210462080">
    <w:abstractNumId w:val="17"/>
  </w:num>
  <w:num w:numId="4" w16cid:durableId="70003301">
    <w:abstractNumId w:val="0"/>
  </w:num>
  <w:num w:numId="5" w16cid:durableId="279578163">
    <w:abstractNumId w:val="8"/>
  </w:num>
  <w:num w:numId="6" w16cid:durableId="76295244">
    <w:abstractNumId w:val="14"/>
  </w:num>
  <w:num w:numId="7" w16cid:durableId="208539607">
    <w:abstractNumId w:val="11"/>
  </w:num>
  <w:num w:numId="8" w16cid:durableId="1668092135">
    <w:abstractNumId w:val="13"/>
  </w:num>
  <w:num w:numId="9" w16cid:durableId="551963771">
    <w:abstractNumId w:val="16"/>
  </w:num>
  <w:num w:numId="10" w16cid:durableId="1599214619">
    <w:abstractNumId w:val="6"/>
  </w:num>
  <w:num w:numId="11" w16cid:durableId="1952585752">
    <w:abstractNumId w:val="4"/>
  </w:num>
  <w:num w:numId="12" w16cid:durableId="157236250">
    <w:abstractNumId w:val="3"/>
  </w:num>
  <w:num w:numId="13" w16cid:durableId="1992128477">
    <w:abstractNumId w:val="1"/>
  </w:num>
  <w:num w:numId="14" w16cid:durableId="424038409">
    <w:abstractNumId w:val="7"/>
  </w:num>
  <w:num w:numId="15" w16cid:durableId="746077908">
    <w:abstractNumId w:val="9"/>
  </w:num>
  <w:num w:numId="16" w16cid:durableId="189222738">
    <w:abstractNumId w:val="5"/>
  </w:num>
  <w:num w:numId="17" w16cid:durableId="959919284">
    <w:abstractNumId w:val="15"/>
  </w:num>
  <w:num w:numId="18" w16cid:durableId="2554097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CD"/>
    <w:rsid w:val="001D4648"/>
    <w:rsid w:val="004E5C0C"/>
    <w:rsid w:val="008D7BB3"/>
    <w:rsid w:val="009E2727"/>
    <w:rsid w:val="00AB75CD"/>
    <w:rsid w:val="00B7142C"/>
    <w:rsid w:val="00CB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53F6"/>
  <w15:chartTrackingRefBased/>
  <w15:docId w15:val="{AC362E36-A5AC-5D4B-9477-ACF13185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75C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5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B75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B7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5090</Characters>
  <Application>Microsoft Office Word</Application>
  <DocSecurity>4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Polson</dc:creator>
  <cp:keywords/>
  <dc:description/>
  <cp:lastModifiedBy>John Motley</cp:lastModifiedBy>
  <cp:revision>2</cp:revision>
  <dcterms:created xsi:type="dcterms:W3CDTF">2025-11-12T21:08:00Z</dcterms:created>
  <dcterms:modified xsi:type="dcterms:W3CDTF">2025-11-12T21:08:00Z</dcterms:modified>
</cp:coreProperties>
</file>