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7C89F" w14:textId="77777777" w:rsidR="00262AAE" w:rsidRPr="007A5784" w:rsidRDefault="00262AAE" w:rsidP="00262AAE">
      <w:pPr>
        <w:tabs>
          <w:tab w:val="left" w:pos="-1080"/>
          <w:tab w:val="left" w:pos="-720"/>
          <w:tab w:val="left" w:pos="450"/>
          <w:tab w:val="left" w:pos="900"/>
          <w:tab w:val="left" w:pos="4680"/>
          <w:tab w:val="left" w:pos="8100"/>
        </w:tabs>
        <w:ind w:right="180"/>
        <w:jc w:val="center"/>
        <w:rPr>
          <w:b/>
          <w:sz w:val="22"/>
          <w:szCs w:val="22"/>
        </w:rPr>
      </w:pPr>
    </w:p>
    <w:p w14:paraId="13A85095" w14:textId="77777777" w:rsidR="00262AAE" w:rsidRPr="007A5784" w:rsidRDefault="00262AAE" w:rsidP="00262AAE">
      <w:pPr>
        <w:tabs>
          <w:tab w:val="left" w:pos="-1080"/>
          <w:tab w:val="left" w:pos="-720"/>
          <w:tab w:val="left" w:pos="450"/>
          <w:tab w:val="left" w:pos="900"/>
          <w:tab w:val="left" w:pos="4680"/>
          <w:tab w:val="left" w:pos="8100"/>
        </w:tabs>
        <w:ind w:right="180"/>
        <w:jc w:val="center"/>
        <w:rPr>
          <w:sz w:val="22"/>
          <w:szCs w:val="22"/>
        </w:rPr>
      </w:pPr>
      <w:r w:rsidRPr="007A5784">
        <w:rPr>
          <w:b/>
          <w:sz w:val="22"/>
          <w:szCs w:val="22"/>
        </w:rPr>
        <w:t>MINUTES OF THE</w:t>
      </w:r>
    </w:p>
    <w:p w14:paraId="3B282F48" w14:textId="77777777" w:rsidR="00262AAE" w:rsidRPr="007A5784" w:rsidRDefault="00262AAE" w:rsidP="00262AAE">
      <w:pPr>
        <w:tabs>
          <w:tab w:val="left" w:pos="-1080"/>
          <w:tab w:val="left" w:pos="-720"/>
          <w:tab w:val="left" w:pos="450"/>
          <w:tab w:val="left" w:pos="900"/>
          <w:tab w:val="left" w:pos="4680"/>
          <w:tab w:val="left" w:pos="8100"/>
        </w:tabs>
        <w:ind w:right="180"/>
        <w:jc w:val="center"/>
        <w:rPr>
          <w:b/>
          <w:sz w:val="22"/>
          <w:szCs w:val="22"/>
        </w:rPr>
      </w:pPr>
      <w:r w:rsidRPr="007A5784">
        <w:rPr>
          <w:b/>
          <w:sz w:val="22"/>
          <w:szCs w:val="22"/>
        </w:rPr>
        <w:t>BOARD OF EXAMINERS</w:t>
      </w:r>
    </w:p>
    <w:p w14:paraId="0FAABE1E" w14:textId="53D606BA" w:rsidR="00262AAE" w:rsidRPr="007A5784" w:rsidRDefault="006123A7" w:rsidP="006123A7">
      <w:pPr>
        <w:pStyle w:val="Normal1"/>
        <w:tabs>
          <w:tab w:val="center" w:pos="4680"/>
        </w:tabs>
        <w:ind w:right="720"/>
        <w:contextualSpacing w:val="0"/>
        <w:jc w:val="center"/>
        <w:rPr>
          <w:b/>
          <w:color w:val="auto"/>
          <w:sz w:val="22"/>
        </w:rPr>
      </w:pPr>
      <w:r w:rsidRPr="007A5784">
        <w:rPr>
          <w:b/>
          <w:color w:val="auto"/>
          <w:sz w:val="22"/>
        </w:rPr>
        <w:t>Tuesday, N</w:t>
      </w:r>
      <w:r w:rsidR="000F7ADD" w:rsidRPr="007A5784">
        <w:rPr>
          <w:b/>
          <w:color w:val="auto"/>
          <w:sz w:val="22"/>
        </w:rPr>
        <w:t xml:space="preserve">ovember </w:t>
      </w:r>
      <w:r w:rsidR="00C42984">
        <w:rPr>
          <w:b/>
          <w:color w:val="auto"/>
          <w:sz w:val="22"/>
        </w:rPr>
        <w:t>12</w:t>
      </w:r>
      <w:r w:rsidR="000F7ADD" w:rsidRPr="007A5784">
        <w:rPr>
          <w:b/>
          <w:color w:val="auto"/>
          <w:sz w:val="22"/>
        </w:rPr>
        <w:t>, 202</w:t>
      </w:r>
      <w:r w:rsidR="00C42984">
        <w:rPr>
          <w:b/>
          <w:color w:val="auto"/>
          <w:sz w:val="22"/>
        </w:rPr>
        <w:t>4</w:t>
      </w:r>
      <w:r w:rsidR="00262AAE" w:rsidRPr="007A5784">
        <w:rPr>
          <w:b/>
          <w:color w:val="auto"/>
          <w:sz w:val="22"/>
        </w:rPr>
        <w:t xml:space="preserve"> ▪ 1</w:t>
      </w:r>
      <w:r w:rsidR="00C42984">
        <w:rPr>
          <w:b/>
          <w:color w:val="auto"/>
          <w:sz w:val="22"/>
        </w:rPr>
        <w:t>0:00</w:t>
      </w:r>
      <w:r w:rsidR="00262AAE" w:rsidRPr="007A5784">
        <w:rPr>
          <w:b/>
          <w:color w:val="auto"/>
          <w:sz w:val="22"/>
        </w:rPr>
        <w:t xml:space="preserve"> </w:t>
      </w:r>
      <w:r w:rsidR="00C42984">
        <w:rPr>
          <w:b/>
          <w:color w:val="auto"/>
          <w:sz w:val="22"/>
        </w:rPr>
        <w:t>a</w:t>
      </w:r>
      <w:r w:rsidR="00262AAE" w:rsidRPr="007A5784">
        <w:rPr>
          <w:b/>
          <w:color w:val="auto"/>
          <w:sz w:val="22"/>
        </w:rPr>
        <w:t xml:space="preserve">.m. </w:t>
      </w:r>
    </w:p>
    <w:p w14:paraId="244C3A06" w14:textId="77777777" w:rsidR="00262AAE" w:rsidRPr="00DF1477" w:rsidRDefault="00262AAE" w:rsidP="00262AAE">
      <w:pPr>
        <w:tabs>
          <w:tab w:val="left" w:pos="-1080"/>
          <w:tab w:val="left" w:pos="-720"/>
          <w:tab w:val="left" w:pos="450"/>
          <w:tab w:val="left" w:pos="900"/>
          <w:tab w:val="left" w:pos="4680"/>
          <w:tab w:val="left" w:pos="8100"/>
        </w:tabs>
        <w:ind w:right="180"/>
        <w:rPr>
          <w:sz w:val="22"/>
          <w:szCs w:val="22"/>
        </w:rPr>
      </w:pPr>
    </w:p>
    <w:p w14:paraId="1B5AC9B4" w14:textId="77777777" w:rsidR="00262AAE" w:rsidRPr="007A5784" w:rsidRDefault="00262AAE" w:rsidP="00262AAE">
      <w:pPr>
        <w:pStyle w:val="Normal1"/>
        <w:tabs>
          <w:tab w:val="left" w:pos="1890"/>
        </w:tabs>
        <w:ind w:right="720"/>
        <w:contextualSpacing w:val="0"/>
        <w:rPr>
          <w:color w:val="auto"/>
          <w:sz w:val="22"/>
        </w:rPr>
      </w:pPr>
      <w:r w:rsidRPr="007A5784">
        <w:rPr>
          <w:b/>
          <w:color w:val="auto"/>
          <w:sz w:val="22"/>
        </w:rPr>
        <w:t>Members Present:</w:t>
      </w:r>
      <w:r w:rsidRPr="007A5784">
        <w:rPr>
          <w:b/>
          <w:color w:val="auto"/>
          <w:sz w:val="22"/>
        </w:rPr>
        <w:tab/>
      </w:r>
      <w:r w:rsidRPr="007A5784">
        <w:rPr>
          <w:color w:val="auto"/>
          <w:sz w:val="22"/>
        </w:rPr>
        <w:tab/>
        <w:t>Governor Spencer J. Cox</w:t>
      </w:r>
    </w:p>
    <w:p w14:paraId="04F8C9D9" w14:textId="77777777" w:rsidR="00262AAE" w:rsidRPr="007A5784" w:rsidRDefault="00262AAE" w:rsidP="00262AAE">
      <w:pPr>
        <w:pStyle w:val="Normal1"/>
        <w:tabs>
          <w:tab w:val="left" w:pos="1890"/>
        </w:tabs>
        <w:ind w:right="720"/>
        <w:contextualSpacing w:val="0"/>
        <w:rPr>
          <w:color w:val="auto"/>
          <w:sz w:val="22"/>
        </w:rPr>
      </w:pPr>
      <w:r w:rsidRPr="007A5784">
        <w:rPr>
          <w:color w:val="auto"/>
          <w:sz w:val="22"/>
        </w:rPr>
        <w:tab/>
      </w:r>
      <w:r w:rsidRPr="007A5784">
        <w:rPr>
          <w:color w:val="auto"/>
          <w:sz w:val="22"/>
        </w:rPr>
        <w:tab/>
        <w:t>State Auditor John Dougall</w:t>
      </w:r>
    </w:p>
    <w:p w14:paraId="576439EF" w14:textId="77777777" w:rsidR="00262AAE" w:rsidRPr="007A5784" w:rsidRDefault="00262AAE" w:rsidP="00262AAE">
      <w:pPr>
        <w:pStyle w:val="Normal1"/>
        <w:tabs>
          <w:tab w:val="left" w:pos="1890"/>
        </w:tabs>
        <w:ind w:right="720"/>
        <w:contextualSpacing w:val="0"/>
        <w:rPr>
          <w:color w:val="auto"/>
          <w:sz w:val="22"/>
        </w:rPr>
      </w:pPr>
      <w:r w:rsidRPr="007A5784">
        <w:rPr>
          <w:color w:val="auto"/>
          <w:sz w:val="22"/>
        </w:rPr>
        <w:tab/>
      </w:r>
      <w:r w:rsidRPr="007A5784">
        <w:rPr>
          <w:color w:val="auto"/>
          <w:sz w:val="22"/>
        </w:rPr>
        <w:tab/>
        <w:t>Attorney General Sean Reyes</w:t>
      </w:r>
    </w:p>
    <w:p w14:paraId="3B0F7731" w14:textId="77777777" w:rsidR="00262AAE" w:rsidRPr="007A5784" w:rsidRDefault="00262AAE" w:rsidP="00262AAE">
      <w:pPr>
        <w:pStyle w:val="Normal1"/>
        <w:tabs>
          <w:tab w:val="left" w:pos="1890"/>
        </w:tabs>
        <w:ind w:right="720"/>
        <w:contextualSpacing w:val="0"/>
        <w:rPr>
          <w:color w:val="auto"/>
          <w:sz w:val="22"/>
        </w:rPr>
      </w:pPr>
      <w:r w:rsidRPr="007A5784">
        <w:rPr>
          <w:color w:val="auto"/>
          <w:sz w:val="22"/>
        </w:rPr>
        <w:t xml:space="preserve"> </w:t>
      </w:r>
    </w:p>
    <w:p w14:paraId="7FE313F9" w14:textId="77777777" w:rsidR="009254A8" w:rsidRDefault="00262AAE" w:rsidP="00262AAE">
      <w:pPr>
        <w:pStyle w:val="Normal1"/>
        <w:tabs>
          <w:tab w:val="left" w:pos="1890"/>
        </w:tabs>
        <w:ind w:right="720"/>
        <w:contextualSpacing w:val="0"/>
        <w:rPr>
          <w:b/>
          <w:color w:val="auto"/>
          <w:sz w:val="22"/>
        </w:rPr>
      </w:pPr>
      <w:r w:rsidRPr="007A5784">
        <w:rPr>
          <w:b/>
          <w:color w:val="auto"/>
          <w:sz w:val="22"/>
        </w:rPr>
        <w:t>Others Present:</w:t>
      </w:r>
      <w:r w:rsidRPr="007A5784">
        <w:rPr>
          <w:b/>
          <w:color w:val="auto"/>
          <w:sz w:val="22"/>
        </w:rPr>
        <w:tab/>
      </w:r>
      <w:r w:rsidRPr="007A5784">
        <w:rPr>
          <w:b/>
          <w:color w:val="auto"/>
          <w:sz w:val="22"/>
        </w:rPr>
        <w:tab/>
      </w:r>
    </w:p>
    <w:p w14:paraId="5B5C65D2" w14:textId="0481BAAC" w:rsidR="00262AAE" w:rsidRDefault="00262AAE" w:rsidP="00262AAE">
      <w:pPr>
        <w:pStyle w:val="Normal1"/>
        <w:tabs>
          <w:tab w:val="left" w:pos="1890"/>
        </w:tabs>
        <w:ind w:right="720"/>
        <w:contextualSpacing w:val="0"/>
        <w:rPr>
          <w:color w:val="auto"/>
          <w:sz w:val="22"/>
        </w:rPr>
      </w:pPr>
      <w:r w:rsidRPr="007A5784">
        <w:rPr>
          <w:color w:val="auto"/>
          <w:sz w:val="22"/>
        </w:rPr>
        <w:t>Scott Cheney, Legal Counsel, Board of Examiners</w:t>
      </w:r>
    </w:p>
    <w:p w14:paraId="57B06C75" w14:textId="30E5D166" w:rsidR="00C42984" w:rsidRPr="007A5784" w:rsidRDefault="00C42984" w:rsidP="00262AAE">
      <w:pPr>
        <w:pStyle w:val="Normal1"/>
        <w:tabs>
          <w:tab w:val="left" w:pos="1890"/>
        </w:tabs>
        <w:ind w:right="720"/>
        <w:contextualSpacing w:val="0"/>
        <w:rPr>
          <w:color w:val="auto"/>
          <w:sz w:val="22"/>
        </w:rPr>
      </w:pPr>
      <w:r>
        <w:rPr>
          <w:color w:val="auto"/>
          <w:sz w:val="22"/>
        </w:rPr>
        <w:t>Elliott Clark, Assistant Attorney General</w:t>
      </w:r>
    </w:p>
    <w:p w14:paraId="310486F7" w14:textId="1FC17AE9" w:rsidR="00FD5F56" w:rsidRPr="007A5784" w:rsidRDefault="00262AAE" w:rsidP="00262AAE">
      <w:pPr>
        <w:pStyle w:val="Normal1"/>
        <w:tabs>
          <w:tab w:val="left" w:pos="1890"/>
        </w:tabs>
        <w:ind w:right="720"/>
        <w:contextualSpacing w:val="0"/>
        <w:rPr>
          <w:color w:val="auto"/>
          <w:sz w:val="22"/>
        </w:rPr>
      </w:pPr>
      <w:r w:rsidRPr="007A5784">
        <w:rPr>
          <w:color w:val="auto"/>
          <w:sz w:val="22"/>
        </w:rPr>
        <w:t>Tauna MacPherson, Executive Assistant, Board of Examiners</w:t>
      </w:r>
    </w:p>
    <w:p w14:paraId="5CEF4996" w14:textId="59D51B09" w:rsidR="002602E8" w:rsidRPr="007A5784" w:rsidRDefault="002602E8" w:rsidP="00262AAE">
      <w:pPr>
        <w:pStyle w:val="Normal1"/>
        <w:tabs>
          <w:tab w:val="left" w:pos="1890"/>
        </w:tabs>
        <w:ind w:right="720"/>
        <w:contextualSpacing w:val="0"/>
        <w:rPr>
          <w:color w:val="auto"/>
          <w:sz w:val="22"/>
        </w:rPr>
      </w:pPr>
      <w:r w:rsidRPr="007A5784">
        <w:rPr>
          <w:color w:val="auto"/>
          <w:sz w:val="22"/>
        </w:rPr>
        <w:t>Adam Duncan</w:t>
      </w:r>
      <w:r w:rsidR="00262AAE" w:rsidRPr="007A5784">
        <w:rPr>
          <w:color w:val="auto"/>
          <w:sz w:val="22"/>
        </w:rPr>
        <w:t>,</w:t>
      </w:r>
      <w:r w:rsidRPr="007A5784">
        <w:rPr>
          <w:color w:val="auto"/>
          <w:sz w:val="22"/>
        </w:rPr>
        <w:t xml:space="preserve"> Deputy</w:t>
      </w:r>
      <w:r w:rsidR="00262AAE" w:rsidRPr="007A5784">
        <w:rPr>
          <w:color w:val="auto"/>
          <w:sz w:val="22"/>
        </w:rPr>
        <w:t xml:space="preserve"> General Counsel, Governor</w:t>
      </w:r>
    </w:p>
    <w:p w14:paraId="0C67111A" w14:textId="77777777" w:rsidR="009254A8" w:rsidRDefault="002602E8" w:rsidP="00262AAE">
      <w:pPr>
        <w:pStyle w:val="Normal1"/>
        <w:tabs>
          <w:tab w:val="left" w:pos="1890"/>
        </w:tabs>
        <w:ind w:right="720"/>
        <w:contextualSpacing w:val="0"/>
        <w:rPr>
          <w:color w:val="auto"/>
          <w:sz w:val="22"/>
        </w:rPr>
      </w:pPr>
      <w:r w:rsidRPr="007A5784">
        <w:rPr>
          <w:color w:val="auto"/>
          <w:sz w:val="22"/>
        </w:rPr>
        <w:t>Ric Cantrell, Chief of Staff, Attorney General</w:t>
      </w:r>
      <w:r w:rsidR="00262AAE" w:rsidRPr="007A5784">
        <w:rPr>
          <w:color w:val="auto"/>
          <w:sz w:val="22"/>
        </w:rPr>
        <w:tab/>
      </w:r>
    </w:p>
    <w:p w14:paraId="5970FDEC" w14:textId="7DB18815" w:rsidR="009254A8" w:rsidRDefault="009254A8" w:rsidP="00262AAE">
      <w:pPr>
        <w:pStyle w:val="Normal1"/>
        <w:tabs>
          <w:tab w:val="left" w:pos="1890"/>
        </w:tabs>
        <w:ind w:right="720"/>
        <w:contextualSpacing w:val="0"/>
        <w:rPr>
          <w:color w:val="auto"/>
          <w:sz w:val="22"/>
        </w:rPr>
      </w:pPr>
      <w:r>
        <w:rPr>
          <w:color w:val="auto"/>
          <w:sz w:val="22"/>
        </w:rPr>
        <w:t xml:space="preserve">Tina Cannon, </w:t>
      </w:r>
      <w:r w:rsidR="002F7A76">
        <w:rPr>
          <w:color w:val="auto"/>
          <w:sz w:val="22"/>
        </w:rPr>
        <w:t>State Auditor Elect</w:t>
      </w:r>
    </w:p>
    <w:p w14:paraId="3FFDEE78" w14:textId="77777777" w:rsidR="009254A8" w:rsidRDefault="009254A8" w:rsidP="00262AAE">
      <w:pPr>
        <w:pStyle w:val="Normal1"/>
        <w:tabs>
          <w:tab w:val="left" w:pos="1890"/>
        </w:tabs>
        <w:ind w:right="720"/>
        <w:contextualSpacing w:val="0"/>
        <w:rPr>
          <w:color w:val="auto"/>
          <w:sz w:val="22"/>
        </w:rPr>
      </w:pPr>
      <w:r>
        <w:rPr>
          <w:color w:val="auto"/>
          <w:sz w:val="22"/>
        </w:rPr>
        <w:t>Mandy Teerlink, Office of the State Auditor</w:t>
      </w:r>
    </w:p>
    <w:p w14:paraId="514CBB46" w14:textId="621F219E" w:rsidR="009254A8" w:rsidRDefault="009254A8" w:rsidP="00262AAE">
      <w:pPr>
        <w:pStyle w:val="Normal1"/>
        <w:tabs>
          <w:tab w:val="left" w:pos="1890"/>
        </w:tabs>
        <w:ind w:right="720"/>
        <w:contextualSpacing w:val="0"/>
        <w:rPr>
          <w:color w:val="auto"/>
          <w:sz w:val="22"/>
        </w:rPr>
      </w:pPr>
      <w:r>
        <w:rPr>
          <w:color w:val="auto"/>
          <w:sz w:val="22"/>
        </w:rPr>
        <w:t>Derek Brown</w:t>
      </w:r>
      <w:r w:rsidR="002F7A76">
        <w:rPr>
          <w:color w:val="auto"/>
          <w:sz w:val="22"/>
        </w:rPr>
        <w:t>, Attorney General Elect</w:t>
      </w:r>
    </w:p>
    <w:p w14:paraId="104E0AF4" w14:textId="7878DCE6" w:rsidR="002F7A76" w:rsidRDefault="002F7A76" w:rsidP="00262AAE">
      <w:pPr>
        <w:pStyle w:val="Normal1"/>
        <w:tabs>
          <w:tab w:val="left" w:pos="1890"/>
        </w:tabs>
        <w:ind w:right="720"/>
        <w:contextualSpacing w:val="0"/>
        <w:rPr>
          <w:color w:val="auto"/>
          <w:sz w:val="22"/>
        </w:rPr>
      </w:pPr>
      <w:r>
        <w:rPr>
          <w:color w:val="auto"/>
          <w:sz w:val="22"/>
        </w:rPr>
        <w:t>Dan Burton, General Counsel, Attorney General</w:t>
      </w:r>
    </w:p>
    <w:p w14:paraId="3AAF82CA" w14:textId="77791C9E" w:rsidR="009254A8" w:rsidRDefault="009254A8" w:rsidP="00262AAE">
      <w:pPr>
        <w:pStyle w:val="Normal1"/>
        <w:tabs>
          <w:tab w:val="left" w:pos="1890"/>
        </w:tabs>
        <w:ind w:right="720"/>
        <w:contextualSpacing w:val="0"/>
        <w:rPr>
          <w:color w:val="auto"/>
          <w:sz w:val="22"/>
        </w:rPr>
      </w:pPr>
      <w:r>
        <w:rPr>
          <w:color w:val="auto"/>
          <w:sz w:val="22"/>
        </w:rPr>
        <w:t>Tiffany Clason, Director Department of Alcoholic Beverage Services</w:t>
      </w:r>
    </w:p>
    <w:p w14:paraId="0668E95E" w14:textId="48DD441B" w:rsidR="009254A8" w:rsidRDefault="009254A8" w:rsidP="00262AAE">
      <w:pPr>
        <w:pStyle w:val="Normal1"/>
        <w:tabs>
          <w:tab w:val="left" w:pos="1890"/>
        </w:tabs>
        <w:ind w:right="720"/>
        <w:contextualSpacing w:val="0"/>
        <w:rPr>
          <w:color w:val="auto"/>
          <w:sz w:val="22"/>
        </w:rPr>
      </w:pPr>
      <w:r>
        <w:rPr>
          <w:color w:val="auto"/>
          <w:sz w:val="22"/>
        </w:rPr>
        <w:t>Todd Darrington, Division Director, Department of Alcoholic Beverage Services</w:t>
      </w:r>
    </w:p>
    <w:p w14:paraId="3E523132" w14:textId="2E6B3221" w:rsidR="009254A8" w:rsidRDefault="009254A8" w:rsidP="00262AAE">
      <w:pPr>
        <w:pStyle w:val="Normal1"/>
        <w:tabs>
          <w:tab w:val="left" w:pos="1890"/>
        </w:tabs>
        <w:ind w:right="720"/>
        <w:contextualSpacing w:val="0"/>
        <w:rPr>
          <w:color w:val="auto"/>
          <w:sz w:val="22"/>
        </w:rPr>
      </w:pPr>
      <w:r>
        <w:rPr>
          <w:color w:val="auto"/>
          <w:sz w:val="22"/>
        </w:rPr>
        <w:t>Michelle Schmitt, Division Director, Department of Alcoholic Beverage Services</w:t>
      </w:r>
    </w:p>
    <w:p w14:paraId="7F85B4A7" w14:textId="77777777" w:rsidR="009254A8" w:rsidRDefault="009254A8" w:rsidP="009254A8">
      <w:pPr>
        <w:pStyle w:val="Normal1"/>
        <w:tabs>
          <w:tab w:val="left" w:pos="1890"/>
        </w:tabs>
        <w:ind w:right="720"/>
        <w:contextualSpacing w:val="0"/>
        <w:rPr>
          <w:color w:val="auto"/>
          <w:sz w:val="22"/>
        </w:rPr>
      </w:pPr>
      <w:r>
        <w:rPr>
          <w:color w:val="auto"/>
          <w:sz w:val="22"/>
        </w:rPr>
        <w:t>Cade Meier, Deputy Director, Department of Alcoholic Beverage Services</w:t>
      </w:r>
    </w:p>
    <w:p w14:paraId="78DCD115" w14:textId="36983A6C" w:rsidR="009254A8" w:rsidRDefault="009254A8" w:rsidP="00262AAE">
      <w:pPr>
        <w:pStyle w:val="Normal1"/>
        <w:tabs>
          <w:tab w:val="left" w:pos="1890"/>
        </w:tabs>
        <w:ind w:right="720"/>
        <w:contextualSpacing w:val="0"/>
        <w:rPr>
          <w:color w:val="auto"/>
          <w:sz w:val="22"/>
        </w:rPr>
      </w:pPr>
      <w:r>
        <w:rPr>
          <w:color w:val="auto"/>
          <w:sz w:val="22"/>
        </w:rPr>
        <w:t>Vickie Ashby, Executive Assistant, Department of Alcoholic Beverage Services</w:t>
      </w:r>
    </w:p>
    <w:p w14:paraId="51D28503" w14:textId="77777777" w:rsidR="00262AAE" w:rsidRPr="007A5784" w:rsidRDefault="00262AAE" w:rsidP="00262AAE">
      <w:pPr>
        <w:pStyle w:val="Normal1"/>
        <w:tabs>
          <w:tab w:val="left" w:pos="1890"/>
        </w:tabs>
        <w:ind w:right="720"/>
        <w:contextualSpacing w:val="0"/>
        <w:rPr>
          <w:color w:val="auto"/>
          <w:sz w:val="22"/>
        </w:rPr>
      </w:pPr>
      <w:r w:rsidRPr="007A5784">
        <w:rPr>
          <w:color w:val="auto"/>
          <w:sz w:val="22"/>
        </w:rPr>
        <w:tab/>
      </w:r>
      <w:r w:rsidRPr="007A5784">
        <w:rPr>
          <w:color w:val="auto"/>
          <w:sz w:val="22"/>
        </w:rPr>
        <w:tab/>
      </w:r>
      <w:r w:rsidRPr="007A5784">
        <w:rPr>
          <w:color w:val="auto"/>
          <w:sz w:val="22"/>
        </w:rPr>
        <w:tab/>
      </w:r>
      <w:r w:rsidRPr="007A5784">
        <w:rPr>
          <w:color w:val="auto"/>
          <w:sz w:val="22"/>
        </w:rPr>
        <w:tab/>
      </w:r>
      <w:r w:rsidRPr="007A5784">
        <w:rPr>
          <w:color w:val="auto"/>
          <w:sz w:val="22"/>
        </w:rPr>
        <w:tab/>
      </w:r>
    </w:p>
    <w:p w14:paraId="1445A8A6" w14:textId="77777777" w:rsidR="00262AAE" w:rsidRPr="007A5784" w:rsidRDefault="00262AAE" w:rsidP="00262AAE">
      <w:pPr>
        <w:pStyle w:val="Normal1"/>
        <w:ind w:right="720"/>
        <w:contextualSpacing w:val="0"/>
        <w:rPr>
          <w:color w:val="auto"/>
          <w:sz w:val="22"/>
        </w:rPr>
      </w:pPr>
      <w:r w:rsidRPr="007A5784">
        <w:rPr>
          <w:color w:val="auto"/>
          <w:sz w:val="22"/>
        </w:rPr>
        <w:t>Note: A copy of the audio recording of the meeting can be found at pmn.utah.gov.</w:t>
      </w:r>
    </w:p>
    <w:p w14:paraId="4F6392A3" w14:textId="77777777" w:rsidR="00262AAE" w:rsidRPr="007A5784" w:rsidRDefault="00262AAE" w:rsidP="00262AAE">
      <w:pPr>
        <w:pStyle w:val="Normal1"/>
        <w:ind w:right="720"/>
        <w:contextualSpacing w:val="0"/>
        <w:rPr>
          <w:color w:val="auto"/>
          <w:sz w:val="22"/>
        </w:rPr>
      </w:pPr>
    </w:p>
    <w:p w14:paraId="39FD691B" w14:textId="424689BC" w:rsidR="00262AAE" w:rsidRPr="007A5784" w:rsidRDefault="00262AAE" w:rsidP="00C42984">
      <w:pPr>
        <w:pStyle w:val="Normal1"/>
        <w:numPr>
          <w:ilvl w:val="0"/>
          <w:numId w:val="2"/>
        </w:numPr>
        <w:ind w:right="720"/>
        <w:contextualSpacing w:val="0"/>
        <w:rPr>
          <w:color w:val="auto"/>
          <w:sz w:val="22"/>
        </w:rPr>
      </w:pPr>
      <w:r w:rsidRPr="007A5784">
        <w:rPr>
          <w:b/>
          <w:color w:val="auto"/>
          <w:sz w:val="22"/>
        </w:rPr>
        <w:t>Call to Order</w:t>
      </w:r>
    </w:p>
    <w:p w14:paraId="49B60E3E" w14:textId="22FE276E" w:rsidR="00262AAE" w:rsidRDefault="00262AAE" w:rsidP="00262AAE">
      <w:pPr>
        <w:pStyle w:val="Normal1"/>
        <w:ind w:left="360" w:right="720"/>
        <w:contextualSpacing w:val="0"/>
        <w:jc w:val="both"/>
        <w:rPr>
          <w:color w:val="auto"/>
          <w:sz w:val="22"/>
        </w:rPr>
      </w:pPr>
      <w:r w:rsidRPr="007A5784">
        <w:rPr>
          <w:color w:val="auto"/>
          <w:sz w:val="22"/>
        </w:rPr>
        <w:t xml:space="preserve">Governor Cox presided and called the meeting to order at </w:t>
      </w:r>
      <w:r w:rsidR="00C00DEF">
        <w:rPr>
          <w:color w:val="auto"/>
          <w:sz w:val="22"/>
        </w:rPr>
        <w:t>1</w:t>
      </w:r>
      <w:r w:rsidR="00C42984">
        <w:rPr>
          <w:color w:val="auto"/>
          <w:sz w:val="22"/>
        </w:rPr>
        <w:t>0:02</w:t>
      </w:r>
      <w:r w:rsidR="00C00DEF">
        <w:rPr>
          <w:color w:val="auto"/>
          <w:sz w:val="22"/>
        </w:rPr>
        <w:t xml:space="preserve"> </w:t>
      </w:r>
      <w:r w:rsidR="00C42984">
        <w:rPr>
          <w:color w:val="auto"/>
          <w:sz w:val="22"/>
        </w:rPr>
        <w:t>a</w:t>
      </w:r>
      <w:r w:rsidRPr="007A5784">
        <w:rPr>
          <w:color w:val="auto"/>
          <w:sz w:val="22"/>
        </w:rPr>
        <w:t xml:space="preserve">.m. </w:t>
      </w:r>
    </w:p>
    <w:p w14:paraId="351B9797" w14:textId="77777777" w:rsidR="00C42984" w:rsidRDefault="00C42984" w:rsidP="00C42984">
      <w:pPr>
        <w:pStyle w:val="Normal1"/>
        <w:ind w:right="720"/>
        <w:contextualSpacing w:val="0"/>
        <w:jc w:val="both"/>
        <w:rPr>
          <w:color w:val="auto"/>
          <w:sz w:val="22"/>
        </w:rPr>
      </w:pPr>
    </w:p>
    <w:p w14:paraId="74206CC8" w14:textId="1C97C481" w:rsidR="00C42984" w:rsidRPr="003E23CE" w:rsidRDefault="003E23CE" w:rsidP="00C42984">
      <w:pPr>
        <w:pStyle w:val="Normal1"/>
        <w:numPr>
          <w:ilvl w:val="0"/>
          <w:numId w:val="2"/>
        </w:numPr>
        <w:ind w:right="720"/>
        <w:contextualSpacing w:val="0"/>
        <w:jc w:val="both"/>
        <w:rPr>
          <w:b/>
          <w:bCs/>
          <w:color w:val="auto"/>
          <w:sz w:val="22"/>
        </w:rPr>
      </w:pPr>
      <w:r w:rsidRPr="003E23CE">
        <w:rPr>
          <w:b/>
          <w:bCs/>
          <w:color w:val="auto"/>
          <w:sz w:val="22"/>
        </w:rPr>
        <w:t>Open and Public Meetings Act Training per Utah Code 52-4-104</w:t>
      </w:r>
    </w:p>
    <w:p w14:paraId="74226C3F" w14:textId="1744BAB2" w:rsidR="003E23CE" w:rsidRDefault="003E23CE" w:rsidP="003E23CE">
      <w:pPr>
        <w:pStyle w:val="Normal1"/>
        <w:ind w:left="360" w:right="720"/>
        <w:contextualSpacing w:val="0"/>
        <w:jc w:val="both"/>
        <w:rPr>
          <w:color w:val="auto"/>
          <w:sz w:val="22"/>
        </w:rPr>
      </w:pPr>
      <w:r>
        <w:rPr>
          <w:color w:val="auto"/>
          <w:sz w:val="22"/>
        </w:rPr>
        <w:t>Elliott Clark</w:t>
      </w:r>
      <w:r w:rsidR="002F7A76">
        <w:rPr>
          <w:color w:val="auto"/>
          <w:sz w:val="22"/>
        </w:rPr>
        <w:t xml:space="preserve"> </w:t>
      </w:r>
      <w:r>
        <w:rPr>
          <w:color w:val="auto"/>
          <w:sz w:val="22"/>
        </w:rPr>
        <w:t>provided the required annual Open and Public Meeting Act training.</w:t>
      </w:r>
    </w:p>
    <w:p w14:paraId="27EFC363" w14:textId="77777777" w:rsidR="003E23CE" w:rsidRDefault="003E23CE" w:rsidP="003E23CE">
      <w:pPr>
        <w:pStyle w:val="Normal1"/>
        <w:ind w:right="720"/>
        <w:contextualSpacing w:val="0"/>
        <w:jc w:val="both"/>
        <w:rPr>
          <w:color w:val="auto"/>
          <w:sz w:val="22"/>
        </w:rPr>
      </w:pPr>
    </w:p>
    <w:p w14:paraId="684D4DC4" w14:textId="43B275A3" w:rsidR="00262AAE" w:rsidRPr="003E23CE" w:rsidRDefault="003E23CE" w:rsidP="00262AAE">
      <w:pPr>
        <w:pStyle w:val="Normal1"/>
        <w:numPr>
          <w:ilvl w:val="0"/>
          <w:numId w:val="2"/>
        </w:numPr>
        <w:ind w:right="720"/>
        <w:contextualSpacing w:val="0"/>
        <w:jc w:val="both"/>
        <w:rPr>
          <w:color w:val="auto"/>
          <w:sz w:val="22"/>
        </w:rPr>
      </w:pPr>
      <w:r w:rsidRPr="003E23CE">
        <w:rPr>
          <w:b/>
          <w:bCs/>
          <w:color w:val="auto"/>
          <w:sz w:val="22"/>
        </w:rPr>
        <w:t>Action Items</w:t>
      </w:r>
    </w:p>
    <w:p w14:paraId="2C2E2A94" w14:textId="5556B0AC" w:rsidR="00262AAE" w:rsidRPr="003E23CE" w:rsidRDefault="00262AAE" w:rsidP="003E23CE">
      <w:pPr>
        <w:pStyle w:val="ListParagraph"/>
        <w:numPr>
          <w:ilvl w:val="0"/>
          <w:numId w:val="4"/>
        </w:num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right="187"/>
        <w:rPr>
          <w:b/>
          <w:sz w:val="22"/>
        </w:rPr>
      </w:pPr>
      <w:r w:rsidRPr="003E23CE">
        <w:rPr>
          <w:b/>
          <w:sz w:val="22"/>
        </w:rPr>
        <w:t xml:space="preserve">Approval of minutes of the </w:t>
      </w:r>
      <w:r w:rsidR="000F7ADD" w:rsidRPr="003E23CE">
        <w:rPr>
          <w:b/>
          <w:sz w:val="22"/>
        </w:rPr>
        <w:t xml:space="preserve">November </w:t>
      </w:r>
      <w:r w:rsidR="00C42984" w:rsidRPr="003E23CE">
        <w:rPr>
          <w:b/>
          <w:sz w:val="22"/>
        </w:rPr>
        <w:t>9</w:t>
      </w:r>
      <w:r w:rsidRPr="003E23CE">
        <w:rPr>
          <w:b/>
          <w:sz w:val="22"/>
        </w:rPr>
        <w:t>, 202</w:t>
      </w:r>
      <w:r w:rsidR="00C42984" w:rsidRPr="003E23CE">
        <w:rPr>
          <w:b/>
          <w:sz w:val="22"/>
        </w:rPr>
        <w:t>3</w:t>
      </w:r>
      <w:r w:rsidRPr="003E23CE">
        <w:rPr>
          <w:b/>
          <w:sz w:val="22"/>
        </w:rPr>
        <w:t xml:space="preserve"> meeting</w:t>
      </w:r>
    </w:p>
    <w:p w14:paraId="02242BF0" w14:textId="77777777" w:rsidR="00262AAE" w:rsidRPr="007A5784" w:rsidRDefault="00262AAE" w:rsidP="00262AAE">
      <w:pPr>
        <w:pStyle w:val="Normal1"/>
        <w:ind w:right="720"/>
        <w:contextualSpacing w:val="0"/>
        <w:rPr>
          <w:color w:val="auto"/>
          <w:sz w:val="22"/>
        </w:rPr>
      </w:pPr>
    </w:p>
    <w:p w14:paraId="40B64432" w14:textId="5CA2DA9A" w:rsidR="00262AAE" w:rsidRPr="007A5784" w:rsidRDefault="00262AAE" w:rsidP="00262AAE">
      <w:pPr>
        <w:pStyle w:val="Normal1"/>
        <w:ind w:left="360" w:right="720"/>
        <w:jc w:val="both"/>
        <w:rPr>
          <w:color w:val="auto"/>
          <w:sz w:val="22"/>
        </w:rPr>
      </w:pPr>
      <w:r w:rsidRPr="007A5784">
        <w:rPr>
          <w:b/>
          <w:color w:val="auto"/>
          <w:sz w:val="22"/>
        </w:rPr>
        <w:t>MOTION:</w:t>
      </w:r>
      <w:r w:rsidRPr="007A5784">
        <w:rPr>
          <w:color w:val="auto"/>
          <w:sz w:val="22"/>
        </w:rPr>
        <w:t xml:space="preserve">  </w:t>
      </w:r>
      <w:r w:rsidR="00B6317E" w:rsidRPr="007A5784">
        <w:rPr>
          <w:color w:val="auto"/>
          <w:sz w:val="22"/>
        </w:rPr>
        <w:t xml:space="preserve">Attorney General Sean Reyes </w:t>
      </w:r>
      <w:r w:rsidRPr="007A5784">
        <w:rPr>
          <w:color w:val="auto"/>
          <w:sz w:val="22"/>
        </w:rPr>
        <w:t xml:space="preserve">moved to approve the minutes for the meeting on </w:t>
      </w:r>
      <w:r w:rsidR="000F7ADD" w:rsidRPr="007A5784">
        <w:rPr>
          <w:color w:val="auto"/>
          <w:sz w:val="22"/>
        </w:rPr>
        <w:t xml:space="preserve">November </w:t>
      </w:r>
      <w:r w:rsidR="00C42984">
        <w:rPr>
          <w:color w:val="auto"/>
          <w:sz w:val="22"/>
        </w:rPr>
        <w:t>9</w:t>
      </w:r>
      <w:r w:rsidRPr="007A5784">
        <w:rPr>
          <w:color w:val="auto"/>
          <w:sz w:val="22"/>
        </w:rPr>
        <w:t>, 202</w:t>
      </w:r>
      <w:r w:rsidR="00C42984">
        <w:rPr>
          <w:color w:val="auto"/>
          <w:sz w:val="22"/>
        </w:rPr>
        <w:t>3</w:t>
      </w:r>
      <w:r w:rsidR="00B6317E" w:rsidRPr="007A5784">
        <w:rPr>
          <w:color w:val="auto"/>
          <w:sz w:val="22"/>
        </w:rPr>
        <w:t>. The motion passed</w:t>
      </w:r>
      <w:r w:rsidR="007A5784" w:rsidRPr="00026184">
        <w:rPr>
          <w:color w:val="auto"/>
          <w:sz w:val="22"/>
        </w:rPr>
        <w:t xml:space="preserve"> unanimously</w:t>
      </w:r>
      <w:r w:rsidR="00B6317E" w:rsidRPr="007A5784">
        <w:rPr>
          <w:color w:val="auto"/>
          <w:sz w:val="22"/>
        </w:rPr>
        <w:t>.</w:t>
      </w:r>
    </w:p>
    <w:p w14:paraId="609E098D" w14:textId="77777777" w:rsidR="003E23CE" w:rsidRDefault="003E23CE" w:rsidP="00C00DEF">
      <w:pPr>
        <w:pStyle w:val="Normal1"/>
        <w:ind w:left="360" w:right="720"/>
        <w:rPr>
          <w:b/>
          <w:color w:val="auto"/>
          <w:sz w:val="22"/>
        </w:rPr>
      </w:pPr>
    </w:p>
    <w:p w14:paraId="04B714D2" w14:textId="77777777" w:rsidR="003E23CE" w:rsidRDefault="003E23CE" w:rsidP="003E23CE">
      <w:pPr>
        <w:pStyle w:val="Normal1"/>
        <w:numPr>
          <w:ilvl w:val="0"/>
          <w:numId w:val="4"/>
        </w:numPr>
        <w:ind w:right="720"/>
        <w:rPr>
          <w:b/>
          <w:color w:val="auto"/>
          <w:sz w:val="22"/>
        </w:rPr>
      </w:pPr>
      <w:r>
        <w:rPr>
          <w:b/>
          <w:color w:val="auto"/>
          <w:sz w:val="22"/>
        </w:rPr>
        <w:t>Electronic Meeting Policy, Utah Code Section 52-4-207</w:t>
      </w:r>
    </w:p>
    <w:p w14:paraId="2F1E1978" w14:textId="40A29EEB" w:rsidR="006123A7" w:rsidRPr="007A5784" w:rsidRDefault="006123A7" w:rsidP="003E23CE">
      <w:pPr>
        <w:pStyle w:val="Normal1"/>
        <w:ind w:left="720" w:right="720"/>
        <w:rPr>
          <w:b/>
          <w:color w:val="auto"/>
          <w:sz w:val="22"/>
        </w:rPr>
      </w:pPr>
      <w:r w:rsidRPr="007A5784">
        <w:rPr>
          <w:b/>
          <w:color w:val="auto"/>
          <w:sz w:val="22"/>
        </w:rPr>
        <w:t xml:space="preserve"> </w:t>
      </w:r>
    </w:p>
    <w:p w14:paraId="50037073" w14:textId="0D46AABF" w:rsidR="003E23CE" w:rsidRDefault="003E23CE" w:rsidP="003E23CE">
      <w:pPr>
        <w:pStyle w:val="Normal1"/>
        <w:ind w:left="360" w:right="720"/>
        <w:jc w:val="both"/>
        <w:rPr>
          <w:color w:val="auto"/>
          <w:sz w:val="22"/>
        </w:rPr>
      </w:pPr>
      <w:r w:rsidRPr="007A5784">
        <w:rPr>
          <w:b/>
          <w:color w:val="auto"/>
          <w:sz w:val="22"/>
        </w:rPr>
        <w:t>MOTION:</w:t>
      </w:r>
      <w:r w:rsidRPr="007A5784">
        <w:rPr>
          <w:color w:val="auto"/>
          <w:sz w:val="22"/>
        </w:rPr>
        <w:t xml:space="preserve">  </w:t>
      </w:r>
      <w:r>
        <w:rPr>
          <w:color w:val="auto"/>
          <w:sz w:val="22"/>
        </w:rPr>
        <w:t>State Auditor John Dougall</w:t>
      </w:r>
      <w:r w:rsidRPr="007A5784">
        <w:rPr>
          <w:color w:val="auto"/>
          <w:sz w:val="22"/>
        </w:rPr>
        <w:t xml:space="preserve"> moved to approve the </w:t>
      </w:r>
      <w:r>
        <w:rPr>
          <w:color w:val="auto"/>
          <w:sz w:val="22"/>
        </w:rPr>
        <w:t>Electronic Meeting Policy</w:t>
      </w:r>
      <w:r w:rsidRPr="007A5784">
        <w:rPr>
          <w:color w:val="auto"/>
          <w:sz w:val="22"/>
        </w:rPr>
        <w:t>. The motion passed</w:t>
      </w:r>
      <w:r w:rsidRPr="00026184">
        <w:rPr>
          <w:color w:val="auto"/>
          <w:sz w:val="22"/>
        </w:rPr>
        <w:t xml:space="preserve"> unanimously</w:t>
      </w:r>
      <w:r w:rsidRPr="007A5784">
        <w:rPr>
          <w:color w:val="auto"/>
          <w:sz w:val="22"/>
        </w:rPr>
        <w:t>.</w:t>
      </w:r>
    </w:p>
    <w:p w14:paraId="0AECA1DB" w14:textId="77777777" w:rsidR="003E23CE" w:rsidRDefault="003E23CE" w:rsidP="003E23CE">
      <w:pPr>
        <w:pStyle w:val="Normal1"/>
        <w:ind w:left="360" w:right="720"/>
        <w:jc w:val="both"/>
        <w:rPr>
          <w:color w:val="auto"/>
          <w:sz w:val="22"/>
        </w:rPr>
      </w:pPr>
    </w:p>
    <w:p w14:paraId="21B7E80C" w14:textId="4CDC615D" w:rsidR="003E23CE" w:rsidRDefault="003E23CE" w:rsidP="003E23CE">
      <w:pPr>
        <w:pStyle w:val="Normal1"/>
        <w:numPr>
          <w:ilvl w:val="0"/>
          <w:numId w:val="4"/>
        </w:numPr>
        <w:ind w:right="720"/>
        <w:jc w:val="both"/>
        <w:rPr>
          <w:color w:val="auto"/>
          <w:sz w:val="22"/>
        </w:rPr>
      </w:pPr>
      <w:r>
        <w:rPr>
          <w:color w:val="auto"/>
          <w:sz w:val="22"/>
        </w:rPr>
        <w:t>Review and consider recommendations for Department of Alcoholic Beverage Services overexpenditure.</w:t>
      </w:r>
    </w:p>
    <w:p w14:paraId="256546D9" w14:textId="77777777" w:rsidR="003E23CE" w:rsidRDefault="003E23CE" w:rsidP="003E23CE">
      <w:pPr>
        <w:pStyle w:val="Normal1"/>
        <w:ind w:left="360" w:right="720"/>
        <w:jc w:val="both"/>
        <w:rPr>
          <w:color w:val="auto"/>
          <w:sz w:val="22"/>
        </w:rPr>
      </w:pPr>
    </w:p>
    <w:p w14:paraId="0DBA02D9" w14:textId="7A31DA29" w:rsidR="003E23CE" w:rsidRDefault="003E23CE" w:rsidP="003E23CE">
      <w:pPr>
        <w:pStyle w:val="Normal1"/>
        <w:ind w:left="360" w:right="720"/>
        <w:jc w:val="both"/>
        <w:rPr>
          <w:color w:val="auto"/>
          <w:sz w:val="22"/>
        </w:rPr>
      </w:pPr>
      <w:r>
        <w:rPr>
          <w:color w:val="auto"/>
          <w:sz w:val="22"/>
        </w:rPr>
        <w:t>Tiffany Clason, Director of Department of Alcoholic Beverage Services, presented their report of the DABS FY24</w:t>
      </w:r>
      <w:r w:rsidR="00E97C86">
        <w:rPr>
          <w:color w:val="auto"/>
          <w:sz w:val="22"/>
        </w:rPr>
        <w:t xml:space="preserve"> budget overspend of $359,200, due to accounting errors related to a double appropriation. Ms. Clason discussed the action plan they would be taking for present and future mitigation. DABS will absorb the overspend in its FY25 budget by managing spending and delaying non-urgent needs.</w:t>
      </w:r>
    </w:p>
    <w:p w14:paraId="2D1D3BBD" w14:textId="77777777" w:rsidR="00D47D0D" w:rsidRPr="007A5784" w:rsidRDefault="00D47D0D" w:rsidP="003E23CE">
      <w:pPr>
        <w:pStyle w:val="Normal1"/>
        <w:ind w:left="360" w:right="720"/>
        <w:jc w:val="both"/>
        <w:rPr>
          <w:color w:val="auto"/>
          <w:sz w:val="22"/>
        </w:rPr>
      </w:pPr>
    </w:p>
    <w:p w14:paraId="65C1F09A" w14:textId="77777777" w:rsidR="001F6037" w:rsidRPr="00DF1477" w:rsidRDefault="001F6037">
      <w:pPr>
        <w:rPr>
          <w:sz w:val="22"/>
          <w:szCs w:val="22"/>
        </w:rPr>
      </w:pPr>
    </w:p>
    <w:p w14:paraId="5C381FBB" w14:textId="77777777" w:rsidR="00262AAE" w:rsidRPr="007A5784" w:rsidRDefault="00262AAE" w:rsidP="000F7ADD">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r w:rsidRPr="007A5784">
        <w:rPr>
          <w:b/>
          <w:sz w:val="22"/>
          <w:szCs w:val="22"/>
        </w:rPr>
        <w:lastRenderedPageBreak/>
        <w:t xml:space="preserve">4.   </w:t>
      </w:r>
      <w:r w:rsidR="006123A7" w:rsidRPr="007A5784">
        <w:rPr>
          <w:b/>
          <w:sz w:val="22"/>
          <w:szCs w:val="22"/>
        </w:rPr>
        <w:t>Other Business</w:t>
      </w:r>
    </w:p>
    <w:p w14:paraId="23A40C3E" w14:textId="01BEF7C8" w:rsidR="003341F7" w:rsidRDefault="006123A7" w:rsidP="006123A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r w:rsidRPr="007A5784">
        <w:rPr>
          <w:sz w:val="22"/>
          <w:szCs w:val="22"/>
        </w:rPr>
        <w:tab/>
      </w:r>
      <w:r w:rsidR="004C0636">
        <w:rPr>
          <w:sz w:val="22"/>
          <w:szCs w:val="22"/>
        </w:rPr>
        <w:t>Scott Cheney</w:t>
      </w:r>
      <w:r w:rsidR="00482EEC">
        <w:rPr>
          <w:sz w:val="22"/>
          <w:szCs w:val="22"/>
        </w:rPr>
        <w:t xml:space="preserve"> </w:t>
      </w:r>
      <w:r w:rsidR="00BC2693">
        <w:rPr>
          <w:sz w:val="22"/>
          <w:szCs w:val="22"/>
        </w:rPr>
        <w:t>addressed</w:t>
      </w:r>
      <w:r w:rsidR="004C0636">
        <w:rPr>
          <w:sz w:val="22"/>
          <w:szCs w:val="22"/>
        </w:rPr>
        <w:t xml:space="preserve"> the case of Claudio Miranda Rancon</w:t>
      </w:r>
      <w:r w:rsidR="002F7A76">
        <w:rPr>
          <w:sz w:val="22"/>
          <w:szCs w:val="22"/>
        </w:rPr>
        <w:t xml:space="preserve"> which is time barred due to statue. Mr. Cheney stated that there may be some </w:t>
      </w:r>
      <w:r w:rsidR="00354B5A">
        <w:rPr>
          <w:sz w:val="22"/>
          <w:szCs w:val="22"/>
        </w:rPr>
        <w:t>third-party claims</w:t>
      </w:r>
      <w:r w:rsidR="002F7A76">
        <w:rPr>
          <w:sz w:val="22"/>
          <w:szCs w:val="22"/>
        </w:rPr>
        <w:t xml:space="preserve"> the claimant and his family could make </w:t>
      </w:r>
      <w:r w:rsidR="00354B5A">
        <w:rPr>
          <w:sz w:val="22"/>
          <w:szCs w:val="22"/>
        </w:rPr>
        <w:t>in the future. Upon settlement of those claims the claimant may reach out to the Board of Examiners for consideration within the statue guidelines.</w:t>
      </w:r>
      <w:r w:rsidR="002F7A76">
        <w:rPr>
          <w:sz w:val="22"/>
          <w:szCs w:val="22"/>
        </w:rPr>
        <w:t xml:space="preserve">                             </w:t>
      </w:r>
      <w:r w:rsidR="00BC2693">
        <w:rPr>
          <w:sz w:val="22"/>
          <w:szCs w:val="22"/>
        </w:rPr>
        <w:t xml:space="preserve"> </w:t>
      </w:r>
    </w:p>
    <w:p w14:paraId="14C047D3" w14:textId="5B21F97F" w:rsidR="00601AAF" w:rsidRPr="007A5784" w:rsidRDefault="003341F7" w:rsidP="00601AAF">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r>
        <w:rPr>
          <w:sz w:val="22"/>
          <w:szCs w:val="22"/>
        </w:rPr>
        <w:tab/>
      </w:r>
    </w:p>
    <w:p w14:paraId="2F902E83" w14:textId="77777777" w:rsidR="00601AAF" w:rsidRPr="007A5784" w:rsidRDefault="006123A7" w:rsidP="00601AAF">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r w:rsidRPr="007A5784">
        <w:rPr>
          <w:b/>
          <w:sz w:val="22"/>
          <w:szCs w:val="22"/>
        </w:rPr>
        <w:t>5</w:t>
      </w:r>
      <w:r w:rsidR="00601AAF" w:rsidRPr="007A5784">
        <w:rPr>
          <w:b/>
          <w:sz w:val="22"/>
          <w:szCs w:val="22"/>
        </w:rPr>
        <w:t>.   Adjourn</w:t>
      </w:r>
    </w:p>
    <w:p w14:paraId="49552EA8" w14:textId="77777777" w:rsidR="00601AAF" w:rsidRPr="007A5784" w:rsidRDefault="00601AAF" w:rsidP="00601AAF">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r w:rsidRPr="007A5784">
        <w:rPr>
          <w:sz w:val="22"/>
          <w:szCs w:val="22"/>
        </w:rPr>
        <w:t xml:space="preserve">      Governor Cox called for a motion to adjourn the meeting.</w:t>
      </w:r>
    </w:p>
    <w:p w14:paraId="63EBBF6A" w14:textId="77777777" w:rsidR="00601AAF" w:rsidRPr="007A5784" w:rsidRDefault="00601AAF" w:rsidP="00601AAF">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p>
    <w:p w14:paraId="661B4449" w14:textId="7C679805" w:rsidR="00601AAF" w:rsidRPr="007A5784" w:rsidRDefault="00601AAF" w:rsidP="00601AAF">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r w:rsidRPr="007A5784">
        <w:rPr>
          <w:sz w:val="22"/>
          <w:szCs w:val="22"/>
        </w:rPr>
        <w:t xml:space="preserve">      </w:t>
      </w:r>
      <w:r w:rsidRPr="007A5784">
        <w:rPr>
          <w:b/>
          <w:sz w:val="22"/>
          <w:szCs w:val="22"/>
        </w:rPr>
        <w:t>MOTION:</w:t>
      </w:r>
      <w:r w:rsidR="009F7841" w:rsidRPr="007A5784">
        <w:rPr>
          <w:sz w:val="22"/>
          <w:szCs w:val="22"/>
        </w:rPr>
        <w:t xml:space="preserve">  </w:t>
      </w:r>
      <w:r w:rsidR="00BC2693">
        <w:rPr>
          <w:sz w:val="22"/>
          <w:szCs w:val="22"/>
        </w:rPr>
        <w:t>Attorney General Sean Reyes</w:t>
      </w:r>
      <w:r w:rsidR="009F7841" w:rsidRPr="007A5784">
        <w:rPr>
          <w:sz w:val="22"/>
          <w:szCs w:val="22"/>
        </w:rPr>
        <w:t xml:space="preserve"> </w:t>
      </w:r>
      <w:r w:rsidRPr="007A5784">
        <w:rPr>
          <w:sz w:val="22"/>
          <w:szCs w:val="22"/>
        </w:rPr>
        <w:t xml:space="preserve">moved to adjourn the meeting. </w:t>
      </w:r>
      <w:r w:rsidR="009F7841" w:rsidRPr="007A5784">
        <w:rPr>
          <w:sz w:val="22"/>
          <w:szCs w:val="22"/>
        </w:rPr>
        <w:t>The motion passed</w:t>
      </w:r>
      <w:r w:rsidR="003341F7">
        <w:rPr>
          <w:sz w:val="22"/>
          <w:szCs w:val="22"/>
        </w:rPr>
        <w:t xml:space="preserve"> unanimously</w:t>
      </w:r>
      <w:r w:rsidR="009F7841" w:rsidRPr="007A5784">
        <w:rPr>
          <w:sz w:val="22"/>
          <w:szCs w:val="22"/>
        </w:rPr>
        <w:t>.</w:t>
      </w:r>
    </w:p>
    <w:p w14:paraId="3F178B3F" w14:textId="77777777" w:rsidR="00B6317E" w:rsidRPr="007A5784" w:rsidRDefault="00B6317E" w:rsidP="00601AAF">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right="187" w:hanging="360"/>
        <w:rPr>
          <w:sz w:val="22"/>
          <w:szCs w:val="22"/>
        </w:rPr>
      </w:pPr>
    </w:p>
    <w:sectPr w:rsidR="00B6317E" w:rsidRPr="007A5784" w:rsidSect="00601AAF">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22CE3" w14:textId="77777777" w:rsidR="001C7A0B" w:rsidRDefault="001C7A0B" w:rsidP="00262AAE">
      <w:r>
        <w:separator/>
      </w:r>
    </w:p>
  </w:endnote>
  <w:endnote w:type="continuationSeparator" w:id="0">
    <w:p w14:paraId="652A27F1" w14:textId="77777777" w:rsidR="001C7A0B" w:rsidRDefault="001C7A0B" w:rsidP="0026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6956" w14:textId="77777777" w:rsidR="00262AAE" w:rsidRDefault="0026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EBF0" w14:textId="77777777" w:rsidR="00262AAE" w:rsidRDefault="00262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41C2" w14:textId="77777777" w:rsidR="00262AAE" w:rsidRDefault="0026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B144" w14:textId="77777777" w:rsidR="001C7A0B" w:rsidRDefault="001C7A0B" w:rsidP="00262AAE">
      <w:r>
        <w:separator/>
      </w:r>
    </w:p>
  </w:footnote>
  <w:footnote w:type="continuationSeparator" w:id="0">
    <w:p w14:paraId="09766B43" w14:textId="77777777" w:rsidR="001C7A0B" w:rsidRDefault="001C7A0B" w:rsidP="0026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F095F" w14:textId="55500CB3" w:rsidR="00262AAE" w:rsidRDefault="00482EEC">
    <w:pPr>
      <w:pStyle w:val="Header"/>
    </w:pPr>
    <w:r>
      <w:rPr>
        <w:noProof/>
      </w:rPr>
      <w:pict w14:anchorId="31BA5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641" o:spid="_x0000_s1027"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CD38" w14:textId="7F523935" w:rsidR="00262AAE" w:rsidRDefault="00482EEC">
    <w:pPr>
      <w:pStyle w:val="Header"/>
    </w:pPr>
    <w:r>
      <w:rPr>
        <w:noProof/>
      </w:rPr>
      <w:pict w14:anchorId="47DCD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642" o:spid="_x0000_s1028"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PEND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8450" w14:textId="1AF148C3" w:rsidR="00262AAE" w:rsidRDefault="00482EEC">
    <w:pPr>
      <w:pStyle w:val="Header"/>
    </w:pPr>
    <w:r>
      <w:rPr>
        <w:noProof/>
      </w:rPr>
      <w:pict w14:anchorId="0E242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640" o:spid="_x0000_s1026"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PEND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D2783"/>
    <w:multiLevelType w:val="hybridMultilevel"/>
    <w:tmpl w:val="30AEEF14"/>
    <w:lvl w:ilvl="0" w:tplc="51583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B4EE8"/>
    <w:multiLevelType w:val="hybridMultilevel"/>
    <w:tmpl w:val="64D83666"/>
    <w:lvl w:ilvl="0" w:tplc="63CE2A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8D6A97"/>
    <w:multiLevelType w:val="hybridMultilevel"/>
    <w:tmpl w:val="83CCC3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F40C8"/>
    <w:multiLevelType w:val="hybridMultilevel"/>
    <w:tmpl w:val="DE0C0690"/>
    <w:lvl w:ilvl="0" w:tplc="DFDA2DE0">
      <w:start w:val="1"/>
      <w:numFmt w:val="decimal"/>
      <w:lvlText w:val="%1."/>
      <w:lvlJc w:val="left"/>
      <w:pPr>
        <w:ind w:left="1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67289">
    <w:abstractNumId w:val="3"/>
  </w:num>
  <w:num w:numId="2" w16cid:durableId="1291521158">
    <w:abstractNumId w:val="1"/>
  </w:num>
  <w:num w:numId="3" w16cid:durableId="842862554">
    <w:abstractNumId w:val="2"/>
  </w:num>
  <w:num w:numId="4" w16cid:durableId="65826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AE"/>
    <w:rsid w:val="00005392"/>
    <w:rsid w:val="000F7ADD"/>
    <w:rsid w:val="00116811"/>
    <w:rsid w:val="00196407"/>
    <w:rsid w:val="001C7A0B"/>
    <w:rsid w:val="001F6037"/>
    <w:rsid w:val="002602E8"/>
    <w:rsid w:val="00262AAE"/>
    <w:rsid w:val="0028748A"/>
    <w:rsid w:val="002C638D"/>
    <w:rsid w:val="002F7A76"/>
    <w:rsid w:val="003341F7"/>
    <w:rsid w:val="00354B5A"/>
    <w:rsid w:val="003E23CE"/>
    <w:rsid w:val="004623D2"/>
    <w:rsid w:val="00482EEC"/>
    <w:rsid w:val="004C0636"/>
    <w:rsid w:val="004C3331"/>
    <w:rsid w:val="005354A8"/>
    <w:rsid w:val="005A428A"/>
    <w:rsid w:val="00601AAF"/>
    <w:rsid w:val="00603E9A"/>
    <w:rsid w:val="006123A7"/>
    <w:rsid w:val="00616197"/>
    <w:rsid w:val="00627DCA"/>
    <w:rsid w:val="006D569A"/>
    <w:rsid w:val="007133BA"/>
    <w:rsid w:val="007472A8"/>
    <w:rsid w:val="007A5784"/>
    <w:rsid w:val="008369DC"/>
    <w:rsid w:val="00910BC7"/>
    <w:rsid w:val="009254A8"/>
    <w:rsid w:val="009763CA"/>
    <w:rsid w:val="00995201"/>
    <w:rsid w:val="009A6667"/>
    <w:rsid w:val="009F7841"/>
    <w:rsid w:val="00A519BE"/>
    <w:rsid w:val="00AD3E76"/>
    <w:rsid w:val="00AF5314"/>
    <w:rsid w:val="00B6317E"/>
    <w:rsid w:val="00B661E2"/>
    <w:rsid w:val="00BC2693"/>
    <w:rsid w:val="00BC3042"/>
    <w:rsid w:val="00C00DEF"/>
    <w:rsid w:val="00C42984"/>
    <w:rsid w:val="00CF1FD6"/>
    <w:rsid w:val="00D46FD9"/>
    <w:rsid w:val="00D47D0D"/>
    <w:rsid w:val="00DF1477"/>
    <w:rsid w:val="00E97C86"/>
    <w:rsid w:val="00EC3DA9"/>
    <w:rsid w:val="00EC432D"/>
    <w:rsid w:val="00F00D3F"/>
    <w:rsid w:val="00F47C8D"/>
    <w:rsid w:val="00FD5F56"/>
    <w:rsid w:val="00FD786B"/>
    <w:rsid w:val="00FF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2683D"/>
  <w15:chartTrackingRefBased/>
  <w15:docId w15:val="{7A880D38-4050-4E0A-B25C-D80F61D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2AAE"/>
    <w:pPr>
      <w:spacing w:after="0" w:line="240" w:lineRule="auto"/>
      <w:contextualSpacing/>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262AAE"/>
    <w:pPr>
      <w:tabs>
        <w:tab w:val="center" w:pos="4680"/>
        <w:tab w:val="right" w:pos="9360"/>
      </w:tabs>
    </w:pPr>
  </w:style>
  <w:style w:type="character" w:customStyle="1" w:styleId="HeaderChar">
    <w:name w:val="Header Char"/>
    <w:basedOn w:val="DefaultParagraphFont"/>
    <w:link w:val="Header"/>
    <w:uiPriority w:val="99"/>
    <w:rsid w:val="00262A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2AAE"/>
    <w:pPr>
      <w:tabs>
        <w:tab w:val="center" w:pos="4680"/>
        <w:tab w:val="right" w:pos="9360"/>
      </w:tabs>
    </w:pPr>
  </w:style>
  <w:style w:type="character" w:customStyle="1" w:styleId="FooterChar">
    <w:name w:val="Footer Char"/>
    <w:basedOn w:val="DefaultParagraphFont"/>
    <w:link w:val="Footer"/>
    <w:uiPriority w:val="99"/>
    <w:rsid w:val="00262AAE"/>
    <w:rPr>
      <w:rFonts w:ascii="Times New Roman" w:eastAsia="Times New Roman" w:hAnsi="Times New Roman" w:cs="Times New Roman"/>
      <w:sz w:val="24"/>
      <w:szCs w:val="24"/>
    </w:rPr>
  </w:style>
  <w:style w:type="paragraph" w:styleId="ListParagraph">
    <w:name w:val="List Paragraph"/>
    <w:basedOn w:val="Normal"/>
    <w:uiPriority w:val="34"/>
    <w:qFormat/>
    <w:rsid w:val="006123A7"/>
    <w:pPr>
      <w:ind w:left="720"/>
      <w:contextualSpacing/>
    </w:pPr>
  </w:style>
  <w:style w:type="paragraph" w:styleId="Revision">
    <w:name w:val="Revision"/>
    <w:hidden/>
    <w:uiPriority w:val="99"/>
    <w:semiHidden/>
    <w:rsid w:val="007A578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D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Tauna Macpherson</dc:creator>
  <cp:keywords/>
  <dc:description/>
  <cp:lastModifiedBy>Tauna MacPherson</cp:lastModifiedBy>
  <cp:revision>8</cp:revision>
  <cp:lastPrinted>2024-11-20T18:50:00Z</cp:lastPrinted>
  <dcterms:created xsi:type="dcterms:W3CDTF">2024-11-14T17:10:00Z</dcterms:created>
  <dcterms:modified xsi:type="dcterms:W3CDTF">2024-11-20T19:34:00Z</dcterms:modified>
</cp:coreProperties>
</file>