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D1FB" w14:textId="77777777" w:rsidR="008C2810" w:rsidRPr="008C2810" w:rsidRDefault="008C2810" w:rsidP="00951A59">
      <w:pPr>
        <w:spacing w:after="0"/>
        <w:jc w:val="center"/>
        <w:rPr>
          <w:rFonts w:ascii="Segoe UI Light" w:eastAsia="Times New Roman" w:hAnsi="Segoe UI Light" w:cs="Segoe UI Light"/>
          <w:b/>
          <w:bCs/>
        </w:rPr>
      </w:pPr>
      <w:bookmarkStart w:id="0" w:name="_Toc190509005"/>
      <w:r w:rsidRPr="008C2810">
        <w:rPr>
          <w:rFonts w:ascii="Segoe UI Light" w:eastAsia="Times New Roman" w:hAnsi="Segoe UI Light" w:cs="Segoe UI Light"/>
          <w:b/>
          <w:bCs/>
        </w:rPr>
        <w:t>MOUNT PLEASANT, UTAH</w:t>
      </w:r>
    </w:p>
    <w:p w14:paraId="08777868" w14:textId="65CB3FB3" w:rsidR="008C2810" w:rsidRPr="008C2810" w:rsidRDefault="008C2810" w:rsidP="00951A59">
      <w:pPr>
        <w:spacing w:after="0"/>
        <w:jc w:val="center"/>
        <w:rPr>
          <w:rFonts w:ascii="Segoe UI Light" w:eastAsia="Times New Roman" w:hAnsi="Segoe UI Light" w:cs="Segoe UI Light"/>
          <w:b/>
          <w:bCs/>
        </w:rPr>
      </w:pPr>
      <w:r w:rsidRPr="008C2810">
        <w:rPr>
          <w:rFonts w:ascii="Segoe UI Light" w:eastAsia="Times New Roman" w:hAnsi="Segoe UI Light" w:cs="Segoe UI Light"/>
          <w:b/>
          <w:bCs/>
        </w:rPr>
        <w:t>ORDINANCE 2024</w:t>
      </w:r>
      <w:r w:rsidR="001729F1">
        <w:rPr>
          <w:rFonts w:ascii="Segoe UI Light" w:eastAsia="Times New Roman" w:hAnsi="Segoe UI Light" w:cs="Segoe UI Light"/>
          <w:b/>
          <w:bCs/>
        </w:rPr>
        <w:t>-</w:t>
      </w:r>
      <w:r w:rsidR="00D9579B">
        <w:rPr>
          <w:rFonts w:ascii="Segoe UI Light" w:eastAsia="Times New Roman" w:hAnsi="Segoe UI Light" w:cs="Segoe UI Light"/>
          <w:b/>
          <w:bCs/>
        </w:rPr>
        <w:t>0</w:t>
      </w:r>
      <w:r w:rsidR="00544CC7">
        <w:rPr>
          <w:rFonts w:ascii="Segoe UI Light" w:eastAsia="Times New Roman" w:hAnsi="Segoe UI Light" w:cs="Segoe UI Light"/>
          <w:b/>
          <w:bCs/>
        </w:rPr>
        <w:t>9</w:t>
      </w:r>
    </w:p>
    <w:p w14:paraId="1D0C54CA" w14:textId="5F765D08" w:rsidR="00F24A74" w:rsidRPr="008C2810" w:rsidRDefault="003D0041" w:rsidP="00951A59">
      <w:pPr>
        <w:jc w:val="center"/>
        <w:rPr>
          <w:rFonts w:ascii="Segoe UI Light" w:eastAsia="Times New Roman" w:hAnsi="Segoe UI Light" w:cs="Segoe UI Light"/>
          <w:b/>
          <w:bCs/>
        </w:rPr>
      </w:pPr>
      <w:r>
        <w:rPr>
          <w:rFonts w:ascii="Segoe UI Light" w:eastAsia="Times New Roman" w:hAnsi="Segoe UI Light" w:cs="Segoe UI Light"/>
          <w:b/>
          <w:bCs/>
        </w:rPr>
        <w:t>D</w:t>
      </w:r>
      <w:r w:rsidR="00FF3622">
        <w:rPr>
          <w:rFonts w:ascii="Segoe UI Light" w:eastAsia="Times New Roman" w:hAnsi="Segoe UI Light" w:cs="Segoe UI Light"/>
          <w:b/>
          <w:bCs/>
        </w:rPr>
        <w:t>ETACHED ACCESSORY DWELLING UNITS</w:t>
      </w:r>
    </w:p>
    <w:p w14:paraId="28FAD134" w14:textId="1654AC07" w:rsidR="00F24A74" w:rsidRPr="00D028F6" w:rsidRDefault="00F24A74" w:rsidP="00F24A74">
      <w:pPr>
        <w:ind w:firstLine="720"/>
        <w:rPr>
          <w:b/>
          <w:bCs/>
        </w:rPr>
      </w:pPr>
      <w:r w:rsidRPr="00D028F6">
        <w:rPr>
          <w:rFonts w:ascii="Segoe UI Light" w:hAnsi="Segoe UI Light" w:cs="Segoe UI Light"/>
          <w:b/>
          <w:bCs/>
        </w:rPr>
        <w:t xml:space="preserve">AN ORDINANCE AMENDING CHAPTER 18 OF TITLE 10 OF THE MOUNT PLEASANT MUNICIPAL CODE TO INCLUDE A NEW SECTION ESTABLISHING REGULATIONS FOR </w:t>
      </w:r>
      <w:r w:rsidR="00E162BE">
        <w:rPr>
          <w:rFonts w:ascii="Segoe UI Light" w:hAnsi="Segoe UI Light" w:cs="Segoe UI Light"/>
          <w:b/>
          <w:bCs/>
        </w:rPr>
        <w:t>DETACHED ACCESSORY DWELLING UNITS</w:t>
      </w:r>
      <w:r w:rsidRPr="00D028F6">
        <w:rPr>
          <w:rFonts w:ascii="Segoe UI Light" w:hAnsi="Segoe UI Light" w:cs="Segoe UI Light"/>
          <w:b/>
          <w:bCs/>
        </w:rPr>
        <w:t>.</w:t>
      </w:r>
    </w:p>
    <w:p w14:paraId="09B505D9" w14:textId="3938776E" w:rsidR="008C2810" w:rsidRPr="008C2810" w:rsidRDefault="008C2810" w:rsidP="008C2810">
      <w:pPr>
        <w:spacing w:before="120" w:after="0"/>
        <w:rPr>
          <w:rFonts w:ascii="Segoe UI Light" w:eastAsia="Times New Roman" w:hAnsi="Segoe UI Light" w:cs="Segoe UI Light"/>
          <w:b/>
          <w:bCs/>
        </w:rPr>
      </w:pPr>
    </w:p>
    <w:p w14:paraId="42BDF59B" w14:textId="77777777" w:rsidR="00E162BE" w:rsidRPr="00477E08" w:rsidRDefault="00E162BE" w:rsidP="00E162BE">
      <w:pPr>
        <w:jc w:val="center"/>
        <w:rPr>
          <w:b/>
          <w:bCs/>
          <w:u w:val="single"/>
        </w:rPr>
      </w:pPr>
      <w:r w:rsidRPr="00477E08">
        <w:rPr>
          <w:b/>
          <w:bCs/>
          <w:u w:val="single"/>
        </w:rPr>
        <w:t>RECITALS</w:t>
      </w:r>
    </w:p>
    <w:p w14:paraId="0C841992" w14:textId="77777777" w:rsidR="00E162BE" w:rsidRPr="002D011B" w:rsidRDefault="00E162BE" w:rsidP="00E162BE">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10-1-201 Mount Pleasant City (“the City”) is a Utah municipal corporation and political subdivision of the State of </w:t>
      </w:r>
      <w:proofErr w:type="gramStart"/>
      <w:r w:rsidRPr="002D011B">
        <w:rPr>
          <w:rFonts w:eastAsia="Times New Roman" w:cs="Segoe UI Light"/>
        </w:rPr>
        <w:t>Utah;</w:t>
      </w:r>
      <w:proofErr w:type="gramEnd"/>
    </w:p>
    <w:p w14:paraId="42D5BCD9" w14:textId="77777777" w:rsidR="00E162BE" w:rsidRPr="002D011B" w:rsidRDefault="00E162BE" w:rsidP="00E162BE">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10-3b-401 the Mount Pleasant City Council (“the City Council”) is the legislative and governing body of the </w:t>
      </w:r>
      <w:proofErr w:type="gramStart"/>
      <w:r w:rsidRPr="002D011B">
        <w:rPr>
          <w:rFonts w:eastAsia="Times New Roman" w:cs="Segoe UI Light"/>
        </w:rPr>
        <w:t>City;</w:t>
      </w:r>
      <w:proofErr w:type="gramEnd"/>
    </w:p>
    <w:p w14:paraId="1CBA9D43" w14:textId="77777777" w:rsidR="00E162BE" w:rsidRDefault="00E162BE" w:rsidP="00E162BE">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10-9a-103(31)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p>
    <w:p w14:paraId="3F35E58F" w14:textId="77777777" w:rsidR="00C057F8" w:rsidRDefault="00C057F8" w:rsidP="00C057F8">
      <w:pPr>
        <w:spacing w:before="120"/>
        <w:rPr>
          <w:rFonts w:eastAsia="Times New Roman" w:cs="Segoe UI Light"/>
        </w:rPr>
      </w:pPr>
    </w:p>
    <w:p w14:paraId="6FE57FDC" w14:textId="77777777" w:rsidR="00C057F8" w:rsidRPr="00F74DFF" w:rsidRDefault="00C057F8" w:rsidP="00C057F8">
      <w:pPr>
        <w:spacing w:before="120"/>
        <w:jc w:val="center"/>
        <w:rPr>
          <w:rFonts w:eastAsia="Times New Roman" w:cs="Segoe UI Light"/>
          <w:b/>
          <w:bCs/>
          <w:u w:val="single"/>
        </w:rPr>
      </w:pPr>
      <w:r w:rsidRPr="00F74DFF">
        <w:rPr>
          <w:rFonts w:eastAsia="Times New Roman" w:cs="Segoe UI Light"/>
          <w:b/>
          <w:bCs/>
          <w:u w:val="single"/>
        </w:rPr>
        <w:t>ORDINANCE</w:t>
      </w:r>
    </w:p>
    <w:p w14:paraId="526704F2" w14:textId="77777777" w:rsidR="00C057F8" w:rsidRPr="00F74DFF" w:rsidRDefault="00C057F8" w:rsidP="00C057F8">
      <w:pPr>
        <w:spacing w:before="120"/>
        <w:ind w:firstLine="720"/>
        <w:rPr>
          <w:rFonts w:eastAsia="Times New Roman" w:cs="Segoe UI Light"/>
        </w:rPr>
      </w:pPr>
      <w:r w:rsidRPr="00F74DFF">
        <w:rPr>
          <w:rFonts w:eastAsia="Times New Roman" w:cs="Segoe UI Light"/>
          <w:b/>
          <w:bCs/>
        </w:rPr>
        <w:t>NOW THEREFORE</w:t>
      </w:r>
      <w:r w:rsidRPr="00F74DFF">
        <w:rPr>
          <w:rFonts w:eastAsia="Times New Roman" w:cs="Segoe UI Light"/>
        </w:rPr>
        <w:t>, be it ordained by the Mount Pleasant City Council, in the State of Utah, as follows:</w:t>
      </w:r>
    </w:p>
    <w:p w14:paraId="1F254E6C" w14:textId="51E5E69D" w:rsidR="00C057F8" w:rsidRDefault="00C057F8" w:rsidP="00C057F8">
      <w:pPr>
        <w:spacing w:before="120"/>
        <w:rPr>
          <w:rFonts w:eastAsia="Times New Roman" w:cs="Segoe UI Light"/>
        </w:rPr>
      </w:pPr>
      <w:r w:rsidRPr="00F74DFF">
        <w:rPr>
          <w:rFonts w:eastAsia="Times New Roman" w:cs="Segoe UI Light"/>
        </w:rPr>
        <w:tab/>
      </w:r>
      <w:r w:rsidRPr="00F74DFF">
        <w:rPr>
          <w:rFonts w:eastAsia="Times New Roman" w:cs="Segoe UI Light"/>
          <w:b/>
          <w:bCs/>
        </w:rPr>
        <w:t>SECTION 1:</w:t>
      </w:r>
      <w:r w:rsidRPr="00F74DFF">
        <w:rPr>
          <w:rFonts w:eastAsia="Times New Roman" w:cs="Segoe UI Light"/>
          <w:b/>
          <w:bCs/>
        </w:rPr>
        <w:tab/>
        <w:t xml:space="preserve">AMENDMENT </w:t>
      </w:r>
      <w:r w:rsidR="008F2A46">
        <w:rPr>
          <w:rFonts w:eastAsia="Times New Roman" w:cs="Segoe UI Light"/>
          <w:b/>
          <w:bCs/>
        </w:rPr>
        <w:t xml:space="preserve">OF CHAPTER 18, TITLE </w:t>
      </w:r>
      <w:r w:rsidR="00D07F48">
        <w:rPr>
          <w:rFonts w:eastAsia="Times New Roman" w:cs="Segoe UI Light"/>
          <w:b/>
          <w:bCs/>
        </w:rPr>
        <w:t xml:space="preserve">10 </w:t>
      </w:r>
      <w:r w:rsidRPr="00F74DFF">
        <w:rPr>
          <w:rFonts w:eastAsia="Times New Roman" w:cs="Segoe UI Light"/>
          <w:b/>
          <w:bCs/>
        </w:rPr>
        <w:t>OF THE MOUNT PLEASANT MUNICIPAL CODE.</w:t>
      </w:r>
      <w:r w:rsidRPr="00F74DFF">
        <w:rPr>
          <w:rFonts w:eastAsia="Times New Roman" w:cs="Segoe UI Light"/>
        </w:rPr>
        <w:t xml:space="preserve"> </w:t>
      </w:r>
      <w:r>
        <w:rPr>
          <w:rFonts w:eastAsia="Times New Roman" w:cs="Segoe UI Light"/>
        </w:rPr>
        <w:t xml:space="preserve">Title 10, chapter 18 </w:t>
      </w:r>
      <w:r w:rsidRPr="00F74DFF">
        <w:rPr>
          <w:rFonts w:eastAsia="Times New Roman" w:cs="Segoe UI Light"/>
        </w:rPr>
        <w:t xml:space="preserve">of the Mount Pleasant Municipal Code is hereby amended </w:t>
      </w:r>
      <w:r>
        <w:rPr>
          <w:rFonts w:eastAsia="Times New Roman" w:cs="Segoe UI Light"/>
        </w:rPr>
        <w:t>to include Section 170 as follows</w:t>
      </w:r>
      <w:r w:rsidRPr="00F74DFF">
        <w:rPr>
          <w:rFonts w:eastAsia="Times New Roman" w:cs="Segoe UI Light"/>
        </w:rPr>
        <w:t>:</w:t>
      </w:r>
    </w:p>
    <w:p w14:paraId="05CD8D0C" w14:textId="38B9F9B6" w:rsidR="001501FF" w:rsidRDefault="003212DF" w:rsidP="00061564">
      <w:pPr>
        <w:pStyle w:val="SCD1"/>
      </w:pPr>
      <w:bookmarkStart w:id="1" w:name="_Toc195700502"/>
      <w:bookmarkStart w:id="2" w:name="_Toc195703073"/>
      <w:r>
        <w:t>10.18.1</w:t>
      </w:r>
      <w:r w:rsidR="000F1411">
        <w:t>7</w:t>
      </w:r>
      <w:r>
        <w:t>0</w:t>
      </w:r>
      <w:r>
        <w:tab/>
      </w:r>
      <w:r w:rsidR="00E16A8C">
        <w:t xml:space="preserve">DETACHED </w:t>
      </w:r>
      <w:r>
        <w:t>ACCESSORY DWELLING UNITS (</w:t>
      </w:r>
      <w:r w:rsidR="00E16A8C">
        <w:t>D</w:t>
      </w:r>
      <w:r>
        <w:t>ADUs).</w:t>
      </w:r>
      <w:bookmarkEnd w:id="0"/>
      <w:bookmarkEnd w:id="1"/>
      <w:bookmarkEnd w:id="2"/>
    </w:p>
    <w:sdt>
      <w:sdtPr>
        <w:rPr>
          <w:rFonts w:ascii="Segoe UI Semilight" w:hAnsi="Segoe UI Semilight"/>
          <w:b w:val="0"/>
          <w:bCs w:val="0"/>
        </w:rPr>
        <w:id w:val="1780139667"/>
        <w:docPartObj>
          <w:docPartGallery w:val="Table of Contents"/>
          <w:docPartUnique/>
        </w:docPartObj>
      </w:sdtPr>
      <w:sdtEndPr>
        <w:rPr>
          <w:rFonts w:asciiTheme="minorHAnsi" w:hAnsiTheme="minorHAnsi"/>
          <w:b/>
          <w:bCs/>
          <w:noProof/>
        </w:rPr>
      </w:sdtEndPr>
      <w:sdtContent>
        <w:p w14:paraId="283C0853" w14:textId="5E5EE363" w:rsidR="009C725A" w:rsidRPr="00172F5E" w:rsidRDefault="009C725A">
          <w:pPr>
            <w:pStyle w:val="TOC1"/>
            <w:tabs>
              <w:tab w:val="left" w:pos="1440"/>
              <w:tab w:val="right" w:leader="dot" w:pos="9350"/>
            </w:tabs>
            <w:rPr>
              <w:rFonts w:eastAsiaTheme="minorEastAsia" w:cstheme="minorBidi"/>
              <w:b w:val="0"/>
              <w:bCs w:val="0"/>
              <w:i w:val="0"/>
              <w:iCs w:val="0"/>
              <w:noProof/>
            </w:rPr>
          </w:pPr>
          <w:r w:rsidRPr="00172F5E">
            <w:rPr>
              <w:rFonts w:eastAsiaTheme="majorEastAsia" w:cstheme="majorBidi"/>
              <w:b w:val="0"/>
              <w:bCs w:val="0"/>
              <w:color w:val="0F4761" w:themeColor="accent1" w:themeShade="BF"/>
              <w:kern w:val="0"/>
              <w:sz w:val="28"/>
              <w:szCs w:val="28"/>
              <w14:ligatures w14:val="none"/>
            </w:rPr>
            <w:fldChar w:fldCharType="begin"/>
          </w:r>
          <w:r w:rsidRPr="00172F5E">
            <w:rPr>
              <w:rFonts w:eastAsiaTheme="majorEastAsia" w:cstheme="majorBidi"/>
              <w:b w:val="0"/>
              <w:bCs w:val="0"/>
              <w:color w:val="0F4761" w:themeColor="accent1" w:themeShade="BF"/>
              <w:kern w:val="0"/>
              <w:sz w:val="28"/>
              <w:szCs w:val="28"/>
              <w14:ligatures w14:val="none"/>
            </w:rPr>
            <w:instrText xml:space="preserve"> TOC \o "1-3" \n \h \z \u </w:instrText>
          </w:r>
          <w:r w:rsidRPr="00172F5E">
            <w:rPr>
              <w:rFonts w:eastAsiaTheme="majorEastAsia" w:cstheme="majorBidi"/>
              <w:b w:val="0"/>
              <w:bCs w:val="0"/>
              <w:color w:val="0F4761" w:themeColor="accent1" w:themeShade="BF"/>
              <w:kern w:val="0"/>
              <w:sz w:val="28"/>
              <w:szCs w:val="28"/>
              <w14:ligatures w14:val="none"/>
            </w:rPr>
            <w:fldChar w:fldCharType="separate"/>
          </w:r>
        </w:p>
        <w:p w14:paraId="22182614"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4" w:history="1">
            <w:r w:rsidRPr="00172F5E">
              <w:rPr>
                <w:rStyle w:val="Hyperlink"/>
                <w:b w:val="0"/>
                <w:bCs w:val="0"/>
                <w:noProof/>
              </w:rPr>
              <w:t>10.18.170.1</w:t>
            </w:r>
            <w:r w:rsidRPr="00172F5E">
              <w:rPr>
                <w:rFonts w:eastAsiaTheme="minorEastAsia" w:cstheme="minorBidi"/>
                <w:b w:val="0"/>
                <w:bCs w:val="0"/>
                <w:noProof/>
                <w:sz w:val="24"/>
                <w:szCs w:val="24"/>
              </w:rPr>
              <w:tab/>
            </w:r>
            <w:r w:rsidRPr="00172F5E">
              <w:rPr>
                <w:rStyle w:val="Hyperlink"/>
                <w:b w:val="0"/>
                <w:bCs w:val="0"/>
                <w:noProof/>
              </w:rPr>
              <w:t xml:space="preserve"> PURPOSE.</w:t>
            </w:r>
          </w:hyperlink>
        </w:p>
        <w:p w14:paraId="1379A383"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5" w:history="1">
            <w:r w:rsidRPr="00172F5E">
              <w:rPr>
                <w:rStyle w:val="Hyperlink"/>
                <w:b w:val="0"/>
                <w:bCs w:val="0"/>
                <w:noProof/>
              </w:rPr>
              <w:t>10.18.170.2</w:t>
            </w:r>
            <w:r w:rsidRPr="00172F5E">
              <w:rPr>
                <w:rFonts w:eastAsiaTheme="minorEastAsia" w:cstheme="minorBidi"/>
                <w:b w:val="0"/>
                <w:bCs w:val="0"/>
                <w:noProof/>
                <w:sz w:val="24"/>
                <w:szCs w:val="24"/>
              </w:rPr>
              <w:tab/>
            </w:r>
            <w:r w:rsidRPr="00172F5E">
              <w:rPr>
                <w:rStyle w:val="Hyperlink"/>
                <w:b w:val="0"/>
                <w:bCs w:val="0"/>
                <w:noProof/>
              </w:rPr>
              <w:t xml:space="preserve"> DEFINITIONS.</w:t>
            </w:r>
          </w:hyperlink>
        </w:p>
        <w:p w14:paraId="3C828EB0"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6" w:history="1">
            <w:r w:rsidRPr="00172F5E">
              <w:rPr>
                <w:rStyle w:val="Hyperlink"/>
                <w:b w:val="0"/>
                <w:bCs w:val="0"/>
                <w:noProof/>
              </w:rPr>
              <w:t>10.18.170.3</w:t>
            </w:r>
            <w:r w:rsidRPr="00172F5E">
              <w:rPr>
                <w:rFonts w:eastAsiaTheme="minorEastAsia" w:cstheme="minorBidi"/>
                <w:b w:val="0"/>
                <w:bCs w:val="0"/>
                <w:noProof/>
                <w:sz w:val="24"/>
                <w:szCs w:val="24"/>
              </w:rPr>
              <w:tab/>
            </w:r>
            <w:r w:rsidRPr="00172F5E">
              <w:rPr>
                <w:rStyle w:val="Hyperlink"/>
                <w:b w:val="0"/>
                <w:bCs w:val="0"/>
                <w:noProof/>
              </w:rPr>
              <w:t xml:space="preserve"> APPLICABILITY.</w:t>
            </w:r>
          </w:hyperlink>
        </w:p>
        <w:p w14:paraId="77A8D551"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7" w:history="1">
            <w:r w:rsidRPr="00172F5E">
              <w:rPr>
                <w:rStyle w:val="Hyperlink"/>
                <w:b w:val="0"/>
                <w:bCs w:val="0"/>
                <w:noProof/>
              </w:rPr>
              <w:t>10.18.170.4</w:t>
            </w:r>
            <w:r w:rsidRPr="00172F5E">
              <w:rPr>
                <w:rFonts w:eastAsiaTheme="minorEastAsia" w:cstheme="minorBidi"/>
                <w:b w:val="0"/>
                <w:bCs w:val="0"/>
                <w:noProof/>
                <w:sz w:val="24"/>
                <w:szCs w:val="24"/>
              </w:rPr>
              <w:tab/>
            </w:r>
            <w:r w:rsidRPr="00172F5E">
              <w:rPr>
                <w:rStyle w:val="Hyperlink"/>
                <w:b w:val="0"/>
                <w:bCs w:val="0"/>
                <w:noProof/>
              </w:rPr>
              <w:t xml:space="preserve"> SPECIFIC STANDARDS.</w:t>
            </w:r>
          </w:hyperlink>
        </w:p>
        <w:p w14:paraId="230C8D66"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8" w:history="1">
            <w:r w:rsidRPr="00172F5E">
              <w:rPr>
                <w:rStyle w:val="Hyperlink"/>
                <w:b w:val="0"/>
                <w:bCs w:val="0"/>
                <w:noProof/>
              </w:rPr>
              <w:t>10.18.170.6</w:t>
            </w:r>
            <w:r w:rsidRPr="00172F5E">
              <w:rPr>
                <w:rFonts w:eastAsiaTheme="minorEastAsia" w:cstheme="minorBidi"/>
                <w:b w:val="0"/>
                <w:bCs w:val="0"/>
                <w:noProof/>
                <w:sz w:val="24"/>
                <w:szCs w:val="24"/>
              </w:rPr>
              <w:tab/>
            </w:r>
            <w:r w:rsidRPr="00172F5E">
              <w:rPr>
                <w:rStyle w:val="Hyperlink"/>
                <w:b w:val="0"/>
                <w:bCs w:val="0"/>
                <w:noProof/>
              </w:rPr>
              <w:t xml:space="preserve"> ADMINISTRATIVE PROCESS.</w:t>
            </w:r>
          </w:hyperlink>
        </w:p>
        <w:p w14:paraId="33993708"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9" w:history="1">
            <w:r w:rsidRPr="00172F5E">
              <w:rPr>
                <w:rStyle w:val="Hyperlink"/>
                <w:b w:val="0"/>
                <w:bCs w:val="0"/>
                <w:noProof/>
              </w:rPr>
              <w:t>10.18.170.7</w:t>
            </w:r>
            <w:r w:rsidRPr="00172F5E">
              <w:rPr>
                <w:rFonts w:eastAsiaTheme="minorEastAsia" w:cstheme="minorBidi"/>
                <w:b w:val="0"/>
                <w:bCs w:val="0"/>
                <w:noProof/>
                <w:sz w:val="24"/>
                <w:szCs w:val="24"/>
              </w:rPr>
              <w:tab/>
            </w:r>
            <w:r w:rsidRPr="00172F5E">
              <w:rPr>
                <w:rStyle w:val="Hyperlink"/>
                <w:b w:val="0"/>
                <w:bCs w:val="0"/>
                <w:noProof/>
              </w:rPr>
              <w:t xml:space="preserve"> ENFORCEMENT AND PENALTIES.</w:t>
            </w:r>
          </w:hyperlink>
        </w:p>
        <w:p w14:paraId="71759EA7" w14:textId="17E0F17F" w:rsidR="00D15B07" w:rsidRDefault="009C725A" w:rsidP="009C725A">
          <w:pPr>
            <w:pStyle w:val="TOC1"/>
            <w:tabs>
              <w:tab w:val="left" w:pos="1440"/>
              <w:tab w:val="right" w:leader="dot" w:pos="9350"/>
            </w:tabs>
          </w:pPr>
          <w:r w:rsidRPr="00172F5E">
            <w:rPr>
              <w:rFonts w:eastAsiaTheme="majorEastAsia" w:cstheme="majorBidi"/>
              <w:b w:val="0"/>
              <w:bCs w:val="0"/>
              <w:color w:val="0F4761" w:themeColor="accent1" w:themeShade="BF"/>
              <w:kern w:val="0"/>
              <w:sz w:val="28"/>
              <w:szCs w:val="28"/>
              <w14:ligatures w14:val="none"/>
            </w:rPr>
            <w:fldChar w:fldCharType="end"/>
          </w:r>
        </w:p>
      </w:sdtContent>
    </w:sdt>
    <w:p w14:paraId="5EA96BEC" w14:textId="77777777" w:rsidR="00D15B07" w:rsidRDefault="00D15B07" w:rsidP="00D15B07"/>
    <w:p w14:paraId="61926307" w14:textId="77777777" w:rsidR="00D15B07" w:rsidRPr="00D15B07" w:rsidRDefault="00D15B07" w:rsidP="00D15B07"/>
    <w:p w14:paraId="0B0373E7" w14:textId="0514EFF1" w:rsidR="0073393C" w:rsidRDefault="00ED3144" w:rsidP="00061564">
      <w:pPr>
        <w:pStyle w:val="SCD2"/>
      </w:pPr>
      <w:bookmarkStart w:id="3" w:name="_Toc195703074"/>
      <w:r>
        <w:t>10.18.170.1</w:t>
      </w:r>
      <w:r w:rsidR="00F45287">
        <w:tab/>
      </w:r>
      <w:r w:rsidR="00F45287">
        <w:tab/>
        <w:t>PURPOSE.</w:t>
      </w:r>
      <w:bookmarkEnd w:id="3"/>
    </w:p>
    <w:p w14:paraId="4043B818" w14:textId="61A5C80D" w:rsidR="003212DF" w:rsidRDefault="00C64009" w:rsidP="00C765EB">
      <w:r>
        <w:t xml:space="preserve">This section </w:t>
      </w:r>
      <w:r w:rsidR="003C228E">
        <w:t>establishes</w:t>
      </w:r>
      <w:r w:rsidR="003212DF">
        <w:t xml:space="preserve"> clear and comprehensive standards and regulations for the development and use of </w:t>
      </w:r>
      <w:r w:rsidR="00E16A8C">
        <w:t xml:space="preserve">Detached </w:t>
      </w:r>
      <w:r w:rsidR="003212DF">
        <w:t>Accessory Dwelling Units (</w:t>
      </w:r>
      <w:r w:rsidR="00E16A8C">
        <w:t>D</w:t>
      </w:r>
      <w:r w:rsidR="003212DF">
        <w:t xml:space="preserve">ADUs) within the community. </w:t>
      </w:r>
      <w:r w:rsidR="003C228E">
        <w:t>It</w:t>
      </w:r>
      <w:r w:rsidR="003212DF">
        <w:t xml:space="preserve"> aims to promote additional housing options </w:t>
      </w:r>
      <w:r>
        <w:t xml:space="preserve">and encourage the efficient use of existing infrastructure. Additionally, the ordinance seeks to ensure that </w:t>
      </w:r>
      <w:r w:rsidR="00E16A8C">
        <w:t>D</w:t>
      </w:r>
      <w:r>
        <w:t xml:space="preserve">ADUs are designed and constructed to align with community aesthetics, maintain the character of residential neighborhoods, and minimize potential impacts on surrounding properties. </w:t>
      </w:r>
    </w:p>
    <w:p w14:paraId="376F8412" w14:textId="0F45B4AA" w:rsidR="005961A2" w:rsidRDefault="00ED3144" w:rsidP="00061564">
      <w:pPr>
        <w:pStyle w:val="SCD2"/>
      </w:pPr>
      <w:bookmarkStart w:id="4" w:name="_Toc195703075"/>
      <w:r>
        <w:t>10.18.170.2</w:t>
      </w:r>
      <w:r>
        <w:tab/>
      </w:r>
      <w:r w:rsidR="00F45287">
        <w:tab/>
        <w:t>DEFINITIONS.</w:t>
      </w:r>
      <w:bookmarkEnd w:id="4"/>
    </w:p>
    <w:p w14:paraId="48F4B2B5" w14:textId="2B4C05F1" w:rsidR="00FA53DD" w:rsidRDefault="00FA53DD" w:rsidP="00C765EB">
      <w:pPr>
        <w:pStyle w:val="ListParagraph"/>
        <w:numPr>
          <w:ilvl w:val="0"/>
          <w:numId w:val="1"/>
        </w:numPr>
        <w:contextualSpacing w:val="0"/>
      </w:pPr>
      <w:r>
        <w:t xml:space="preserve">Detached Accessory </w:t>
      </w:r>
      <w:r w:rsidR="00A66A3E">
        <w:t>Dwelling Unit (DADU): A secondary, self-contained residential dwelling unit that is detached from the primary single-family residence and located on the same lot.</w:t>
      </w:r>
    </w:p>
    <w:p w14:paraId="193B5E26" w14:textId="78479F3F" w:rsidR="00A66A3E" w:rsidRDefault="00A66A3E" w:rsidP="00C765EB">
      <w:pPr>
        <w:pStyle w:val="ListParagraph"/>
        <w:numPr>
          <w:ilvl w:val="0"/>
          <w:numId w:val="1"/>
        </w:numPr>
        <w:contextualSpacing w:val="0"/>
      </w:pPr>
      <w:r>
        <w:t>Principal Dwelling Unit: The main residential structure on a property, intended for use as a single-family residence.</w:t>
      </w:r>
    </w:p>
    <w:p w14:paraId="35718C93" w14:textId="10CFBCCC" w:rsidR="00A66A3E" w:rsidRDefault="00A66A3E" w:rsidP="00C765EB">
      <w:pPr>
        <w:pStyle w:val="ListParagraph"/>
        <w:numPr>
          <w:ilvl w:val="0"/>
          <w:numId w:val="1"/>
        </w:numPr>
        <w:contextualSpacing w:val="0"/>
      </w:pPr>
      <w:r>
        <w:t>Owner-Occupant: An individual who holds legal title to the property and occupies either the principal dwelling unit or the DADU as their primary residence.</w:t>
      </w:r>
    </w:p>
    <w:p w14:paraId="326CCECF" w14:textId="77777777" w:rsidR="00C641D5" w:rsidRDefault="00A66A3E" w:rsidP="00BA7EB7">
      <w:pPr>
        <w:pStyle w:val="ListParagraph"/>
        <w:numPr>
          <w:ilvl w:val="0"/>
          <w:numId w:val="1"/>
        </w:numPr>
        <w:contextualSpacing w:val="0"/>
      </w:pPr>
      <w:r>
        <w:t>Short-Term Rental: The rental of a dwelling unit or part thereof for a period of less than 30 consecutive days.</w:t>
      </w:r>
    </w:p>
    <w:p w14:paraId="107E9966" w14:textId="3B69F4B4" w:rsidR="00C641D5" w:rsidRPr="00C641D5" w:rsidRDefault="00C641D5" w:rsidP="00BA7EB7">
      <w:pPr>
        <w:pStyle w:val="ListParagraph"/>
        <w:numPr>
          <w:ilvl w:val="0"/>
          <w:numId w:val="1"/>
        </w:numPr>
        <w:contextualSpacing w:val="0"/>
      </w:pPr>
      <w:r w:rsidRPr="00C641D5">
        <w:t>Mobile Detached Accessory Dwelling Unit (Mobile DADU): A Mobile DADU is a recreational vehicle (RV), travel trailer, or similar movable structure detached from the primary dwelling, designed for temporary or extended residential occupancy</w:t>
      </w:r>
      <w:r w:rsidR="00CF6DA1">
        <w:t xml:space="preserve"> </w:t>
      </w:r>
      <w:r w:rsidR="004E48D8">
        <w:t>for more than</w:t>
      </w:r>
      <w:r w:rsidR="00CF6DA1">
        <w:t xml:space="preserve"> twenty-nine (29) days in a calendar year</w:t>
      </w:r>
      <w:r w:rsidRPr="00C641D5">
        <w:t xml:space="preserve">. It must connect to onsite utilities and provide essential living functions, such as sleeping, cooking, and </w:t>
      </w:r>
      <w:r w:rsidRPr="00C641D5">
        <w:lastRenderedPageBreak/>
        <w:t>sanitation. The unit shall remain transportable and comply with zoning, safety, and utility connection standards. Mobile DADUs are intended as accessory uses to primary residences and are not permitted as short-term rentals.</w:t>
      </w:r>
    </w:p>
    <w:p w14:paraId="7EA6FB1A" w14:textId="00309582" w:rsidR="0073393C" w:rsidRDefault="00BA7EB7" w:rsidP="00061564">
      <w:pPr>
        <w:pStyle w:val="SCD2"/>
      </w:pPr>
      <w:bookmarkStart w:id="5" w:name="_Toc195703076"/>
      <w:r>
        <w:t>10.18.170.3</w:t>
      </w:r>
      <w:r>
        <w:tab/>
      </w:r>
      <w:r w:rsidR="00F45287">
        <w:tab/>
        <w:t>APPLICABILITY</w:t>
      </w:r>
      <w:r w:rsidR="00C765EB">
        <w:t>.</w:t>
      </w:r>
      <w:bookmarkEnd w:id="5"/>
    </w:p>
    <w:p w14:paraId="1F72CBAA" w14:textId="1E820FDB" w:rsidR="00C64009" w:rsidRDefault="00C64009" w:rsidP="00C765EB">
      <w:r>
        <w:t xml:space="preserve">The requirements of this section shall apply to all </w:t>
      </w:r>
      <w:r w:rsidR="00E16A8C">
        <w:t>D</w:t>
      </w:r>
      <w:r>
        <w:t xml:space="preserve">ADUs in single-family zones. Such requirements shall not be construed to prohibit or limit other applicable provisions of this title, this Code, and other laws. </w:t>
      </w:r>
    </w:p>
    <w:p w14:paraId="4205AF10" w14:textId="0908DBB8" w:rsidR="00C765EB" w:rsidRDefault="00C765EB" w:rsidP="00061564">
      <w:pPr>
        <w:pStyle w:val="SCD2"/>
      </w:pPr>
      <w:bookmarkStart w:id="6" w:name="_Toc195703077"/>
      <w:r>
        <w:t>10.18.170.4</w:t>
      </w:r>
      <w:r>
        <w:tab/>
      </w:r>
      <w:r w:rsidR="00F45287">
        <w:tab/>
        <w:t>SPECIFIC STANDARDS</w:t>
      </w:r>
      <w:r>
        <w:t>.</w:t>
      </w:r>
      <w:bookmarkEnd w:id="6"/>
    </w:p>
    <w:p w14:paraId="7C14956B" w14:textId="055C53C0" w:rsidR="00692664" w:rsidRDefault="00857BE2" w:rsidP="00BA7EB7">
      <w:r>
        <w:t xml:space="preserve">A DADU shall meet the following </w:t>
      </w:r>
      <w:r w:rsidR="00154C4F">
        <w:t>standards:</w:t>
      </w:r>
    </w:p>
    <w:p w14:paraId="6A694E16" w14:textId="41D686CE" w:rsidR="00154C4F" w:rsidRDefault="00154C4F" w:rsidP="00881838">
      <w:pPr>
        <w:pStyle w:val="ListParagraph"/>
        <w:numPr>
          <w:ilvl w:val="0"/>
          <w:numId w:val="4"/>
        </w:numPr>
        <w:contextualSpacing w:val="0"/>
      </w:pPr>
      <w:r>
        <w:t>Ownership: A DADU shall not be sold separately or subdivided from the principal dwelling unit or lot unless compliant with subdivision regulations.</w:t>
      </w:r>
    </w:p>
    <w:p w14:paraId="13311600" w14:textId="668ED0F3" w:rsidR="00D16623" w:rsidRDefault="00154C4F" w:rsidP="00881838">
      <w:pPr>
        <w:pStyle w:val="ListParagraph"/>
        <w:numPr>
          <w:ilvl w:val="0"/>
          <w:numId w:val="4"/>
        </w:numPr>
        <w:contextualSpacing w:val="0"/>
      </w:pPr>
      <w:r>
        <w:t xml:space="preserve">Occupancy: </w:t>
      </w:r>
      <w:r w:rsidR="00D16623">
        <w:t>The City shall only permit an accessory dwelling unit when an owner-occupant lives on the property within either the principal or accessory dwelling unit.</w:t>
      </w:r>
    </w:p>
    <w:p w14:paraId="3C785426" w14:textId="59DA015E" w:rsidR="001B7472" w:rsidRDefault="0053103B" w:rsidP="00881838">
      <w:pPr>
        <w:pStyle w:val="ListParagraph"/>
        <w:numPr>
          <w:ilvl w:val="0"/>
          <w:numId w:val="4"/>
        </w:numPr>
        <w:contextualSpacing w:val="0"/>
      </w:pPr>
      <w:r>
        <w:t xml:space="preserve">Number of DADUs Per Parcel: </w:t>
      </w:r>
      <w:r w:rsidR="006A797F">
        <w:t xml:space="preserve">A DADU shall be allowed only on parcels containing a single-family dwelling. </w:t>
      </w:r>
      <w:r>
        <w:t>One</w:t>
      </w:r>
      <w:r w:rsidR="00BE5566">
        <w:t xml:space="preserve"> (1) DADU shall be permitted for every ten thousand (10,000) square feet of lot area.</w:t>
      </w:r>
    </w:p>
    <w:p w14:paraId="5F5181F7" w14:textId="6D768763" w:rsidR="00BE5566" w:rsidRDefault="00BE5566" w:rsidP="00881838">
      <w:pPr>
        <w:pStyle w:val="ListParagraph"/>
        <w:numPr>
          <w:ilvl w:val="0"/>
          <w:numId w:val="4"/>
        </w:numPr>
        <w:contextualSpacing w:val="0"/>
      </w:pPr>
      <w:r>
        <w:t xml:space="preserve">Fractional </w:t>
      </w:r>
      <w:r w:rsidR="0056338C">
        <w:t xml:space="preserve">Lots: If a parcel contains a fractional portion of ten thousand </w:t>
      </w:r>
      <w:r w:rsidR="00631F87">
        <w:t xml:space="preserve">(10,000) </w:t>
      </w:r>
      <w:r w:rsidR="0056338C">
        <w:t>square feet</w:t>
      </w:r>
      <w:r w:rsidR="00631F87">
        <w:t xml:space="preserve"> beyond a whole multiple, no additional DADU shall be permitted unless the remaining portion meets o</w:t>
      </w:r>
      <w:r w:rsidR="006A797F">
        <w:t>r</w:t>
      </w:r>
      <w:r w:rsidR="00631F87">
        <w:t xml:space="preserve"> exceeds ten thousand (10,000) square feet.</w:t>
      </w:r>
    </w:p>
    <w:p w14:paraId="0679AE15" w14:textId="5961D435" w:rsidR="00A64A35" w:rsidRDefault="0011001F" w:rsidP="00881838">
      <w:pPr>
        <w:pStyle w:val="ListParagraph"/>
        <w:numPr>
          <w:ilvl w:val="0"/>
          <w:numId w:val="4"/>
        </w:numPr>
        <w:contextualSpacing w:val="0"/>
      </w:pPr>
      <w:r>
        <w:t>Not a Unit of Density: DADUs are not considered a unit of density and</w:t>
      </w:r>
      <w:r w:rsidR="001B08AA">
        <w:t>,</w:t>
      </w:r>
      <w:r>
        <w:t xml:space="preserve"> therefore</w:t>
      </w:r>
      <w:r w:rsidR="001B08AA">
        <w:t>,</w:t>
      </w:r>
      <w:r>
        <w:t xml:space="preserve"> are not included in the density calculation for residential property.</w:t>
      </w:r>
    </w:p>
    <w:p w14:paraId="6385A4A4" w14:textId="2BAF55E4" w:rsidR="0011001F" w:rsidRDefault="007D757F" w:rsidP="00881838">
      <w:pPr>
        <w:pStyle w:val="ListParagraph"/>
        <w:numPr>
          <w:ilvl w:val="0"/>
          <w:numId w:val="4"/>
        </w:numPr>
        <w:contextualSpacing w:val="0"/>
      </w:pPr>
      <w:r>
        <w:t>Parking: An additional off-street parking space is required</w:t>
      </w:r>
      <w:r w:rsidR="008F2693">
        <w:t xml:space="preserve">. Parking </w:t>
      </w:r>
      <w:r w:rsidR="007D7A08">
        <w:t xml:space="preserve">shall comply with </w:t>
      </w:r>
      <w:r w:rsidR="009A1FC0">
        <w:t>Chapter 22 of this Title.</w:t>
      </w:r>
      <w:r w:rsidR="00A72D42">
        <w:t xml:space="preserve"> No on-street parking shall be allowed in association with the DADU.</w:t>
      </w:r>
    </w:p>
    <w:p w14:paraId="204CF57C" w14:textId="7BFB3846" w:rsidR="009A1FC0" w:rsidRDefault="009A1FC0" w:rsidP="00881838">
      <w:pPr>
        <w:pStyle w:val="ListParagraph"/>
        <w:numPr>
          <w:ilvl w:val="0"/>
          <w:numId w:val="4"/>
        </w:numPr>
        <w:contextualSpacing w:val="0"/>
      </w:pPr>
      <w:r>
        <w:t>Size and Location Requirements:</w:t>
      </w:r>
    </w:p>
    <w:p w14:paraId="06B5E655" w14:textId="15A7CAC3" w:rsidR="00D8348C" w:rsidRDefault="00727BF5" w:rsidP="00881838">
      <w:pPr>
        <w:pStyle w:val="ListParagraph"/>
        <w:numPr>
          <w:ilvl w:val="1"/>
          <w:numId w:val="4"/>
        </w:numPr>
        <w:contextualSpacing w:val="0"/>
      </w:pPr>
      <w:r>
        <w:t xml:space="preserve">Setbacks: </w:t>
      </w:r>
      <w:r w:rsidR="00D8348C">
        <w:t xml:space="preserve">The </w:t>
      </w:r>
      <w:r w:rsidR="00C9704A">
        <w:t xml:space="preserve">side and rear setbacks for </w:t>
      </w:r>
      <w:r w:rsidR="00FD5593">
        <w:t>the DADU shall be ten feet (10’).</w:t>
      </w:r>
    </w:p>
    <w:p w14:paraId="343A7D17" w14:textId="2F2AC354" w:rsidR="00775CA8" w:rsidRDefault="00727BF5" w:rsidP="00881838">
      <w:pPr>
        <w:pStyle w:val="ListParagraph"/>
        <w:numPr>
          <w:ilvl w:val="1"/>
          <w:numId w:val="4"/>
        </w:numPr>
        <w:contextualSpacing w:val="0"/>
      </w:pPr>
      <w:r>
        <w:t xml:space="preserve">Minimum </w:t>
      </w:r>
      <w:r w:rsidR="00CB03AD">
        <w:t>Dimensions</w:t>
      </w:r>
      <w:r w:rsidR="005D1C74">
        <w:t xml:space="preserve">: A DADU shall </w:t>
      </w:r>
      <w:r w:rsidR="00CB03AD">
        <w:t>have</w:t>
      </w:r>
      <w:r w:rsidR="005D1C74">
        <w:t xml:space="preserve"> a minimum </w:t>
      </w:r>
      <w:r w:rsidR="00CB03AD">
        <w:t xml:space="preserve">footprint </w:t>
      </w:r>
      <w:r w:rsidR="00E51B54">
        <w:t xml:space="preserve">of 320 square feet and shall be required to obtain a building permit. </w:t>
      </w:r>
    </w:p>
    <w:p w14:paraId="2172BF5A" w14:textId="18A01FEA" w:rsidR="00775CA8" w:rsidRDefault="00775CA8" w:rsidP="00881838">
      <w:pPr>
        <w:pStyle w:val="ListParagraph"/>
        <w:numPr>
          <w:ilvl w:val="1"/>
          <w:numId w:val="4"/>
        </w:numPr>
        <w:contextualSpacing w:val="0"/>
      </w:pPr>
      <w:r>
        <w:lastRenderedPageBreak/>
        <w:t xml:space="preserve">Height: The maximum height of a DADU shall </w:t>
      </w:r>
      <w:r w:rsidR="00216578">
        <w:t>comply with the building height r</w:t>
      </w:r>
      <w:r w:rsidR="0032223B">
        <w:t>egulations</w:t>
      </w:r>
      <w:r w:rsidR="00216578">
        <w:t xml:space="preserve"> </w:t>
      </w:r>
      <w:r w:rsidR="00DF3253">
        <w:t>specific to</w:t>
      </w:r>
      <w:r w:rsidR="00216578">
        <w:t xml:space="preserve"> </w:t>
      </w:r>
      <w:r w:rsidR="0032223B">
        <w:t xml:space="preserve">its zoning </w:t>
      </w:r>
      <w:r w:rsidR="00DF3253">
        <w:t>designation</w:t>
      </w:r>
      <w:r w:rsidR="002063E2">
        <w:t xml:space="preserve">. </w:t>
      </w:r>
    </w:p>
    <w:p w14:paraId="006EE699" w14:textId="5D0DA4F7" w:rsidR="00104EC4" w:rsidRDefault="00C90AD2" w:rsidP="00104EC4">
      <w:pPr>
        <w:pStyle w:val="ListParagraph"/>
        <w:numPr>
          <w:ilvl w:val="0"/>
          <w:numId w:val="4"/>
        </w:numPr>
      </w:pPr>
      <w:r>
        <w:t>Mobile DADUs:</w:t>
      </w:r>
      <w:r w:rsidR="001875AB">
        <w:t xml:space="preserve"> Mobile Detached </w:t>
      </w:r>
      <w:r w:rsidR="00104EC4">
        <w:t xml:space="preserve">Accessory Dwelling Units, as defined in this section, shall comply with the </w:t>
      </w:r>
      <w:r w:rsidR="00CE310D">
        <w:t xml:space="preserve">above </w:t>
      </w:r>
      <w:r w:rsidR="00104EC4">
        <w:t>requirements</w:t>
      </w:r>
      <w:r w:rsidR="00CE310D">
        <w:t xml:space="preserve"> except as stated below</w:t>
      </w:r>
      <w:r w:rsidR="00947606">
        <w:t>:</w:t>
      </w:r>
      <w:r w:rsidR="00104EC4">
        <w:t xml:space="preserve">  </w:t>
      </w:r>
    </w:p>
    <w:p w14:paraId="3991379A" w14:textId="77777777" w:rsidR="00104EC4" w:rsidRDefault="00104EC4" w:rsidP="00421275">
      <w:pPr>
        <w:pStyle w:val="ListParagraph"/>
        <w:numPr>
          <w:ilvl w:val="1"/>
          <w:numId w:val="4"/>
        </w:numPr>
      </w:pPr>
      <w:r>
        <w:t xml:space="preserve">All Mobile DADUs must be licensed and inspected annually by the Mount Pleasant City Fire Department and/or other appropriate City personnel.  </w:t>
      </w:r>
    </w:p>
    <w:p w14:paraId="130ED562" w14:textId="77777777" w:rsidR="00104EC4" w:rsidRDefault="00104EC4" w:rsidP="00421275">
      <w:pPr>
        <w:pStyle w:val="ListParagraph"/>
        <w:numPr>
          <w:ilvl w:val="1"/>
          <w:numId w:val="4"/>
        </w:numPr>
      </w:pPr>
      <w:r>
        <w:t xml:space="preserve">Propane tanks over ten pounds (10 lbs.) are not allowed.  </w:t>
      </w:r>
    </w:p>
    <w:p w14:paraId="3B1CC5A7" w14:textId="5348D223" w:rsidR="00104EC4" w:rsidRDefault="00104EC4" w:rsidP="00421275">
      <w:pPr>
        <w:pStyle w:val="ListParagraph"/>
        <w:numPr>
          <w:ilvl w:val="1"/>
          <w:numId w:val="4"/>
        </w:numPr>
      </w:pPr>
      <w:r>
        <w:t>All Mobile DADUs must connect to the Mount Pleasant City Sewer System</w:t>
      </w:r>
      <w:r w:rsidR="006224C8">
        <w:t xml:space="preserve"> as well as to water and power</w:t>
      </w:r>
      <w:r>
        <w:t xml:space="preserve">.  </w:t>
      </w:r>
    </w:p>
    <w:p w14:paraId="4BB9131B" w14:textId="5510DA94" w:rsidR="00104EC4" w:rsidRDefault="009964D7" w:rsidP="003A3CAB">
      <w:pPr>
        <w:pStyle w:val="ListParagraph"/>
        <w:numPr>
          <w:ilvl w:val="1"/>
          <w:numId w:val="4"/>
        </w:numPr>
        <w:spacing w:after="0"/>
        <w:contextualSpacing w:val="0"/>
      </w:pPr>
      <w:r>
        <w:t>All Mobile DADUs must be placed on a concrete pad that is large enough to accommodate the entire unit while providing an additional three feet (3’) of width along the entrance side of the Mobile DADU.</w:t>
      </w:r>
    </w:p>
    <w:p w14:paraId="1BF494E0" w14:textId="24198B43" w:rsidR="006B0B3B" w:rsidRDefault="00C17782" w:rsidP="00421275">
      <w:pPr>
        <w:pStyle w:val="ListParagraph"/>
        <w:numPr>
          <w:ilvl w:val="1"/>
          <w:numId w:val="4"/>
        </w:numPr>
        <w:contextualSpacing w:val="0"/>
      </w:pPr>
      <w:r>
        <w:t>The minimum footprint requirement specified in 10.18.180.4 G does not apply to Mobile DADUs.</w:t>
      </w:r>
    </w:p>
    <w:p w14:paraId="691CD039" w14:textId="39DF50BB" w:rsidR="00881838" w:rsidRPr="00104EC4" w:rsidRDefault="00881838" w:rsidP="00104EC4">
      <w:pPr>
        <w:rPr>
          <w:rFonts w:eastAsiaTheme="majorEastAsia" w:cstheme="majorBidi"/>
          <w:color w:val="0F4761" w:themeColor="accent1" w:themeShade="BF"/>
          <w:sz w:val="32"/>
          <w:szCs w:val="32"/>
        </w:rPr>
      </w:pPr>
      <w:r w:rsidRPr="00104EC4">
        <w:rPr>
          <w:rFonts w:eastAsiaTheme="majorEastAsia" w:cstheme="majorBidi"/>
          <w:color w:val="0F4761" w:themeColor="accent1" w:themeShade="BF"/>
          <w:sz w:val="32"/>
          <w:szCs w:val="32"/>
        </w:rPr>
        <w:t>10.18.170.5</w:t>
      </w:r>
      <w:r w:rsidR="00F45287">
        <w:rPr>
          <w:rFonts w:eastAsiaTheme="majorEastAsia" w:cstheme="majorBidi"/>
          <w:color w:val="0F4761" w:themeColor="accent1" w:themeShade="BF"/>
          <w:sz w:val="32"/>
          <w:szCs w:val="32"/>
        </w:rPr>
        <w:tab/>
      </w:r>
      <w:r w:rsidRPr="00104EC4">
        <w:rPr>
          <w:rFonts w:eastAsiaTheme="majorEastAsia" w:cstheme="majorBidi"/>
          <w:color w:val="0F4761" w:themeColor="accent1" w:themeShade="BF"/>
          <w:sz w:val="32"/>
          <w:szCs w:val="32"/>
        </w:rPr>
        <w:tab/>
      </w:r>
      <w:r w:rsidR="00F45287" w:rsidRPr="00104EC4">
        <w:rPr>
          <w:rFonts w:eastAsiaTheme="majorEastAsia" w:cstheme="majorBidi"/>
          <w:color w:val="0F4761" w:themeColor="accent1" w:themeShade="BF"/>
          <w:sz w:val="32"/>
          <w:szCs w:val="32"/>
        </w:rPr>
        <w:t>APPLICATION REQUIREMENT</w:t>
      </w:r>
      <w:r w:rsidR="002248CD" w:rsidRPr="00104EC4">
        <w:rPr>
          <w:rFonts w:eastAsiaTheme="majorEastAsia" w:cstheme="majorBidi"/>
          <w:color w:val="0F4761" w:themeColor="accent1" w:themeShade="BF"/>
          <w:sz w:val="32"/>
          <w:szCs w:val="32"/>
        </w:rPr>
        <w:t>.</w:t>
      </w:r>
    </w:p>
    <w:p w14:paraId="546CA999" w14:textId="5FD42859" w:rsidR="002D46EF" w:rsidRDefault="004F7869" w:rsidP="00881838">
      <w:r>
        <w:t xml:space="preserve">Any homeowner </w:t>
      </w:r>
      <w:r w:rsidR="008E0DC1">
        <w:t>residing</w:t>
      </w:r>
      <w:r>
        <w:t xml:space="preserve"> in a single-family dwelling</w:t>
      </w:r>
      <w:r w:rsidR="005B6F3C">
        <w:t xml:space="preserve"> whose property is in a residential zone and </w:t>
      </w:r>
      <w:r w:rsidR="00E4617E">
        <w:t xml:space="preserve">who </w:t>
      </w:r>
      <w:r w:rsidR="005B6F3C">
        <w:t xml:space="preserve">desires a DADU </w:t>
      </w:r>
      <w:r w:rsidR="008E0DC1">
        <w:t>must</w:t>
      </w:r>
      <w:r w:rsidR="005B6F3C">
        <w:t xml:space="preserve"> </w:t>
      </w:r>
      <w:r w:rsidR="00A73A9C">
        <w:t>submit</w:t>
      </w:r>
      <w:r w:rsidR="00F76A89">
        <w:t xml:space="preserve"> a Detached Accessory Dwelling Unit Application</w:t>
      </w:r>
      <w:r w:rsidR="00481083">
        <w:t>. This application shall be</w:t>
      </w:r>
      <w:r w:rsidR="00CB4088">
        <w:t xml:space="preserve"> required in addition to any building permits that may be necessary to create the accessory dwelling unit. The applicant shall submit the following </w:t>
      </w:r>
      <w:r w:rsidR="00B34F84">
        <w:t>as part of the Detached Accessory Dwelling Unit Application:</w:t>
      </w:r>
    </w:p>
    <w:p w14:paraId="08836B96" w14:textId="08394E0D" w:rsidR="00B35E65" w:rsidRDefault="0043389E" w:rsidP="00881838">
      <w:pPr>
        <w:pStyle w:val="ListParagraph"/>
        <w:numPr>
          <w:ilvl w:val="0"/>
          <w:numId w:val="3"/>
        </w:numPr>
        <w:contextualSpacing w:val="0"/>
      </w:pPr>
      <w:r>
        <w:t>An application fee set by the City Council and established by resolution.</w:t>
      </w:r>
    </w:p>
    <w:p w14:paraId="5AC2EAAD" w14:textId="015DDA11" w:rsidR="00923E58" w:rsidRDefault="00D478AA" w:rsidP="00881838">
      <w:pPr>
        <w:pStyle w:val="ListParagraph"/>
        <w:numPr>
          <w:ilvl w:val="0"/>
          <w:numId w:val="3"/>
        </w:numPr>
        <w:contextualSpacing w:val="0"/>
      </w:pPr>
      <w:r>
        <w:t xml:space="preserve">A site plan drawn accurately to scale that shows property lines and dimensions, the location of existing </w:t>
      </w:r>
      <w:r w:rsidR="00B051F3">
        <w:t>buildings, any proposed building and its dimensions and property lines, and the location of parking stalls.</w:t>
      </w:r>
    </w:p>
    <w:p w14:paraId="328D8FC3" w14:textId="77777777" w:rsidR="00881838" w:rsidRDefault="00697F92" w:rsidP="00881838">
      <w:pPr>
        <w:pStyle w:val="ListParagraph"/>
        <w:numPr>
          <w:ilvl w:val="0"/>
          <w:numId w:val="3"/>
        </w:numPr>
        <w:contextualSpacing w:val="0"/>
      </w:pPr>
      <w:r>
        <w:t xml:space="preserve">Written verification that the applicant </w:t>
      </w:r>
      <w:r w:rsidR="00334B0C">
        <w:t>owns</w:t>
      </w:r>
      <w:r>
        <w:t xml:space="preserve"> the property and has permanent residency in the existing single-family dwelling where the request is being made.</w:t>
      </w:r>
    </w:p>
    <w:p w14:paraId="219AD518" w14:textId="24D23087" w:rsidR="000F3609" w:rsidRDefault="00881838" w:rsidP="00061564">
      <w:pPr>
        <w:pStyle w:val="SCD2"/>
      </w:pPr>
      <w:bookmarkStart w:id="7" w:name="_Toc195703078"/>
      <w:r>
        <w:t>10.18.170.</w:t>
      </w:r>
      <w:r w:rsidR="002248CD">
        <w:t>6</w:t>
      </w:r>
      <w:r w:rsidR="002248CD">
        <w:tab/>
      </w:r>
      <w:r w:rsidR="00F45287">
        <w:tab/>
        <w:t>ADMINISTRATIVE PROCESS</w:t>
      </w:r>
      <w:r w:rsidR="002248CD">
        <w:t>.</w:t>
      </w:r>
      <w:bookmarkEnd w:id="7"/>
    </w:p>
    <w:p w14:paraId="79DDDD9F" w14:textId="7DD5B949" w:rsidR="0034362D" w:rsidRDefault="000F3609" w:rsidP="0034362D">
      <w:pPr>
        <w:pStyle w:val="ListParagraph"/>
        <w:numPr>
          <w:ilvl w:val="0"/>
          <w:numId w:val="5"/>
        </w:numPr>
        <w:contextualSpacing w:val="0"/>
      </w:pPr>
      <w:r>
        <w:t xml:space="preserve">Staff Review: The </w:t>
      </w:r>
      <w:r w:rsidR="007E0364">
        <w:t>Planning Department or other designated City staff shall review all DADU applications for compliance with this section and other applicable codes.</w:t>
      </w:r>
    </w:p>
    <w:p w14:paraId="7FF6C2A5" w14:textId="47E58762" w:rsidR="0034362D" w:rsidRDefault="0034362D" w:rsidP="0034362D">
      <w:pPr>
        <w:pStyle w:val="ListParagraph"/>
        <w:numPr>
          <w:ilvl w:val="1"/>
          <w:numId w:val="5"/>
        </w:numPr>
        <w:contextualSpacing w:val="0"/>
      </w:pPr>
      <w:r>
        <w:t xml:space="preserve">If City staff finds that the application complies with the requirements of this section, </w:t>
      </w:r>
      <w:r w:rsidR="00840EEC">
        <w:t xml:space="preserve">it </w:t>
      </w:r>
      <w:r>
        <w:t xml:space="preserve">shall be approved. </w:t>
      </w:r>
    </w:p>
    <w:p w14:paraId="24A3469D" w14:textId="353A88F0" w:rsidR="0034362D" w:rsidRDefault="0034362D" w:rsidP="0034362D">
      <w:pPr>
        <w:pStyle w:val="ListParagraph"/>
        <w:numPr>
          <w:ilvl w:val="1"/>
          <w:numId w:val="5"/>
        </w:numPr>
        <w:contextualSpacing w:val="0"/>
      </w:pPr>
      <w:r>
        <w:lastRenderedPageBreak/>
        <w:t xml:space="preserve">If City staff finds that the application does not comply with the requirements of this section, </w:t>
      </w:r>
      <w:r w:rsidR="00840EEC">
        <w:t>it</w:t>
      </w:r>
      <w:r>
        <w:t xml:space="preserve"> shall be denied.</w:t>
      </w:r>
    </w:p>
    <w:p w14:paraId="5C5B64F6" w14:textId="3FA1A420" w:rsidR="000908FC" w:rsidRDefault="007B0031" w:rsidP="00061564">
      <w:pPr>
        <w:pStyle w:val="SCD2"/>
      </w:pPr>
      <w:bookmarkStart w:id="8" w:name="_Toc195703079"/>
      <w:r>
        <w:t>10.18.170.7</w:t>
      </w:r>
      <w:r w:rsidR="004E3F08">
        <w:tab/>
      </w:r>
      <w:r w:rsidR="004E3F08">
        <w:tab/>
      </w:r>
      <w:r w:rsidR="008C3308">
        <w:t>ENFORCEMENT AND PENALTIES</w:t>
      </w:r>
      <w:r>
        <w:t>.</w:t>
      </w:r>
      <w:bookmarkEnd w:id="8"/>
    </w:p>
    <w:p w14:paraId="6ADAFFE3" w14:textId="3E139957" w:rsidR="007B0031" w:rsidRDefault="008D2FCF" w:rsidP="000908FC">
      <w:r>
        <w:t>Upon finding a violation under this Section, the following penalties shall apply:</w:t>
      </w:r>
    </w:p>
    <w:p w14:paraId="26842B1D" w14:textId="07709E51" w:rsidR="008D2FCF" w:rsidRDefault="00A91845" w:rsidP="008D2FCF">
      <w:pPr>
        <w:pStyle w:val="ListParagraph"/>
        <w:numPr>
          <w:ilvl w:val="0"/>
          <w:numId w:val="6"/>
        </w:numPr>
      </w:pPr>
      <w:r>
        <w:t>First Violation: Five Hundred Dollars ($500.00)</w:t>
      </w:r>
      <w:r w:rsidR="003346B4">
        <w:t>.</w:t>
      </w:r>
    </w:p>
    <w:p w14:paraId="46377342" w14:textId="65B5B86A" w:rsidR="00A91845" w:rsidRDefault="003346B4" w:rsidP="008D2FCF">
      <w:pPr>
        <w:pStyle w:val="ListParagraph"/>
        <w:numPr>
          <w:ilvl w:val="0"/>
          <w:numId w:val="6"/>
        </w:numPr>
      </w:pPr>
      <w:r>
        <w:t>Second Violation: One Thousand Dollars ($1,000.00).</w:t>
      </w:r>
    </w:p>
    <w:p w14:paraId="00BABF37" w14:textId="0240BB16" w:rsidR="003346B4" w:rsidRDefault="003346B4" w:rsidP="008D2FCF">
      <w:pPr>
        <w:pStyle w:val="ListParagraph"/>
        <w:numPr>
          <w:ilvl w:val="0"/>
          <w:numId w:val="6"/>
        </w:numPr>
      </w:pPr>
      <w:r>
        <w:t>Third Violation: Two Thousand Dollars ($2,000.00).</w:t>
      </w:r>
    </w:p>
    <w:p w14:paraId="62908FF1" w14:textId="7CC8C786" w:rsidR="003346B4" w:rsidRDefault="003346B4" w:rsidP="003346B4">
      <w:r>
        <w:t>In addition to the fines set forth in this Subsection, all violation</w:t>
      </w:r>
      <w:r w:rsidR="00311910">
        <w:t>s</w:t>
      </w:r>
      <w:r>
        <w:t xml:space="preserve"> of this Section may constitute a Class C misdemeanor as outlined in Chapter 10-04-090 of this Title.</w:t>
      </w:r>
    </w:p>
    <w:p w14:paraId="2D828652" w14:textId="77777777" w:rsidR="00674CE8" w:rsidRDefault="00674CE8" w:rsidP="00674CE8"/>
    <w:p w14:paraId="3D8945B3" w14:textId="77777777" w:rsidR="00674CE8" w:rsidRDefault="00674CE8" w:rsidP="00674CE8"/>
    <w:p w14:paraId="12D3862E" w14:textId="77777777" w:rsidR="00674CE8" w:rsidRPr="00BD69AA" w:rsidRDefault="00674CE8" w:rsidP="00674CE8">
      <w:pPr>
        <w:spacing w:after="240"/>
        <w:rPr>
          <w:rFonts w:cs="Segoe UI Light"/>
        </w:rPr>
      </w:pPr>
      <w:r w:rsidRPr="00BD69AA">
        <w:rPr>
          <w:rFonts w:cs="Segoe UI Light"/>
          <w:b/>
          <w:bCs/>
        </w:rPr>
        <w:t>Severability Clause:</w:t>
      </w:r>
      <w:r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57CF6103" w14:textId="77777777" w:rsidR="00674CE8" w:rsidRPr="00BD69AA" w:rsidRDefault="00674CE8" w:rsidP="00674CE8">
      <w:pPr>
        <w:spacing w:after="240"/>
        <w:rPr>
          <w:rFonts w:cs="Segoe UI Light"/>
        </w:rPr>
      </w:pPr>
      <w:r w:rsidRPr="00BD69AA">
        <w:rPr>
          <w:rFonts w:cs="Segoe UI Light"/>
          <w:b/>
          <w:bCs/>
        </w:rPr>
        <w:t>Effective Date:</w:t>
      </w:r>
      <w:r w:rsidRPr="00BD69AA">
        <w:rPr>
          <w:rFonts w:cs="Segoe UI Light"/>
        </w:rPr>
        <w:t xml:space="preserve"> This Ordinance shall be in full force and take effect on _______________, 202</w:t>
      </w:r>
      <w:r>
        <w:rPr>
          <w:rFonts w:cs="Segoe UI Light"/>
        </w:rPr>
        <w:t>5</w:t>
      </w:r>
    </w:p>
    <w:p w14:paraId="49C982CF" w14:textId="77777777" w:rsidR="00674CE8" w:rsidRPr="00BD69AA" w:rsidRDefault="00674CE8" w:rsidP="00674CE8">
      <w:pPr>
        <w:spacing w:after="240"/>
        <w:rPr>
          <w:rFonts w:cs="Segoe UI Light"/>
        </w:rPr>
      </w:pPr>
      <w:proofErr w:type="spellStart"/>
      <w:r w:rsidRPr="00BD69AA">
        <w:rPr>
          <w:rFonts w:cs="Segoe UI Light"/>
          <w:b/>
          <w:bCs/>
        </w:rPr>
        <w:t>Repealer</w:t>
      </w:r>
      <w:proofErr w:type="spellEnd"/>
      <w:r w:rsidRPr="00BD69AA">
        <w:rPr>
          <w:rFonts w:cs="Segoe UI Light"/>
          <w:b/>
          <w:bCs/>
        </w:rPr>
        <w:t xml:space="preserve"> Clause:</w:t>
      </w:r>
      <w:r w:rsidRPr="00BD69AA">
        <w:rPr>
          <w:rFonts w:cs="Segoe UI Light"/>
        </w:rPr>
        <w:t xml:space="preserve"> All Mount Pleasant City ordinances or resolutions or parts thereof, which are in conflict herewith, are hereby repealed.</w:t>
      </w:r>
    </w:p>
    <w:p w14:paraId="52AC2D6B" w14:textId="77777777" w:rsidR="00674CE8" w:rsidRPr="00BD69AA" w:rsidRDefault="00674CE8" w:rsidP="00674CE8">
      <w:pPr>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32574321" w14:textId="77777777" w:rsidR="00674CE8" w:rsidRPr="00BD69AA" w:rsidRDefault="00674CE8" w:rsidP="00674CE8">
      <w:pPr>
        <w:rPr>
          <w:rFonts w:cs="Segoe UI Light"/>
        </w:rPr>
      </w:pPr>
    </w:p>
    <w:p w14:paraId="58B719FC" w14:textId="77777777" w:rsidR="00674CE8" w:rsidRPr="00BD69AA" w:rsidRDefault="00674CE8" w:rsidP="00674CE8">
      <w:pPr>
        <w:rPr>
          <w:rFonts w:cs="Segoe UI Light"/>
        </w:rPr>
      </w:pPr>
    </w:p>
    <w:p w14:paraId="036CBFF4" w14:textId="77777777" w:rsidR="00674CE8" w:rsidRPr="00BD69AA" w:rsidRDefault="00674CE8" w:rsidP="00674CE8">
      <w:pPr>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7E0C9A3A" w14:textId="77777777" w:rsidR="00674CE8" w:rsidRPr="00BD69AA" w:rsidRDefault="00674CE8" w:rsidP="00674CE8">
      <w:pPr>
        <w:contextualSpacing/>
        <w:rPr>
          <w:rFonts w:cs="Segoe UI Light"/>
        </w:rPr>
      </w:pPr>
    </w:p>
    <w:p w14:paraId="448591D0" w14:textId="77777777" w:rsidR="00674CE8" w:rsidRPr="00BD69AA" w:rsidRDefault="00674CE8" w:rsidP="00674CE8">
      <w:pPr>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5337C43C" w14:textId="77777777" w:rsidR="00674CE8" w:rsidRPr="00BD69AA" w:rsidRDefault="00674CE8" w:rsidP="00674CE8">
      <w:pPr>
        <w:contextualSpacing/>
        <w:rPr>
          <w:rFonts w:cs="Segoe UI Light"/>
        </w:rPr>
      </w:pPr>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1D700C50" w14:textId="77777777" w:rsidR="00674CE8" w:rsidRPr="00BD69AA" w:rsidRDefault="00674CE8" w:rsidP="00674CE8">
      <w:pPr>
        <w:contextualSpacing/>
        <w:rPr>
          <w:rFonts w:cs="Segoe UI Light"/>
        </w:rPr>
      </w:pPr>
    </w:p>
    <w:p w14:paraId="6E951CB8" w14:textId="77777777" w:rsidR="00674CE8" w:rsidRPr="00BD69AA" w:rsidRDefault="00674CE8" w:rsidP="00674CE8">
      <w:pPr>
        <w:contextualSpacing/>
        <w:rPr>
          <w:rFonts w:cs="Segoe UI Light"/>
        </w:rPr>
      </w:pPr>
    </w:p>
    <w:p w14:paraId="697BBFDE" w14:textId="77777777" w:rsidR="00674CE8" w:rsidRPr="00BD69AA" w:rsidRDefault="00674CE8" w:rsidP="00674CE8">
      <w:pPr>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4B7C9F9C" w14:textId="77777777" w:rsidR="00674CE8" w:rsidRPr="00BD69AA" w:rsidRDefault="00674CE8" w:rsidP="00674CE8">
      <w:pPr>
        <w:contextualSpacing/>
        <w:rPr>
          <w:rFonts w:cs="Segoe UI Light"/>
        </w:rPr>
      </w:pPr>
      <w:r w:rsidRPr="00BD69AA">
        <w:rPr>
          <w:rFonts w:cs="Segoe UI Light"/>
        </w:rPr>
        <w:lastRenderedPageBreak/>
        <w:t>City Council Member Paul Madsen</w:t>
      </w:r>
      <w:r w:rsidRPr="00BD69AA">
        <w:rPr>
          <w:rFonts w:cs="Segoe UI Light"/>
        </w:rPr>
        <w:tab/>
      </w:r>
      <w:r w:rsidRPr="00BD69AA">
        <w:rPr>
          <w:rFonts w:cs="Segoe UI Light"/>
        </w:rPr>
        <w:tab/>
      </w:r>
      <w:r w:rsidRPr="00BD69AA">
        <w:rPr>
          <w:rFonts w:cs="Segoe UI Light"/>
        </w:rPr>
        <w:tab/>
        <w:t>Yea____ Nay____ Absent____</w:t>
      </w:r>
    </w:p>
    <w:p w14:paraId="0703F619" w14:textId="77777777" w:rsidR="00674CE8" w:rsidRPr="00BD69AA" w:rsidRDefault="00674CE8" w:rsidP="00674CE8">
      <w:pPr>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3E04C911" w14:textId="77777777" w:rsidR="00674CE8" w:rsidRPr="00BD69AA" w:rsidRDefault="00674CE8" w:rsidP="00674CE8">
      <w:pPr>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58A25C8D" w14:textId="77777777" w:rsidR="00674CE8" w:rsidRPr="00BD69AA" w:rsidRDefault="00674CE8" w:rsidP="00674CE8">
      <w:pPr>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67C58315" w14:textId="77777777" w:rsidR="00674CE8" w:rsidRPr="00BD69AA" w:rsidRDefault="00674CE8" w:rsidP="00674CE8">
      <w:pPr>
        <w:contextualSpacing/>
        <w:rPr>
          <w:rFonts w:cs="Segoe UI Light"/>
        </w:rPr>
      </w:pPr>
    </w:p>
    <w:p w14:paraId="1F42B21E" w14:textId="77777777" w:rsidR="00674CE8" w:rsidRPr="00BD69AA" w:rsidRDefault="00674CE8" w:rsidP="00674CE8">
      <w:pPr>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5CB7FB8B" w14:textId="77777777" w:rsidR="00674CE8" w:rsidRPr="00BD69AA" w:rsidRDefault="00674CE8" w:rsidP="00674CE8">
      <w:pPr>
        <w:contextualSpacing/>
        <w:rPr>
          <w:rFonts w:cs="Segoe UI Light"/>
        </w:rPr>
      </w:pPr>
      <w:r w:rsidRPr="00BD69AA">
        <w:rPr>
          <w:rFonts w:cs="Segoe UI Light"/>
        </w:rPr>
        <w:t xml:space="preserve">PUBLISHED OR </w:t>
      </w:r>
      <w:proofErr w:type="gramStart"/>
      <w:r w:rsidRPr="00BD69AA">
        <w:rPr>
          <w:rFonts w:cs="Segoe UI Light"/>
        </w:rPr>
        <w:t>POSTED  this</w:t>
      </w:r>
      <w:proofErr w:type="gramEnd"/>
      <w:r w:rsidRPr="00BD69AA">
        <w:rPr>
          <w:rFonts w:cs="Segoe UI Light"/>
        </w:rPr>
        <w:t xml:space="preserve"> ____ day of _________________, 202</w:t>
      </w:r>
      <w:r>
        <w:rPr>
          <w:rFonts w:cs="Segoe UI Light"/>
        </w:rPr>
        <w:t>5</w:t>
      </w:r>
      <w:r w:rsidRPr="00BD69AA">
        <w:rPr>
          <w:rFonts w:cs="Segoe UI Light"/>
        </w:rPr>
        <w:t xml:space="preserve">. </w:t>
      </w:r>
    </w:p>
    <w:p w14:paraId="1939EAC0" w14:textId="77777777" w:rsidR="00674CE8" w:rsidRPr="00BD69AA" w:rsidRDefault="00674CE8" w:rsidP="00674CE8">
      <w:pPr>
        <w:rPr>
          <w:rFonts w:cs="Segoe UI Light"/>
        </w:rPr>
      </w:pPr>
    </w:p>
    <w:p w14:paraId="7FD7BF51" w14:textId="77777777" w:rsidR="00674CE8" w:rsidRDefault="00674CE8" w:rsidP="00674CE8"/>
    <w:sectPr w:rsidR="00674CE8" w:rsidSect="002862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4AFC" w14:textId="77777777" w:rsidR="00B57C72" w:rsidRDefault="00B57C72" w:rsidP="00046DF6">
      <w:pPr>
        <w:spacing w:after="0" w:line="240" w:lineRule="auto"/>
      </w:pPr>
      <w:r>
        <w:separator/>
      </w:r>
    </w:p>
  </w:endnote>
  <w:endnote w:type="continuationSeparator" w:id="0">
    <w:p w14:paraId="59788038" w14:textId="77777777" w:rsidR="00B57C72" w:rsidRDefault="00B57C72" w:rsidP="0004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0AD8" w14:textId="77777777" w:rsidR="00046DF6" w:rsidRDefault="00046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3DCF" w14:textId="77777777" w:rsidR="00046DF6" w:rsidRDefault="00046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77C7" w14:textId="77777777" w:rsidR="00046DF6" w:rsidRDefault="00046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D127" w14:textId="77777777" w:rsidR="00B57C72" w:rsidRDefault="00B57C72" w:rsidP="00046DF6">
      <w:pPr>
        <w:spacing w:after="0" w:line="240" w:lineRule="auto"/>
      </w:pPr>
      <w:r>
        <w:separator/>
      </w:r>
    </w:p>
  </w:footnote>
  <w:footnote w:type="continuationSeparator" w:id="0">
    <w:p w14:paraId="67E39BDA" w14:textId="77777777" w:rsidR="00B57C72" w:rsidRDefault="00B57C72" w:rsidP="00046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898B" w14:textId="77777777" w:rsidR="00046DF6" w:rsidRDefault="00046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6842" w14:textId="6D296C04" w:rsidR="00046DF6" w:rsidRDefault="00046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5F95" w14:textId="77777777" w:rsidR="00046DF6" w:rsidRDefault="00046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43BB"/>
    <w:multiLevelType w:val="multilevel"/>
    <w:tmpl w:val="25CC78E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2E408A"/>
    <w:multiLevelType w:val="multilevel"/>
    <w:tmpl w:val="25CC78E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11403E"/>
    <w:multiLevelType w:val="multilevel"/>
    <w:tmpl w:val="25CC78E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8A37EA"/>
    <w:multiLevelType w:val="hybridMultilevel"/>
    <w:tmpl w:val="8DB87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81339"/>
    <w:multiLevelType w:val="multilevel"/>
    <w:tmpl w:val="25CC78E6"/>
    <w:styleLink w:val="Style1"/>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3A48FB"/>
    <w:multiLevelType w:val="multilevel"/>
    <w:tmpl w:val="25CC78E6"/>
    <w:numStyleLink w:val="Style1"/>
  </w:abstractNum>
  <w:num w:numId="1" w16cid:durableId="1831673910">
    <w:abstractNumId w:val="5"/>
  </w:num>
  <w:num w:numId="2" w16cid:durableId="414589137">
    <w:abstractNumId w:val="4"/>
  </w:num>
  <w:num w:numId="3" w16cid:durableId="517233609">
    <w:abstractNumId w:val="0"/>
  </w:num>
  <w:num w:numId="4" w16cid:durableId="620188086">
    <w:abstractNumId w:val="1"/>
  </w:num>
  <w:num w:numId="5" w16cid:durableId="1339306371">
    <w:abstractNumId w:val="2"/>
  </w:num>
  <w:num w:numId="6" w16cid:durableId="1050232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DF"/>
    <w:rsid w:val="000004A2"/>
    <w:rsid w:val="0000102A"/>
    <w:rsid w:val="00011040"/>
    <w:rsid w:val="000225E8"/>
    <w:rsid w:val="000251B7"/>
    <w:rsid w:val="00025BD4"/>
    <w:rsid w:val="000330AD"/>
    <w:rsid w:val="0004642D"/>
    <w:rsid w:val="00046DF6"/>
    <w:rsid w:val="00061564"/>
    <w:rsid w:val="0007373A"/>
    <w:rsid w:val="000908FC"/>
    <w:rsid w:val="000A4EA6"/>
    <w:rsid w:val="000F1411"/>
    <w:rsid w:val="000F3609"/>
    <w:rsid w:val="000F36B6"/>
    <w:rsid w:val="00102D08"/>
    <w:rsid w:val="00104EC4"/>
    <w:rsid w:val="0011001F"/>
    <w:rsid w:val="00113541"/>
    <w:rsid w:val="00121778"/>
    <w:rsid w:val="00130F9C"/>
    <w:rsid w:val="001470BB"/>
    <w:rsid w:val="001501FF"/>
    <w:rsid w:val="00154C4F"/>
    <w:rsid w:val="00156EF9"/>
    <w:rsid w:val="001729F1"/>
    <w:rsid w:val="00172F5E"/>
    <w:rsid w:val="00182B92"/>
    <w:rsid w:val="001875AB"/>
    <w:rsid w:val="001A7C99"/>
    <w:rsid w:val="001B08AA"/>
    <w:rsid w:val="001B7472"/>
    <w:rsid w:val="001C1E09"/>
    <w:rsid w:val="001C1F02"/>
    <w:rsid w:val="001D041C"/>
    <w:rsid w:val="001E52BA"/>
    <w:rsid w:val="001F2EF5"/>
    <w:rsid w:val="001F5BD4"/>
    <w:rsid w:val="00201CDF"/>
    <w:rsid w:val="00204F9B"/>
    <w:rsid w:val="002063E2"/>
    <w:rsid w:val="00216578"/>
    <w:rsid w:val="0022068A"/>
    <w:rsid w:val="002248CD"/>
    <w:rsid w:val="0023248C"/>
    <w:rsid w:val="0028621E"/>
    <w:rsid w:val="00286A22"/>
    <w:rsid w:val="002978D9"/>
    <w:rsid w:val="002A631A"/>
    <w:rsid w:val="002D46EF"/>
    <w:rsid w:val="002F4DF8"/>
    <w:rsid w:val="002F6F37"/>
    <w:rsid w:val="00311910"/>
    <w:rsid w:val="003212DF"/>
    <w:rsid w:val="0032223B"/>
    <w:rsid w:val="00322D47"/>
    <w:rsid w:val="00332847"/>
    <w:rsid w:val="003346B4"/>
    <w:rsid w:val="00334B0C"/>
    <w:rsid w:val="00336B1C"/>
    <w:rsid w:val="00337E4C"/>
    <w:rsid w:val="0034362D"/>
    <w:rsid w:val="0035428B"/>
    <w:rsid w:val="0037706D"/>
    <w:rsid w:val="003877F1"/>
    <w:rsid w:val="003A3CAB"/>
    <w:rsid w:val="003C228E"/>
    <w:rsid w:val="003D0041"/>
    <w:rsid w:val="003D0B16"/>
    <w:rsid w:val="003D1487"/>
    <w:rsid w:val="003E52FE"/>
    <w:rsid w:val="003F7767"/>
    <w:rsid w:val="00402B5F"/>
    <w:rsid w:val="004164C1"/>
    <w:rsid w:val="00421275"/>
    <w:rsid w:val="00425356"/>
    <w:rsid w:val="0043389E"/>
    <w:rsid w:val="00434756"/>
    <w:rsid w:val="004419C4"/>
    <w:rsid w:val="004460A9"/>
    <w:rsid w:val="00446DFF"/>
    <w:rsid w:val="004503EC"/>
    <w:rsid w:val="00481083"/>
    <w:rsid w:val="00490A61"/>
    <w:rsid w:val="0049277E"/>
    <w:rsid w:val="00493A0D"/>
    <w:rsid w:val="004A7834"/>
    <w:rsid w:val="004C2B3E"/>
    <w:rsid w:val="004D6D22"/>
    <w:rsid w:val="004E3F08"/>
    <w:rsid w:val="004E48D8"/>
    <w:rsid w:val="004F7869"/>
    <w:rsid w:val="005271EF"/>
    <w:rsid w:val="0053103B"/>
    <w:rsid w:val="00544CC7"/>
    <w:rsid w:val="00553181"/>
    <w:rsid w:val="00556EF4"/>
    <w:rsid w:val="0056338C"/>
    <w:rsid w:val="0057584C"/>
    <w:rsid w:val="00586166"/>
    <w:rsid w:val="005931B4"/>
    <w:rsid w:val="005961A2"/>
    <w:rsid w:val="00596F16"/>
    <w:rsid w:val="005B6F3C"/>
    <w:rsid w:val="005D1C74"/>
    <w:rsid w:val="006224C8"/>
    <w:rsid w:val="00631F87"/>
    <w:rsid w:val="0063287A"/>
    <w:rsid w:val="0063321E"/>
    <w:rsid w:val="00633EBE"/>
    <w:rsid w:val="0064341F"/>
    <w:rsid w:val="00674CE8"/>
    <w:rsid w:val="00692664"/>
    <w:rsid w:val="00697F92"/>
    <w:rsid w:val="006A15AE"/>
    <w:rsid w:val="006A6105"/>
    <w:rsid w:val="006A797F"/>
    <w:rsid w:val="006B0B3B"/>
    <w:rsid w:val="006B43CF"/>
    <w:rsid w:val="00716373"/>
    <w:rsid w:val="00727BF5"/>
    <w:rsid w:val="00732141"/>
    <w:rsid w:val="0073393C"/>
    <w:rsid w:val="00740C92"/>
    <w:rsid w:val="00775CA8"/>
    <w:rsid w:val="007B0031"/>
    <w:rsid w:val="007B2FF7"/>
    <w:rsid w:val="007D757F"/>
    <w:rsid w:val="007D7A08"/>
    <w:rsid w:val="007E0364"/>
    <w:rsid w:val="007F1054"/>
    <w:rsid w:val="007F3266"/>
    <w:rsid w:val="007F5EEA"/>
    <w:rsid w:val="0081227D"/>
    <w:rsid w:val="00830E27"/>
    <w:rsid w:val="00840EEC"/>
    <w:rsid w:val="00855525"/>
    <w:rsid w:val="00857BE2"/>
    <w:rsid w:val="00881838"/>
    <w:rsid w:val="008C2810"/>
    <w:rsid w:val="008C3308"/>
    <w:rsid w:val="008D242E"/>
    <w:rsid w:val="008D2FCF"/>
    <w:rsid w:val="008E0DC1"/>
    <w:rsid w:val="008E2AB0"/>
    <w:rsid w:val="008E5498"/>
    <w:rsid w:val="008F2693"/>
    <w:rsid w:val="008F2A46"/>
    <w:rsid w:val="00902305"/>
    <w:rsid w:val="00923E58"/>
    <w:rsid w:val="00947606"/>
    <w:rsid w:val="00951A59"/>
    <w:rsid w:val="00954A8E"/>
    <w:rsid w:val="00956E40"/>
    <w:rsid w:val="009777C9"/>
    <w:rsid w:val="009905A7"/>
    <w:rsid w:val="00995E67"/>
    <w:rsid w:val="009964D7"/>
    <w:rsid w:val="009A1FC0"/>
    <w:rsid w:val="009B4CB1"/>
    <w:rsid w:val="009B7370"/>
    <w:rsid w:val="009C332F"/>
    <w:rsid w:val="009C725A"/>
    <w:rsid w:val="009D3FE2"/>
    <w:rsid w:val="009D52FB"/>
    <w:rsid w:val="009D7C8A"/>
    <w:rsid w:val="009E75D6"/>
    <w:rsid w:val="009F2E9D"/>
    <w:rsid w:val="009F71F0"/>
    <w:rsid w:val="00A025A0"/>
    <w:rsid w:val="00A4215F"/>
    <w:rsid w:val="00A42502"/>
    <w:rsid w:val="00A55994"/>
    <w:rsid w:val="00A63B93"/>
    <w:rsid w:val="00A64853"/>
    <w:rsid w:val="00A64A35"/>
    <w:rsid w:val="00A66A3E"/>
    <w:rsid w:val="00A72D42"/>
    <w:rsid w:val="00A73A9C"/>
    <w:rsid w:val="00A83A1E"/>
    <w:rsid w:val="00A91845"/>
    <w:rsid w:val="00AE1902"/>
    <w:rsid w:val="00AE2B99"/>
    <w:rsid w:val="00AF41FC"/>
    <w:rsid w:val="00AF79BB"/>
    <w:rsid w:val="00B051F3"/>
    <w:rsid w:val="00B22796"/>
    <w:rsid w:val="00B311A0"/>
    <w:rsid w:val="00B335F6"/>
    <w:rsid w:val="00B344EF"/>
    <w:rsid w:val="00B34F84"/>
    <w:rsid w:val="00B35E65"/>
    <w:rsid w:val="00B42594"/>
    <w:rsid w:val="00B464FD"/>
    <w:rsid w:val="00B53EF1"/>
    <w:rsid w:val="00B57C72"/>
    <w:rsid w:val="00B67944"/>
    <w:rsid w:val="00B70843"/>
    <w:rsid w:val="00B75262"/>
    <w:rsid w:val="00B765F1"/>
    <w:rsid w:val="00B85AE5"/>
    <w:rsid w:val="00B87FB6"/>
    <w:rsid w:val="00BA7EB7"/>
    <w:rsid w:val="00BC19DA"/>
    <w:rsid w:val="00BE5566"/>
    <w:rsid w:val="00BF2FC7"/>
    <w:rsid w:val="00BF6D9B"/>
    <w:rsid w:val="00BF7754"/>
    <w:rsid w:val="00C057F8"/>
    <w:rsid w:val="00C17782"/>
    <w:rsid w:val="00C3257F"/>
    <w:rsid w:val="00C64009"/>
    <w:rsid w:val="00C641D5"/>
    <w:rsid w:val="00C765EB"/>
    <w:rsid w:val="00C8381D"/>
    <w:rsid w:val="00C90AD2"/>
    <w:rsid w:val="00C9704A"/>
    <w:rsid w:val="00CB03AD"/>
    <w:rsid w:val="00CB4088"/>
    <w:rsid w:val="00CC225D"/>
    <w:rsid w:val="00CE0A14"/>
    <w:rsid w:val="00CE310D"/>
    <w:rsid w:val="00CE464A"/>
    <w:rsid w:val="00CF5DC5"/>
    <w:rsid w:val="00CF6DA1"/>
    <w:rsid w:val="00CF7038"/>
    <w:rsid w:val="00D028F6"/>
    <w:rsid w:val="00D07F48"/>
    <w:rsid w:val="00D07FE9"/>
    <w:rsid w:val="00D15B07"/>
    <w:rsid w:val="00D16623"/>
    <w:rsid w:val="00D41B8A"/>
    <w:rsid w:val="00D44AD4"/>
    <w:rsid w:val="00D478AA"/>
    <w:rsid w:val="00D57560"/>
    <w:rsid w:val="00D65295"/>
    <w:rsid w:val="00D73391"/>
    <w:rsid w:val="00D73846"/>
    <w:rsid w:val="00D74FD8"/>
    <w:rsid w:val="00D802EB"/>
    <w:rsid w:val="00D81590"/>
    <w:rsid w:val="00D8348C"/>
    <w:rsid w:val="00D843BE"/>
    <w:rsid w:val="00D9579B"/>
    <w:rsid w:val="00DA1197"/>
    <w:rsid w:val="00DA24B0"/>
    <w:rsid w:val="00DA53B7"/>
    <w:rsid w:val="00DB3491"/>
    <w:rsid w:val="00DC5C8E"/>
    <w:rsid w:val="00DD3EF9"/>
    <w:rsid w:val="00DF3253"/>
    <w:rsid w:val="00E03DE2"/>
    <w:rsid w:val="00E162BE"/>
    <w:rsid w:val="00E16A8C"/>
    <w:rsid w:val="00E4617E"/>
    <w:rsid w:val="00E51B54"/>
    <w:rsid w:val="00E65153"/>
    <w:rsid w:val="00E955CA"/>
    <w:rsid w:val="00E95C9C"/>
    <w:rsid w:val="00EB02BB"/>
    <w:rsid w:val="00ED06EC"/>
    <w:rsid w:val="00ED3144"/>
    <w:rsid w:val="00F05443"/>
    <w:rsid w:val="00F13ED6"/>
    <w:rsid w:val="00F24A74"/>
    <w:rsid w:val="00F25616"/>
    <w:rsid w:val="00F45287"/>
    <w:rsid w:val="00F62634"/>
    <w:rsid w:val="00F76A89"/>
    <w:rsid w:val="00FA091C"/>
    <w:rsid w:val="00FA53DD"/>
    <w:rsid w:val="00FB67D3"/>
    <w:rsid w:val="00FC4D46"/>
    <w:rsid w:val="00FD5593"/>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737A4"/>
  <w15:chartTrackingRefBased/>
  <w15:docId w15:val="{4E6D5902-E661-444C-B977-A4B4C998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2DF"/>
    <w:rPr>
      <w:rFonts w:ascii="Segoe UI Semilight" w:hAnsi="Segoe UI Semilight"/>
    </w:rPr>
  </w:style>
  <w:style w:type="paragraph" w:styleId="Heading1">
    <w:name w:val="heading 1"/>
    <w:basedOn w:val="Normal"/>
    <w:next w:val="Normal"/>
    <w:link w:val="Heading1Char"/>
    <w:autoRedefine/>
    <w:uiPriority w:val="9"/>
    <w:qFormat/>
    <w:rsid w:val="003212DF"/>
    <w:pPr>
      <w:keepNext/>
      <w:keepLines/>
      <w:spacing w:before="360" w:after="80"/>
      <w:outlineLvl w:val="0"/>
    </w:pPr>
    <w:rPr>
      <w:rFonts w:eastAsiaTheme="majorEastAsia" w:cstheme="majorBidi"/>
      <w:b/>
      <w:color w:val="0F4761" w:themeColor="accent1" w:themeShade="BF"/>
      <w:sz w:val="40"/>
      <w:szCs w:val="40"/>
    </w:rPr>
  </w:style>
  <w:style w:type="paragraph" w:styleId="Heading2">
    <w:name w:val="heading 2"/>
    <w:basedOn w:val="Normal"/>
    <w:next w:val="Normal"/>
    <w:link w:val="Heading2Char"/>
    <w:autoRedefine/>
    <w:uiPriority w:val="9"/>
    <w:unhideWhenUsed/>
    <w:qFormat/>
    <w:rsid w:val="003212DF"/>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12DF"/>
    <w:pPr>
      <w:keepNext/>
      <w:keepLines/>
      <w:spacing w:before="160" w:after="80"/>
      <w:outlineLvl w:val="2"/>
    </w:pPr>
    <w:rPr>
      <w:rFonts w:ascii="Segoe UI" w:eastAsiaTheme="majorEastAsia" w:hAnsi="Segoe U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2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12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12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12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12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12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2DF"/>
    <w:rPr>
      <w:rFonts w:eastAsiaTheme="majorEastAsia" w:cstheme="majorBidi"/>
      <w:b/>
      <w:color w:val="0F4761" w:themeColor="accent1" w:themeShade="BF"/>
      <w:sz w:val="40"/>
      <w:szCs w:val="40"/>
    </w:rPr>
  </w:style>
  <w:style w:type="character" w:customStyle="1" w:styleId="Heading2Char">
    <w:name w:val="Heading 2 Char"/>
    <w:basedOn w:val="DefaultParagraphFont"/>
    <w:link w:val="Heading2"/>
    <w:uiPriority w:val="9"/>
    <w:rsid w:val="003212DF"/>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321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2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12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12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12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12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12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1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2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12DF"/>
    <w:pPr>
      <w:spacing w:before="160"/>
      <w:jc w:val="center"/>
    </w:pPr>
    <w:rPr>
      <w:i/>
      <w:iCs/>
      <w:color w:val="404040" w:themeColor="text1" w:themeTint="BF"/>
    </w:rPr>
  </w:style>
  <w:style w:type="character" w:customStyle="1" w:styleId="QuoteChar">
    <w:name w:val="Quote Char"/>
    <w:basedOn w:val="DefaultParagraphFont"/>
    <w:link w:val="Quote"/>
    <w:uiPriority w:val="29"/>
    <w:rsid w:val="003212DF"/>
    <w:rPr>
      <w:i/>
      <w:iCs/>
      <w:color w:val="404040" w:themeColor="text1" w:themeTint="BF"/>
    </w:rPr>
  </w:style>
  <w:style w:type="paragraph" w:styleId="ListParagraph">
    <w:name w:val="List Paragraph"/>
    <w:basedOn w:val="Normal"/>
    <w:uiPriority w:val="34"/>
    <w:qFormat/>
    <w:rsid w:val="003212DF"/>
    <w:pPr>
      <w:ind w:left="720"/>
      <w:contextualSpacing/>
    </w:pPr>
  </w:style>
  <w:style w:type="character" w:styleId="IntenseEmphasis">
    <w:name w:val="Intense Emphasis"/>
    <w:basedOn w:val="DefaultParagraphFont"/>
    <w:uiPriority w:val="21"/>
    <w:qFormat/>
    <w:rsid w:val="003212DF"/>
    <w:rPr>
      <w:i/>
      <w:iCs/>
      <w:color w:val="0F4761" w:themeColor="accent1" w:themeShade="BF"/>
    </w:rPr>
  </w:style>
  <w:style w:type="paragraph" w:styleId="IntenseQuote">
    <w:name w:val="Intense Quote"/>
    <w:basedOn w:val="Normal"/>
    <w:next w:val="Normal"/>
    <w:link w:val="IntenseQuoteChar"/>
    <w:uiPriority w:val="30"/>
    <w:qFormat/>
    <w:rsid w:val="00321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2DF"/>
    <w:rPr>
      <w:i/>
      <w:iCs/>
      <w:color w:val="0F4761" w:themeColor="accent1" w:themeShade="BF"/>
    </w:rPr>
  </w:style>
  <w:style w:type="character" w:styleId="IntenseReference">
    <w:name w:val="Intense Reference"/>
    <w:basedOn w:val="DefaultParagraphFont"/>
    <w:uiPriority w:val="32"/>
    <w:qFormat/>
    <w:rsid w:val="003212DF"/>
    <w:rPr>
      <w:b/>
      <w:bCs/>
      <w:smallCaps/>
      <w:color w:val="0F4761" w:themeColor="accent1" w:themeShade="BF"/>
      <w:spacing w:val="5"/>
    </w:rPr>
  </w:style>
  <w:style w:type="paragraph" w:styleId="Header">
    <w:name w:val="header"/>
    <w:basedOn w:val="Normal"/>
    <w:link w:val="HeaderChar"/>
    <w:uiPriority w:val="99"/>
    <w:unhideWhenUsed/>
    <w:rsid w:val="00046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DF6"/>
    <w:rPr>
      <w:rFonts w:ascii="Segoe UI Semilight" w:hAnsi="Segoe UI Semilight"/>
    </w:rPr>
  </w:style>
  <w:style w:type="paragraph" w:styleId="Footer">
    <w:name w:val="footer"/>
    <w:basedOn w:val="Normal"/>
    <w:link w:val="FooterChar"/>
    <w:uiPriority w:val="99"/>
    <w:unhideWhenUsed/>
    <w:rsid w:val="00046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F6"/>
    <w:rPr>
      <w:rFonts w:ascii="Segoe UI Semilight" w:hAnsi="Segoe UI Semilight"/>
    </w:rPr>
  </w:style>
  <w:style w:type="numbering" w:customStyle="1" w:styleId="Style1">
    <w:name w:val="Style1"/>
    <w:uiPriority w:val="99"/>
    <w:rsid w:val="00204F9B"/>
    <w:pPr>
      <w:numPr>
        <w:numId w:val="2"/>
      </w:numPr>
    </w:pPr>
  </w:style>
  <w:style w:type="character" w:styleId="CommentReference">
    <w:name w:val="annotation reference"/>
    <w:basedOn w:val="DefaultParagraphFont"/>
    <w:uiPriority w:val="99"/>
    <w:semiHidden/>
    <w:unhideWhenUsed/>
    <w:rsid w:val="00CE0A14"/>
    <w:rPr>
      <w:sz w:val="16"/>
      <w:szCs w:val="16"/>
    </w:rPr>
  </w:style>
  <w:style w:type="paragraph" w:styleId="CommentText">
    <w:name w:val="annotation text"/>
    <w:basedOn w:val="Normal"/>
    <w:link w:val="CommentTextChar"/>
    <w:uiPriority w:val="99"/>
    <w:unhideWhenUsed/>
    <w:rsid w:val="00CE0A14"/>
    <w:pPr>
      <w:spacing w:line="240" w:lineRule="auto"/>
    </w:pPr>
    <w:rPr>
      <w:sz w:val="20"/>
      <w:szCs w:val="20"/>
    </w:rPr>
  </w:style>
  <w:style w:type="character" w:customStyle="1" w:styleId="CommentTextChar">
    <w:name w:val="Comment Text Char"/>
    <w:basedOn w:val="DefaultParagraphFont"/>
    <w:link w:val="CommentText"/>
    <w:uiPriority w:val="99"/>
    <w:rsid w:val="00CE0A14"/>
    <w:rPr>
      <w:rFonts w:ascii="Segoe UI Semilight" w:hAnsi="Segoe UI Semilight"/>
      <w:sz w:val="20"/>
      <w:szCs w:val="20"/>
    </w:rPr>
  </w:style>
  <w:style w:type="paragraph" w:styleId="CommentSubject">
    <w:name w:val="annotation subject"/>
    <w:basedOn w:val="CommentText"/>
    <w:next w:val="CommentText"/>
    <w:link w:val="CommentSubjectChar"/>
    <w:uiPriority w:val="99"/>
    <w:semiHidden/>
    <w:unhideWhenUsed/>
    <w:rsid w:val="00CE0A14"/>
    <w:rPr>
      <w:b/>
      <w:bCs/>
    </w:rPr>
  </w:style>
  <w:style w:type="character" w:customStyle="1" w:styleId="CommentSubjectChar">
    <w:name w:val="Comment Subject Char"/>
    <w:basedOn w:val="CommentTextChar"/>
    <w:link w:val="CommentSubject"/>
    <w:uiPriority w:val="99"/>
    <w:semiHidden/>
    <w:rsid w:val="00CE0A14"/>
    <w:rPr>
      <w:rFonts w:ascii="Segoe UI Semilight" w:hAnsi="Segoe UI Semilight"/>
      <w:b/>
      <w:bCs/>
      <w:sz w:val="20"/>
      <w:szCs w:val="20"/>
    </w:rPr>
  </w:style>
  <w:style w:type="paragraph" w:styleId="TOCHeading">
    <w:name w:val="TOC Heading"/>
    <w:basedOn w:val="Heading1"/>
    <w:next w:val="Normal"/>
    <w:uiPriority w:val="39"/>
    <w:unhideWhenUsed/>
    <w:qFormat/>
    <w:rsid w:val="00D15B07"/>
    <w:pPr>
      <w:spacing w:before="480" w:after="0" w:line="276" w:lineRule="auto"/>
      <w:outlineLvl w:val="9"/>
    </w:pPr>
    <w:rPr>
      <w:rFonts w:asciiTheme="majorHAnsi" w:hAnsiTheme="majorHAnsi"/>
      <w:bCs/>
      <w:kern w:val="0"/>
      <w:sz w:val="28"/>
      <w:szCs w:val="28"/>
      <w14:ligatures w14:val="none"/>
    </w:rPr>
  </w:style>
  <w:style w:type="paragraph" w:styleId="TOC1">
    <w:name w:val="toc 1"/>
    <w:basedOn w:val="Normal"/>
    <w:next w:val="Normal"/>
    <w:autoRedefine/>
    <w:uiPriority w:val="39"/>
    <w:unhideWhenUsed/>
    <w:rsid w:val="00D15B07"/>
    <w:pPr>
      <w:spacing w:before="120" w:after="0"/>
    </w:pPr>
    <w:rPr>
      <w:rFonts w:asciiTheme="minorHAnsi" w:hAnsiTheme="minorHAnsi"/>
      <w:b/>
      <w:bCs/>
      <w:i/>
      <w:iCs/>
    </w:rPr>
  </w:style>
  <w:style w:type="character" w:styleId="Hyperlink">
    <w:name w:val="Hyperlink"/>
    <w:basedOn w:val="DefaultParagraphFont"/>
    <w:uiPriority w:val="99"/>
    <w:unhideWhenUsed/>
    <w:rsid w:val="00D15B07"/>
    <w:rPr>
      <w:color w:val="467886" w:themeColor="hyperlink"/>
      <w:u w:val="single"/>
    </w:rPr>
  </w:style>
  <w:style w:type="paragraph" w:styleId="TOC2">
    <w:name w:val="toc 2"/>
    <w:basedOn w:val="Normal"/>
    <w:next w:val="Normal"/>
    <w:autoRedefine/>
    <w:uiPriority w:val="39"/>
    <w:unhideWhenUsed/>
    <w:rsid w:val="00D15B07"/>
    <w:pPr>
      <w:spacing w:before="120" w:after="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D15B07"/>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D15B07"/>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D15B07"/>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D15B07"/>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D15B07"/>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D15B07"/>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D15B07"/>
    <w:pPr>
      <w:spacing w:after="0"/>
      <w:ind w:left="1920"/>
    </w:pPr>
    <w:rPr>
      <w:rFonts w:asciiTheme="minorHAnsi" w:hAnsiTheme="minorHAnsi"/>
      <w:sz w:val="20"/>
      <w:szCs w:val="20"/>
    </w:rPr>
  </w:style>
  <w:style w:type="paragraph" w:customStyle="1" w:styleId="SCD1">
    <w:name w:val="SCD 1"/>
    <w:basedOn w:val="Heading1"/>
    <w:autoRedefine/>
    <w:qFormat/>
    <w:rsid w:val="00061564"/>
    <w:pPr>
      <w:spacing w:line="240" w:lineRule="auto"/>
    </w:pPr>
    <w:rPr>
      <w:rFonts w:ascii="Segoe UI" w:hAnsi="Segoe UI"/>
      <w:b w:val="0"/>
    </w:rPr>
  </w:style>
  <w:style w:type="paragraph" w:customStyle="1" w:styleId="SCD2">
    <w:name w:val="SCD 2"/>
    <w:basedOn w:val="Heading2"/>
    <w:autoRedefine/>
    <w:qFormat/>
    <w:rsid w:val="00061564"/>
    <w:pPr>
      <w:spacing w:line="240" w:lineRule="auto"/>
    </w:pPr>
  </w:style>
  <w:style w:type="character" w:styleId="LineNumber">
    <w:name w:val="line number"/>
    <w:basedOn w:val="DefaultParagraphFont"/>
    <w:uiPriority w:val="99"/>
    <w:semiHidden/>
    <w:unhideWhenUsed/>
    <w:rsid w:val="00286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932E5B-C53D-5143-815E-96091BAB7A23}">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2FA3-82AC-B941-9926-1163DCFF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1316</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Ryker Steglich</dc:creator>
  <cp:keywords/>
  <dc:description/>
  <cp:lastModifiedBy>Ryker Steglich</cp:lastModifiedBy>
  <cp:revision>6</cp:revision>
  <dcterms:created xsi:type="dcterms:W3CDTF">2025-06-05T15:31:00Z</dcterms:created>
  <dcterms:modified xsi:type="dcterms:W3CDTF">2025-10-22T14:43:00Z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b82c506e-2753-45bd-8204-0c2c051fc4bd</vt:lpwstr>
  </property>
</Properties>
</file>