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9540" w14:textId="77777777" w:rsidR="0038480E" w:rsidRPr="00C7390B" w:rsidRDefault="0038480E" w:rsidP="0038480E"/>
    <w:p w14:paraId="2FE1A1D3" w14:textId="77990708" w:rsidR="0038480E" w:rsidRPr="00C7390B" w:rsidRDefault="00F674A6" w:rsidP="0038480E">
      <w:pPr>
        <w:jc w:val="center"/>
      </w:pPr>
      <w:r>
        <w:t>FIRST SUPPLEMENTAL INDENTURE</w:t>
      </w:r>
      <w:r w:rsidR="00380FB5" w:rsidRPr="00C7390B">
        <w:t xml:space="preserve"> OF TRUST</w:t>
      </w:r>
      <w:r w:rsidR="0038480E" w:rsidRPr="00C7390B">
        <w:t xml:space="preserve"> </w:t>
      </w:r>
    </w:p>
    <w:p w14:paraId="7E09F2DE" w14:textId="77777777" w:rsidR="00901D88" w:rsidRPr="00C7390B" w:rsidRDefault="00901D88" w:rsidP="0038480E">
      <w:pPr>
        <w:jc w:val="center"/>
      </w:pPr>
    </w:p>
    <w:p w14:paraId="5EB718F8" w14:textId="77777777" w:rsidR="0038480E" w:rsidRPr="00C7390B" w:rsidRDefault="0038480E" w:rsidP="0038480E">
      <w:pPr>
        <w:jc w:val="center"/>
      </w:pPr>
      <w:r w:rsidRPr="00C7390B">
        <w:t xml:space="preserve">By and Between </w:t>
      </w:r>
    </w:p>
    <w:p w14:paraId="3145D8B5" w14:textId="77777777" w:rsidR="00901D88" w:rsidRPr="00C7390B" w:rsidRDefault="00901D88" w:rsidP="0038480E">
      <w:pPr>
        <w:jc w:val="center"/>
      </w:pPr>
    </w:p>
    <w:p w14:paraId="00BF24D5" w14:textId="77777777" w:rsidR="00D564E2" w:rsidRDefault="00D564E2" w:rsidP="00D564E2">
      <w:pPr>
        <w:jc w:val="center"/>
      </w:pPr>
      <w:r>
        <w:t>MIDA MOUNTAIN VILLAGE PUBLIC INFRASTRUCTURE DISTRICT</w:t>
      </w:r>
    </w:p>
    <w:p w14:paraId="4D44648A" w14:textId="77777777" w:rsidR="00901D88" w:rsidRPr="00C7390B" w:rsidRDefault="00901D88" w:rsidP="0038480E">
      <w:pPr>
        <w:jc w:val="center"/>
      </w:pPr>
    </w:p>
    <w:p w14:paraId="53D1ED21" w14:textId="77777777" w:rsidR="0038480E" w:rsidRPr="00C7390B" w:rsidRDefault="0038480E" w:rsidP="0038480E">
      <w:pPr>
        <w:jc w:val="center"/>
      </w:pPr>
      <w:r w:rsidRPr="00C7390B">
        <w:t xml:space="preserve">and </w:t>
      </w:r>
    </w:p>
    <w:p w14:paraId="3782F384" w14:textId="77777777" w:rsidR="00901D88" w:rsidRPr="00C7390B" w:rsidRDefault="00901D88" w:rsidP="0038480E">
      <w:pPr>
        <w:jc w:val="center"/>
      </w:pPr>
    </w:p>
    <w:p w14:paraId="131251DD" w14:textId="04FD53E8" w:rsidR="00D564E2" w:rsidRDefault="00D564E2" w:rsidP="0038480E">
      <w:pPr>
        <w:jc w:val="center"/>
      </w:pPr>
      <w:r>
        <w:t>U.S. BANK TRUST COMPANY, NATIONAL ASSOCIATION,</w:t>
      </w:r>
      <w:r w:rsidRPr="00C7390B">
        <w:t xml:space="preserve"> </w:t>
      </w:r>
    </w:p>
    <w:p w14:paraId="5A9FCDE5" w14:textId="68049699" w:rsidR="007E5142" w:rsidRPr="00C7390B" w:rsidRDefault="006D76AA" w:rsidP="0038480E">
      <w:pPr>
        <w:jc w:val="center"/>
      </w:pPr>
      <w:r w:rsidRPr="00C7390B">
        <w:t>as Trustee</w:t>
      </w:r>
    </w:p>
    <w:p w14:paraId="3FAABB7C" w14:textId="77777777" w:rsidR="0038480E" w:rsidRPr="00C7390B" w:rsidRDefault="0038480E" w:rsidP="0038480E">
      <w:pPr>
        <w:jc w:val="center"/>
      </w:pPr>
      <w:r w:rsidRPr="00C7390B">
        <w:t xml:space="preserve"> </w:t>
      </w:r>
    </w:p>
    <w:p w14:paraId="13E7501A" w14:textId="77777777" w:rsidR="00901D88" w:rsidRDefault="00901D88" w:rsidP="0038480E">
      <w:pPr>
        <w:jc w:val="center"/>
      </w:pPr>
    </w:p>
    <w:p w14:paraId="11118095" w14:textId="77777777" w:rsidR="00A92560" w:rsidRPr="00C7390B" w:rsidRDefault="00A92560" w:rsidP="0038480E">
      <w:pPr>
        <w:jc w:val="center"/>
      </w:pPr>
    </w:p>
    <w:p w14:paraId="2BF8B6EF" w14:textId="77777777" w:rsidR="0038480E" w:rsidRPr="00C7390B" w:rsidRDefault="007E5142" w:rsidP="0038480E">
      <w:pPr>
        <w:jc w:val="center"/>
      </w:pPr>
      <w:r w:rsidRPr="00C7390B">
        <w:t>Relating to:</w:t>
      </w:r>
    </w:p>
    <w:p w14:paraId="4CD509A9" w14:textId="4C9AFC1B" w:rsidR="00F674A6" w:rsidRDefault="00F674A6" w:rsidP="004F086C"/>
    <w:p w14:paraId="4DB886FE" w14:textId="32301E42" w:rsidR="001535DF" w:rsidRDefault="00D564E2" w:rsidP="00F674A6">
      <w:pPr>
        <w:jc w:val="center"/>
      </w:pPr>
      <w:r>
        <w:t>MIDA MOUNTAIN VILLAGE PUBLIC INFRASTRUCTURE DISTRICT</w:t>
      </w:r>
    </w:p>
    <w:p w14:paraId="0636D3AC" w14:textId="006327DC" w:rsidR="004F086C" w:rsidRPr="00C7390B" w:rsidRDefault="004F086C" w:rsidP="00F674A6">
      <w:pPr>
        <w:jc w:val="center"/>
      </w:pPr>
      <w:r>
        <w:t>$[PAR]</w:t>
      </w:r>
    </w:p>
    <w:p w14:paraId="3B1FA42D" w14:textId="7B058C82" w:rsidR="001535DF" w:rsidRPr="00C7390B" w:rsidRDefault="00D564E2" w:rsidP="0016614B">
      <w:pPr>
        <w:jc w:val="center"/>
      </w:pPr>
      <w:r>
        <w:t xml:space="preserve">TAX </w:t>
      </w:r>
      <w:r w:rsidR="00F13606" w:rsidRPr="00C7390B">
        <w:t>ALLOCATION</w:t>
      </w:r>
      <w:r w:rsidR="00403FD4" w:rsidRPr="00C7390B">
        <w:t xml:space="preserve"> </w:t>
      </w:r>
      <w:r w:rsidR="001535DF" w:rsidRPr="00C7390B">
        <w:t xml:space="preserve">REVENUE BONDS </w:t>
      </w:r>
    </w:p>
    <w:p w14:paraId="47EA2D63" w14:textId="3058E99C" w:rsidR="001535DF" w:rsidRPr="00C7390B" w:rsidRDefault="00EA4F3C" w:rsidP="001535DF">
      <w:pPr>
        <w:jc w:val="center"/>
      </w:pPr>
      <w:r>
        <w:t>SERIES 202</w:t>
      </w:r>
      <w:r w:rsidR="00F674A6">
        <w:t>5</w:t>
      </w:r>
    </w:p>
    <w:p w14:paraId="4D67157F" w14:textId="418F74BD" w:rsidR="00403FD4" w:rsidRPr="00C7390B" w:rsidRDefault="00403FD4" w:rsidP="00D564E2"/>
    <w:p w14:paraId="10FA32C9" w14:textId="77777777" w:rsidR="001535DF" w:rsidRPr="00C7390B" w:rsidRDefault="001535DF" w:rsidP="0038480E">
      <w:pPr>
        <w:jc w:val="center"/>
      </w:pPr>
    </w:p>
    <w:p w14:paraId="697AF7B3" w14:textId="1DC88138" w:rsidR="0038480E" w:rsidRPr="00C7390B" w:rsidRDefault="0038480E" w:rsidP="0038480E">
      <w:pPr>
        <w:jc w:val="center"/>
      </w:pPr>
      <w:r w:rsidRPr="00C7390B">
        <w:t xml:space="preserve">Dated as of </w:t>
      </w:r>
      <w:r w:rsidR="00F674A6">
        <w:t>[INDENTURE MONTH]</w:t>
      </w:r>
      <w:r w:rsidR="00BE4F3C">
        <w:t xml:space="preserve"> 1</w:t>
      </w:r>
      <w:r w:rsidR="00F8641E" w:rsidRPr="00C7390B">
        <w:t>, 202</w:t>
      </w:r>
      <w:r w:rsidR="00F674A6">
        <w:t>5</w:t>
      </w:r>
    </w:p>
    <w:p w14:paraId="2D7D6E16" w14:textId="77777777" w:rsidR="0038480E" w:rsidRPr="00C7390B" w:rsidRDefault="0038480E" w:rsidP="0038480E">
      <w:pPr>
        <w:jc w:val="center"/>
      </w:pPr>
      <w:r w:rsidRPr="00C7390B">
        <w:t xml:space="preserve"> </w:t>
      </w:r>
    </w:p>
    <w:p w14:paraId="3FF51696" w14:textId="77777777" w:rsidR="0038480E" w:rsidRPr="00C7390B" w:rsidRDefault="0038480E" w:rsidP="0038480E">
      <w:pPr>
        <w:jc w:val="center"/>
        <w:sectPr w:rsidR="0038480E" w:rsidRPr="00C7390B" w:rsidSect="00013B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vAlign w:val="center"/>
          <w:noEndnote/>
          <w:titlePg/>
          <w:docGrid w:linePitch="326"/>
        </w:sectPr>
      </w:pPr>
    </w:p>
    <w:p w14:paraId="3870551B" w14:textId="77777777" w:rsidR="0038480E" w:rsidRPr="007A0A05" w:rsidRDefault="0038480E" w:rsidP="0038480E">
      <w:pPr>
        <w:jc w:val="center"/>
        <w:rPr>
          <w:sz w:val="23"/>
          <w:szCs w:val="23"/>
        </w:rPr>
      </w:pPr>
      <w:r w:rsidRPr="007A0A05">
        <w:rPr>
          <w:sz w:val="23"/>
          <w:szCs w:val="23"/>
        </w:rPr>
        <w:lastRenderedPageBreak/>
        <w:t>TABLE OF CONTENTS</w:t>
      </w:r>
    </w:p>
    <w:p w14:paraId="487DB3C4" w14:textId="77777777" w:rsidR="0038480E" w:rsidRPr="007A0A05" w:rsidRDefault="0038480E" w:rsidP="0038480E">
      <w:pPr>
        <w:pStyle w:val="TOCPage"/>
        <w:rPr>
          <w:sz w:val="23"/>
          <w:szCs w:val="23"/>
        </w:rPr>
      </w:pPr>
      <w:bookmarkStart w:id="0" w:name="TOCPage"/>
      <w:r w:rsidRPr="007A0A05">
        <w:rPr>
          <w:sz w:val="23"/>
          <w:szCs w:val="23"/>
        </w:rPr>
        <w:t>Page</w:t>
      </w:r>
      <w:bookmarkEnd w:id="0"/>
    </w:p>
    <w:p w14:paraId="0CA5FD88" w14:textId="77777777" w:rsidR="003B296E" w:rsidRDefault="0038480E">
      <w:pPr>
        <w:pStyle w:val="TOC1"/>
        <w:rPr>
          <w:rFonts w:asciiTheme="minorHAnsi" w:eastAsiaTheme="minorEastAsia" w:hAnsiTheme="minorHAnsi"/>
          <w:caps w:val="0"/>
          <w:noProof/>
          <w:kern w:val="2"/>
          <w14:ligatures w14:val="standardContextual"/>
        </w:rPr>
      </w:pPr>
      <w:r w:rsidRPr="00C90954">
        <w:fldChar w:fldCharType="begin"/>
      </w:r>
      <w:r w:rsidRPr="00C90954">
        <w:instrText xml:space="preserve"> TOC \f \o 1-2 \n 1-1 \x \* MERGEFORMAT </w:instrText>
      </w:r>
      <w:r w:rsidRPr="00C90954">
        <w:fldChar w:fldCharType="separate"/>
      </w:r>
      <w:r w:rsidR="003B296E" w:rsidRPr="007A227C">
        <w:rPr>
          <w:noProof/>
          <w:color w:val="010000"/>
        </w:rPr>
        <w:t>Article I</w:t>
      </w:r>
      <w:r w:rsidR="003B296E" w:rsidRPr="007A227C">
        <w:rPr>
          <w:noProof/>
        </w:rPr>
        <w:br/>
        <w:t>SUPPLEMENTAL INDENTURE, DEFINITIONS</w:t>
      </w:r>
    </w:p>
    <w:p w14:paraId="56FC01A1" w14:textId="0093338B"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1.1</w:t>
      </w:r>
      <w:r>
        <w:rPr>
          <w:rFonts w:asciiTheme="minorHAnsi" w:eastAsiaTheme="minorEastAsia" w:hAnsiTheme="minorHAnsi"/>
          <w:noProof/>
          <w:kern w:val="2"/>
          <w14:ligatures w14:val="standardContextual"/>
        </w:rPr>
        <w:tab/>
      </w:r>
      <w:r w:rsidRPr="007A227C">
        <w:rPr>
          <w:noProof/>
        </w:rPr>
        <w:t>Supplemental Indenture</w:t>
      </w:r>
      <w:r>
        <w:rPr>
          <w:noProof/>
        </w:rPr>
        <w:tab/>
      </w:r>
      <w:r>
        <w:rPr>
          <w:noProof/>
        </w:rPr>
        <w:fldChar w:fldCharType="begin"/>
      </w:r>
      <w:r>
        <w:rPr>
          <w:noProof/>
        </w:rPr>
        <w:instrText xml:space="preserve"> PAGEREF _Toc207106953 \h </w:instrText>
      </w:r>
      <w:r>
        <w:rPr>
          <w:noProof/>
        </w:rPr>
      </w:r>
      <w:r>
        <w:rPr>
          <w:noProof/>
        </w:rPr>
        <w:fldChar w:fldCharType="separate"/>
      </w:r>
      <w:r>
        <w:rPr>
          <w:noProof/>
        </w:rPr>
        <w:t>2</w:t>
      </w:r>
      <w:r>
        <w:rPr>
          <w:noProof/>
        </w:rPr>
        <w:fldChar w:fldCharType="end"/>
      </w:r>
    </w:p>
    <w:p w14:paraId="1CD7524F" w14:textId="06D16A37"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1.2</w:t>
      </w:r>
      <w:r>
        <w:rPr>
          <w:rFonts w:asciiTheme="minorHAnsi" w:eastAsiaTheme="minorEastAsia" w:hAnsiTheme="minorHAnsi"/>
          <w:noProof/>
          <w:kern w:val="2"/>
          <w14:ligatures w14:val="standardContextual"/>
        </w:rPr>
        <w:tab/>
      </w:r>
      <w:r w:rsidRPr="007A227C">
        <w:rPr>
          <w:noProof/>
        </w:rPr>
        <w:t>Definitions</w:t>
      </w:r>
      <w:r>
        <w:rPr>
          <w:noProof/>
        </w:rPr>
        <w:tab/>
      </w:r>
      <w:r>
        <w:rPr>
          <w:noProof/>
        </w:rPr>
        <w:fldChar w:fldCharType="begin"/>
      </w:r>
      <w:r>
        <w:rPr>
          <w:noProof/>
        </w:rPr>
        <w:instrText xml:space="preserve"> PAGEREF _Toc207106954 \h </w:instrText>
      </w:r>
      <w:r>
        <w:rPr>
          <w:noProof/>
        </w:rPr>
      </w:r>
      <w:r>
        <w:rPr>
          <w:noProof/>
        </w:rPr>
        <w:fldChar w:fldCharType="separate"/>
      </w:r>
      <w:r>
        <w:rPr>
          <w:noProof/>
        </w:rPr>
        <w:t>2</w:t>
      </w:r>
      <w:r>
        <w:rPr>
          <w:noProof/>
        </w:rPr>
        <w:fldChar w:fldCharType="end"/>
      </w:r>
    </w:p>
    <w:p w14:paraId="0B7D6BDB" w14:textId="61E25889" w:rsidR="003B296E" w:rsidRDefault="003B296E">
      <w:pPr>
        <w:pStyle w:val="TOC1"/>
        <w:rPr>
          <w:rFonts w:asciiTheme="minorHAnsi" w:eastAsiaTheme="minorEastAsia" w:hAnsiTheme="minorHAnsi"/>
          <w:caps w:val="0"/>
          <w:noProof/>
          <w:kern w:val="2"/>
          <w14:ligatures w14:val="standardContextual"/>
        </w:rPr>
      </w:pPr>
      <w:r w:rsidRPr="007A227C">
        <w:rPr>
          <w:noProof/>
          <w:color w:val="010000"/>
        </w:rPr>
        <w:t>Article II</w:t>
      </w:r>
      <w:r w:rsidRPr="007A227C">
        <w:rPr>
          <w:noProof/>
        </w:rPr>
        <w:t xml:space="preserve"> </w:t>
      </w:r>
      <w:r w:rsidR="00FD7C45">
        <w:rPr>
          <w:noProof/>
        </w:rPr>
        <w:br/>
      </w:r>
      <w:r w:rsidRPr="007A227C">
        <w:rPr>
          <w:noProof/>
        </w:rPr>
        <w:t>AUTHORIZATION, TERMS AND ISSUANCE OF SERIES 2025 BONDS</w:t>
      </w:r>
    </w:p>
    <w:p w14:paraId="659F6B27" w14:textId="60EFB5F1"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2.1</w:t>
      </w:r>
      <w:r>
        <w:rPr>
          <w:rFonts w:asciiTheme="minorHAnsi" w:eastAsiaTheme="minorEastAsia" w:hAnsiTheme="minorHAnsi"/>
          <w:noProof/>
          <w:kern w:val="2"/>
          <w14:ligatures w14:val="standardContextual"/>
        </w:rPr>
        <w:tab/>
      </w:r>
      <w:r w:rsidRPr="007A227C">
        <w:rPr>
          <w:noProof/>
        </w:rPr>
        <w:t>Principal Amount, Designation and Series</w:t>
      </w:r>
      <w:r>
        <w:rPr>
          <w:noProof/>
        </w:rPr>
        <w:tab/>
      </w:r>
      <w:r>
        <w:rPr>
          <w:noProof/>
        </w:rPr>
        <w:fldChar w:fldCharType="begin"/>
      </w:r>
      <w:r>
        <w:rPr>
          <w:noProof/>
        </w:rPr>
        <w:instrText xml:space="preserve"> PAGEREF _Toc207106956 \h </w:instrText>
      </w:r>
      <w:r>
        <w:rPr>
          <w:noProof/>
        </w:rPr>
      </w:r>
      <w:r>
        <w:rPr>
          <w:noProof/>
        </w:rPr>
        <w:fldChar w:fldCharType="separate"/>
      </w:r>
      <w:r>
        <w:rPr>
          <w:noProof/>
        </w:rPr>
        <w:t>4</w:t>
      </w:r>
      <w:r>
        <w:rPr>
          <w:noProof/>
        </w:rPr>
        <w:fldChar w:fldCharType="end"/>
      </w:r>
    </w:p>
    <w:p w14:paraId="2FDE92A8" w14:textId="6FA6D076"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2.2</w:t>
      </w:r>
      <w:r>
        <w:rPr>
          <w:rFonts w:asciiTheme="minorHAnsi" w:eastAsiaTheme="minorEastAsia" w:hAnsiTheme="minorHAnsi"/>
          <w:noProof/>
          <w:kern w:val="2"/>
          <w14:ligatures w14:val="standardContextual"/>
        </w:rPr>
        <w:tab/>
      </w:r>
      <w:r w:rsidRPr="007A227C">
        <w:rPr>
          <w:noProof/>
        </w:rPr>
        <w:t>Purposes</w:t>
      </w:r>
      <w:r>
        <w:rPr>
          <w:noProof/>
        </w:rPr>
        <w:tab/>
      </w:r>
      <w:r>
        <w:rPr>
          <w:noProof/>
        </w:rPr>
        <w:fldChar w:fldCharType="begin"/>
      </w:r>
      <w:r>
        <w:rPr>
          <w:noProof/>
        </w:rPr>
        <w:instrText xml:space="preserve"> PAGEREF _Toc207106957 \h </w:instrText>
      </w:r>
      <w:r>
        <w:rPr>
          <w:noProof/>
        </w:rPr>
      </w:r>
      <w:r>
        <w:rPr>
          <w:noProof/>
        </w:rPr>
        <w:fldChar w:fldCharType="separate"/>
      </w:r>
      <w:r>
        <w:rPr>
          <w:noProof/>
        </w:rPr>
        <w:t>4</w:t>
      </w:r>
      <w:r>
        <w:rPr>
          <w:noProof/>
        </w:rPr>
        <w:fldChar w:fldCharType="end"/>
      </w:r>
    </w:p>
    <w:p w14:paraId="08AD088F" w14:textId="1C18F7CD"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2.3</w:t>
      </w:r>
      <w:r>
        <w:rPr>
          <w:rFonts w:asciiTheme="minorHAnsi" w:eastAsiaTheme="minorEastAsia" w:hAnsiTheme="minorHAnsi"/>
          <w:noProof/>
          <w:kern w:val="2"/>
          <w14:ligatures w14:val="standardContextual"/>
        </w:rPr>
        <w:tab/>
      </w:r>
      <w:r w:rsidRPr="007A227C">
        <w:rPr>
          <w:noProof/>
        </w:rPr>
        <w:t>Date, Maturities and Interest</w:t>
      </w:r>
      <w:r>
        <w:rPr>
          <w:noProof/>
        </w:rPr>
        <w:tab/>
      </w:r>
      <w:r>
        <w:rPr>
          <w:noProof/>
        </w:rPr>
        <w:fldChar w:fldCharType="begin"/>
      </w:r>
      <w:r>
        <w:rPr>
          <w:noProof/>
        </w:rPr>
        <w:instrText xml:space="preserve"> PAGEREF _Toc207106958 \h </w:instrText>
      </w:r>
      <w:r>
        <w:rPr>
          <w:noProof/>
        </w:rPr>
      </w:r>
      <w:r>
        <w:rPr>
          <w:noProof/>
        </w:rPr>
        <w:fldChar w:fldCharType="separate"/>
      </w:r>
      <w:r>
        <w:rPr>
          <w:noProof/>
        </w:rPr>
        <w:t>4</w:t>
      </w:r>
      <w:r>
        <w:rPr>
          <w:noProof/>
        </w:rPr>
        <w:fldChar w:fldCharType="end"/>
      </w:r>
    </w:p>
    <w:p w14:paraId="712DFB09" w14:textId="4D917FB6"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2.4</w:t>
      </w:r>
      <w:r>
        <w:rPr>
          <w:rFonts w:asciiTheme="minorHAnsi" w:eastAsiaTheme="minorEastAsia" w:hAnsiTheme="minorHAnsi"/>
          <w:noProof/>
          <w:kern w:val="2"/>
          <w14:ligatures w14:val="standardContextual"/>
        </w:rPr>
        <w:tab/>
      </w:r>
      <w:r w:rsidRPr="007A227C">
        <w:rPr>
          <w:noProof/>
        </w:rPr>
        <w:t>Form, Denomination, Numbers and Letters</w:t>
      </w:r>
      <w:r>
        <w:rPr>
          <w:noProof/>
        </w:rPr>
        <w:tab/>
      </w:r>
      <w:r>
        <w:rPr>
          <w:noProof/>
        </w:rPr>
        <w:fldChar w:fldCharType="begin"/>
      </w:r>
      <w:r>
        <w:rPr>
          <w:noProof/>
        </w:rPr>
        <w:instrText xml:space="preserve"> PAGEREF _Toc207106959 \h </w:instrText>
      </w:r>
      <w:r>
        <w:rPr>
          <w:noProof/>
        </w:rPr>
      </w:r>
      <w:r>
        <w:rPr>
          <w:noProof/>
        </w:rPr>
        <w:fldChar w:fldCharType="separate"/>
      </w:r>
      <w:r>
        <w:rPr>
          <w:noProof/>
        </w:rPr>
        <w:t>4</w:t>
      </w:r>
      <w:r>
        <w:rPr>
          <w:noProof/>
        </w:rPr>
        <w:fldChar w:fldCharType="end"/>
      </w:r>
    </w:p>
    <w:p w14:paraId="0C04851B" w14:textId="4E6991AA"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2.5</w:t>
      </w:r>
      <w:r>
        <w:rPr>
          <w:rFonts w:asciiTheme="minorHAnsi" w:eastAsiaTheme="minorEastAsia" w:hAnsiTheme="minorHAnsi"/>
          <w:noProof/>
          <w:kern w:val="2"/>
          <w14:ligatures w14:val="standardContextual"/>
        </w:rPr>
        <w:tab/>
      </w:r>
      <w:r w:rsidRPr="007A227C">
        <w:rPr>
          <w:noProof/>
        </w:rPr>
        <w:t>Redemption of Series 2025 Bonds</w:t>
      </w:r>
      <w:r>
        <w:rPr>
          <w:noProof/>
        </w:rPr>
        <w:tab/>
      </w:r>
      <w:r>
        <w:rPr>
          <w:noProof/>
        </w:rPr>
        <w:fldChar w:fldCharType="begin"/>
      </w:r>
      <w:r>
        <w:rPr>
          <w:noProof/>
        </w:rPr>
        <w:instrText xml:space="preserve"> PAGEREF _Toc207106960 \h </w:instrText>
      </w:r>
      <w:r>
        <w:rPr>
          <w:noProof/>
        </w:rPr>
      </w:r>
      <w:r>
        <w:rPr>
          <w:noProof/>
        </w:rPr>
        <w:fldChar w:fldCharType="separate"/>
      </w:r>
      <w:r>
        <w:rPr>
          <w:noProof/>
        </w:rPr>
        <w:t>4</w:t>
      </w:r>
      <w:r>
        <w:rPr>
          <w:noProof/>
        </w:rPr>
        <w:fldChar w:fldCharType="end"/>
      </w:r>
    </w:p>
    <w:p w14:paraId="2473019A" w14:textId="338CB847"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2.6</w:t>
      </w:r>
      <w:r>
        <w:rPr>
          <w:rFonts w:asciiTheme="minorHAnsi" w:eastAsiaTheme="minorEastAsia" w:hAnsiTheme="minorHAnsi"/>
          <w:noProof/>
          <w:kern w:val="2"/>
          <w14:ligatures w14:val="standardContextual"/>
        </w:rPr>
        <w:tab/>
      </w:r>
      <w:r w:rsidRPr="007A227C">
        <w:rPr>
          <w:noProof/>
        </w:rPr>
        <w:t>Book-Entry System</w:t>
      </w:r>
      <w:r>
        <w:rPr>
          <w:noProof/>
        </w:rPr>
        <w:tab/>
      </w:r>
      <w:r>
        <w:rPr>
          <w:noProof/>
        </w:rPr>
        <w:fldChar w:fldCharType="begin"/>
      </w:r>
      <w:r>
        <w:rPr>
          <w:noProof/>
        </w:rPr>
        <w:instrText xml:space="preserve"> PAGEREF _Toc207106961 \h </w:instrText>
      </w:r>
      <w:r>
        <w:rPr>
          <w:noProof/>
        </w:rPr>
      </w:r>
      <w:r>
        <w:rPr>
          <w:noProof/>
        </w:rPr>
        <w:fldChar w:fldCharType="separate"/>
      </w:r>
      <w:r>
        <w:rPr>
          <w:noProof/>
        </w:rPr>
        <w:t>6</w:t>
      </w:r>
      <w:r>
        <w:rPr>
          <w:noProof/>
        </w:rPr>
        <w:fldChar w:fldCharType="end"/>
      </w:r>
    </w:p>
    <w:p w14:paraId="6B112B89" w14:textId="04B98AB8"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2.7</w:t>
      </w:r>
      <w:r>
        <w:rPr>
          <w:rFonts w:asciiTheme="minorHAnsi" w:eastAsiaTheme="minorEastAsia" w:hAnsiTheme="minorHAnsi"/>
          <w:noProof/>
          <w:kern w:val="2"/>
          <w14:ligatures w14:val="standardContextual"/>
        </w:rPr>
        <w:tab/>
      </w:r>
      <w:r w:rsidRPr="007A227C">
        <w:rPr>
          <w:noProof/>
        </w:rPr>
        <w:t>Series 2025 Bonds as Initial Bonds</w:t>
      </w:r>
      <w:r>
        <w:rPr>
          <w:noProof/>
        </w:rPr>
        <w:tab/>
      </w:r>
      <w:r>
        <w:rPr>
          <w:noProof/>
        </w:rPr>
        <w:fldChar w:fldCharType="begin"/>
      </w:r>
      <w:r>
        <w:rPr>
          <w:noProof/>
        </w:rPr>
        <w:instrText xml:space="preserve"> PAGEREF _Toc207106962 \h </w:instrText>
      </w:r>
      <w:r>
        <w:rPr>
          <w:noProof/>
        </w:rPr>
      </w:r>
      <w:r>
        <w:rPr>
          <w:noProof/>
        </w:rPr>
        <w:fldChar w:fldCharType="separate"/>
      </w:r>
      <w:r>
        <w:rPr>
          <w:noProof/>
        </w:rPr>
        <w:t>8</w:t>
      </w:r>
      <w:r>
        <w:rPr>
          <w:noProof/>
        </w:rPr>
        <w:fldChar w:fldCharType="end"/>
      </w:r>
    </w:p>
    <w:p w14:paraId="0CC028A0" w14:textId="7C7F007A"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2.8</w:t>
      </w:r>
      <w:r>
        <w:rPr>
          <w:rFonts w:asciiTheme="minorHAnsi" w:eastAsiaTheme="minorEastAsia" w:hAnsiTheme="minorHAnsi"/>
          <w:noProof/>
          <w:kern w:val="2"/>
          <w14:ligatures w14:val="standardContextual"/>
        </w:rPr>
        <w:tab/>
      </w:r>
      <w:r w:rsidRPr="007A227C">
        <w:rPr>
          <w:noProof/>
        </w:rPr>
        <w:t>Discharge on [___] 1, 20[65].</w:t>
      </w:r>
      <w:r>
        <w:rPr>
          <w:noProof/>
        </w:rPr>
        <w:tab/>
      </w:r>
      <w:r>
        <w:rPr>
          <w:noProof/>
        </w:rPr>
        <w:fldChar w:fldCharType="begin"/>
      </w:r>
      <w:r>
        <w:rPr>
          <w:noProof/>
        </w:rPr>
        <w:instrText xml:space="preserve"> PAGEREF _Toc207106963 \h </w:instrText>
      </w:r>
      <w:r>
        <w:rPr>
          <w:noProof/>
        </w:rPr>
      </w:r>
      <w:r>
        <w:rPr>
          <w:noProof/>
        </w:rPr>
        <w:fldChar w:fldCharType="separate"/>
      </w:r>
      <w:r>
        <w:rPr>
          <w:noProof/>
        </w:rPr>
        <w:t>8</w:t>
      </w:r>
      <w:r>
        <w:rPr>
          <w:noProof/>
        </w:rPr>
        <w:fldChar w:fldCharType="end"/>
      </w:r>
    </w:p>
    <w:p w14:paraId="42E32D5C" w14:textId="77777777" w:rsidR="003B296E" w:rsidRDefault="003B296E">
      <w:pPr>
        <w:pStyle w:val="TOC1"/>
        <w:rPr>
          <w:rFonts w:asciiTheme="minorHAnsi" w:eastAsiaTheme="minorEastAsia" w:hAnsiTheme="minorHAnsi"/>
          <w:caps w:val="0"/>
          <w:noProof/>
          <w:kern w:val="2"/>
          <w14:ligatures w14:val="standardContextual"/>
        </w:rPr>
      </w:pPr>
      <w:r w:rsidRPr="007A227C">
        <w:rPr>
          <w:noProof/>
          <w:color w:val="010000"/>
        </w:rPr>
        <w:t>Article III</w:t>
      </w:r>
      <w:r w:rsidRPr="007A227C">
        <w:rPr>
          <w:noProof/>
        </w:rPr>
        <w:br/>
        <w:t>APPLICATION OF PROCEEDS; FUNDS AND ACCOUNTS</w:t>
      </w:r>
    </w:p>
    <w:p w14:paraId="204FF4D8" w14:textId="2FCF8D16"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3.1</w:t>
      </w:r>
      <w:r>
        <w:rPr>
          <w:rFonts w:asciiTheme="minorHAnsi" w:eastAsiaTheme="minorEastAsia" w:hAnsiTheme="minorHAnsi"/>
          <w:noProof/>
          <w:kern w:val="2"/>
          <w14:ligatures w14:val="standardContextual"/>
        </w:rPr>
        <w:tab/>
      </w:r>
      <w:r w:rsidRPr="007A227C">
        <w:rPr>
          <w:noProof/>
        </w:rPr>
        <w:t>Accounts</w:t>
      </w:r>
      <w:r>
        <w:rPr>
          <w:noProof/>
        </w:rPr>
        <w:tab/>
      </w:r>
      <w:r>
        <w:rPr>
          <w:noProof/>
        </w:rPr>
        <w:fldChar w:fldCharType="begin"/>
      </w:r>
      <w:r>
        <w:rPr>
          <w:noProof/>
        </w:rPr>
        <w:instrText xml:space="preserve"> PAGEREF _Toc207106965 \h </w:instrText>
      </w:r>
      <w:r>
        <w:rPr>
          <w:noProof/>
        </w:rPr>
      </w:r>
      <w:r>
        <w:rPr>
          <w:noProof/>
        </w:rPr>
        <w:fldChar w:fldCharType="separate"/>
      </w:r>
      <w:r>
        <w:rPr>
          <w:noProof/>
        </w:rPr>
        <w:t>9</w:t>
      </w:r>
      <w:r>
        <w:rPr>
          <w:noProof/>
        </w:rPr>
        <w:fldChar w:fldCharType="end"/>
      </w:r>
    </w:p>
    <w:p w14:paraId="3670D4D1" w14:textId="1903E3B5"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3.2</w:t>
      </w:r>
      <w:r>
        <w:rPr>
          <w:rFonts w:asciiTheme="minorHAnsi" w:eastAsiaTheme="minorEastAsia" w:hAnsiTheme="minorHAnsi"/>
          <w:noProof/>
          <w:kern w:val="2"/>
          <w14:ligatures w14:val="standardContextual"/>
        </w:rPr>
        <w:tab/>
      </w:r>
      <w:r w:rsidRPr="007A227C">
        <w:rPr>
          <w:noProof/>
        </w:rPr>
        <w:t>Disposition of Series 2025 Bond Proceeds</w:t>
      </w:r>
      <w:r>
        <w:rPr>
          <w:noProof/>
        </w:rPr>
        <w:tab/>
      </w:r>
      <w:r>
        <w:rPr>
          <w:noProof/>
        </w:rPr>
        <w:fldChar w:fldCharType="begin"/>
      </w:r>
      <w:r>
        <w:rPr>
          <w:noProof/>
        </w:rPr>
        <w:instrText xml:space="preserve"> PAGEREF _Toc207106966 \h </w:instrText>
      </w:r>
      <w:r>
        <w:rPr>
          <w:noProof/>
        </w:rPr>
      </w:r>
      <w:r>
        <w:rPr>
          <w:noProof/>
        </w:rPr>
        <w:fldChar w:fldCharType="separate"/>
      </w:r>
      <w:r>
        <w:rPr>
          <w:noProof/>
        </w:rPr>
        <w:t>9</w:t>
      </w:r>
      <w:r>
        <w:rPr>
          <w:noProof/>
        </w:rPr>
        <w:fldChar w:fldCharType="end"/>
      </w:r>
    </w:p>
    <w:p w14:paraId="21A1214E" w14:textId="40EB3220"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3.3</w:t>
      </w:r>
      <w:r>
        <w:rPr>
          <w:rFonts w:asciiTheme="minorHAnsi" w:eastAsiaTheme="minorEastAsia" w:hAnsiTheme="minorHAnsi"/>
          <w:noProof/>
          <w:kern w:val="2"/>
          <w14:ligatures w14:val="standardContextual"/>
        </w:rPr>
        <w:tab/>
      </w:r>
      <w:r w:rsidRPr="007A227C">
        <w:rPr>
          <w:noProof/>
        </w:rPr>
        <w:t>Series 2025 Costs of Issuance Account</w:t>
      </w:r>
      <w:r>
        <w:rPr>
          <w:noProof/>
        </w:rPr>
        <w:tab/>
      </w:r>
      <w:r>
        <w:rPr>
          <w:noProof/>
        </w:rPr>
        <w:fldChar w:fldCharType="begin"/>
      </w:r>
      <w:r>
        <w:rPr>
          <w:noProof/>
        </w:rPr>
        <w:instrText xml:space="preserve"> PAGEREF _Toc207106967 \h </w:instrText>
      </w:r>
      <w:r>
        <w:rPr>
          <w:noProof/>
        </w:rPr>
      </w:r>
      <w:r>
        <w:rPr>
          <w:noProof/>
        </w:rPr>
        <w:fldChar w:fldCharType="separate"/>
      </w:r>
      <w:r>
        <w:rPr>
          <w:noProof/>
        </w:rPr>
        <w:t>10</w:t>
      </w:r>
      <w:r>
        <w:rPr>
          <w:noProof/>
        </w:rPr>
        <w:fldChar w:fldCharType="end"/>
      </w:r>
    </w:p>
    <w:p w14:paraId="3D877CD6" w14:textId="68FD6CDF"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3.4</w:t>
      </w:r>
      <w:r>
        <w:rPr>
          <w:rFonts w:asciiTheme="minorHAnsi" w:eastAsiaTheme="minorEastAsia" w:hAnsiTheme="minorHAnsi"/>
          <w:noProof/>
          <w:kern w:val="2"/>
          <w14:ligatures w14:val="standardContextual"/>
        </w:rPr>
        <w:tab/>
      </w:r>
      <w:r w:rsidRPr="007A227C">
        <w:rPr>
          <w:noProof/>
        </w:rPr>
        <w:t>Disbursements from Construction Fund</w:t>
      </w:r>
      <w:r>
        <w:rPr>
          <w:noProof/>
        </w:rPr>
        <w:tab/>
      </w:r>
      <w:r>
        <w:rPr>
          <w:noProof/>
        </w:rPr>
        <w:fldChar w:fldCharType="begin"/>
      </w:r>
      <w:r>
        <w:rPr>
          <w:noProof/>
        </w:rPr>
        <w:instrText xml:space="preserve"> PAGEREF _Toc207106968 \h </w:instrText>
      </w:r>
      <w:r>
        <w:rPr>
          <w:noProof/>
        </w:rPr>
      </w:r>
      <w:r>
        <w:rPr>
          <w:noProof/>
        </w:rPr>
        <w:fldChar w:fldCharType="separate"/>
      </w:r>
      <w:r>
        <w:rPr>
          <w:noProof/>
        </w:rPr>
        <w:t>10</w:t>
      </w:r>
      <w:r>
        <w:rPr>
          <w:noProof/>
        </w:rPr>
        <w:fldChar w:fldCharType="end"/>
      </w:r>
    </w:p>
    <w:p w14:paraId="11CCECDF" w14:textId="231F99B4"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3.5</w:t>
      </w:r>
      <w:r>
        <w:rPr>
          <w:rFonts w:asciiTheme="minorHAnsi" w:eastAsiaTheme="minorEastAsia" w:hAnsiTheme="minorHAnsi"/>
          <w:noProof/>
          <w:kern w:val="2"/>
          <w14:ligatures w14:val="standardContextual"/>
        </w:rPr>
        <w:tab/>
      </w:r>
      <w:r>
        <w:rPr>
          <w:noProof/>
        </w:rPr>
        <w:t>Series 2025 Mandatory Redemption Account Authorization and Use</w:t>
      </w:r>
      <w:r>
        <w:rPr>
          <w:noProof/>
        </w:rPr>
        <w:tab/>
      </w:r>
      <w:r>
        <w:rPr>
          <w:noProof/>
        </w:rPr>
        <w:fldChar w:fldCharType="begin"/>
      </w:r>
      <w:r>
        <w:rPr>
          <w:noProof/>
        </w:rPr>
        <w:instrText xml:space="preserve"> PAGEREF _Toc207106969 \h </w:instrText>
      </w:r>
      <w:r>
        <w:rPr>
          <w:noProof/>
        </w:rPr>
      </w:r>
      <w:r>
        <w:rPr>
          <w:noProof/>
        </w:rPr>
        <w:fldChar w:fldCharType="separate"/>
      </w:r>
      <w:r>
        <w:rPr>
          <w:noProof/>
        </w:rPr>
        <w:t>10</w:t>
      </w:r>
      <w:r>
        <w:rPr>
          <w:noProof/>
        </w:rPr>
        <w:fldChar w:fldCharType="end"/>
      </w:r>
    </w:p>
    <w:p w14:paraId="7DA7D34A" w14:textId="75005D50"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3.6</w:t>
      </w:r>
      <w:r>
        <w:rPr>
          <w:rFonts w:asciiTheme="minorHAnsi" w:eastAsiaTheme="minorEastAsia" w:hAnsiTheme="minorHAnsi"/>
          <w:noProof/>
          <w:kern w:val="2"/>
          <w14:ligatures w14:val="standardContextual"/>
        </w:rPr>
        <w:tab/>
      </w:r>
      <w:r w:rsidRPr="007A227C">
        <w:rPr>
          <w:noProof/>
        </w:rPr>
        <w:t>Series 2025 Surplus Account</w:t>
      </w:r>
      <w:r>
        <w:rPr>
          <w:noProof/>
        </w:rPr>
        <w:tab/>
      </w:r>
      <w:r>
        <w:rPr>
          <w:noProof/>
        </w:rPr>
        <w:fldChar w:fldCharType="begin"/>
      </w:r>
      <w:r>
        <w:rPr>
          <w:noProof/>
        </w:rPr>
        <w:instrText xml:space="preserve"> PAGEREF _Toc207106970 \h </w:instrText>
      </w:r>
      <w:r>
        <w:rPr>
          <w:noProof/>
        </w:rPr>
      </w:r>
      <w:r>
        <w:rPr>
          <w:noProof/>
        </w:rPr>
        <w:fldChar w:fldCharType="separate"/>
      </w:r>
      <w:r>
        <w:rPr>
          <w:noProof/>
        </w:rPr>
        <w:t>10</w:t>
      </w:r>
      <w:r>
        <w:rPr>
          <w:noProof/>
        </w:rPr>
        <w:fldChar w:fldCharType="end"/>
      </w:r>
    </w:p>
    <w:p w14:paraId="2A61CB80" w14:textId="30124097"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3.7</w:t>
      </w:r>
      <w:r>
        <w:rPr>
          <w:rFonts w:asciiTheme="minorHAnsi" w:eastAsiaTheme="minorEastAsia" w:hAnsiTheme="minorHAnsi"/>
          <w:noProof/>
          <w:kern w:val="2"/>
          <w14:ligatures w14:val="standardContextual"/>
        </w:rPr>
        <w:tab/>
      </w:r>
      <w:r w:rsidRPr="007A227C">
        <w:rPr>
          <w:noProof/>
        </w:rPr>
        <w:t>Certain Tax Covenants</w:t>
      </w:r>
      <w:r>
        <w:rPr>
          <w:noProof/>
        </w:rPr>
        <w:tab/>
      </w:r>
      <w:r>
        <w:rPr>
          <w:noProof/>
        </w:rPr>
        <w:fldChar w:fldCharType="begin"/>
      </w:r>
      <w:r>
        <w:rPr>
          <w:noProof/>
        </w:rPr>
        <w:instrText xml:space="preserve"> PAGEREF _Toc207106971 \h </w:instrText>
      </w:r>
      <w:r>
        <w:rPr>
          <w:noProof/>
        </w:rPr>
      </w:r>
      <w:r>
        <w:rPr>
          <w:noProof/>
        </w:rPr>
        <w:fldChar w:fldCharType="separate"/>
      </w:r>
      <w:r>
        <w:rPr>
          <w:noProof/>
        </w:rPr>
        <w:t>10</w:t>
      </w:r>
      <w:r>
        <w:rPr>
          <w:noProof/>
        </w:rPr>
        <w:fldChar w:fldCharType="end"/>
      </w:r>
    </w:p>
    <w:p w14:paraId="04C8ACAB" w14:textId="77777777" w:rsidR="003B296E" w:rsidRDefault="003B296E">
      <w:pPr>
        <w:pStyle w:val="TOC1"/>
        <w:rPr>
          <w:rFonts w:asciiTheme="minorHAnsi" w:eastAsiaTheme="minorEastAsia" w:hAnsiTheme="minorHAnsi"/>
          <w:caps w:val="0"/>
          <w:noProof/>
          <w:kern w:val="2"/>
          <w14:ligatures w14:val="standardContextual"/>
        </w:rPr>
      </w:pPr>
      <w:r w:rsidRPr="007A227C">
        <w:rPr>
          <w:noProof/>
          <w:color w:val="010000"/>
        </w:rPr>
        <w:t>Article IV</w:t>
      </w:r>
      <w:r w:rsidRPr="007A227C">
        <w:rPr>
          <w:noProof/>
        </w:rPr>
        <w:br/>
        <w:t>MISCELLANEOUS</w:t>
      </w:r>
    </w:p>
    <w:p w14:paraId="2194D452" w14:textId="222195F2"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4.1</w:t>
      </w:r>
      <w:r>
        <w:rPr>
          <w:rFonts w:asciiTheme="minorHAnsi" w:eastAsiaTheme="minorEastAsia" w:hAnsiTheme="minorHAnsi"/>
          <w:noProof/>
          <w:kern w:val="2"/>
          <w14:ligatures w14:val="standardContextual"/>
        </w:rPr>
        <w:tab/>
      </w:r>
      <w:r w:rsidRPr="007A227C">
        <w:rPr>
          <w:noProof/>
        </w:rPr>
        <w:t>First Supplemental Indenture Construed with General Indenture</w:t>
      </w:r>
      <w:r>
        <w:rPr>
          <w:noProof/>
        </w:rPr>
        <w:tab/>
      </w:r>
      <w:r>
        <w:rPr>
          <w:noProof/>
        </w:rPr>
        <w:fldChar w:fldCharType="begin"/>
      </w:r>
      <w:r>
        <w:rPr>
          <w:noProof/>
        </w:rPr>
        <w:instrText xml:space="preserve"> PAGEREF _Toc207106973 \h </w:instrText>
      </w:r>
      <w:r>
        <w:rPr>
          <w:noProof/>
        </w:rPr>
      </w:r>
      <w:r>
        <w:rPr>
          <w:noProof/>
        </w:rPr>
        <w:fldChar w:fldCharType="separate"/>
      </w:r>
      <w:r>
        <w:rPr>
          <w:noProof/>
        </w:rPr>
        <w:t>11</w:t>
      </w:r>
      <w:r>
        <w:rPr>
          <w:noProof/>
        </w:rPr>
        <w:fldChar w:fldCharType="end"/>
      </w:r>
    </w:p>
    <w:p w14:paraId="65A20A1B" w14:textId="034860FF"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4.2</w:t>
      </w:r>
      <w:r>
        <w:rPr>
          <w:rFonts w:asciiTheme="minorHAnsi" w:eastAsiaTheme="minorEastAsia" w:hAnsiTheme="minorHAnsi"/>
          <w:noProof/>
          <w:kern w:val="2"/>
          <w14:ligatures w14:val="standardContextual"/>
        </w:rPr>
        <w:tab/>
      </w:r>
      <w:r w:rsidRPr="007A227C">
        <w:rPr>
          <w:noProof/>
        </w:rPr>
        <w:t>General Indenture as Supplemented to Remain in Effect</w:t>
      </w:r>
      <w:r>
        <w:rPr>
          <w:noProof/>
        </w:rPr>
        <w:tab/>
      </w:r>
      <w:r>
        <w:rPr>
          <w:noProof/>
        </w:rPr>
        <w:fldChar w:fldCharType="begin"/>
      </w:r>
      <w:r>
        <w:rPr>
          <w:noProof/>
        </w:rPr>
        <w:instrText xml:space="preserve"> PAGEREF _Toc207106974 \h </w:instrText>
      </w:r>
      <w:r>
        <w:rPr>
          <w:noProof/>
        </w:rPr>
      </w:r>
      <w:r>
        <w:rPr>
          <w:noProof/>
        </w:rPr>
        <w:fldChar w:fldCharType="separate"/>
      </w:r>
      <w:r>
        <w:rPr>
          <w:noProof/>
        </w:rPr>
        <w:t>11</w:t>
      </w:r>
      <w:r>
        <w:rPr>
          <w:noProof/>
        </w:rPr>
        <w:fldChar w:fldCharType="end"/>
      </w:r>
    </w:p>
    <w:p w14:paraId="146A901E" w14:textId="129DFFFF"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4.3</w:t>
      </w:r>
      <w:r>
        <w:rPr>
          <w:rFonts w:asciiTheme="minorHAnsi" w:eastAsiaTheme="minorEastAsia" w:hAnsiTheme="minorHAnsi"/>
          <w:noProof/>
          <w:kern w:val="2"/>
          <w14:ligatures w14:val="standardContextual"/>
        </w:rPr>
        <w:tab/>
      </w:r>
      <w:r w:rsidRPr="007A227C">
        <w:rPr>
          <w:noProof/>
        </w:rPr>
        <w:t>Execution in Counterparts</w:t>
      </w:r>
      <w:r>
        <w:rPr>
          <w:noProof/>
        </w:rPr>
        <w:tab/>
      </w:r>
      <w:r>
        <w:rPr>
          <w:noProof/>
        </w:rPr>
        <w:fldChar w:fldCharType="begin"/>
      </w:r>
      <w:r>
        <w:rPr>
          <w:noProof/>
        </w:rPr>
        <w:instrText xml:space="preserve"> PAGEREF _Toc207106975 \h </w:instrText>
      </w:r>
      <w:r>
        <w:rPr>
          <w:noProof/>
        </w:rPr>
      </w:r>
      <w:r>
        <w:rPr>
          <w:noProof/>
        </w:rPr>
        <w:fldChar w:fldCharType="separate"/>
      </w:r>
      <w:r>
        <w:rPr>
          <w:noProof/>
        </w:rPr>
        <w:t>11</w:t>
      </w:r>
      <w:r>
        <w:rPr>
          <w:noProof/>
        </w:rPr>
        <w:fldChar w:fldCharType="end"/>
      </w:r>
    </w:p>
    <w:p w14:paraId="57278E5D" w14:textId="28F346D9"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4.4</w:t>
      </w:r>
      <w:r>
        <w:rPr>
          <w:rFonts w:asciiTheme="minorHAnsi" w:eastAsiaTheme="minorEastAsia" w:hAnsiTheme="minorHAnsi"/>
          <w:noProof/>
          <w:kern w:val="2"/>
          <w14:ligatures w14:val="standardContextual"/>
        </w:rPr>
        <w:tab/>
      </w:r>
      <w:r w:rsidRPr="007A227C">
        <w:rPr>
          <w:noProof/>
        </w:rPr>
        <w:t>Severability</w:t>
      </w:r>
      <w:r>
        <w:rPr>
          <w:noProof/>
        </w:rPr>
        <w:tab/>
      </w:r>
      <w:r>
        <w:rPr>
          <w:noProof/>
        </w:rPr>
        <w:fldChar w:fldCharType="begin"/>
      </w:r>
      <w:r>
        <w:rPr>
          <w:noProof/>
        </w:rPr>
        <w:instrText xml:space="preserve"> PAGEREF _Toc207106976 \h </w:instrText>
      </w:r>
      <w:r>
        <w:rPr>
          <w:noProof/>
        </w:rPr>
      </w:r>
      <w:r>
        <w:rPr>
          <w:noProof/>
        </w:rPr>
        <w:fldChar w:fldCharType="separate"/>
      </w:r>
      <w:r>
        <w:rPr>
          <w:noProof/>
        </w:rPr>
        <w:t>11</w:t>
      </w:r>
      <w:r>
        <w:rPr>
          <w:noProof/>
        </w:rPr>
        <w:fldChar w:fldCharType="end"/>
      </w:r>
    </w:p>
    <w:p w14:paraId="238D59DB" w14:textId="09E9612C"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4.5</w:t>
      </w:r>
      <w:r>
        <w:rPr>
          <w:rFonts w:asciiTheme="minorHAnsi" w:eastAsiaTheme="minorEastAsia" w:hAnsiTheme="minorHAnsi"/>
          <w:noProof/>
          <w:kern w:val="2"/>
          <w14:ligatures w14:val="standardContextual"/>
        </w:rPr>
        <w:tab/>
      </w:r>
      <w:r w:rsidRPr="007A227C">
        <w:rPr>
          <w:noProof/>
        </w:rPr>
        <w:t>Governing Law</w:t>
      </w:r>
      <w:r>
        <w:rPr>
          <w:noProof/>
        </w:rPr>
        <w:tab/>
      </w:r>
      <w:r>
        <w:rPr>
          <w:noProof/>
        </w:rPr>
        <w:fldChar w:fldCharType="begin"/>
      </w:r>
      <w:r>
        <w:rPr>
          <w:noProof/>
        </w:rPr>
        <w:instrText xml:space="preserve"> PAGEREF _Toc207106977 \h </w:instrText>
      </w:r>
      <w:r>
        <w:rPr>
          <w:noProof/>
        </w:rPr>
      </w:r>
      <w:r>
        <w:rPr>
          <w:noProof/>
        </w:rPr>
        <w:fldChar w:fldCharType="separate"/>
      </w:r>
      <w:r>
        <w:rPr>
          <w:noProof/>
        </w:rPr>
        <w:t>11</w:t>
      </w:r>
      <w:r>
        <w:rPr>
          <w:noProof/>
        </w:rPr>
        <w:fldChar w:fldCharType="end"/>
      </w:r>
    </w:p>
    <w:p w14:paraId="00BCF8C2" w14:textId="504034BB" w:rsidR="003B296E" w:rsidRDefault="003B296E" w:rsidP="00FD7C45">
      <w:pPr>
        <w:pStyle w:val="TOC2"/>
        <w:rPr>
          <w:rFonts w:asciiTheme="minorHAnsi" w:eastAsiaTheme="minorEastAsia" w:hAnsiTheme="minorHAnsi"/>
          <w:noProof/>
          <w:kern w:val="2"/>
          <w14:ligatures w14:val="standardContextual"/>
        </w:rPr>
      </w:pPr>
      <w:r w:rsidRPr="007A227C">
        <w:rPr>
          <w:noProof/>
          <w14:scene3d>
            <w14:camera w14:prst="orthographicFront"/>
            <w14:lightRig w14:rig="threePt" w14:dir="t">
              <w14:rot w14:lat="0" w14:lon="0" w14:rev="0"/>
            </w14:lightRig>
          </w14:scene3d>
        </w:rPr>
        <w:t>Section 4.6</w:t>
      </w:r>
      <w:r>
        <w:rPr>
          <w:rFonts w:asciiTheme="minorHAnsi" w:eastAsiaTheme="minorEastAsia" w:hAnsiTheme="minorHAnsi"/>
          <w:noProof/>
          <w:kern w:val="2"/>
          <w14:ligatures w14:val="standardContextual"/>
        </w:rPr>
        <w:tab/>
      </w:r>
      <w:r w:rsidRPr="007A227C">
        <w:rPr>
          <w:noProof/>
        </w:rPr>
        <w:t>Further Assurances</w:t>
      </w:r>
      <w:r>
        <w:rPr>
          <w:noProof/>
        </w:rPr>
        <w:tab/>
      </w:r>
      <w:r>
        <w:rPr>
          <w:noProof/>
        </w:rPr>
        <w:fldChar w:fldCharType="begin"/>
      </w:r>
      <w:r>
        <w:rPr>
          <w:noProof/>
        </w:rPr>
        <w:instrText xml:space="preserve"> PAGEREF _Toc207106978 \h </w:instrText>
      </w:r>
      <w:r>
        <w:rPr>
          <w:noProof/>
        </w:rPr>
      </w:r>
      <w:r>
        <w:rPr>
          <w:noProof/>
        </w:rPr>
        <w:fldChar w:fldCharType="separate"/>
      </w:r>
      <w:r>
        <w:rPr>
          <w:noProof/>
        </w:rPr>
        <w:t>11</w:t>
      </w:r>
      <w:r>
        <w:rPr>
          <w:noProof/>
        </w:rPr>
        <w:fldChar w:fldCharType="end"/>
      </w:r>
    </w:p>
    <w:p w14:paraId="4D90FA1D" w14:textId="11D1BC8C" w:rsidR="003B296E" w:rsidRDefault="003B296E" w:rsidP="00FD7C45">
      <w:pPr>
        <w:pStyle w:val="TOC2"/>
        <w:rPr>
          <w:rFonts w:eastAsiaTheme="minorEastAsia"/>
          <w:noProof/>
        </w:rPr>
      </w:pPr>
    </w:p>
    <w:p w14:paraId="277F3D5E" w14:textId="4DD80486" w:rsidR="0038480E" w:rsidRPr="00C90954" w:rsidRDefault="0038480E" w:rsidP="00FD7C45">
      <w:pPr>
        <w:tabs>
          <w:tab w:val="right" w:leader="dot" w:pos="9360"/>
        </w:tabs>
      </w:pPr>
      <w:r w:rsidRPr="00C90954">
        <w:fldChar w:fldCharType="end"/>
      </w:r>
      <w:r w:rsidRPr="00C90954">
        <w:rPr>
          <w:u w:val="single"/>
        </w:rPr>
        <w:t>EXHIBIT A</w:t>
      </w:r>
      <w:r w:rsidRPr="00C90954">
        <w:t xml:space="preserve"> – FORM OF </w:t>
      </w:r>
      <w:r w:rsidR="001B092F" w:rsidRPr="00C90954">
        <w:t>20</w:t>
      </w:r>
      <w:r w:rsidR="00EF1B39" w:rsidRPr="00C90954">
        <w:t>2</w:t>
      </w:r>
      <w:r w:rsidR="00311BF7">
        <w:t>5</w:t>
      </w:r>
      <w:r w:rsidR="001B092F" w:rsidRPr="00C90954">
        <w:t xml:space="preserve"> </w:t>
      </w:r>
      <w:r w:rsidRPr="00C90954">
        <w:t>BOND</w:t>
      </w:r>
      <w:r w:rsidRPr="00C90954">
        <w:tab/>
        <w:t>A-1</w:t>
      </w:r>
    </w:p>
    <w:p w14:paraId="16D5D230" w14:textId="0034E741" w:rsidR="00BA0D3E" w:rsidRPr="00C90954" w:rsidRDefault="00BA0D3E" w:rsidP="00FD7C45">
      <w:pPr>
        <w:tabs>
          <w:tab w:val="right" w:leader="dot" w:pos="9360"/>
        </w:tabs>
      </w:pPr>
      <w:r w:rsidRPr="00C90954">
        <w:rPr>
          <w:u w:val="single"/>
        </w:rPr>
        <w:t>EXHIBIT B</w:t>
      </w:r>
      <w:r w:rsidRPr="00C90954">
        <w:t xml:space="preserve"> – </w:t>
      </w:r>
      <w:r w:rsidR="00311BF7" w:rsidRPr="00C90954">
        <w:t>COSTS OF ISSUANCE DISBURSEMENT REQUEST</w:t>
      </w:r>
      <w:r w:rsidR="00311BF7" w:rsidRPr="00C90954">
        <w:tab/>
      </w:r>
      <w:r w:rsidRPr="00C90954">
        <w:t>B-1</w:t>
      </w:r>
    </w:p>
    <w:p w14:paraId="653543D2" w14:textId="432A1000" w:rsidR="00687E94" w:rsidRPr="00C90954" w:rsidRDefault="001B092F" w:rsidP="00FD7C45">
      <w:pPr>
        <w:tabs>
          <w:tab w:val="right" w:leader="dot" w:pos="9360"/>
        </w:tabs>
      </w:pPr>
      <w:r w:rsidRPr="00C90954">
        <w:rPr>
          <w:u w:val="single"/>
        </w:rPr>
        <w:t xml:space="preserve">EXHIBIT </w:t>
      </w:r>
      <w:r w:rsidR="00BA0D3E" w:rsidRPr="00C90954">
        <w:rPr>
          <w:u w:val="single"/>
        </w:rPr>
        <w:t>C</w:t>
      </w:r>
      <w:r w:rsidRPr="00C90954">
        <w:t xml:space="preserve"> –</w:t>
      </w:r>
      <w:r w:rsidR="00687E94" w:rsidRPr="00C90954">
        <w:t xml:space="preserve"> </w:t>
      </w:r>
      <w:r w:rsidR="00311BF7" w:rsidRPr="00C90954">
        <w:rPr>
          <w:bCs/>
        </w:rPr>
        <w:t>LIST OF PUBLIC INFRASTRUCTURE AND IMPROVEMENTS</w:t>
      </w:r>
      <w:r w:rsidR="00311BF7" w:rsidRPr="00C90954">
        <w:tab/>
      </w:r>
      <w:r w:rsidR="00BA0D3E" w:rsidRPr="00C90954">
        <w:t>C</w:t>
      </w:r>
      <w:r w:rsidR="00687E94" w:rsidRPr="00C90954">
        <w:t>-1</w:t>
      </w:r>
    </w:p>
    <w:p w14:paraId="0F520A8A" w14:textId="77777777" w:rsidR="00537671" w:rsidRDefault="006F04C5" w:rsidP="00FD7C45">
      <w:pPr>
        <w:tabs>
          <w:tab w:val="right" w:leader="dot" w:pos="9360"/>
        </w:tabs>
      </w:pPr>
      <w:r w:rsidRPr="00C90954">
        <w:rPr>
          <w:u w:val="single"/>
        </w:rPr>
        <w:t xml:space="preserve">EXHIBIT </w:t>
      </w:r>
      <w:r w:rsidR="00BA0D3E" w:rsidRPr="00C90954">
        <w:rPr>
          <w:u w:val="single"/>
        </w:rPr>
        <w:t>D</w:t>
      </w:r>
      <w:r w:rsidRPr="00C90954">
        <w:t xml:space="preserve"> – </w:t>
      </w:r>
      <w:r w:rsidR="00311BF7" w:rsidRPr="00C90954">
        <w:rPr>
          <w:bCs/>
        </w:rPr>
        <w:t>DEBT SERVICE SCHEDULE</w:t>
      </w:r>
      <w:r w:rsidR="00311BF7" w:rsidRPr="00C90954">
        <w:tab/>
      </w:r>
      <w:r w:rsidR="00BA0D3E" w:rsidRPr="00C90954">
        <w:t>D</w:t>
      </w:r>
      <w:r w:rsidRPr="00C90954">
        <w:t>-1</w:t>
      </w:r>
    </w:p>
    <w:p w14:paraId="79708999" w14:textId="77777777" w:rsidR="00FD7C45" w:rsidRDefault="00FD7C45" w:rsidP="00311BF7">
      <w:pPr>
        <w:tabs>
          <w:tab w:val="right" w:leader="dot" w:pos="8640"/>
        </w:tabs>
      </w:pPr>
    </w:p>
    <w:p w14:paraId="4777AB4D" w14:textId="6BA02678" w:rsidR="00FD7C45" w:rsidRPr="00C7390B" w:rsidRDefault="00FD7C45" w:rsidP="00311BF7">
      <w:pPr>
        <w:tabs>
          <w:tab w:val="right" w:leader="dot" w:pos="8640"/>
        </w:tabs>
        <w:sectPr w:rsidR="00FD7C45" w:rsidRPr="00C7390B" w:rsidSect="00013B8F">
          <w:headerReference w:type="default" r:id="rId14"/>
          <w:footerReference w:type="default" r:id="rId15"/>
          <w:headerReference w:type="first" r:id="rId16"/>
          <w:footerReference w:type="first" r:id="rId17"/>
          <w:pgSz w:w="12240" w:h="15840" w:code="1"/>
          <w:pgMar w:top="1440" w:right="1440" w:bottom="1440" w:left="1440" w:header="720" w:footer="720" w:gutter="0"/>
          <w:pgNumType w:fmt="lowerRoman" w:start="1"/>
          <w:cols w:space="720"/>
          <w:noEndnote/>
          <w:titlePg/>
          <w:docGrid w:linePitch="326"/>
        </w:sectPr>
      </w:pPr>
    </w:p>
    <w:p w14:paraId="54F384E9" w14:textId="7C034998" w:rsidR="0038480E" w:rsidRPr="00C7390B" w:rsidRDefault="00116515" w:rsidP="0038480E">
      <w:pPr>
        <w:jc w:val="center"/>
      </w:pPr>
      <w:r>
        <w:lastRenderedPageBreak/>
        <w:t>FIRST SUPPLEMENTAL INDENTURE</w:t>
      </w:r>
      <w:r w:rsidR="0038480E" w:rsidRPr="00C7390B">
        <w:t xml:space="preserve"> </w:t>
      </w:r>
      <w:r w:rsidR="00380FB5" w:rsidRPr="00C7390B">
        <w:t>OF TRUST</w:t>
      </w:r>
    </w:p>
    <w:p w14:paraId="1D3EB39E" w14:textId="77777777" w:rsidR="0038480E" w:rsidRPr="00C7390B" w:rsidRDefault="0038480E" w:rsidP="0038480E">
      <w:pPr>
        <w:jc w:val="center"/>
      </w:pPr>
    </w:p>
    <w:p w14:paraId="097D6721" w14:textId="4CB1D869" w:rsidR="00456192" w:rsidRPr="00C7390B" w:rsidRDefault="0038480E" w:rsidP="009D68AC">
      <w:pPr>
        <w:pStyle w:val="00BodyText5"/>
      </w:pPr>
      <w:r w:rsidRPr="00C7390B">
        <w:t xml:space="preserve">This </w:t>
      </w:r>
      <w:r w:rsidR="00116515">
        <w:t>First Supplemental Indenture</w:t>
      </w:r>
      <w:r w:rsidR="00380FB5" w:rsidRPr="00C7390B">
        <w:t xml:space="preserve"> of Trust</w:t>
      </w:r>
      <w:r w:rsidRPr="00C7390B">
        <w:t xml:space="preserve">, dated as of </w:t>
      </w:r>
      <w:r w:rsidR="00A00F40">
        <w:t>[INDENTURE MONTH]</w:t>
      </w:r>
      <w:r w:rsidR="00BE4F3C">
        <w:t xml:space="preserve"> 1</w:t>
      </w:r>
      <w:r w:rsidR="00F8641E" w:rsidRPr="00C7390B">
        <w:t>, 202</w:t>
      </w:r>
      <w:r w:rsidR="00A00F40">
        <w:t>5</w:t>
      </w:r>
      <w:r w:rsidR="001268DE" w:rsidRPr="00C7390B">
        <w:t xml:space="preserve"> (the “</w:t>
      </w:r>
      <w:r w:rsidR="00116515">
        <w:t>First Supplemental Indenture</w:t>
      </w:r>
      <w:r w:rsidR="001268DE" w:rsidRPr="00C7390B">
        <w:t>”)</w:t>
      </w:r>
      <w:r w:rsidRPr="00C7390B">
        <w:t xml:space="preserve">, by and between </w:t>
      </w:r>
      <w:r w:rsidR="0028035B">
        <w:t xml:space="preserve">MIDA Mountain Village Public Infrastructure District </w:t>
      </w:r>
      <w:r w:rsidRPr="00C7390B">
        <w:t>(</w:t>
      </w:r>
      <w:r w:rsidR="0028035B">
        <w:t xml:space="preserve">the </w:t>
      </w:r>
      <w:r w:rsidRPr="00C7390B">
        <w:t>“</w:t>
      </w:r>
      <w:r w:rsidR="0028035B">
        <w:t>District</w:t>
      </w:r>
      <w:r w:rsidRPr="00C7390B">
        <w:t xml:space="preserve">”) and </w:t>
      </w:r>
      <w:r w:rsidR="00E82904">
        <w:t xml:space="preserve">U.S. Bank </w:t>
      </w:r>
      <w:r w:rsidR="0032071F">
        <w:t xml:space="preserve">Trust Company, </w:t>
      </w:r>
      <w:r w:rsidR="00E82904">
        <w:t>National Association</w:t>
      </w:r>
      <w:r w:rsidRPr="00C7390B">
        <w:t xml:space="preserve">, as trustee, a national banking association </w:t>
      </w:r>
      <w:r w:rsidR="0028035B">
        <w:t>authorized to accept and execute trusts of the character herein set out, having an office and corporate trust offices in Salt Lake City, Utah, as trustee</w:t>
      </w:r>
      <w:r w:rsidRPr="00C7390B">
        <w:t xml:space="preserve"> (the “Trustee”).</w:t>
      </w:r>
      <w:r w:rsidR="005A61C4">
        <w:t xml:space="preserve"> </w:t>
      </w:r>
    </w:p>
    <w:p w14:paraId="2AEA0F57" w14:textId="77777777" w:rsidR="00456192" w:rsidRPr="00C7390B" w:rsidRDefault="00456192" w:rsidP="00456192">
      <w:pPr>
        <w:jc w:val="center"/>
      </w:pPr>
      <w:r w:rsidRPr="00C7390B">
        <w:t>W I T N E S S E T H:</w:t>
      </w:r>
    </w:p>
    <w:p w14:paraId="1625E157" w14:textId="7F4AA0C1" w:rsidR="0028035B" w:rsidRDefault="0028035B" w:rsidP="0028035B">
      <w:pPr>
        <w:pStyle w:val="00BodyText5"/>
      </w:pPr>
      <w:r w:rsidRPr="00625249">
        <w:t xml:space="preserve">WHEREAS, </w:t>
      </w:r>
      <w:r>
        <w:t xml:space="preserve">the District </w:t>
      </w:r>
      <w:r w:rsidRPr="00625249">
        <w:t xml:space="preserve">is a </w:t>
      </w:r>
      <w:r>
        <w:t xml:space="preserve">public infrastructure district, </w:t>
      </w:r>
      <w:r w:rsidRPr="00D4053E">
        <w:t>a political subdivision and body corporate and politic</w:t>
      </w:r>
      <w:r>
        <w:t xml:space="preserve">, and a subsidiary of the Military Installation Development Authority (“MIDA”) </w:t>
      </w:r>
      <w:r w:rsidRPr="00625249">
        <w:t>duly organized and existing under the Constitution and laws of the State of Utah (the “State”), including particularly Title 17B, Chapter 1 and</w:t>
      </w:r>
      <w:r>
        <w:t xml:space="preserve"> Title 17D, Chapter</w:t>
      </w:r>
      <w:r w:rsidRPr="00625249">
        <w:t xml:space="preserve"> </w:t>
      </w:r>
      <w:r>
        <w:t>4</w:t>
      </w:r>
      <w:r w:rsidRPr="00625249">
        <w:t xml:space="preserve"> (</w:t>
      </w:r>
      <w:r>
        <w:t xml:space="preserve">collectively, </w:t>
      </w:r>
      <w:r w:rsidRPr="00625249">
        <w:t>the “District Act”)</w:t>
      </w:r>
      <w:r>
        <w:t xml:space="preserve">, </w:t>
      </w:r>
      <w:r w:rsidRPr="00A17300">
        <w:t>Utah Code Annotated 1953</w:t>
      </w:r>
      <w:r>
        <w:t xml:space="preserve">, as amended (the “Utah Code”) and the </w:t>
      </w:r>
      <w:r w:rsidRPr="00A17300">
        <w:t>Military Installation Development Authority Act</w:t>
      </w:r>
      <w:r>
        <w:t xml:space="preserve"> (the “MIDA Act” and together with the District Act, the “Act”)</w:t>
      </w:r>
      <w:r w:rsidRPr="00A17300">
        <w:t xml:space="preserve">, Title 63H, </w:t>
      </w:r>
      <w:r>
        <w:t xml:space="preserve">Chapter 1, </w:t>
      </w:r>
      <w:r w:rsidRPr="00A17300">
        <w:t>Utah Code</w:t>
      </w:r>
      <w:r w:rsidRPr="00625249">
        <w:t>; and</w:t>
      </w:r>
    </w:p>
    <w:p w14:paraId="7B6C20F2" w14:textId="5280FA4A" w:rsidR="00456192" w:rsidRPr="00C7390B" w:rsidRDefault="00456192" w:rsidP="009D68AC">
      <w:pPr>
        <w:pStyle w:val="00BodyText5"/>
      </w:pPr>
      <w:r w:rsidRPr="00C7390B">
        <w:t xml:space="preserve">WHEREAS, </w:t>
      </w:r>
      <w:r w:rsidR="0028035B">
        <w:t>the District</w:t>
      </w:r>
      <w:r w:rsidRPr="00C7390B">
        <w:t xml:space="preserve"> has entered into a </w:t>
      </w:r>
      <w:r w:rsidR="00116515">
        <w:t>General Indenture</w:t>
      </w:r>
      <w:r w:rsidRPr="00C7390B">
        <w:t xml:space="preserve"> of Trust, dated as of </w:t>
      </w:r>
      <w:r w:rsidR="00A00F40">
        <w:t>[INDENTURE MONTH]</w:t>
      </w:r>
      <w:r w:rsidR="00BE4F3C">
        <w:t xml:space="preserve"> 1</w:t>
      </w:r>
      <w:r w:rsidR="00F8641E" w:rsidRPr="00C7390B">
        <w:t>, 202</w:t>
      </w:r>
      <w:r w:rsidR="00A00F40">
        <w:t>5</w:t>
      </w:r>
      <w:r w:rsidRPr="00C7390B">
        <w:t xml:space="preserve"> (the “</w:t>
      </w:r>
      <w:r w:rsidR="00116515">
        <w:t>General Indenture</w:t>
      </w:r>
      <w:r w:rsidRPr="00C7390B">
        <w:t>”) with the Trustee; and</w:t>
      </w:r>
    </w:p>
    <w:p w14:paraId="7E38D307" w14:textId="2FC6F078" w:rsidR="00EB724D" w:rsidRDefault="00EB724D" w:rsidP="009D68AC">
      <w:pPr>
        <w:pStyle w:val="00BodyText5"/>
      </w:pPr>
      <w:r w:rsidRPr="00C7390B">
        <w:t xml:space="preserve">WHEREAS, </w:t>
      </w:r>
      <w:r w:rsidR="005F3964" w:rsidRPr="00C7390B">
        <w:t xml:space="preserve">the </w:t>
      </w:r>
      <w:r w:rsidR="004F086C">
        <w:t>[PROJECT AREA PLANS]</w:t>
      </w:r>
      <w:r w:rsidR="005F3964" w:rsidRPr="00C7390B">
        <w:t xml:space="preserve"> governing the project area described therein (the “Project Area”) </w:t>
      </w:r>
      <w:r w:rsidRPr="00C7390B">
        <w:t>ha</w:t>
      </w:r>
      <w:r w:rsidR="005F3964" w:rsidRPr="00C7390B">
        <w:t>ve</w:t>
      </w:r>
      <w:r w:rsidRPr="00C7390B">
        <w:t xml:space="preserve"> heretofore been adopted and approved and all requirements of law for, and precedent to, the adoption and approval of said plan</w:t>
      </w:r>
      <w:r w:rsidR="005F3964" w:rsidRPr="00C7390B">
        <w:t>s</w:t>
      </w:r>
      <w:r w:rsidRPr="00C7390B">
        <w:t xml:space="preserve"> have been duly complied with; and</w:t>
      </w:r>
      <w:r w:rsidR="0028035B">
        <w:t xml:space="preserve"> </w:t>
      </w:r>
    </w:p>
    <w:p w14:paraId="2A8CFBB8" w14:textId="0A23DFDB" w:rsidR="00456192" w:rsidRPr="00C7390B" w:rsidRDefault="00456192" w:rsidP="009D68AC">
      <w:pPr>
        <w:pStyle w:val="00BodyText5"/>
      </w:pPr>
      <w:r w:rsidRPr="00C7390B">
        <w:t xml:space="preserve">WHEREAS, </w:t>
      </w:r>
      <w:r w:rsidR="0028035B">
        <w:t>the District</w:t>
      </w:r>
      <w:r w:rsidRPr="00C7390B">
        <w:t xml:space="preserve"> desires to </w:t>
      </w:r>
      <w:r w:rsidR="00EB724D" w:rsidRPr="00C7390B">
        <w:t xml:space="preserve">finance </w:t>
      </w:r>
      <w:r w:rsidR="0028035B">
        <w:t xml:space="preserve">and/or refinance </w:t>
      </w:r>
      <w:r w:rsidR="00EB724D" w:rsidRPr="00C7390B">
        <w:t xml:space="preserve">all or a portion of </w:t>
      </w:r>
      <w:r w:rsidR="0028035B">
        <w:t xml:space="preserve">costs of certain public </w:t>
      </w:r>
      <w:r w:rsidR="00EB724D" w:rsidRPr="00C7390B">
        <w:t xml:space="preserve">infrastructure and improvements </w:t>
      </w:r>
      <w:r w:rsidR="0028035B">
        <w:t xml:space="preserve">within the Project Area </w:t>
      </w:r>
      <w:r w:rsidR="00EB724D" w:rsidRPr="00C7390B">
        <w:t xml:space="preserve">as permitted by the </w:t>
      </w:r>
      <w:r w:rsidR="00467DD4" w:rsidRPr="00C7390B">
        <w:t>Act</w:t>
      </w:r>
      <w:r w:rsidR="00843270" w:rsidRPr="00C7390B">
        <w:t xml:space="preserve"> </w:t>
      </w:r>
      <w:r w:rsidR="00EB724D" w:rsidRPr="00C7390B">
        <w:t>and the Tax Sharing Agreement</w:t>
      </w:r>
      <w:r w:rsidR="0028035B">
        <w:t xml:space="preserve"> </w:t>
      </w:r>
      <w:r w:rsidR="00EB724D" w:rsidRPr="00C7390B">
        <w:t>(collectively, the “</w:t>
      </w:r>
      <w:r w:rsidR="00A00F40">
        <w:t>Series 2025</w:t>
      </w:r>
      <w:r w:rsidR="00EB724D" w:rsidRPr="00C7390B">
        <w:t xml:space="preserve"> Project”)</w:t>
      </w:r>
      <w:r w:rsidRPr="00C7390B">
        <w:t>; and</w:t>
      </w:r>
    </w:p>
    <w:p w14:paraId="7DA18727" w14:textId="0BEF8D30" w:rsidR="001535DF" w:rsidRPr="00C7390B" w:rsidRDefault="001535DF" w:rsidP="009D68AC">
      <w:pPr>
        <w:pStyle w:val="00BodyText5"/>
      </w:pPr>
      <w:r w:rsidRPr="00C7390B">
        <w:t>WHEREAS</w:t>
      </w:r>
      <w:r w:rsidR="006D3FA6">
        <w:t>,</w:t>
      </w:r>
      <w:r w:rsidRPr="00C7390B">
        <w:t xml:space="preserve"> to </w:t>
      </w:r>
      <w:r w:rsidRPr="00C7390B">
        <w:fldChar w:fldCharType="begin"/>
      </w:r>
      <w:r w:rsidRPr="00C7390B">
        <w:instrText xml:space="preserve"> LISTNUM NumberDefault \l5 \s1 \* MERGEFORMAT </w:instrText>
      </w:r>
      <w:r w:rsidRPr="00C7390B">
        <w:fldChar w:fldCharType="end"/>
      </w:r>
      <w:r w:rsidRPr="00C7390B">
        <w:t xml:space="preserve"> </w:t>
      </w:r>
      <w:r w:rsidR="00276876" w:rsidRPr="00C7390B">
        <w:t>financ</w:t>
      </w:r>
      <w:r w:rsidR="009D68AC" w:rsidRPr="00C7390B">
        <w:t>e</w:t>
      </w:r>
      <w:r w:rsidR="00276876" w:rsidRPr="00C7390B">
        <w:t xml:space="preserve"> all or a portion of the </w:t>
      </w:r>
      <w:r w:rsidR="00A00F40">
        <w:t>Series 2025</w:t>
      </w:r>
      <w:r w:rsidR="00276876" w:rsidRPr="00C7390B">
        <w:t xml:space="preserve"> Project, (b) fund a deposit to a </w:t>
      </w:r>
      <w:r w:rsidR="00C05095">
        <w:t>surplus</w:t>
      </w:r>
      <w:r w:rsidR="00276876" w:rsidRPr="00C7390B">
        <w:t xml:space="preserve"> fund, (c) provid</w:t>
      </w:r>
      <w:r w:rsidR="009D68AC" w:rsidRPr="00C7390B">
        <w:t>e</w:t>
      </w:r>
      <w:r w:rsidR="00276876" w:rsidRPr="00C7390B">
        <w:t xml:space="preserve"> for capitalized interest with respect to the</w:t>
      </w:r>
      <w:r w:rsidR="006B54F5" w:rsidRPr="00C7390B">
        <w:t xml:space="preserve"> </w:t>
      </w:r>
      <w:r w:rsidR="00A00F40">
        <w:t>Series 2025 Bonds</w:t>
      </w:r>
      <w:r w:rsidR="006B54F5" w:rsidRPr="00C7390B">
        <w:t xml:space="preserve"> (defined below)</w:t>
      </w:r>
      <w:r w:rsidR="00276876" w:rsidRPr="00C7390B">
        <w:t xml:space="preserve"> and the </w:t>
      </w:r>
      <w:r w:rsidR="00A00F40">
        <w:t>Series 2025</w:t>
      </w:r>
      <w:r w:rsidR="00276876" w:rsidRPr="00C7390B">
        <w:t xml:space="preserve"> Project, and (d)</w:t>
      </w:r>
      <w:r w:rsidR="009D68AC" w:rsidRPr="00C7390B">
        <w:t> </w:t>
      </w:r>
      <w:r w:rsidR="00276876" w:rsidRPr="00C7390B">
        <w:t xml:space="preserve">pay costs of issuance of the </w:t>
      </w:r>
      <w:r w:rsidR="00A00F40">
        <w:t>Series 2025 Bonds</w:t>
      </w:r>
      <w:r w:rsidRPr="00C7390B">
        <w:t xml:space="preserve">, </w:t>
      </w:r>
      <w:r w:rsidR="0028035B">
        <w:t>the District</w:t>
      </w:r>
      <w:r w:rsidRPr="00C7390B">
        <w:t xml:space="preserve"> has determined to issue </w:t>
      </w:r>
      <w:r w:rsidR="00BA0D3E">
        <w:t>its</w:t>
      </w:r>
      <w:r w:rsidR="00B20451">
        <w:t xml:space="preserve"> </w:t>
      </w:r>
      <w:r w:rsidR="00FC057E">
        <w:t xml:space="preserve">Tax Allocation Revenue Bonds, </w:t>
      </w:r>
      <w:r w:rsidR="00A00F40">
        <w:rPr>
          <w:rFonts w:cs="Times New Roman"/>
        </w:rPr>
        <w:t>Series 2025</w:t>
      </w:r>
      <w:r w:rsidR="00BA0D3E" w:rsidRPr="007E07EB">
        <w:rPr>
          <w:rFonts w:cs="Times New Roman"/>
          <w:vertAlign w:val="subscript"/>
        </w:rPr>
        <w:t xml:space="preserve"> </w:t>
      </w:r>
      <w:r w:rsidR="00BA0D3E" w:rsidRPr="007E07EB">
        <w:rPr>
          <w:rFonts w:cs="Times New Roman"/>
        </w:rPr>
        <w:t>in the aggregate principal amount of $</w:t>
      </w:r>
      <w:r w:rsidR="00B20451">
        <w:rPr>
          <w:rFonts w:cs="Times New Roman"/>
        </w:rPr>
        <w:t>[PAR]</w:t>
      </w:r>
      <w:r w:rsidR="00BA0D3E" w:rsidRPr="007E07EB">
        <w:rPr>
          <w:rFonts w:cs="Times New Roman"/>
        </w:rPr>
        <w:t xml:space="preserve"> (the “</w:t>
      </w:r>
      <w:r w:rsidR="00A00F40">
        <w:rPr>
          <w:rFonts w:cs="Times New Roman"/>
        </w:rPr>
        <w:t>Series 2025</w:t>
      </w:r>
      <w:r w:rsidR="00BA0D3E" w:rsidRPr="007E07EB">
        <w:rPr>
          <w:rFonts w:cs="Times New Roman"/>
        </w:rPr>
        <w:t xml:space="preserve"> Bonds”)</w:t>
      </w:r>
      <w:r w:rsidRPr="00C7390B">
        <w:t>; and</w:t>
      </w:r>
    </w:p>
    <w:p w14:paraId="38CAD4AF" w14:textId="7D491B0F" w:rsidR="00456192" w:rsidRPr="00C7390B" w:rsidRDefault="00456192" w:rsidP="00456192">
      <w:pPr>
        <w:pStyle w:val="BodyText5"/>
      </w:pPr>
      <w:r w:rsidRPr="00C7390B">
        <w:t xml:space="preserve">WHEREAS, the </w:t>
      </w:r>
      <w:r w:rsidR="00A00F40">
        <w:t>Series 2025 Bonds</w:t>
      </w:r>
      <w:r w:rsidRPr="00C7390B">
        <w:t xml:space="preserve"> will be authorized, issued, and secured under the </w:t>
      </w:r>
      <w:r w:rsidR="00F674A6">
        <w:t>General Indenture</w:t>
      </w:r>
      <w:r w:rsidRPr="00C7390B">
        <w:t xml:space="preserve">, as amended and supplemented by this </w:t>
      </w:r>
      <w:r w:rsidR="00F674A6">
        <w:t>First Supplemental Indenture</w:t>
      </w:r>
      <w:r w:rsidR="001268DE" w:rsidRPr="00C7390B">
        <w:t xml:space="preserve"> </w:t>
      </w:r>
      <w:r w:rsidRPr="00C7390B">
        <w:t xml:space="preserve">(collectively with the </w:t>
      </w:r>
      <w:r w:rsidR="00F674A6">
        <w:t>General Indenture</w:t>
      </w:r>
      <w:r w:rsidRPr="00C7390B">
        <w:t>, and any amendments thereto or hereto, the “Indenture”); and</w:t>
      </w:r>
    </w:p>
    <w:p w14:paraId="47F902C4" w14:textId="19721FB2" w:rsidR="00456192" w:rsidRPr="00C7390B" w:rsidRDefault="00456192" w:rsidP="00456192">
      <w:pPr>
        <w:pStyle w:val="BodyText5"/>
      </w:pPr>
      <w:r w:rsidRPr="00C7390B">
        <w:t xml:space="preserve">WHEREAS, the execution and delivery of the </w:t>
      </w:r>
      <w:r w:rsidR="00A00F40">
        <w:t>Series 2025 Bonds</w:t>
      </w:r>
      <w:r w:rsidRPr="00C7390B">
        <w:t xml:space="preserve"> and of the Indenture have been duly authorized and all things necessary to make the </w:t>
      </w:r>
      <w:r w:rsidR="00A00F40">
        <w:t>Series 2025 Bonds</w:t>
      </w:r>
      <w:r w:rsidRPr="00C7390B">
        <w:t xml:space="preserve">, when executed by </w:t>
      </w:r>
      <w:r w:rsidR="0028035B">
        <w:t>the District</w:t>
      </w:r>
      <w:r w:rsidRPr="00C7390B">
        <w:t xml:space="preserve"> and authenticated by the Trustee, valid and binding legal obligations of </w:t>
      </w:r>
      <w:r w:rsidR="0028035B">
        <w:t>the District</w:t>
      </w:r>
      <w:r w:rsidRPr="00C7390B">
        <w:t xml:space="preserve"> and to make this </w:t>
      </w:r>
      <w:r w:rsidR="00116515">
        <w:t>First Supplemental Indenture</w:t>
      </w:r>
      <w:r w:rsidR="00380FB5" w:rsidRPr="00C7390B">
        <w:t xml:space="preserve"> </w:t>
      </w:r>
      <w:r w:rsidRPr="00C7390B">
        <w:t>a valid and binding agreement, have been done.</w:t>
      </w:r>
    </w:p>
    <w:p w14:paraId="12FA9424" w14:textId="2849628D" w:rsidR="00456192" w:rsidRPr="00C7390B" w:rsidRDefault="00456192" w:rsidP="00013B8F">
      <w:pPr>
        <w:pStyle w:val="BodyText5"/>
      </w:pPr>
      <w:r w:rsidRPr="00C7390B">
        <w:t>NOW, THEREFORE, for and in consideration of the premises and the mutual promises and covenants herein contained, the parties hereto agree as follows:</w:t>
      </w:r>
      <w:r w:rsidR="00013B8F">
        <w:t xml:space="preserve">  </w:t>
      </w:r>
      <w:r w:rsidR="00304B44" w:rsidRPr="00C7390B">
        <w:br w:type="page"/>
      </w:r>
    </w:p>
    <w:p w14:paraId="3211D5A9" w14:textId="77777777" w:rsidR="0038480E" w:rsidRPr="00C7390B" w:rsidRDefault="0038480E" w:rsidP="00B245C1">
      <w:pPr>
        <w:pStyle w:val="Heading1"/>
        <w:rPr>
          <w:color w:val="auto"/>
        </w:rPr>
      </w:pPr>
      <w:bookmarkStart w:id="1" w:name="_Toc3350717"/>
      <w:bookmarkStart w:id="2" w:name="_Toc3351034"/>
      <w:bookmarkStart w:id="3" w:name="_Toc3351109"/>
      <w:bookmarkStart w:id="4" w:name="_Toc4234298"/>
      <w:bookmarkStart w:id="5" w:name="_Toc6286674"/>
      <w:bookmarkStart w:id="6" w:name="_Toc348620623"/>
      <w:bookmarkStart w:id="7" w:name="_Toc348621983"/>
      <w:bookmarkStart w:id="8" w:name="_Toc351972797"/>
      <w:bookmarkStart w:id="9" w:name="_Toc351973310"/>
      <w:bookmarkStart w:id="10" w:name="_Toc357586996"/>
      <w:bookmarkStart w:id="11" w:name="_Toc357587775"/>
      <w:bookmarkStart w:id="12" w:name="_Toc358124701"/>
      <w:bookmarkStart w:id="13" w:name="_Toc358124725"/>
      <w:bookmarkStart w:id="14" w:name="_Toc358720796"/>
      <w:bookmarkStart w:id="15" w:name="_Toc358723246"/>
      <w:bookmarkStart w:id="16" w:name="_Toc358877800"/>
      <w:bookmarkStart w:id="17" w:name="_Toc359334173"/>
      <w:bookmarkStart w:id="18" w:name="_Toc484095734"/>
      <w:bookmarkStart w:id="19" w:name="_Toc485732105"/>
      <w:bookmarkStart w:id="20" w:name="_Toc72761260"/>
      <w:bookmarkStart w:id="21" w:name="_Toc73104654"/>
      <w:bookmarkStart w:id="22" w:name="_Toc74122481"/>
      <w:bookmarkStart w:id="23" w:name="_Toc74580031"/>
      <w:bookmarkStart w:id="24" w:name="_Toc76568335"/>
      <w:bookmarkStart w:id="25" w:name="_Toc76589661"/>
      <w:bookmarkStart w:id="26" w:name="_Toc78464822"/>
      <w:bookmarkStart w:id="27" w:name="_Toc80907438"/>
      <w:bookmarkStart w:id="28" w:name="_Toc81310946"/>
      <w:bookmarkStart w:id="29" w:name="_Toc182327795"/>
      <w:bookmarkStart w:id="30" w:name="_Toc182327823"/>
      <w:bookmarkStart w:id="31" w:name="_Toc182412325"/>
      <w:bookmarkStart w:id="32" w:name="_Toc182470895"/>
      <w:bookmarkStart w:id="33" w:name="_Toc182903823"/>
      <w:bookmarkStart w:id="34" w:name="_Toc182990793"/>
      <w:bookmarkStart w:id="35" w:name="_Toc183085104"/>
      <w:bookmarkStart w:id="36" w:name="_Toc183101969"/>
      <w:bookmarkStart w:id="37" w:name="_Toc183159153"/>
      <w:bookmarkStart w:id="38" w:name="_Toc184131101"/>
      <w:bookmarkStart w:id="39" w:name="_Toc184132471"/>
      <w:bookmarkStart w:id="40" w:name="_Toc184207077"/>
      <w:bookmarkStart w:id="41" w:name="_Toc184207121"/>
      <w:bookmarkStart w:id="42" w:name="_Toc184207152"/>
      <w:bookmarkStart w:id="43" w:name="_Toc184207233"/>
      <w:bookmarkStart w:id="44" w:name="_Toc184207271"/>
      <w:bookmarkStart w:id="45" w:name="_Toc184223333"/>
      <w:bookmarkStart w:id="46" w:name="_Toc184228646"/>
      <w:bookmarkStart w:id="47" w:name="_Toc207106952"/>
      <w:r w:rsidRPr="00C7390B">
        <w:rPr>
          <w:color w:val="auto"/>
        </w:rPr>
        <w:lastRenderedPageBreak/>
        <w:br/>
      </w:r>
      <w:bookmarkStart w:id="48" w:name="_Toc3021009"/>
      <w:bookmarkStart w:id="49" w:name="_Toc3022963"/>
      <w:bookmarkStart w:id="50" w:name="_Toc3350649"/>
      <w:r w:rsidR="00823410" w:rsidRPr="00C7390B">
        <w:rPr>
          <w:color w:val="auto"/>
        </w:rPr>
        <w:t>SUPPLEMENTAL INDENTURE,</w:t>
      </w:r>
      <w:r w:rsidRPr="00C7390B">
        <w:rPr>
          <w:color w:val="auto"/>
        </w:rPr>
        <w:t xml:space="preserve"> 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48"/>
      <w:bookmarkEnd w:id="49"/>
      <w:bookmarkEnd w:id="5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13E9127" w14:textId="77777777" w:rsidR="00B245C1" w:rsidRPr="00C7390B" w:rsidRDefault="00823410" w:rsidP="0038480E">
      <w:pPr>
        <w:pStyle w:val="Heading2"/>
        <w:rPr>
          <w:vanish/>
          <w:color w:val="auto"/>
          <w:specVanish/>
        </w:rPr>
      </w:pPr>
      <w:bookmarkStart w:id="51" w:name="_Toc207106953"/>
      <w:bookmarkStart w:id="52" w:name="_Toc3022964"/>
      <w:bookmarkStart w:id="53" w:name="_Toc3350650"/>
      <w:bookmarkStart w:id="54" w:name="_Toc3021010"/>
      <w:r w:rsidRPr="00C7390B">
        <w:rPr>
          <w:color w:val="auto"/>
        </w:rPr>
        <w:t>Supplemental Indenture</w:t>
      </w:r>
      <w:bookmarkEnd w:id="51"/>
    </w:p>
    <w:p w14:paraId="0853806E" w14:textId="57406B08" w:rsidR="0038480E" w:rsidRPr="00C7390B" w:rsidRDefault="0038480E" w:rsidP="00B245C1">
      <w:pPr>
        <w:pStyle w:val="HeadingBody2"/>
      </w:pPr>
      <w:r w:rsidRPr="00C7390B">
        <w:t>.</w:t>
      </w:r>
      <w:bookmarkEnd w:id="52"/>
      <w:bookmarkEnd w:id="53"/>
      <w:r w:rsidRPr="00C7390B">
        <w:t xml:space="preserve">  </w:t>
      </w:r>
      <w:r w:rsidR="00823410" w:rsidRPr="00C7390B">
        <w:t xml:space="preserve">This </w:t>
      </w:r>
      <w:r w:rsidR="00116515">
        <w:t>First Supplemental Indenture</w:t>
      </w:r>
      <w:r w:rsidR="00823410" w:rsidRPr="00C7390B">
        <w:t xml:space="preserve"> is supplemental to, and is executed in accordance with, and pursuant to, Articles II and IX of the </w:t>
      </w:r>
      <w:r w:rsidR="00116515">
        <w:t>General Indenture</w:t>
      </w:r>
      <w:r w:rsidR="00380FB5" w:rsidRPr="00C7390B">
        <w:t>.</w:t>
      </w:r>
      <w:bookmarkEnd w:id="54"/>
      <w:r w:rsidRPr="00C7390B">
        <w:t xml:space="preserve"> </w:t>
      </w:r>
    </w:p>
    <w:p w14:paraId="0672A7CC" w14:textId="77777777" w:rsidR="00B245C1" w:rsidRPr="00C7390B" w:rsidRDefault="0038480E" w:rsidP="00B245C1">
      <w:pPr>
        <w:pStyle w:val="Heading2"/>
        <w:rPr>
          <w:vanish/>
          <w:color w:val="auto"/>
          <w:specVanish/>
        </w:rPr>
      </w:pPr>
      <w:bookmarkStart w:id="55" w:name="_Ref73104958"/>
      <w:bookmarkStart w:id="56" w:name="_Toc207106954"/>
      <w:bookmarkStart w:id="57" w:name="_Toc3022965"/>
      <w:bookmarkStart w:id="58" w:name="_Toc3350651"/>
      <w:bookmarkStart w:id="59" w:name="_Toc3021011"/>
      <w:r w:rsidRPr="00C7390B">
        <w:rPr>
          <w:color w:val="auto"/>
        </w:rPr>
        <w:t>Definitions</w:t>
      </w:r>
      <w:bookmarkEnd w:id="55"/>
      <w:bookmarkEnd w:id="56"/>
    </w:p>
    <w:p w14:paraId="779BFA8C" w14:textId="6D6231AA" w:rsidR="0038480E" w:rsidRPr="00C7390B" w:rsidRDefault="0038480E" w:rsidP="00B245C1">
      <w:pPr>
        <w:pStyle w:val="HeadingBody2"/>
      </w:pPr>
      <w:r w:rsidRPr="00C7390B">
        <w:t>.</w:t>
      </w:r>
      <w:bookmarkEnd w:id="57"/>
      <w:bookmarkEnd w:id="58"/>
      <w:r w:rsidRPr="00C7390B">
        <w:t xml:space="preserve">  All words and phrases defined in </w:t>
      </w:r>
      <w:r w:rsidR="000230B5" w:rsidRPr="00C7390B">
        <w:t xml:space="preserve">Section 1.1 </w:t>
      </w:r>
      <w:r w:rsidRPr="00C7390B">
        <w:t xml:space="preserve">of the </w:t>
      </w:r>
      <w:r w:rsidR="00116515">
        <w:t>General Indenture</w:t>
      </w:r>
      <w:r w:rsidR="001268DE" w:rsidRPr="00C7390B">
        <w:t xml:space="preserve"> </w:t>
      </w:r>
      <w:r w:rsidRPr="00C7390B">
        <w:t xml:space="preserve">shall have the same meaning in this </w:t>
      </w:r>
      <w:r w:rsidR="00116515">
        <w:t>First Supplemental Indenture</w:t>
      </w:r>
      <w:r w:rsidRPr="00C7390B">
        <w:t>, except as otherwise appears in this Section. In addition, the following terms shall have the following meanings, unless the content otherwise requires:</w:t>
      </w:r>
      <w:bookmarkEnd w:id="59"/>
      <w:r w:rsidRPr="00C7390B">
        <w:t xml:space="preserve"> </w:t>
      </w:r>
    </w:p>
    <w:p w14:paraId="1862342F" w14:textId="2E092326" w:rsidR="0038480E" w:rsidRDefault="0038480E" w:rsidP="00430B3B">
      <w:pPr>
        <w:pStyle w:val="00BodyText5"/>
      </w:pPr>
      <w:r w:rsidRPr="00C7390B">
        <w:t xml:space="preserve">“Authorized Denominations” means, with respect to the </w:t>
      </w:r>
      <w:r w:rsidR="00A00F40">
        <w:t>Series 2025 Bonds</w:t>
      </w:r>
      <w:r w:rsidRPr="00C7390B">
        <w:t xml:space="preserve">, </w:t>
      </w:r>
      <w:r w:rsidR="008A482B" w:rsidRPr="00C7390B">
        <w:t>denominations of $500,000 or any $1,000 increment in excess thereof</w:t>
      </w:r>
      <w:r w:rsidR="00641785" w:rsidRPr="00C7390B">
        <w:t>.</w:t>
      </w:r>
    </w:p>
    <w:p w14:paraId="0A78A95F" w14:textId="77777777" w:rsidR="00BF409F" w:rsidRPr="00C7390B" w:rsidRDefault="00BF409F" w:rsidP="00BF409F">
      <w:pPr>
        <w:pStyle w:val="00BodyText5"/>
      </w:pPr>
      <w:r w:rsidRPr="00C7390B">
        <w:t>“Cede” means Cede &amp; Co. and any substitute nominee of DTC who becomes the registered Bondholder.</w:t>
      </w:r>
    </w:p>
    <w:p w14:paraId="52066120" w14:textId="2DC90F0E" w:rsidR="00BF409F" w:rsidRDefault="00BF409F" w:rsidP="00BF409F">
      <w:pPr>
        <w:pStyle w:val="00BodyText5"/>
      </w:pPr>
      <w:r w:rsidRPr="00C7390B">
        <w:t xml:space="preserve">“Dated Date” means the date of delivery of the </w:t>
      </w:r>
      <w:r w:rsidR="00A00F40">
        <w:t>Series 2025 Bonds</w:t>
      </w:r>
      <w:r w:rsidRPr="00C7390B">
        <w:t>.</w:t>
      </w:r>
    </w:p>
    <w:p w14:paraId="0BDE12CF" w14:textId="1148E62E" w:rsidR="002D4325" w:rsidRPr="00C7390B" w:rsidRDefault="00BF409F" w:rsidP="009D08E3">
      <w:pPr>
        <w:pStyle w:val="00BodyText5"/>
      </w:pPr>
      <w:r w:rsidRPr="00C7390B">
        <w:t>“DTC” means The Depository Trust Company, New York, New York, a limited-purpose trust company organized under the laws of the State of New York.</w:t>
      </w:r>
    </w:p>
    <w:p w14:paraId="5B5188E3" w14:textId="5E434014" w:rsidR="00752B28" w:rsidRPr="00C7390B" w:rsidRDefault="00380C94" w:rsidP="00752B28">
      <w:pPr>
        <w:pStyle w:val="00BodyText5"/>
      </w:pPr>
      <w:r w:rsidRPr="00C7390B">
        <w:t xml:space="preserve">“Indenture” means, collectively, the </w:t>
      </w:r>
      <w:r w:rsidR="00F674A6">
        <w:t>General Indenture</w:t>
      </w:r>
      <w:r w:rsidRPr="00C7390B">
        <w:t xml:space="preserve"> and this </w:t>
      </w:r>
      <w:r w:rsidR="00F674A6">
        <w:t>First Supplemental Indenture</w:t>
      </w:r>
      <w:r w:rsidRPr="00C7390B">
        <w:t>.</w:t>
      </w:r>
    </w:p>
    <w:p w14:paraId="2E4094FE" w14:textId="01021625" w:rsidR="00537671" w:rsidRDefault="0038480E" w:rsidP="00537671">
      <w:pPr>
        <w:pStyle w:val="00BodyText5"/>
      </w:pPr>
      <w:r w:rsidRPr="00C7390B">
        <w:t xml:space="preserve">“Interest Payment </w:t>
      </w:r>
      <w:r w:rsidR="008B180C" w:rsidRPr="00C7390B">
        <w:t>D</w:t>
      </w:r>
      <w:r w:rsidRPr="00C7390B">
        <w:t>ate” means</w:t>
      </w:r>
      <w:r w:rsidR="008B180C" w:rsidRPr="00C7390B">
        <w:t>,</w:t>
      </w:r>
      <w:r w:rsidRPr="00C7390B">
        <w:t xml:space="preserve"> with respect to the </w:t>
      </w:r>
      <w:r w:rsidR="00A00F40">
        <w:t>Series 2025 Bonds</w:t>
      </w:r>
      <w:r w:rsidR="008B180C" w:rsidRPr="00C7390B">
        <w:t>,</w:t>
      </w:r>
      <w:r w:rsidRPr="00C7390B">
        <w:t xml:space="preserve"> each </w:t>
      </w:r>
      <w:r w:rsidR="0070250F">
        <w:t xml:space="preserve">June </w:t>
      </w:r>
      <w:r w:rsidR="00B75CD2">
        <w:t>1</w:t>
      </w:r>
      <w:r w:rsidR="00F8641E" w:rsidRPr="00C7390B">
        <w:t xml:space="preserve"> </w:t>
      </w:r>
      <w:r w:rsidR="00C529BE" w:rsidRPr="00C7390B">
        <w:t>and</w:t>
      </w:r>
      <w:r w:rsidR="00F8641E" w:rsidRPr="00C7390B">
        <w:t xml:space="preserve"> </w:t>
      </w:r>
      <w:r w:rsidR="00BC2F14">
        <w:t>December 1</w:t>
      </w:r>
      <w:r w:rsidR="00591B97" w:rsidRPr="00C7390B">
        <w:t>,</w:t>
      </w:r>
      <w:r w:rsidRPr="00C7390B">
        <w:t xml:space="preserve"> commencing</w:t>
      </w:r>
      <w:r w:rsidR="00F8641E" w:rsidRPr="00C7390B">
        <w:t xml:space="preserve"> </w:t>
      </w:r>
      <w:r w:rsidR="0057031E">
        <w:t>[________]</w:t>
      </w:r>
      <w:r w:rsidR="00BE4F3C">
        <w:t xml:space="preserve"> 1, 20</w:t>
      </w:r>
      <w:r w:rsidR="0057031E">
        <w:t>[__]</w:t>
      </w:r>
      <w:r w:rsidR="00BE4F3C">
        <w:t>.</w:t>
      </w:r>
    </w:p>
    <w:p w14:paraId="70A54DDB" w14:textId="3DFE51BC" w:rsidR="007A664F" w:rsidRDefault="007A664F" w:rsidP="0022295C">
      <w:pPr>
        <w:pStyle w:val="00BodyText5"/>
      </w:pPr>
      <w:r w:rsidRPr="007042FD">
        <w:t xml:space="preserve">“Mandatory Redemption Date” shall have the meaning assigned it in Section </w:t>
      </w:r>
      <w:r>
        <w:t>2.5</w:t>
      </w:r>
      <w:r w:rsidRPr="007042FD">
        <w:t>(</w:t>
      </w:r>
      <w:r w:rsidR="003E61C7">
        <w:t>b</w:t>
      </w:r>
      <w:r w:rsidRPr="007042FD">
        <w:t>) hereof.</w:t>
      </w:r>
    </w:p>
    <w:p w14:paraId="29CBE972" w14:textId="6AF0B30F" w:rsidR="007A664F" w:rsidRDefault="007A664F" w:rsidP="0022295C">
      <w:pPr>
        <w:pStyle w:val="00BodyText5"/>
      </w:pPr>
      <w:r w:rsidRPr="007042FD">
        <w:t xml:space="preserve">“Mandatory Redemption Price” shall have the meaning assigned it in Section </w:t>
      </w:r>
      <w:r>
        <w:t>2.5</w:t>
      </w:r>
      <w:r w:rsidRPr="007042FD">
        <w:t>(</w:t>
      </w:r>
      <w:r w:rsidR="003E61C7">
        <w:t>b</w:t>
      </w:r>
      <w:r w:rsidRPr="007042FD">
        <w:t>) hereof.</w:t>
      </w:r>
    </w:p>
    <w:p w14:paraId="792184E9" w14:textId="154B2FCA" w:rsidR="00AE03D2" w:rsidRDefault="00AE03D2" w:rsidP="00AE03D2">
      <w:pPr>
        <w:pStyle w:val="00BodyText5"/>
      </w:pPr>
      <w:r w:rsidRPr="002903B7">
        <w:t xml:space="preserve">“Maximum Surplus Amount” means </w:t>
      </w:r>
      <w:r w:rsidR="006F7E61">
        <w:t>an amount equal to $[__________]</w:t>
      </w:r>
      <w:r w:rsidRPr="002903B7">
        <w:t>.</w:t>
      </w:r>
    </w:p>
    <w:p w14:paraId="4B58F8AC" w14:textId="2CC37C9B" w:rsidR="00537671" w:rsidRDefault="00537671" w:rsidP="00CA44F0">
      <w:pPr>
        <w:pStyle w:val="00BodyText5"/>
      </w:pPr>
      <w:r w:rsidRPr="00537671">
        <w:t xml:space="preserve">“Original Debt Service” means the debt service on the Bonds based upon the debt service schedule attached hereto as </w:t>
      </w:r>
      <w:r w:rsidRPr="005378EE">
        <w:rPr>
          <w:u w:val="single"/>
        </w:rPr>
        <w:t xml:space="preserve">Exhibit </w:t>
      </w:r>
      <w:r w:rsidR="005378EE" w:rsidRPr="005378EE">
        <w:rPr>
          <w:u w:val="single"/>
        </w:rPr>
        <w:t>D</w:t>
      </w:r>
      <w:r w:rsidRPr="00537671">
        <w:t>, as may be modified upon a certificate of an Authorized Representative as a result of any refunding bonds but not as a result of any mandatory redemption pursuant to THIRD of Section 6.2 of the General Indenture.</w:t>
      </w:r>
    </w:p>
    <w:p w14:paraId="20D4F2F9" w14:textId="43CDDF88" w:rsidR="00BA0D3E" w:rsidRDefault="00704D8F" w:rsidP="00BA0D3E">
      <w:pPr>
        <w:pStyle w:val="00BodyText5"/>
      </w:pPr>
      <w:r w:rsidRPr="004C582F">
        <w:t>“</w:t>
      </w:r>
      <w:r w:rsidR="00A00F40" w:rsidRPr="004C582F">
        <w:t>Series 2025 Bonds</w:t>
      </w:r>
      <w:r w:rsidRPr="004C582F">
        <w:t xml:space="preserve">” </w:t>
      </w:r>
      <w:r w:rsidR="004C582F" w:rsidRPr="004C582F">
        <w:rPr>
          <w:rFonts w:cs="Times New Roman"/>
        </w:rPr>
        <w:t>means the Tax Allocation Revenue Bonds, Series 2025</w:t>
      </w:r>
      <w:r w:rsidR="004C582F" w:rsidRPr="004C582F">
        <w:rPr>
          <w:rFonts w:cs="Times New Roman"/>
          <w:vertAlign w:val="subscript"/>
        </w:rPr>
        <w:t xml:space="preserve"> </w:t>
      </w:r>
      <w:r w:rsidR="004C582F" w:rsidRPr="004C582F">
        <w:rPr>
          <w:rFonts w:cs="Times New Roman"/>
        </w:rPr>
        <w:t>in the aggregate principal amount of $[PAR] dated as of the date of issuance, and issued by the District pursuant to this Indenture</w:t>
      </w:r>
      <w:r w:rsidRPr="004C582F">
        <w:t>.</w:t>
      </w:r>
    </w:p>
    <w:p w14:paraId="7580A529" w14:textId="038F33D6" w:rsidR="00071AD3" w:rsidRPr="00C7390B" w:rsidRDefault="00071AD3" w:rsidP="00071AD3">
      <w:pPr>
        <w:pStyle w:val="00BodyText5"/>
      </w:pPr>
      <w:r w:rsidRPr="00C7390B">
        <w:t>“</w:t>
      </w:r>
      <w:r w:rsidR="00A00F40">
        <w:t>Series 2025</w:t>
      </w:r>
      <w:r w:rsidRPr="00C7390B">
        <w:t xml:space="preserve"> C</w:t>
      </w:r>
      <w:r>
        <w:t>apitalized Interest Account</w:t>
      </w:r>
      <w:r w:rsidRPr="00C7390B">
        <w:t xml:space="preserve">” means the account established within the Construction Fund under the </w:t>
      </w:r>
      <w:r w:rsidR="00F674A6">
        <w:t>General Indenture</w:t>
      </w:r>
      <w:r w:rsidRPr="00C7390B">
        <w:t xml:space="preserve"> held in trust by the Trustee, into which a portion of the proceeds of the </w:t>
      </w:r>
      <w:r w:rsidR="00A00F40">
        <w:t>Series 2025 Bonds</w:t>
      </w:r>
      <w:r w:rsidRPr="00C7390B">
        <w:t xml:space="preserve"> shall be deposited as provided herein.</w:t>
      </w:r>
    </w:p>
    <w:p w14:paraId="48F150F4" w14:textId="2FD53BB7" w:rsidR="00071AD3" w:rsidRPr="00C7390B" w:rsidRDefault="00071AD3" w:rsidP="00071AD3">
      <w:pPr>
        <w:pStyle w:val="00BodyText5"/>
      </w:pPr>
      <w:r w:rsidRPr="00C7390B">
        <w:lastRenderedPageBreak/>
        <w:t>“</w:t>
      </w:r>
      <w:r w:rsidR="00A00F40">
        <w:t>Series 2025</w:t>
      </w:r>
      <w:r w:rsidRPr="00C7390B">
        <w:t xml:space="preserve"> Construction Account” means the account established within the Construction Fund under the </w:t>
      </w:r>
      <w:r w:rsidR="00F674A6">
        <w:t>General Indenture</w:t>
      </w:r>
      <w:r w:rsidRPr="00C7390B">
        <w:t xml:space="preserve"> held in trust by the Trustee, into which a portion of the proceeds of the </w:t>
      </w:r>
      <w:r w:rsidR="00A00F40">
        <w:t>Series 2025 Bonds</w:t>
      </w:r>
      <w:r w:rsidRPr="00C7390B">
        <w:t xml:space="preserve"> shall be deposited as provided herein.</w:t>
      </w:r>
    </w:p>
    <w:p w14:paraId="25F8C747" w14:textId="735AF97C" w:rsidR="00FC1D01" w:rsidRDefault="006F40CF" w:rsidP="00C05095">
      <w:pPr>
        <w:pStyle w:val="00BodyText5"/>
      </w:pPr>
      <w:r w:rsidRPr="00C7390B">
        <w:t>“</w:t>
      </w:r>
      <w:r w:rsidR="00A00F40">
        <w:t>Series 2025</w:t>
      </w:r>
      <w:r w:rsidRPr="00C7390B">
        <w:t xml:space="preserve"> Cost</w:t>
      </w:r>
      <w:r w:rsidR="00DA2169" w:rsidRPr="00C7390B">
        <w:t>s</w:t>
      </w:r>
      <w:r w:rsidRPr="00C7390B">
        <w:t xml:space="preserve"> of Issuance Account” means the account established within the Costs of Issuance Fund under the </w:t>
      </w:r>
      <w:r w:rsidR="00F674A6">
        <w:t>General Indenture</w:t>
      </w:r>
      <w:r w:rsidRPr="00C7390B">
        <w:t xml:space="preserve"> held in trust by the Trustee, into which a portion of the proceeds of the </w:t>
      </w:r>
      <w:r w:rsidR="00A00F40">
        <w:t>Series 2025 Bonds</w:t>
      </w:r>
      <w:r w:rsidRPr="00C7390B">
        <w:t xml:space="preserve"> shall be deposited as provided herein.</w:t>
      </w:r>
    </w:p>
    <w:p w14:paraId="5218D77D" w14:textId="2715346C" w:rsidR="003225D6" w:rsidRDefault="00071AD3" w:rsidP="00517F67">
      <w:pPr>
        <w:pStyle w:val="00BodyText5"/>
      </w:pPr>
      <w:bookmarkStart w:id="60" w:name="_Hlk182400544"/>
      <w:r>
        <w:t>“</w:t>
      </w:r>
      <w:r w:rsidR="00A00F40">
        <w:t>Series 2025</w:t>
      </w:r>
      <w:r>
        <w:t xml:space="preserve"> </w:t>
      </w:r>
      <w:r w:rsidRPr="0079347D">
        <w:t>Initial Deposit” means the amount of $</w:t>
      </w:r>
      <w:r w:rsidR="0057031E">
        <w:t>[__________]</w:t>
      </w:r>
      <w:bookmarkEnd w:id="60"/>
      <w:r w:rsidRPr="0079347D">
        <w:t>.</w:t>
      </w:r>
    </w:p>
    <w:p w14:paraId="57E3929E" w14:textId="03E10C7D" w:rsidR="004C582F" w:rsidRDefault="004C582F" w:rsidP="004C582F">
      <w:pPr>
        <w:pStyle w:val="00BodyText5"/>
        <w:rPr>
          <w:rFonts w:cs="Times New Roman"/>
        </w:rPr>
      </w:pPr>
      <w:r w:rsidRPr="000E5E3E">
        <w:t>“Series 2025 Mandatory Redemption Account” means the account established within the Bond Fund under the General Indenture held in trust by the Trustee with respect to the Series 2025 Bonds.</w:t>
      </w:r>
    </w:p>
    <w:p w14:paraId="634544DA" w14:textId="5F4109AF" w:rsidR="00752B28" w:rsidRDefault="008B180C" w:rsidP="00071AD3">
      <w:pPr>
        <w:pStyle w:val="00BodyText5"/>
      </w:pPr>
      <w:r w:rsidRPr="00C7390B">
        <w:t>“</w:t>
      </w:r>
      <w:r w:rsidR="00A00F40">
        <w:t>Series 2025</w:t>
      </w:r>
      <w:r w:rsidRPr="00C7390B">
        <w:t xml:space="preserve"> Project” </w:t>
      </w:r>
      <w:r w:rsidR="00AA0B2C" w:rsidRPr="00C7390B">
        <w:t>means the financing of all or a portion of infrastructure and other improvements as permitted by the Act and the Tax Sharing Agreement, including but not limited to</w:t>
      </w:r>
      <w:r w:rsidR="00AA0B2C">
        <w:t>,</w:t>
      </w:r>
      <w:r w:rsidR="00AA0B2C" w:rsidRPr="00C7390B">
        <w:t xml:space="preserve"> </w:t>
      </w:r>
      <w:r w:rsidR="00AA0B2C">
        <w:t xml:space="preserve">the </w:t>
      </w:r>
      <w:r w:rsidR="002D55BD" w:rsidRPr="00D84239">
        <w:t>acquisition, construction, or installation of a portion of the public infrastructure</w:t>
      </w:r>
      <w:r w:rsidR="002D55BD">
        <w:t xml:space="preserve"> and improvements</w:t>
      </w:r>
      <w:r w:rsidR="00AA0B2C">
        <w:t xml:space="preserve"> related thereto</w:t>
      </w:r>
      <w:r w:rsidR="002D55BD">
        <w:t xml:space="preserve"> within the MIDA Military Recreation Facility Project Area</w:t>
      </w:r>
      <w:r w:rsidR="00815111">
        <w:t xml:space="preserve">, including, but not limited to, the improvements attached hereto as </w:t>
      </w:r>
      <w:r w:rsidR="00815111" w:rsidRPr="00815111">
        <w:rPr>
          <w:u w:val="single"/>
        </w:rPr>
        <w:t>Exhibit C</w:t>
      </w:r>
      <w:r w:rsidR="00AA0B2C">
        <w:t xml:space="preserve">. </w:t>
      </w:r>
    </w:p>
    <w:p w14:paraId="0AE55C9F" w14:textId="4DDD9DC0" w:rsidR="00B211F0" w:rsidRDefault="00B211F0" w:rsidP="000230B5">
      <w:pPr>
        <w:pStyle w:val="00BodyText5"/>
      </w:pPr>
      <w:r w:rsidRPr="00C7390B">
        <w:t>“</w:t>
      </w:r>
      <w:r w:rsidR="00A00F40">
        <w:t>Series 2025</w:t>
      </w:r>
      <w:r w:rsidRPr="00C7390B">
        <w:t xml:space="preserve"> Rebate Account” means the account established within the Rebate Fund under the </w:t>
      </w:r>
      <w:r w:rsidR="00F674A6">
        <w:t>General Indenture</w:t>
      </w:r>
      <w:r w:rsidRPr="00C7390B">
        <w:t xml:space="preserve"> held in trust by the Trustee with respect to the </w:t>
      </w:r>
      <w:r w:rsidR="00A00F40">
        <w:t>Series 2025 Bonds</w:t>
      </w:r>
      <w:r w:rsidRPr="00C7390B">
        <w:t>.</w:t>
      </w:r>
    </w:p>
    <w:p w14:paraId="1B3F1E9A" w14:textId="7388CF8D" w:rsidR="00EC02F4" w:rsidRDefault="00EC02F4" w:rsidP="000230B5">
      <w:pPr>
        <w:pStyle w:val="00BodyText5"/>
      </w:pPr>
      <w:r w:rsidRPr="00C7390B">
        <w:t>“</w:t>
      </w:r>
      <w:r w:rsidR="00A00F40">
        <w:t>Series 2025</w:t>
      </w:r>
      <w:r>
        <w:t xml:space="preserve"> Surplus Account” means </w:t>
      </w:r>
      <w:r w:rsidRPr="00C7390B">
        <w:t xml:space="preserve">the account established within the Surplus Fund under the General Indenture held in trust by the Trustee with respect to the </w:t>
      </w:r>
      <w:r w:rsidR="00A00F40">
        <w:t>Series 2025 Bonds</w:t>
      </w:r>
      <w:r>
        <w:t>.</w:t>
      </w:r>
    </w:p>
    <w:p w14:paraId="5BB803F9" w14:textId="2556A13E" w:rsidR="009D08E3" w:rsidRPr="00C7390B" w:rsidRDefault="009D08E3" w:rsidP="000230B5">
      <w:pPr>
        <w:pStyle w:val="00BodyText5"/>
      </w:pPr>
      <w:r w:rsidRPr="00C7390B">
        <w:t>“</w:t>
      </w:r>
      <w:r w:rsidR="00F674A6">
        <w:t>General Indenture</w:t>
      </w:r>
      <w:r w:rsidRPr="00C7390B">
        <w:t xml:space="preserve">” means the </w:t>
      </w:r>
      <w:r w:rsidR="00F674A6">
        <w:t>General Indenture</w:t>
      </w:r>
      <w:r w:rsidRPr="00C7390B">
        <w:t xml:space="preserve"> of Trust by and between the Trustee and </w:t>
      </w:r>
      <w:r>
        <w:t>the District</w:t>
      </w:r>
      <w:r w:rsidRPr="00C7390B">
        <w:t xml:space="preserve"> dated as of even date herewith.</w:t>
      </w:r>
    </w:p>
    <w:p w14:paraId="7F2800B8" w14:textId="6EB575B9" w:rsidR="001E407D" w:rsidRPr="00C7390B" w:rsidRDefault="006A59AF" w:rsidP="006A59AF">
      <w:pPr>
        <w:pStyle w:val="00BodyText5"/>
      </w:pPr>
      <w:r w:rsidRPr="003D1E4A">
        <w:t xml:space="preserve">“Tax Allocation Revenues” shall have the meaning defined in the </w:t>
      </w:r>
      <w:r w:rsidR="003D1E4A" w:rsidRPr="003D1E4A">
        <w:t>General</w:t>
      </w:r>
      <w:r w:rsidRPr="003D1E4A">
        <w:t xml:space="preserve"> Indenture.</w:t>
      </w:r>
      <w:r w:rsidR="00BE5FE1">
        <w:t xml:space="preserve"> </w:t>
      </w:r>
    </w:p>
    <w:p w14:paraId="3CB0996A" w14:textId="6FBC34CE" w:rsidR="00E502E8" w:rsidRPr="00C7390B" w:rsidRDefault="00E502E8" w:rsidP="009F7F54">
      <w:pPr>
        <w:pStyle w:val="00BodyText5"/>
      </w:pPr>
      <w:r w:rsidRPr="00C7390B">
        <w:t>“Underwriter” means</w:t>
      </w:r>
      <w:r w:rsidR="004020BC">
        <w:t>, collectively,</w:t>
      </w:r>
      <w:r w:rsidRPr="00C7390B">
        <w:t xml:space="preserve"> </w:t>
      </w:r>
      <w:r w:rsidR="004020BC">
        <w:t xml:space="preserve">Stifel, Nicolaus &amp; Company Inc. and </w:t>
      </w:r>
      <w:r w:rsidR="003E1053">
        <w:t>KeyBanc Capital Markets Inc.</w:t>
      </w:r>
    </w:p>
    <w:p w14:paraId="5DFA5A09" w14:textId="55C0C842" w:rsidR="0038480E" w:rsidRPr="00C7390B" w:rsidRDefault="0038480E" w:rsidP="0022295C">
      <w:pPr>
        <w:pStyle w:val="Heading1"/>
        <w:rPr>
          <w:color w:val="auto"/>
        </w:rPr>
      </w:pPr>
      <w:r w:rsidRPr="00C7390B">
        <w:rPr>
          <w:color w:val="auto"/>
        </w:rPr>
        <w:br w:type="page"/>
      </w:r>
      <w:bookmarkStart w:id="61" w:name="_Toc3350720"/>
      <w:bookmarkStart w:id="62" w:name="_Toc3351037"/>
      <w:bookmarkStart w:id="63" w:name="_Toc3351112"/>
      <w:bookmarkStart w:id="64" w:name="_Toc4234301"/>
      <w:bookmarkStart w:id="65" w:name="_Toc6286677"/>
      <w:r w:rsidRPr="00C7390B">
        <w:rPr>
          <w:color w:val="auto"/>
        </w:rPr>
        <w:lastRenderedPageBreak/>
        <w:br/>
      </w:r>
      <w:bookmarkStart w:id="66" w:name="_Toc3021012"/>
      <w:bookmarkStart w:id="67" w:name="_Toc3022967"/>
      <w:bookmarkStart w:id="68" w:name="_Toc3350652"/>
      <w:bookmarkStart w:id="69" w:name="_Toc348620626"/>
      <w:bookmarkStart w:id="70" w:name="_Toc348621986"/>
      <w:bookmarkStart w:id="71" w:name="_Toc351972800"/>
      <w:bookmarkStart w:id="72" w:name="_Toc351973313"/>
      <w:bookmarkStart w:id="73" w:name="_Toc357586999"/>
      <w:bookmarkStart w:id="74" w:name="_Toc357587778"/>
      <w:bookmarkStart w:id="75" w:name="_Toc358124704"/>
      <w:bookmarkStart w:id="76" w:name="_Toc358124728"/>
      <w:bookmarkStart w:id="77" w:name="_Toc358720799"/>
      <w:bookmarkStart w:id="78" w:name="_Toc358723249"/>
      <w:bookmarkStart w:id="79" w:name="_Toc358877803"/>
      <w:bookmarkStart w:id="80" w:name="_Toc359334176"/>
      <w:bookmarkStart w:id="81" w:name="_Toc484095737"/>
      <w:bookmarkStart w:id="82" w:name="_Toc485732108"/>
      <w:bookmarkStart w:id="83" w:name="_Toc72761263"/>
      <w:bookmarkStart w:id="84" w:name="_Toc73104657"/>
      <w:bookmarkStart w:id="85" w:name="_Toc74122484"/>
      <w:bookmarkStart w:id="86" w:name="_Toc74580034"/>
      <w:bookmarkStart w:id="87" w:name="_Toc76568338"/>
      <w:bookmarkStart w:id="88" w:name="_Toc76589664"/>
      <w:bookmarkStart w:id="89" w:name="_Toc78464825"/>
      <w:bookmarkStart w:id="90" w:name="_Toc80907441"/>
      <w:bookmarkStart w:id="91" w:name="_Toc81310949"/>
      <w:bookmarkStart w:id="92" w:name="_Toc182327798"/>
      <w:bookmarkStart w:id="93" w:name="_Toc182327826"/>
      <w:bookmarkStart w:id="94" w:name="_Toc182412328"/>
      <w:bookmarkStart w:id="95" w:name="_Toc182470898"/>
      <w:bookmarkStart w:id="96" w:name="_Toc182903826"/>
      <w:bookmarkStart w:id="97" w:name="_Toc182990796"/>
      <w:bookmarkStart w:id="98" w:name="_Toc183085107"/>
      <w:bookmarkStart w:id="99" w:name="_Toc183101972"/>
      <w:bookmarkStart w:id="100" w:name="_Toc183159156"/>
      <w:bookmarkStart w:id="101" w:name="_Toc184131104"/>
      <w:bookmarkStart w:id="102" w:name="_Toc184132474"/>
      <w:bookmarkStart w:id="103" w:name="_Toc184207080"/>
      <w:bookmarkStart w:id="104" w:name="_Toc184207124"/>
      <w:bookmarkStart w:id="105" w:name="_Toc184207155"/>
      <w:bookmarkStart w:id="106" w:name="_Toc184207236"/>
      <w:bookmarkStart w:id="107" w:name="_Toc184207274"/>
      <w:bookmarkStart w:id="108" w:name="_Toc184223336"/>
      <w:bookmarkStart w:id="109" w:name="_Toc184228649"/>
      <w:bookmarkStart w:id="110" w:name="_Toc207106955"/>
      <w:r w:rsidRPr="00C7390B">
        <w:rPr>
          <w:color w:val="auto"/>
        </w:rPr>
        <w:t xml:space="preserve">AUTHORIZATION, TERMS AND ISSUANCE OF </w:t>
      </w:r>
      <w:r w:rsidR="00F8641E" w:rsidRPr="00C7390B">
        <w:rPr>
          <w:color w:val="auto"/>
        </w:rPr>
        <w:t>SERIES 202</w:t>
      </w:r>
      <w:r w:rsidR="003B0D12">
        <w:rPr>
          <w:color w:val="auto"/>
        </w:rPr>
        <w:t>5</w:t>
      </w:r>
      <w:r w:rsidR="00901D88" w:rsidRPr="00C7390B">
        <w:rPr>
          <w:color w:val="auto"/>
        </w:rPr>
        <w:t xml:space="preserve"> BONDS</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C7390B">
        <w:rPr>
          <w:color w:val="auto"/>
        </w:rPr>
        <w:t xml:space="preserve"> </w:t>
      </w:r>
    </w:p>
    <w:p w14:paraId="685D0600" w14:textId="77777777" w:rsidR="00901D88" w:rsidRPr="00C7390B" w:rsidRDefault="0038480E" w:rsidP="00FE6C9D">
      <w:pPr>
        <w:pStyle w:val="Heading2"/>
        <w:rPr>
          <w:vanish/>
          <w:color w:val="auto"/>
          <w:specVanish/>
        </w:rPr>
      </w:pPr>
      <w:bookmarkStart w:id="111" w:name="_Toc207106956"/>
      <w:bookmarkStart w:id="112" w:name="_Toc3022968"/>
      <w:bookmarkStart w:id="113" w:name="_Toc3350653"/>
      <w:bookmarkStart w:id="114" w:name="_Toc3021013"/>
      <w:r w:rsidRPr="00C7390B">
        <w:rPr>
          <w:color w:val="auto"/>
        </w:rPr>
        <w:t>Principal Amount</w:t>
      </w:r>
      <w:r w:rsidR="008E641D" w:rsidRPr="00C7390B">
        <w:rPr>
          <w:color w:val="auto"/>
        </w:rPr>
        <w:t>,</w:t>
      </w:r>
      <w:r w:rsidRPr="00C7390B">
        <w:rPr>
          <w:color w:val="auto"/>
        </w:rPr>
        <w:t xml:space="preserve"> Designation and Series</w:t>
      </w:r>
      <w:bookmarkEnd w:id="111"/>
    </w:p>
    <w:p w14:paraId="53BC1C12" w14:textId="1407A34E" w:rsidR="0038480E" w:rsidRPr="00C7390B" w:rsidRDefault="0038480E" w:rsidP="00901D88">
      <w:pPr>
        <w:pStyle w:val="HeadingBody2"/>
      </w:pPr>
      <w:r w:rsidRPr="00C7390B">
        <w:t>.</w:t>
      </w:r>
      <w:bookmarkEnd w:id="112"/>
      <w:bookmarkEnd w:id="113"/>
      <w:r w:rsidRPr="00C7390B">
        <w:t xml:space="preserve">  Pursuant to the provisions of the </w:t>
      </w:r>
      <w:r w:rsidR="00F674A6">
        <w:t>General Indenture</w:t>
      </w:r>
      <w:r w:rsidRPr="00C7390B">
        <w:t xml:space="preserve"> and this </w:t>
      </w:r>
      <w:r w:rsidR="00F674A6">
        <w:t>First Supplemental Indenture</w:t>
      </w:r>
      <w:r w:rsidRPr="00C7390B">
        <w:t>,</w:t>
      </w:r>
      <w:r w:rsidR="00136DEA">
        <w:t xml:space="preserve"> </w:t>
      </w:r>
      <w:r w:rsidR="00A00F40">
        <w:t>Series 2025</w:t>
      </w:r>
      <w:r w:rsidRPr="00C7390B">
        <w:t xml:space="preserve"> Bonds entitled to the benefit, protection and security of the </w:t>
      </w:r>
      <w:r w:rsidR="00F674A6">
        <w:t>General Indenture</w:t>
      </w:r>
      <w:r w:rsidRPr="00C7390B">
        <w:t xml:space="preserve"> are hereby authorized in the aggregate principal amount of </w:t>
      </w:r>
      <w:r w:rsidR="00551C2E" w:rsidRPr="00C7390B">
        <w:t>$</w:t>
      </w:r>
      <w:r w:rsidR="003B0D12">
        <w:t>[PAR]</w:t>
      </w:r>
      <w:r w:rsidR="00551C2E" w:rsidRPr="00C7390B">
        <w:t xml:space="preserve"> </w:t>
      </w:r>
      <w:r w:rsidRPr="00C7390B">
        <w:t>and shall be designated as and shall be distinguished from the Bonds of all other Series by the title, “</w:t>
      </w:r>
      <w:r w:rsidR="00AA0B2C">
        <w:t>MIDA Mountain Village Public Infrastructure District Tax Allocation Revenue Bonds</w:t>
      </w:r>
      <w:r w:rsidR="00551C2E" w:rsidRPr="00C7390B">
        <w:t xml:space="preserve">, </w:t>
      </w:r>
      <w:r w:rsidR="00A00F40">
        <w:t>Series 2025</w:t>
      </w:r>
      <w:bookmarkEnd w:id="114"/>
      <w:r w:rsidR="003B0D12">
        <w:t>.</w:t>
      </w:r>
      <w:r w:rsidR="00AA0B2C">
        <w:t>”</w:t>
      </w:r>
    </w:p>
    <w:p w14:paraId="728DB1DB" w14:textId="77777777" w:rsidR="00B245C1" w:rsidRPr="00C7390B" w:rsidRDefault="0038480E" w:rsidP="00FE6C9D">
      <w:pPr>
        <w:pStyle w:val="Heading2"/>
        <w:rPr>
          <w:vanish/>
          <w:color w:val="auto"/>
          <w:specVanish/>
        </w:rPr>
      </w:pPr>
      <w:bookmarkStart w:id="115" w:name="_Toc207106957"/>
      <w:bookmarkStart w:id="116" w:name="_Toc3022969"/>
      <w:bookmarkStart w:id="117" w:name="_Toc3350654"/>
      <w:bookmarkStart w:id="118" w:name="_Toc3021014"/>
      <w:r w:rsidRPr="00C7390B">
        <w:rPr>
          <w:color w:val="auto"/>
        </w:rPr>
        <w:t>Purposes</w:t>
      </w:r>
      <w:bookmarkEnd w:id="115"/>
    </w:p>
    <w:p w14:paraId="40ED1E29" w14:textId="3B6DA2A2" w:rsidR="00304B44" w:rsidRPr="00C7390B" w:rsidRDefault="0038480E" w:rsidP="00EE496F">
      <w:pPr>
        <w:pStyle w:val="HeadingBody2"/>
      </w:pPr>
      <w:r w:rsidRPr="00C7390B">
        <w:t>.</w:t>
      </w:r>
      <w:bookmarkEnd w:id="116"/>
      <w:bookmarkEnd w:id="117"/>
      <w:r w:rsidRPr="00C7390B">
        <w:t xml:space="preserve">  </w:t>
      </w:r>
      <w:bookmarkEnd w:id="118"/>
      <w:r w:rsidR="00906936" w:rsidRPr="00C7390B">
        <w:t xml:space="preserve">The </w:t>
      </w:r>
      <w:r w:rsidR="00A00F40">
        <w:t>Series 2025 Bonds</w:t>
      </w:r>
      <w:r w:rsidR="00906936" w:rsidRPr="00C7390B">
        <w:t xml:space="preserve"> are issued for the purpose of (</w:t>
      </w:r>
      <w:r w:rsidR="00592786">
        <w:t>a</w:t>
      </w:r>
      <w:r w:rsidR="00906936" w:rsidRPr="00C7390B">
        <w:t xml:space="preserve">) </w:t>
      </w:r>
      <w:r w:rsidR="00551C2E" w:rsidRPr="00C7390B">
        <w:t xml:space="preserve">financing all or a portion of the </w:t>
      </w:r>
      <w:r w:rsidR="00A00F40">
        <w:t>Series 2025</w:t>
      </w:r>
      <w:r w:rsidR="00551C2E" w:rsidRPr="00C7390B">
        <w:t xml:space="preserve"> Project, (b) funding a deposit to a </w:t>
      </w:r>
      <w:r w:rsidR="00C05095">
        <w:t>surplus</w:t>
      </w:r>
      <w:r w:rsidR="00551C2E" w:rsidRPr="00C7390B">
        <w:t xml:space="preserve"> fund, (c) providing for capitalized interest with respect to the </w:t>
      </w:r>
      <w:r w:rsidR="00A00F40">
        <w:t>Series 2025 Bonds</w:t>
      </w:r>
      <w:r w:rsidR="00551C2E" w:rsidRPr="00C7390B">
        <w:t xml:space="preserve"> and the </w:t>
      </w:r>
      <w:r w:rsidR="00A00F40">
        <w:t>Series 2025</w:t>
      </w:r>
      <w:r w:rsidR="00551C2E" w:rsidRPr="00C7390B">
        <w:t xml:space="preserve"> Project, and (d) paying costs of issuance of the </w:t>
      </w:r>
      <w:r w:rsidR="00A00F40">
        <w:t>Series 2025 Bonds</w:t>
      </w:r>
      <w:r w:rsidR="00304B44" w:rsidRPr="00C7390B">
        <w:t>.</w:t>
      </w:r>
    </w:p>
    <w:p w14:paraId="63AAF19F" w14:textId="77777777" w:rsidR="00BF409F" w:rsidRPr="00C7390B" w:rsidRDefault="00BF409F" w:rsidP="00FE6C9D">
      <w:pPr>
        <w:pStyle w:val="Heading2"/>
        <w:tabs>
          <w:tab w:val="left" w:pos="1440"/>
        </w:tabs>
        <w:suppressAutoHyphens/>
        <w:rPr>
          <w:vanish/>
          <w:color w:val="auto"/>
          <w:specVanish/>
        </w:rPr>
      </w:pPr>
      <w:bookmarkStart w:id="119" w:name="_Toc514244344"/>
      <w:bookmarkStart w:id="120" w:name="_Toc515426036"/>
      <w:bookmarkStart w:id="121" w:name="_Toc517083264"/>
      <w:bookmarkStart w:id="122" w:name="_Toc517083415"/>
      <w:bookmarkStart w:id="123" w:name="_Toc517153667"/>
      <w:bookmarkStart w:id="124" w:name="_Toc525467822"/>
      <w:bookmarkStart w:id="125" w:name="_Toc20536363"/>
      <w:bookmarkStart w:id="126" w:name="_Toc20726704"/>
      <w:bookmarkStart w:id="127" w:name="_Toc20735511"/>
      <w:bookmarkStart w:id="128" w:name="_Toc66864496"/>
      <w:bookmarkStart w:id="129" w:name="_Toc70090072"/>
      <w:bookmarkStart w:id="130" w:name="_Toc207106958"/>
      <w:bookmarkStart w:id="131" w:name="_Toc3021015"/>
      <w:r w:rsidRPr="00C7390B">
        <w:rPr>
          <w:color w:val="auto"/>
        </w:rPr>
        <w:t>Date, Maturities and Interest</w:t>
      </w:r>
      <w:bookmarkEnd w:id="119"/>
      <w:bookmarkEnd w:id="120"/>
      <w:bookmarkEnd w:id="121"/>
      <w:bookmarkEnd w:id="122"/>
      <w:bookmarkEnd w:id="123"/>
      <w:bookmarkEnd w:id="124"/>
      <w:bookmarkEnd w:id="125"/>
      <w:bookmarkEnd w:id="126"/>
      <w:bookmarkEnd w:id="127"/>
      <w:bookmarkEnd w:id="128"/>
      <w:bookmarkEnd w:id="129"/>
      <w:bookmarkEnd w:id="130"/>
    </w:p>
    <w:p w14:paraId="10B46ADA" w14:textId="08E531AD" w:rsidR="00575AC6" w:rsidRDefault="00BF409F" w:rsidP="00667630">
      <w:pPr>
        <w:pStyle w:val="HeadingBody2"/>
      </w:pPr>
      <w:r w:rsidRPr="00C7390B">
        <w:t xml:space="preserve">.  </w:t>
      </w:r>
      <w:bookmarkStart w:id="132" w:name="_Toc3022971"/>
      <w:bookmarkStart w:id="133" w:name="_Toc3350656"/>
      <w:bookmarkStart w:id="134" w:name="_Toc3021016"/>
      <w:bookmarkEnd w:id="131"/>
      <w:r w:rsidR="00575AC6" w:rsidRPr="00C7390B">
        <w:t xml:space="preserve">The </w:t>
      </w:r>
      <w:r w:rsidR="00A00F40">
        <w:t>Series 2025</w:t>
      </w:r>
      <w:r w:rsidR="00575AC6">
        <w:t xml:space="preserve"> Bonds</w:t>
      </w:r>
      <w:r w:rsidR="00575AC6" w:rsidRPr="00C7390B">
        <w:t xml:space="preserve"> shall be dated as of the Dated Date, and shall mature in the years and in the amounts and shall bear interest from the Interest Payment Date next preceding their date of authentication thereof unless authenticated as of an Interest Payment Date, in which event such Bonds shall bear interest from such date, or unless such </w:t>
      </w:r>
      <w:r w:rsidR="00A00F40">
        <w:t>Series 2025</w:t>
      </w:r>
      <w:r w:rsidR="00575AC6">
        <w:t xml:space="preserve"> </w:t>
      </w:r>
      <w:r w:rsidR="00575AC6" w:rsidRPr="00C7390B">
        <w:t xml:space="preserve">Bonds are authenticated prior to the first Interest Payment Date, in which event such </w:t>
      </w:r>
      <w:r w:rsidR="00A00F40">
        <w:t>Series 2025</w:t>
      </w:r>
      <w:r w:rsidR="00575AC6">
        <w:t xml:space="preserve"> </w:t>
      </w:r>
      <w:r w:rsidR="00575AC6" w:rsidRPr="00C7390B">
        <w:t xml:space="preserve">Bonds shall bear interest from their Dated Date or unless, as shown by the records of the Trustee, interest on the </w:t>
      </w:r>
      <w:r w:rsidR="00A00F40">
        <w:t>Series 2025</w:t>
      </w:r>
      <w:r w:rsidR="00575AC6">
        <w:t xml:space="preserve"> Bonds</w:t>
      </w:r>
      <w:r w:rsidR="00575AC6" w:rsidRPr="00C7390B">
        <w:t xml:space="preserve"> shall be in default, in which event such</w:t>
      </w:r>
      <w:r w:rsidR="00575AC6">
        <w:t xml:space="preserve"> </w:t>
      </w:r>
      <w:r w:rsidR="00A00F40">
        <w:t>Series 2025</w:t>
      </w:r>
      <w:r w:rsidR="00575AC6" w:rsidRPr="00C7390B">
        <w:t xml:space="preserve"> Bonds shall bear interest from the date to which interest has been paid in full, or unless no interest shall have been paid on such </w:t>
      </w:r>
      <w:r w:rsidR="00A00F40">
        <w:t>Series 2025</w:t>
      </w:r>
      <w:r w:rsidR="00575AC6">
        <w:t xml:space="preserve"> </w:t>
      </w:r>
      <w:r w:rsidR="00575AC6" w:rsidRPr="00C7390B">
        <w:t xml:space="preserve">Bonds, in which event such </w:t>
      </w:r>
      <w:r w:rsidR="00A00F40">
        <w:t>Series 2025</w:t>
      </w:r>
      <w:r w:rsidR="00575AC6">
        <w:t xml:space="preserve"> </w:t>
      </w:r>
      <w:r w:rsidR="00575AC6" w:rsidRPr="00C7390B">
        <w:t>Bonds shall bear interest from their Dated Date, payable on each Interest Payment Date at the rates per annum as set forth below:</w:t>
      </w:r>
    </w:p>
    <w:tbl>
      <w:tblPr>
        <w:tblW w:w="0" w:type="auto"/>
        <w:tblInd w:w="720" w:type="dxa"/>
        <w:tblLook w:val="04A0" w:firstRow="1" w:lastRow="0" w:firstColumn="1" w:lastColumn="0" w:noHBand="0" w:noVBand="1"/>
      </w:tblPr>
      <w:tblGrid>
        <w:gridCol w:w="2776"/>
        <w:gridCol w:w="2401"/>
        <w:gridCol w:w="2743"/>
      </w:tblGrid>
      <w:tr w:rsidR="00575AC6" w:rsidRPr="00C7390B" w14:paraId="49F08A3E" w14:textId="77777777" w:rsidTr="00E77B48">
        <w:tc>
          <w:tcPr>
            <w:tcW w:w="2776" w:type="dxa"/>
            <w:hideMark/>
          </w:tcPr>
          <w:p w14:paraId="02819CC1" w14:textId="77777777" w:rsidR="00575AC6" w:rsidRPr="00C7390B" w:rsidRDefault="00575AC6" w:rsidP="00E77B48">
            <w:pPr>
              <w:jc w:val="center"/>
            </w:pPr>
            <w:r w:rsidRPr="00C7390B">
              <w:t>Maturity Date</w:t>
            </w:r>
          </w:p>
          <w:p w14:paraId="41675AA6" w14:textId="054C6BBF" w:rsidR="00575AC6" w:rsidRPr="00C7390B" w:rsidRDefault="00575AC6" w:rsidP="00E77B48">
            <w:pPr>
              <w:jc w:val="center"/>
              <w:rPr>
                <w:u w:val="single"/>
              </w:rPr>
            </w:pPr>
            <w:r w:rsidRPr="00C7390B">
              <w:t>(</w:t>
            </w:r>
            <w:r w:rsidR="00B75CD2">
              <w:rPr>
                <w:u w:val="single"/>
              </w:rPr>
              <w:t xml:space="preserve">[___] </w:t>
            </w:r>
            <w:r>
              <w:rPr>
                <w:u w:val="single"/>
              </w:rPr>
              <w:t>1</w:t>
            </w:r>
            <w:r w:rsidRPr="00C7390B">
              <w:t>)</w:t>
            </w:r>
          </w:p>
        </w:tc>
        <w:tc>
          <w:tcPr>
            <w:tcW w:w="2401" w:type="dxa"/>
            <w:hideMark/>
          </w:tcPr>
          <w:p w14:paraId="350D7789" w14:textId="77777777" w:rsidR="00575AC6" w:rsidRPr="00C7390B" w:rsidRDefault="00575AC6" w:rsidP="00E77B48">
            <w:pPr>
              <w:jc w:val="center"/>
            </w:pPr>
            <w:r w:rsidRPr="00C7390B">
              <w:t>Principal</w:t>
            </w:r>
          </w:p>
          <w:p w14:paraId="60AF9C75" w14:textId="77777777" w:rsidR="00575AC6" w:rsidRPr="00C7390B" w:rsidRDefault="00575AC6" w:rsidP="00E77B48">
            <w:pPr>
              <w:jc w:val="center"/>
            </w:pPr>
            <w:r w:rsidRPr="00C7390B">
              <w:rPr>
                <w:u w:val="single"/>
              </w:rPr>
              <w:t>Amount</w:t>
            </w:r>
          </w:p>
        </w:tc>
        <w:tc>
          <w:tcPr>
            <w:tcW w:w="2743" w:type="dxa"/>
          </w:tcPr>
          <w:p w14:paraId="4C121E9A" w14:textId="77777777" w:rsidR="00575AC6" w:rsidRPr="00C7390B" w:rsidRDefault="00575AC6" w:rsidP="00E77B48"/>
          <w:p w14:paraId="6E2CDB93" w14:textId="77777777" w:rsidR="00575AC6" w:rsidRPr="00C7390B" w:rsidRDefault="00575AC6" w:rsidP="00E77B48">
            <w:pPr>
              <w:jc w:val="center"/>
              <w:rPr>
                <w:u w:val="single"/>
              </w:rPr>
            </w:pPr>
            <w:r w:rsidRPr="00C7390B">
              <w:rPr>
                <w:u w:val="single"/>
              </w:rPr>
              <w:t xml:space="preserve">Interest Rate </w:t>
            </w:r>
          </w:p>
        </w:tc>
      </w:tr>
      <w:tr w:rsidR="00575AC6" w:rsidRPr="00C7390B" w14:paraId="342570C3" w14:textId="77777777" w:rsidTr="00E77B48">
        <w:tc>
          <w:tcPr>
            <w:tcW w:w="2776" w:type="dxa"/>
          </w:tcPr>
          <w:p w14:paraId="2BF43F78" w14:textId="550A3243" w:rsidR="00575AC6" w:rsidRPr="00943164" w:rsidRDefault="00BA2E47" w:rsidP="00E77B48">
            <w:pPr>
              <w:jc w:val="center"/>
            </w:pPr>
            <w:r>
              <w:t>20</w:t>
            </w:r>
            <w:r w:rsidR="003B0D12">
              <w:t>[</w:t>
            </w:r>
            <w:r w:rsidR="00C93843">
              <w:t>_</w:t>
            </w:r>
            <w:r w:rsidR="003B0D12">
              <w:t>_]</w:t>
            </w:r>
          </w:p>
        </w:tc>
        <w:tc>
          <w:tcPr>
            <w:tcW w:w="2401" w:type="dxa"/>
          </w:tcPr>
          <w:p w14:paraId="5433BB5B" w14:textId="517F82C6" w:rsidR="00575AC6" w:rsidRPr="002052A2" w:rsidRDefault="00BA2E47" w:rsidP="00667630">
            <w:pPr>
              <w:tabs>
                <w:tab w:val="decimal" w:pos="711"/>
              </w:tabs>
            </w:pPr>
            <w:r>
              <w:t>$</w:t>
            </w:r>
          </w:p>
        </w:tc>
        <w:tc>
          <w:tcPr>
            <w:tcW w:w="2743" w:type="dxa"/>
          </w:tcPr>
          <w:p w14:paraId="5FA766F3" w14:textId="4649F3BA" w:rsidR="00575AC6" w:rsidRPr="003F2FC5" w:rsidRDefault="00BA2E47" w:rsidP="003B0D12">
            <w:pPr>
              <w:tabs>
                <w:tab w:val="decimal" w:pos="1641"/>
              </w:tabs>
            </w:pPr>
            <w:r>
              <w:t>%</w:t>
            </w:r>
          </w:p>
        </w:tc>
      </w:tr>
      <w:tr w:rsidR="00575AC6" w:rsidRPr="00C7390B" w14:paraId="3FEC467F" w14:textId="77777777" w:rsidTr="00E77B48">
        <w:tc>
          <w:tcPr>
            <w:tcW w:w="2776" w:type="dxa"/>
          </w:tcPr>
          <w:p w14:paraId="25FBE784" w14:textId="77777777" w:rsidR="00575AC6" w:rsidRPr="00943164" w:rsidRDefault="00575AC6" w:rsidP="00E77B48">
            <w:pPr>
              <w:jc w:val="center"/>
            </w:pPr>
          </w:p>
        </w:tc>
        <w:tc>
          <w:tcPr>
            <w:tcW w:w="2401" w:type="dxa"/>
          </w:tcPr>
          <w:p w14:paraId="4BED6C6C" w14:textId="77777777" w:rsidR="00575AC6" w:rsidRPr="002052A2" w:rsidRDefault="00575AC6" w:rsidP="00E77B48">
            <w:pPr>
              <w:tabs>
                <w:tab w:val="decimal" w:pos="1620"/>
              </w:tabs>
            </w:pPr>
          </w:p>
        </w:tc>
        <w:tc>
          <w:tcPr>
            <w:tcW w:w="2743" w:type="dxa"/>
          </w:tcPr>
          <w:p w14:paraId="6E655149" w14:textId="77777777" w:rsidR="00575AC6" w:rsidRPr="003F2FC5" w:rsidRDefault="00575AC6" w:rsidP="00E77B48">
            <w:pPr>
              <w:tabs>
                <w:tab w:val="decimal" w:pos="1140"/>
              </w:tabs>
            </w:pPr>
          </w:p>
        </w:tc>
      </w:tr>
    </w:tbl>
    <w:p w14:paraId="0CEBA381" w14:textId="617BABAA" w:rsidR="00575AC6" w:rsidRDefault="00575AC6" w:rsidP="00667630">
      <w:pPr>
        <w:pStyle w:val="00BodyText1"/>
        <w:ind w:firstLine="720"/>
        <w:jc w:val="both"/>
      </w:pPr>
      <w:r w:rsidRPr="00C7390B">
        <w:t xml:space="preserve">Interest on the </w:t>
      </w:r>
      <w:r w:rsidR="00A00F40">
        <w:t>Series 2025</w:t>
      </w:r>
      <w:r>
        <w:t xml:space="preserve"> Bonds</w:t>
      </w:r>
      <w:r w:rsidRPr="00C7390B">
        <w:t xml:space="preserve"> shall be computed on the basis of a 360-day year of twelve 30-day months.</w:t>
      </w:r>
    </w:p>
    <w:p w14:paraId="2CE87A09" w14:textId="77777777" w:rsidR="00B245C1" w:rsidRPr="00C7390B" w:rsidRDefault="0038480E" w:rsidP="0038480E">
      <w:pPr>
        <w:pStyle w:val="Heading2"/>
        <w:rPr>
          <w:vanish/>
          <w:color w:val="auto"/>
          <w:specVanish/>
        </w:rPr>
      </w:pPr>
      <w:bookmarkStart w:id="135" w:name="_Toc207106959"/>
      <w:r w:rsidRPr="00C7390B">
        <w:rPr>
          <w:color w:val="auto"/>
        </w:rPr>
        <w:t>Form, Denomination, Numbers and Letters</w:t>
      </w:r>
      <w:bookmarkEnd w:id="135"/>
    </w:p>
    <w:p w14:paraId="6D9E75AC" w14:textId="05A08E59" w:rsidR="0038480E" w:rsidRPr="00C7390B" w:rsidRDefault="0038480E" w:rsidP="0022295C">
      <w:pPr>
        <w:pStyle w:val="HeadingBody2"/>
      </w:pPr>
      <w:r w:rsidRPr="00C7390B">
        <w:t>.</w:t>
      </w:r>
      <w:bookmarkEnd w:id="132"/>
      <w:bookmarkEnd w:id="133"/>
      <w:r w:rsidRPr="00C7390B">
        <w:t xml:space="preserve">  The </w:t>
      </w:r>
      <w:r w:rsidR="00A00F40">
        <w:t>Series 2025</w:t>
      </w:r>
      <w:r w:rsidR="00B211F0" w:rsidRPr="00C7390B">
        <w:t xml:space="preserve"> Bonds </w:t>
      </w:r>
      <w:r w:rsidRPr="00C7390B">
        <w:t xml:space="preserve">shall be issued in the form of fully registered bonds without coupons, in substantially the form set forth as </w:t>
      </w:r>
      <w:r w:rsidRPr="00C7390B">
        <w:rPr>
          <w:u w:val="single"/>
        </w:rPr>
        <w:t>Exhibit A</w:t>
      </w:r>
      <w:r w:rsidR="00D64333" w:rsidRPr="00D64333">
        <w:t>,</w:t>
      </w:r>
      <w:r w:rsidRPr="00C7390B">
        <w:t xml:space="preserve"> </w:t>
      </w:r>
      <w:bookmarkEnd w:id="134"/>
      <w:r w:rsidR="00D64333">
        <w:t xml:space="preserve">and </w:t>
      </w:r>
      <w:r w:rsidR="00552827" w:rsidRPr="00C7390B">
        <w:t xml:space="preserve">shall be issued in the Authorized Denominations and shall be numbered separately from </w:t>
      </w:r>
      <w:r w:rsidR="00BF409F" w:rsidRPr="00C7390B">
        <w:t>R-</w:t>
      </w:r>
      <w:r w:rsidR="00552827" w:rsidRPr="00C7390B">
        <w:t>1</w:t>
      </w:r>
      <w:r w:rsidR="00B211F0" w:rsidRPr="00C7390B">
        <w:t xml:space="preserve"> </w:t>
      </w:r>
      <w:r w:rsidR="00552827" w:rsidRPr="00C7390B">
        <w:t>upward.</w:t>
      </w:r>
    </w:p>
    <w:p w14:paraId="73152F7B" w14:textId="47A4C30A" w:rsidR="00901D88" w:rsidRPr="00C7390B" w:rsidRDefault="0038480E" w:rsidP="000230B5">
      <w:pPr>
        <w:pStyle w:val="Heading2"/>
        <w:keepNext/>
        <w:rPr>
          <w:vanish/>
          <w:color w:val="auto"/>
          <w:specVanish/>
        </w:rPr>
      </w:pPr>
      <w:bookmarkStart w:id="136" w:name="_Toc207106960"/>
      <w:bookmarkStart w:id="137" w:name="_Toc3021018"/>
      <w:bookmarkStart w:id="138" w:name="_Toc3022973"/>
      <w:bookmarkStart w:id="139" w:name="_Toc3350658"/>
      <w:r w:rsidRPr="00C7390B">
        <w:rPr>
          <w:color w:val="auto"/>
        </w:rPr>
        <w:t xml:space="preserve">Redemption of </w:t>
      </w:r>
      <w:r w:rsidR="00A00F40">
        <w:rPr>
          <w:color w:val="auto"/>
        </w:rPr>
        <w:t>Series 2025 Bonds</w:t>
      </w:r>
      <w:bookmarkEnd w:id="136"/>
    </w:p>
    <w:p w14:paraId="0ECB8663" w14:textId="77777777" w:rsidR="000B0B0A" w:rsidRPr="00C7390B" w:rsidRDefault="0038480E" w:rsidP="00901D88">
      <w:pPr>
        <w:pStyle w:val="HeadingBody2"/>
      </w:pPr>
      <w:r w:rsidRPr="00C7390B">
        <w:t>.</w:t>
      </w:r>
      <w:bookmarkEnd w:id="137"/>
      <w:bookmarkEnd w:id="138"/>
      <w:bookmarkEnd w:id="139"/>
    </w:p>
    <w:p w14:paraId="30EF2B74" w14:textId="1EDCC06E" w:rsidR="00E87402" w:rsidRDefault="006B747A" w:rsidP="00E87402">
      <w:pPr>
        <w:pStyle w:val="Heading3"/>
      </w:pPr>
      <w:r w:rsidRPr="009A0E35">
        <w:rPr>
          <w:i/>
          <w:color w:val="auto"/>
        </w:rPr>
        <w:t>Optional Redemption</w:t>
      </w:r>
      <w:r w:rsidRPr="00C7390B">
        <w:rPr>
          <w:color w:val="auto"/>
        </w:rPr>
        <w:t xml:space="preserve">.  </w:t>
      </w:r>
      <w:bookmarkStart w:id="140" w:name="_Hlk80885874"/>
      <w:r w:rsidR="00E87402">
        <w:t xml:space="preserve">The </w:t>
      </w:r>
      <w:r w:rsidR="00A00F40">
        <w:t>Series 2025 Bonds</w:t>
      </w:r>
      <w:r w:rsidR="00E87402">
        <w:t xml:space="preserve"> are subject to call and redemption prior to maturity on any date on or after </w:t>
      </w:r>
      <w:r w:rsidR="00C93843">
        <w:t>[__________</w:t>
      </w:r>
      <w:r w:rsidR="00700F24">
        <w:t xml:space="preserve"> 1, 20</w:t>
      </w:r>
      <w:r w:rsidR="001B1219">
        <w:t>__]</w:t>
      </w:r>
      <w:r w:rsidR="00E87402">
        <w:t xml:space="preserve">, in whole or in part, from such maturities or parts thereof as may be selected by </w:t>
      </w:r>
      <w:r w:rsidR="00CD25BB">
        <w:t>the District</w:t>
      </w:r>
      <w:r w:rsidR="00E87402">
        <w:t xml:space="preserve"> and by lot within each maturity if less than the full amount of any maturity is to be redeemed at a redemption price equal to 100% of the principal amount of the </w:t>
      </w:r>
      <w:r w:rsidR="00A00F40">
        <w:t>Series 2025 Bonds</w:t>
      </w:r>
      <w:r w:rsidR="00E87402">
        <w:t xml:space="preserve"> to be </w:t>
      </w:r>
      <w:r w:rsidR="00E87402">
        <w:lastRenderedPageBreak/>
        <w:t xml:space="preserve">redeemed plus accrued interest thereon to the date fixed for redemption, plus a redemption premium equal to a percentage of the Principal amount so redeemed, as follows: </w:t>
      </w:r>
    </w:p>
    <w:tbl>
      <w:tblPr>
        <w:tblW w:w="4166" w:type="pct"/>
        <w:jc w:val="center"/>
        <w:tblCellMar>
          <w:left w:w="115" w:type="dxa"/>
          <w:right w:w="115" w:type="dxa"/>
        </w:tblCellMar>
        <w:tblLook w:val="04A0" w:firstRow="1" w:lastRow="0" w:firstColumn="1" w:lastColumn="0" w:noHBand="0" w:noVBand="1"/>
      </w:tblPr>
      <w:tblGrid>
        <w:gridCol w:w="4388"/>
        <w:gridCol w:w="3411"/>
      </w:tblGrid>
      <w:tr w:rsidR="00E87402" w14:paraId="1C9A785E" w14:textId="77777777" w:rsidTr="00700F24">
        <w:trPr>
          <w:jc w:val="center"/>
        </w:trPr>
        <w:tc>
          <w:tcPr>
            <w:tcW w:w="2813" w:type="pct"/>
            <w:hideMark/>
          </w:tcPr>
          <w:p w14:paraId="6262D06A" w14:textId="77777777" w:rsidR="00E87402" w:rsidRDefault="00E87402" w:rsidP="00101B39">
            <w:pPr>
              <w:pStyle w:val="BodyText"/>
              <w:widowControl w:val="0"/>
              <w:autoSpaceDE w:val="0"/>
              <w:autoSpaceDN w:val="0"/>
              <w:adjustRightInd w:val="0"/>
              <w:spacing w:after="0"/>
              <w:ind w:left="-310"/>
              <w:jc w:val="center"/>
              <w:rPr>
                <w:u w:val="single"/>
              </w:rPr>
            </w:pPr>
            <w:r>
              <w:rPr>
                <w:u w:val="single"/>
              </w:rPr>
              <w:t>Date of Redemption</w:t>
            </w:r>
          </w:p>
        </w:tc>
        <w:tc>
          <w:tcPr>
            <w:tcW w:w="2187" w:type="pct"/>
            <w:hideMark/>
          </w:tcPr>
          <w:p w14:paraId="03E25318" w14:textId="77777777" w:rsidR="00E87402" w:rsidRDefault="00E87402" w:rsidP="00101B39">
            <w:pPr>
              <w:pStyle w:val="BodyText"/>
              <w:widowControl w:val="0"/>
              <w:autoSpaceDE w:val="0"/>
              <w:autoSpaceDN w:val="0"/>
              <w:adjustRightInd w:val="0"/>
              <w:spacing w:after="0"/>
              <w:ind w:left="-310"/>
              <w:jc w:val="center"/>
              <w:rPr>
                <w:u w:val="single"/>
              </w:rPr>
            </w:pPr>
            <w:r>
              <w:rPr>
                <w:u w:val="single"/>
              </w:rPr>
              <w:t>Redemption Premium</w:t>
            </w:r>
          </w:p>
        </w:tc>
      </w:tr>
      <w:tr w:rsidR="00E87402" w14:paraId="3CF829B8" w14:textId="77777777" w:rsidTr="00700F24">
        <w:trPr>
          <w:jc w:val="center"/>
        </w:trPr>
        <w:tc>
          <w:tcPr>
            <w:tcW w:w="2813" w:type="pct"/>
            <w:hideMark/>
          </w:tcPr>
          <w:p w14:paraId="6D086DE9" w14:textId="653DBDF3" w:rsidR="00E87402" w:rsidRDefault="00E87402" w:rsidP="001B1219">
            <w:pPr>
              <w:pStyle w:val="BodyText"/>
              <w:widowControl w:val="0"/>
              <w:autoSpaceDE w:val="0"/>
              <w:autoSpaceDN w:val="0"/>
              <w:adjustRightInd w:val="0"/>
              <w:spacing w:after="0"/>
              <w:ind w:left="-310"/>
              <w:jc w:val="center"/>
              <w:rPr>
                <w:u w:val="single"/>
              </w:rPr>
            </w:pPr>
            <w:r>
              <w:t>_</w:t>
            </w:r>
            <w:r w:rsidR="00700F24">
              <w:t xml:space="preserve"> </w:t>
            </w:r>
            <w:r w:rsidR="001B1219">
              <w:t>[_______________]</w:t>
            </w:r>
            <w:r w:rsidR="00095EB4">
              <w:t xml:space="preserve"> to </w:t>
            </w:r>
            <w:r w:rsidR="001B1219">
              <w:t>[_______________]</w:t>
            </w:r>
          </w:p>
        </w:tc>
        <w:tc>
          <w:tcPr>
            <w:tcW w:w="2187" w:type="pct"/>
            <w:hideMark/>
          </w:tcPr>
          <w:p w14:paraId="776D7396" w14:textId="77777777" w:rsidR="00E87402" w:rsidRDefault="00BE4F3C" w:rsidP="00700F24">
            <w:pPr>
              <w:tabs>
                <w:tab w:val="decimal" w:pos="1320"/>
              </w:tabs>
              <w:rPr>
                <w:u w:val="single"/>
              </w:rPr>
            </w:pPr>
            <w:r>
              <w:t>3</w:t>
            </w:r>
            <w:r w:rsidR="00700F24">
              <w:t>.00</w:t>
            </w:r>
            <w:r w:rsidR="00E87402">
              <w:t>%</w:t>
            </w:r>
          </w:p>
        </w:tc>
      </w:tr>
      <w:tr w:rsidR="00E87402" w14:paraId="46F1BD15" w14:textId="77777777" w:rsidTr="00700F24">
        <w:trPr>
          <w:jc w:val="center"/>
        </w:trPr>
        <w:tc>
          <w:tcPr>
            <w:tcW w:w="2813" w:type="pct"/>
            <w:hideMark/>
          </w:tcPr>
          <w:p w14:paraId="176544CC" w14:textId="2937DE47" w:rsidR="00E87402" w:rsidRDefault="00E87402" w:rsidP="001B1219">
            <w:pPr>
              <w:pStyle w:val="BodyText"/>
              <w:widowControl w:val="0"/>
              <w:autoSpaceDE w:val="0"/>
              <w:autoSpaceDN w:val="0"/>
              <w:adjustRightInd w:val="0"/>
              <w:spacing w:after="0"/>
              <w:ind w:left="-310"/>
              <w:jc w:val="center"/>
              <w:rPr>
                <w:u w:val="single"/>
              </w:rPr>
            </w:pPr>
            <w:r>
              <w:t>_</w:t>
            </w:r>
            <w:r w:rsidR="00700F24">
              <w:t xml:space="preserve"> </w:t>
            </w:r>
            <w:r w:rsidR="001B1219">
              <w:t>[_______________] to [_______________]</w:t>
            </w:r>
          </w:p>
        </w:tc>
        <w:tc>
          <w:tcPr>
            <w:tcW w:w="2187" w:type="pct"/>
            <w:hideMark/>
          </w:tcPr>
          <w:p w14:paraId="230D0E7E" w14:textId="77777777" w:rsidR="00E87402" w:rsidRPr="00BE4F3C" w:rsidRDefault="00700F24" w:rsidP="00700F24">
            <w:pPr>
              <w:tabs>
                <w:tab w:val="decimal" w:pos="1320"/>
              </w:tabs>
            </w:pPr>
            <w:r>
              <w:t>2.00</w:t>
            </w:r>
          </w:p>
        </w:tc>
      </w:tr>
      <w:tr w:rsidR="00E87402" w14:paraId="3D62241C" w14:textId="77777777" w:rsidTr="00700F24">
        <w:trPr>
          <w:jc w:val="center"/>
        </w:trPr>
        <w:tc>
          <w:tcPr>
            <w:tcW w:w="2813" w:type="pct"/>
            <w:hideMark/>
          </w:tcPr>
          <w:p w14:paraId="42EFA924" w14:textId="3CF3B72F" w:rsidR="00E87402" w:rsidRDefault="001B1219" w:rsidP="001B1219">
            <w:pPr>
              <w:pStyle w:val="BodyText"/>
              <w:widowControl w:val="0"/>
              <w:autoSpaceDE w:val="0"/>
              <w:autoSpaceDN w:val="0"/>
              <w:adjustRightInd w:val="0"/>
              <w:spacing w:after="0"/>
              <w:ind w:left="-310"/>
              <w:jc w:val="center"/>
              <w:rPr>
                <w:u w:val="single"/>
              </w:rPr>
            </w:pPr>
            <w:r>
              <w:t>[_</w:t>
            </w:r>
            <w:r w:rsidRPr="001B1219">
              <w:t>[</w:t>
            </w:r>
            <w:r>
              <w:t>_______________] to [_______________]</w:t>
            </w:r>
          </w:p>
        </w:tc>
        <w:tc>
          <w:tcPr>
            <w:tcW w:w="2187" w:type="pct"/>
            <w:hideMark/>
          </w:tcPr>
          <w:p w14:paraId="7F38B419" w14:textId="77777777" w:rsidR="00E87402" w:rsidRPr="00BE4F3C" w:rsidRDefault="00700F24" w:rsidP="00700F24">
            <w:pPr>
              <w:tabs>
                <w:tab w:val="decimal" w:pos="1320"/>
              </w:tabs>
            </w:pPr>
            <w:r>
              <w:t>1.00</w:t>
            </w:r>
          </w:p>
        </w:tc>
      </w:tr>
      <w:tr w:rsidR="00E87402" w14:paraId="36A83A30" w14:textId="77777777" w:rsidTr="00700F24">
        <w:trPr>
          <w:jc w:val="center"/>
        </w:trPr>
        <w:tc>
          <w:tcPr>
            <w:tcW w:w="2813" w:type="pct"/>
            <w:hideMark/>
          </w:tcPr>
          <w:p w14:paraId="791017EA" w14:textId="57AC6B4F" w:rsidR="00E87402" w:rsidRDefault="001B1219" w:rsidP="00095EB4">
            <w:pPr>
              <w:pStyle w:val="BodyText"/>
              <w:widowControl w:val="0"/>
              <w:autoSpaceDE w:val="0"/>
              <w:autoSpaceDN w:val="0"/>
              <w:adjustRightInd w:val="0"/>
              <w:spacing w:after="0"/>
              <w:ind w:left="-310"/>
              <w:jc w:val="center"/>
              <w:rPr>
                <w:u w:val="single"/>
              </w:rPr>
            </w:pPr>
            <w:r>
              <w:t>[_______________]</w:t>
            </w:r>
            <w:r w:rsidR="00095EB4">
              <w:t xml:space="preserve"> and thereafter</w:t>
            </w:r>
          </w:p>
        </w:tc>
        <w:tc>
          <w:tcPr>
            <w:tcW w:w="2187" w:type="pct"/>
            <w:hideMark/>
          </w:tcPr>
          <w:p w14:paraId="797272BA" w14:textId="77777777" w:rsidR="00E87402" w:rsidRPr="00BE4F3C" w:rsidRDefault="00700F24" w:rsidP="00700F24">
            <w:pPr>
              <w:tabs>
                <w:tab w:val="decimal" w:pos="1320"/>
              </w:tabs>
            </w:pPr>
            <w:r>
              <w:t>0.00</w:t>
            </w:r>
          </w:p>
        </w:tc>
      </w:tr>
    </w:tbl>
    <w:p w14:paraId="6ECD1D93" w14:textId="77777777" w:rsidR="006B747A" w:rsidRPr="00C7390B" w:rsidRDefault="006B747A" w:rsidP="003D0EA7"/>
    <w:p w14:paraId="6E838546" w14:textId="650B59CC" w:rsidR="00C72923" w:rsidRDefault="007A664F" w:rsidP="00FC057E">
      <w:pPr>
        <w:pStyle w:val="Heading3"/>
      </w:pPr>
      <w:bookmarkStart w:id="141" w:name="_Hlk183101869"/>
      <w:bookmarkStart w:id="142" w:name="_Hlk183101920"/>
      <w:bookmarkEnd w:id="140"/>
      <w:r>
        <w:rPr>
          <w:i/>
          <w:iCs/>
        </w:rPr>
        <w:t xml:space="preserve">Mandatory </w:t>
      </w:r>
      <w:r w:rsidRPr="00C72923">
        <w:rPr>
          <w:i/>
          <w:iCs/>
        </w:rPr>
        <w:t>Redemption</w:t>
      </w:r>
      <w:r>
        <w:rPr>
          <w:i/>
          <w:iCs/>
        </w:rPr>
        <w:t xml:space="preserve"> of the </w:t>
      </w:r>
      <w:r w:rsidR="00A00F40">
        <w:rPr>
          <w:i/>
          <w:iCs/>
        </w:rPr>
        <w:t>Series 2025</w:t>
      </w:r>
      <w:r>
        <w:rPr>
          <w:i/>
          <w:iCs/>
        </w:rPr>
        <w:t xml:space="preserve"> Bonds</w:t>
      </w:r>
      <w:r>
        <w:t xml:space="preserve">. </w:t>
      </w:r>
      <w:r w:rsidRPr="00C72923">
        <w:t>The</w:t>
      </w:r>
      <w:r w:rsidRPr="00407267">
        <w:t xml:space="preserve"> </w:t>
      </w:r>
      <w:r w:rsidR="00A00F40">
        <w:t>Series 2025</w:t>
      </w:r>
      <w:r>
        <w:t xml:space="preserve"> </w:t>
      </w:r>
      <w:r w:rsidRPr="00407267">
        <w:t>Bonds are subject to mandatory redemption in part</w:t>
      </w:r>
      <w:r>
        <w:t xml:space="preserve">, </w:t>
      </w:r>
      <w:r w:rsidRPr="00620151">
        <w:t>in integral multiples of $1,000</w:t>
      </w:r>
      <w:r>
        <w:t>,</w:t>
      </w:r>
      <w:r w:rsidRPr="00407267">
        <w:t xml:space="preserve"> </w:t>
      </w:r>
      <w:r w:rsidRPr="00620151">
        <w:t xml:space="preserve">in the </w:t>
      </w:r>
      <w:r>
        <w:t xml:space="preserve">reverse </w:t>
      </w:r>
      <w:r w:rsidRPr="00620151">
        <w:t xml:space="preserve">chronological order of </w:t>
      </w:r>
      <w:r w:rsidR="003225D6">
        <w:t xml:space="preserve">maturity or </w:t>
      </w:r>
      <w:r w:rsidRPr="00620151">
        <w:t xml:space="preserve">sinking fund installment dates thereof on </w:t>
      </w:r>
      <w:r w:rsidR="00B75CD2">
        <w:t>[___] 1</w:t>
      </w:r>
      <w:r w:rsidRPr="00407267">
        <w:t xml:space="preserve"> of each year (each a “Mandatory Redemption Date”), commencing </w:t>
      </w:r>
      <w:r w:rsidR="00B75CD2">
        <w:t>[___] 1</w:t>
      </w:r>
      <w:r>
        <w:t>, 20</w:t>
      </w:r>
      <w:r w:rsidR="001646E5">
        <w:t>[__]</w:t>
      </w:r>
      <w:r w:rsidRPr="00407267">
        <w:t xml:space="preserve">, to the extent of moneys on deposit, if any, in the </w:t>
      </w:r>
      <w:r w:rsidR="00A00F40">
        <w:t>Series 2025</w:t>
      </w:r>
      <w:r w:rsidR="00517F67">
        <w:t xml:space="preserve"> Mandatory Redemption Account</w:t>
      </w:r>
      <w:r w:rsidRPr="00407267">
        <w:t xml:space="preserve"> of the </w:t>
      </w:r>
      <w:r>
        <w:t>Bond Fund</w:t>
      </w:r>
      <w:r w:rsidRPr="00407267">
        <w:t xml:space="preserve"> </w:t>
      </w:r>
      <w:r>
        <w:t>thirty (30)</w:t>
      </w:r>
      <w:r w:rsidRPr="00407267">
        <w:t xml:space="preserve"> days prior to the applicable Mandatory Redemption Date, at a redemption price (the “Mandatory Redemption Price”) equal to the principal amount thereof (with no redemption premium), plus accrued interest to the redemption date.  </w:t>
      </w:r>
      <w:bookmarkEnd w:id="141"/>
      <w:bookmarkEnd w:id="142"/>
    </w:p>
    <w:p w14:paraId="41CA468A" w14:textId="24A30226" w:rsidR="00C434A1" w:rsidRPr="00977E29" w:rsidRDefault="00C434A1" w:rsidP="00977E29">
      <w:pPr>
        <w:pStyle w:val="Heading3"/>
        <w:rPr>
          <w:color w:val="auto"/>
        </w:rPr>
      </w:pPr>
      <w:r w:rsidRPr="009A0E35">
        <w:rPr>
          <w:i/>
          <w:color w:val="auto"/>
        </w:rPr>
        <w:t>Mandatory Sinking Fund Redemption</w:t>
      </w:r>
      <w:r w:rsidRPr="00C7390B">
        <w:rPr>
          <w:color w:val="auto"/>
        </w:rPr>
        <w:t xml:space="preserve">.  </w:t>
      </w:r>
      <w:r w:rsidRPr="00977E29">
        <w:rPr>
          <w:color w:val="auto"/>
        </w:rPr>
        <w:t xml:space="preserve">The </w:t>
      </w:r>
      <w:r w:rsidR="00A00F40">
        <w:rPr>
          <w:color w:val="auto"/>
        </w:rPr>
        <w:t>Series 2025</w:t>
      </w:r>
      <w:r w:rsidRPr="00977E29">
        <w:rPr>
          <w:color w:val="auto"/>
        </w:rPr>
        <w:t xml:space="preserve"> Bonds maturing on</w:t>
      </w:r>
      <w:r w:rsidR="00F8641E" w:rsidRPr="00977E29">
        <w:rPr>
          <w:color w:val="auto"/>
        </w:rPr>
        <w:t xml:space="preserve"> </w:t>
      </w:r>
      <w:r w:rsidR="00B75CD2">
        <w:rPr>
          <w:color w:val="auto"/>
        </w:rPr>
        <w:t>[___] 1</w:t>
      </w:r>
      <w:r w:rsidR="00DC5882">
        <w:rPr>
          <w:color w:val="auto"/>
        </w:rPr>
        <w:t>, 20</w:t>
      </w:r>
      <w:r w:rsidR="001646E5">
        <w:rPr>
          <w:color w:val="auto"/>
        </w:rPr>
        <w:t>[__]</w:t>
      </w:r>
      <w:r w:rsidR="00BE4F3C" w:rsidRPr="00977E29">
        <w:rPr>
          <w:color w:val="auto"/>
        </w:rPr>
        <w:t xml:space="preserve"> </w:t>
      </w:r>
      <w:r w:rsidRPr="00977E29">
        <w:rPr>
          <w:color w:val="auto"/>
        </w:rPr>
        <w:t xml:space="preserve">are subject </w:t>
      </w:r>
      <w:r w:rsidR="00977E29" w:rsidRPr="00977E29">
        <w:rPr>
          <w:color w:val="auto"/>
        </w:rPr>
        <w:t xml:space="preserve">to mandatory sinking fund redemption, in part, by lot, on </w:t>
      </w:r>
      <w:r w:rsidR="00B75CD2">
        <w:rPr>
          <w:color w:val="auto"/>
        </w:rPr>
        <w:t>[___] 1</w:t>
      </w:r>
      <w:r w:rsidR="00977E29" w:rsidRPr="00977E29">
        <w:rPr>
          <w:color w:val="auto"/>
        </w:rPr>
        <w:t>, 20</w:t>
      </w:r>
      <w:r w:rsidR="001646E5">
        <w:rPr>
          <w:color w:val="auto"/>
        </w:rPr>
        <w:t>[__]</w:t>
      </w:r>
      <w:r w:rsidR="00977E29" w:rsidRPr="00977E29">
        <w:rPr>
          <w:color w:val="auto"/>
        </w:rPr>
        <w:t xml:space="preserve">, and on each </w:t>
      </w:r>
      <w:r w:rsidR="00B75CD2">
        <w:rPr>
          <w:color w:val="auto"/>
        </w:rPr>
        <w:t>[___] 1</w:t>
      </w:r>
      <w:r w:rsidR="00977E29" w:rsidRPr="00977E29">
        <w:rPr>
          <w:color w:val="auto"/>
        </w:rPr>
        <w:t xml:space="preserve"> thereafter prior to the maturity date of such </w:t>
      </w:r>
      <w:r w:rsidR="00A00F40">
        <w:rPr>
          <w:color w:val="auto"/>
        </w:rPr>
        <w:t>Series 2025</w:t>
      </w:r>
      <w:r w:rsidR="00575AC6">
        <w:rPr>
          <w:color w:val="auto"/>
        </w:rPr>
        <w:t xml:space="preserve"> </w:t>
      </w:r>
      <w:r w:rsidR="00977E29" w:rsidRPr="00977E29">
        <w:rPr>
          <w:color w:val="auto"/>
        </w:rPr>
        <w:t>Bonds, upon payment of par and accrued interest, without redemption premium, in the annual amounts set forth below</w:t>
      </w:r>
      <w:r w:rsidRPr="00977E29">
        <w:rPr>
          <w:color w:val="auto"/>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92"/>
        <w:gridCol w:w="3349"/>
      </w:tblGrid>
      <w:tr w:rsidR="00C7390B" w:rsidRPr="00C7390B" w14:paraId="4C0A2D94" w14:textId="77777777" w:rsidTr="005116DB">
        <w:trPr>
          <w:jc w:val="center"/>
        </w:trPr>
        <w:tc>
          <w:tcPr>
            <w:tcW w:w="3392" w:type="dxa"/>
          </w:tcPr>
          <w:p w14:paraId="0800F7EC" w14:textId="77777777" w:rsidR="00C434A1" w:rsidRPr="00C7390B" w:rsidRDefault="00C434A1" w:rsidP="006A26A0">
            <w:pPr>
              <w:jc w:val="center"/>
              <w:rPr>
                <w:sz w:val="24"/>
                <w:szCs w:val="24"/>
              </w:rPr>
            </w:pPr>
            <w:r w:rsidRPr="00C7390B">
              <w:rPr>
                <w:sz w:val="24"/>
                <w:szCs w:val="24"/>
              </w:rPr>
              <w:t>Redemption Date</w:t>
            </w:r>
          </w:p>
          <w:p w14:paraId="2833DFC5" w14:textId="485FE620" w:rsidR="00C434A1" w:rsidRPr="00C7390B" w:rsidRDefault="00C529BE" w:rsidP="006A26A0">
            <w:pPr>
              <w:jc w:val="center"/>
              <w:rPr>
                <w:sz w:val="24"/>
                <w:szCs w:val="24"/>
              </w:rPr>
            </w:pPr>
            <w:r w:rsidRPr="00C7390B">
              <w:rPr>
                <w:sz w:val="24"/>
                <w:szCs w:val="24"/>
              </w:rPr>
              <w:t>(</w:t>
            </w:r>
            <w:r w:rsidR="00B75CD2">
              <w:rPr>
                <w:sz w:val="24"/>
                <w:szCs w:val="24"/>
                <w:u w:val="single"/>
              </w:rPr>
              <w:t>[___] 1</w:t>
            </w:r>
            <w:r w:rsidR="00C434A1" w:rsidRPr="00C7390B">
              <w:rPr>
                <w:sz w:val="24"/>
                <w:szCs w:val="24"/>
              </w:rPr>
              <w:t>)</w:t>
            </w:r>
          </w:p>
        </w:tc>
        <w:tc>
          <w:tcPr>
            <w:tcW w:w="3349" w:type="dxa"/>
          </w:tcPr>
          <w:p w14:paraId="691C4388" w14:textId="77777777" w:rsidR="00C434A1" w:rsidRPr="00C7390B" w:rsidRDefault="00C434A1" w:rsidP="006A26A0">
            <w:pPr>
              <w:jc w:val="center"/>
              <w:rPr>
                <w:sz w:val="24"/>
                <w:szCs w:val="24"/>
              </w:rPr>
            </w:pPr>
            <w:r w:rsidRPr="00C7390B">
              <w:rPr>
                <w:sz w:val="24"/>
                <w:szCs w:val="24"/>
              </w:rPr>
              <w:t>Principal</w:t>
            </w:r>
          </w:p>
          <w:p w14:paraId="7C57B6BB" w14:textId="77777777" w:rsidR="00C434A1" w:rsidRPr="00C7390B" w:rsidRDefault="00C434A1" w:rsidP="006A26A0">
            <w:pPr>
              <w:jc w:val="center"/>
              <w:rPr>
                <w:sz w:val="24"/>
                <w:szCs w:val="24"/>
                <w:u w:val="single"/>
              </w:rPr>
            </w:pPr>
            <w:r w:rsidRPr="00C7390B">
              <w:rPr>
                <w:sz w:val="24"/>
                <w:szCs w:val="24"/>
                <w:u w:val="single"/>
              </w:rPr>
              <w:t>Amount</w:t>
            </w:r>
          </w:p>
        </w:tc>
      </w:tr>
      <w:tr w:rsidR="00BE4F3C" w:rsidRPr="00C7390B" w14:paraId="394A2BB9" w14:textId="77777777" w:rsidTr="005116DB">
        <w:trPr>
          <w:jc w:val="center"/>
        </w:trPr>
        <w:tc>
          <w:tcPr>
            <w:tcW w:w="3392" w:type="dxa"/>
          </w:tcPr>
          <w:p w14:paraId="3D83542B" w14:textId="69076A47" w:rsidR="00BE4F3C" w:rsidRPr="00B355F6" w:rsidRDefault="00BE4F3C" w:rsidP="00B355F6">
            <w:pPr>
              <w:tabs>
                <w:tab w:val="decimal" w:pos="1785"/>
              </w:tabs>
              <w:rPr>
                <w:sz w:val="24"/>
              </w:rPr>
            </w:pPr>
          </w:p>
        </w:tc>
        <w:tc>
          <w:tcPr>
            <w:tcW w:w="3349" w:type="dxa"/>
          </w:tcPr>
          <w:p w14:paraId="7240C172" w14:textId="64822169" w:rsidR="00BE4F3C" w:rsidRPr="00B355F6" w:rsidRDefault="00C55360" w:rsidP="00C55360">
            <w:pPr>
              <w:tabs>
                <w:tab w:val="decimal" w:pos="2086"/>
              </w:tabs>
              <w:rPr>
                <w:sz w:val="24"/>
              </w:rPr>
            </w:pPr>
            <w:r>
              <w:rPr>
                <w:sz w:val="24"/>
              </w:rPr>
              <w:t xml:space="preserve">$   </w:t>
            </w:r>
          </w:p>
        </w:tc>
      </w:tr>
      <w:tr w:rsidR="00BE4F3C" w:rsidRPr="00C7390B" w14:paraId="4B3F4012" w14:textId="77777777" w:rsidTr="005116DB">
        <w:trPr>
          <w:jc w:val="center"/>
        </w:trPr>
        <w:tc>
          <w:tcPr>
            <w:tcW w:w="3392" w:type="dxa"/>
          </w:tcPr>
          <w:p w14:paraId="6D7C350A" w14:textId="6935C9E9" w:rsidR="00BE4F3C" w:rsidRPr="00B355F6" w:rsidRDefault="00BE4F3C" w:rsidP="00B355F6">
            <w:pPr>
              <w:tabs>
                <w:tab w:val="decimal" w:pos="1785"/>
              </w:tabs>
              <w:rPr>
                <w:sz w:val="24"/>
              </w:rPr>
            </w:pPr>
          </w:p>
        </w:tc>
        <w:tc>
          <w:tcPr>
            <w:tcW w:w="3349" w:type="dxa"/>
          </w:tcPr>
          <w:p w14:paraId="510BC2DC" w14:textId="62E0BF83" w:rsidR="00BE4F3C" w:rsidRPr="00B355F6" w:rsidRDefault="00BE4F3C" w:rsidP="00C55360">
            <w:pPr>
              <w:tabs>
                <w:tab w:val="decimal" w:pos="2086"/>
              </w:tabs>
              <w:rPr>
                <w:sz w:val="24"/>
              </w:rPr>
            </w:pPr>
          </w:p>
        </w:tc>
      </w:tr>
      <w:tr w:rsidR="00BE4F3C" w:rsidRPr="00C7390B" w14:paraId="54D22EC7" w14:textId="77777777" w:rsidTr="005116DB">
        <w:trPr>
          <w:jc w:val="center"/>
        </w:trPr>
        <w:tc>
          <w:tcPr>
            <w:tcW w:w="3392" w:type="dxa"/>
          </w:tcPr>
          <w:p w14:paraId="5489DDB0" w14:textId="6CB66EC3" w:rsidR="00BE4F3C" w:rsidRPr="00B355F6" w:rsidRDefault="00BE4F3C" w:rsidP="00B355F6">
            <w:pPr>
              <w:tabs>
                <w:tab w:val="decimal" w:pos="1785"/>
              </w:tabs>
              <w:rPr>
                <w:sz w:val="24"/>
              </w:rPr>
            </w:pPr>
          </w:p>
        </w:tc>
        <w:tc>
          <w:tcPr>
            <w:tcW w:w="3349" w:type="dxa"/>
          </w:tcPr>
          <w:p w14:paraId="480A7909" w14:textId="156F1D48" w:rsidR="00BE4F3C" w:rsidRPr="00B355F6" w:rsidRDefault="00BE4F3C" w:rsidP="00C55360">
            <w:pPr>
              <w:tabs>
                <w:tab w:val="decimal" w:pos="2086"/>
              </w:tabs>
              <w:rPr>
                <w:sz w:val="24"/>
              </w:rPr>
            </w:pPr>
          </w:p>
        </w:tc>
      </w:tr>
      <w:tr w:rsidR="00BE4F3C" w:rsidRPr="00C7390B" w14:paraId="3239C632" w14:textId="77777777" w:rsidTr="005116DB">
        <w:trPr>
          <w:jc w:val="center"/>
        </w:trPr>
        <w:tc>
          <w:tcPr>
            <w:tcW w:w="3392" w:type="dxa"/>
          </w:tcPr>
          <w:p w14:paraId="1E596056" w14:textId="7232F1D1" w:rsidR="00BE4F3C" w:rsidRPr="00B355F6" w:rsidRDefault="00BE4F3C" w:rsidP="00B355F6">
            <w:pPr>
              <w:tabs>
                <w:tab w:val="decimal" w:pos="1785"/>
              </w:tabs>
              <w:rPr>
                <w:sz w:val="24"/>
              </w:rPr>
            </w:pPr>
          </w:p>
        </w:tc>
        <w:tc>
          <w:tcPr>
            <w:tcW w:w="3349" w:type="dxa"/>
          </w:tcPr>
          <w:p w14:paraId="65D18720" w14:textId="1951C3A9" w:rsidR="00BE4F3C" w:rsidRPr="00B355F6" w:rsidRDefault="00BE4F3C" w:rsidP="00C55360">
            <w:pPr>
              <w:tabs>
                <w:tab w:val="decimal" w:pos="2086"/>
              </w:tabs>
              <w:rPr>
                <w:sz w:val="24"/>
              </w:rPr>
            </w:pPr>
          </w:p>
        </w:tc>
      </w:tr>
      <w:tr w:rsidR="00BE4F3C" w:rsidRPr="00C7390B" w14:paraId="25B280CE" w14:textId="77777777" w:rsidTr="005116DB">
        <w:trPr>
          <w:jc w:val="center"/>
        </w:trPr>
        <w:tc>
          <w:tcPr>
            <w:tcW w:w="3392" w:type="dxa"/>
          </w:tcPr>
          <w:p w14:paraId="6D753165" w14:textId="004AD64F" w:rsidR="00BE4F3C" w:rsidRPr="00B355F6" w:rsidRDefault="00BE4F3C" w:rsidP="00B355F6">
            <w:pPr>
              <w:tabs>
                <w:tab w:val="decimal" w:pos="1785"/>
              </w:tabs>
              <w:rPr>
                <w:sz w:val="24"/>
              </w:rPr>
            </w:pPr>
          </w:p>
        </w:tc>
        <w:tc>
          <w:tcPr>
            <w:tcW w:w="3349" w:type="dxa"/>
          </w:tcPr>
          <w:p w14:paraId="43F4E99A" w14:textId="0B0C734C" w:rsidR="00BE4F3C" w:rsidRPr="00B355F6" w:rsidRDefault="00BE4F3C" w:rsidP="00C55360">
            <w:pPr>
              <w:tabs>
                <w:tab w:val="decimal" w:pos="2086"/>
              </w:tabs>
              <w:rPr>
                <w:sz w:val="24"/>
              </w:rPr>
            </w:pPr>
          </w:p>
        </w:tc>
      </w:tr>
      <w:tr w:rsidR="00BE4F3C" w:rsidRPr="00C7390B" w14:paraId="0D979B53" w14:textId="77777777" w:rsidTr="005116DB">
        <w:trPr>
          <w:jc w:val="center"/>
        </w:trPr>
        <w:tc>
          <w:tcPr>
            <w:tcW w:w="3392" w:type="dxa"/>
          </w:tcPr>
          <w:p w14:paraId="6A6AD8CD" w14:textId="26B8CBF2" w:rsidR="00DC5882" w:rsidRPr="00B355F6" w:rsidRDefault="00DC5882" w:rsidP="00B355F6">
            <w:pPr>
              <w:tabs>
                <w:tab w:val="decimal" w:pos="1785"/>
              </w:tabs>
              <w:rPr>
                <w:sz w:val="24"/>
              </w:rPr>
            </w:pPr>
          </w:p>
        </w:tc>
        <w:tc>
          <w:tcPr>
            <w:tcW w:w="3349" w:type="dxa"/>
          </w:tcPr>
          <w:p w14:paraId="200C2942" w14:textId="58E3E3F1" w:rsidR="00BE4F3C" w:rsidRPr="00F9317B" w:rsidRDefault="00BE4F3C" w:rsidP="00C55360">
            <w:pPr>
              <w:tabs>
                <w:tab w:val="decimal" w:pos="2086"/>
              </w:tabs>
              <w:rPr>
                <w:sz w:val="24"/>
                <w:szCs w:val="24"/>
              </w:rPr>
            </w:pPr>
          </w:p>
        </w:tc>
      </w:tr>
      <w:tr w:rsidR="00DC5882" w:rsidRPr="00C7390B" w14:paraId="588978E0" w14:textId="77777777" w:rsidTr="005116DB">
        <w:trPr>
          <w:jc w:val="center"/>
        </w:trPr>
        <w:tc>
          <w:tcPr>
            <w:tcW w:w="3392" w:type="dxa"/>
          </w:tcPr>
          <w:p w14:paraId="34F6A520" w14:textId="53167F0E" w:rsidR="00DC5882" w:rsidRPr="00DC5882" w:rsidRDefault="00DC5882" w:rsidP="00B355F6">
            <w:pPr>
              <w:tabs>
                <w:tab w:val="decimal" w:pos="1785"/>
              </w:tabs>
              <w:rPr>
                <w:sz w:val="24"/>
                <w:szCs w:val="24"/>
              </w:rPr>
            </w:pPr>
          </w:p>
        </w:tc>
        <w:tc>
          <w:tcPr>
            <w:tcW w:w="3349" w:type="dxa"/>
          </w:tcPr>
          <w:p w14:paraId="75299D6E" w14:textId="1272463C" w:rsidR="00DC5882" w:rsidRPr="00F9317B" w:rsidRDefault="00DC5882" w:rsidP="00C55360">
            <w:pPr>
              <w:tabs>
                <w:tab w:val="decimal" w:pos="2086"/>
              </w:tabs>
              <w:rPr>
                <w:sz w:val="24"/>
                <w:szCs w:val="24"/>
              </w:rPr>
            </w:pPr>
          </w:p>
        </w:tc>
      </w:tr>
      <w:tr w:rsidR="00DC5882" w:rsidRPr="00C7390B" w14:paraId="54588E88" w14:textId="77777777" w:rsidTr="005116DB">
        <w:trPr>
          <w:jc w:val="center"/>
        </w:trPr>
        <w:tc>
          <w:tcPr>
            <w:tcW w:w="3392" w:type="dxa"/>
          </w:tcPr>
          <w:p w14:paraId="360969EB" w14:textId="39599214" w:rsidR="00DC5882" w:rsidRPr="00DC5882" w:rsidRDefault="00DC5882" w:rsidP="00B355F6">
            <w:pPr>
              <w:tabs>
                <w:tab w:val="decimal" w:pos="1785"/>
              </w:tabs>
              <w:rPr>
                <w:sz w:val="24"/>
                <w:szCs w:val="24"/>
              </w:rPr>
            </w:pPr>
          </w:p>
        </w:tc>
        <w:tc>
          <w:tcPr>
            <w:tcW w:w="3349" w:type="dxa"/>
          </w:tcPr>
          <w:p w14:paraId="22313204" w14:textId="01D19B2D" w:rsidR="00DC5882" w:rsidRPr="00F9317B" w:rsidRDefault="00DC5882" w:rsidP="00C55360">
            <w:pPr>
              <w:tabs>
                <w:tab w:val="decimal" w:pos="2086"/>
              </w:tabs>
              <w:rPr>
                <w:sz w:val="24"/>
                <w:szCs w:val="24"/>
              </w:rPr>
            </w:pPr>
          </w:p>
        </w:tc>
      </w:tr>
      <w:tr w:rsidR="00DC5882" w:rsidRPr="00C7390B" w14:paraId="44340ABD" w14:textId="77777777" w:rsidTr="005116DB">
        <w:trPr>
          <w:jc w:val="center"/>
        </w:trPr>
        <w:tc>
          <w:tcPr>
            <w:tcW w:w="3392" w:type="dxa"/>
          </w:tcPr>
          <w:p w14:paraId="55E22E1E" w14:textId="7DDA8A63" w:rsidR="00DC5882" w:rsidRPr="00DC5882" w:rsidRDefault="00DC5882" w:rsidP="00B355F6">
            <w:pPr>
              <w:tabs>
                <w:tab w:val="decimal" w:pos="1785"/>
              </w:tabs>
              <w:rPr>
                <w:sz w:val="24"/>
                <w:szCs w:val="24"/>
              </w:rPr>
            </w:pPr>
          </w:p>
        </w:tc>
        <w:tc>
          <w:tcPr>
            <w:tcW w:w="3349" w:type="dxa"/>
          </w:tcPr>
          <w:p w14:paraId="61102A4F" w14:textId="5F63E906" w:rsidR="00DC5882" w:rsidRPr="00F9317B" w:rsidRDefault="00DC5882" w:rsidP="00C55360">
            <w:pPr>
              <w:tabs>
                <w:tab w:val="decimal" w:pos="2086"/>
              </w:tabs>
              <w:rPr>
                <w:sz w:val="24"/>
                <w:szCs w:val="24"/>
              </w:rPr>
            </w:pPr>
          </w:p>
        </w:tc>
      </w:tr>
      <w:tr w:rsidR="00DC5882" w:rsidRPr="00C7390B" w14:paraId="24210F9A" w14:textId="77777777" w:rsidTr="005116DB">
        <w:trPr>
          <w:jc w:val="center"/>
        </w:trPr>
        <w:tc>
          <w:tcPr>
            <w:tcW w:w="3392" w:type="dxa"/>
          </w:tcPr>
          <w:p w14:paraId="0BE6AE10" w14:textId="660F24E4" w:rsidR="00DC5882" w:rsidRPr="00DC5882" w:rsidRDefault="00DC5882" w:rsidP="00B355F6">
            <w:pPr>
              <w:tabs>
                <w:tab w:val="decimal" w:pos="1785"/>
              </w:tabs>
              <w:rPr>
                <w:sz w:val="24"/>
                <w:szCs w:val="24"/>
              </w:rPr>
            </w:pPr>
          </w:p>
        </w:tc>
        <w:tc>
          <w:tcPr>
            <w:tcW w:w="3349" w:type="dxa"/>
          </w:tcPr>
          <w:p w14:paraId="2BB043AD" w14:textId="60338B90" w:rsidR="00DC5882" w:rsidRPr="00F9317B" w:rsidRDefault="00DC5882" w:rsidP="00C55360">
            <w:pPr>
              <w:tabs>
                <w:tab w:val="decimal" w:pos="2086"/>
              </w:tabs>
              <w:rPr>
                <w:sz w:val="24"/>
                <w:szCs w:val="24"/>
              </w:rPr>
            </w:pPr>
          </w:p>
        </w:tc>
      </w:tr>
      <w:tr w:rsidR="00DC5882" w:rsidRPr="00C7390B" w14:paraId="497C30D0" w14:textId="77777777" w:rsidTr="005116DB">
        <w:trPr>
          <w:jc w:val="center"/>
        </w:trPr>
        <w:tc>
          <w:tcPr>
            <w:tcW w:w="3392" w:type="dxa"/>
          </w:tcPr>
          <w:p w14:paraId="2B20613B" w14:textId="6B845692" w:rsidR="00DC5882" w:rsidRPr="00DC5882" w:rsidRDefault="00DC5882" w:rsidP="00B355F6">
            <w:pPr>
              <w:tabs>
                <w:tab w:val="decimal" w:pos="1785"/>
              </w:tabs>
              <w:rPr>
                <w:sz w:val="24"/>
                <w:szCs w:val="24"/>
              </w:rPr>
            </w:pPr>
          </w:p>
        </w:tc>
        <w:tc>
          <w:tcPr>
            <w:tcW w:w="3349" w:type="dxa"/>
          </w:tcPr>
          <w:p w14:paraId="143ED4F3" w14:textId="3DB678E1" w:rsidR="00DC5882" w:rsidRPr="00F9317B" w:rsidRDefault="00DC5882" w:rsidP="00C55360">
            <w:pPr>
              <w:tabs>
                <w:tab w:val="decimal" w:pos="2086"/>
              </w:tabs>
              <w:rPr>
                <w:sz w:val="24"/>
                <w:szCs w:val="24"/>
              </w:rPr>
            </w:pPr>
          </w:p>
        </w:tc>
      </w:tr>
      <w:tr w:rsidR="00DC5882" w:rsidRPr="00C7390B" w14:paraId="4FDE2145" w14:textId="77777777" w:rsidTr="005116DB">
        <w:trPr>
          <w:jc w:val="center"/>
        </w:trPr>
        <w:tc>
          <w:tcPr>
            <w:tcW w:w="3392" w:type="dxa"/>
          </w:tcPr>
          <w:p w14:paraId="1ECF1721" w14:textId="22256716" w:rsidR="00DC5882" w:rsidRPr="00DC5882" w:rsidRDefault="00DC5882" w:rsidP="00B355F6">
            <w:pPr>
              <w:tabs>
                <w:tab w:val="decimal" w:pos="1785"/>
              </w:tabs>
              <w:rPr>
                <w:sz w:val="24"/>
                <w:szCs w:val="24"/>
              </w:rPr>
            </w:pPr>
          </w:p>
        </w:tc>
        <w:tc>
          <w:tcPr>
            <w:tcW w:w="3349" w:type="dxa"/>
          </w:tcPr>
          <w:p w14:paraId="09B71646" w14:textId="067D5C1B" w:rsidR="00DC5882" w:rsidRPr="00F9317B" w:rsidRDefault="00DC5882" w:rsidP="00C55360">
            <w:pPr>
              <w:tabs>
                <w:tab w:val="decimal" w:pos="2086"/>
              </w:tabs>
              <w:rPr>
                <w:sz w:val="24"/>
                <w:szCs w:val="24"/>
              </w:rPr>
            </w:pPr>
          </w:p>
        </w:tc>
      </w:tr>
      <w:tr w:rsidR="00DC5882" w:rsidRPr="00C7390B" w14:paraId="04C68A5E" w14:textId="77777777" w:rsidTr="005116DB">
        <w:trPr>
          <w:jc w:val="center"/>
        </w:trPr>
        <w:tc>
          <w:tcPr>
            <w:tcW w:w="3392" w:type="dxa"/>
          </w:tcPr>
          <w:p w14:paraId="04DE9327" w14:textId="44DD8A29" w:rsidR="00DC5882" w:rsidRPr="00DC5882" w:rsidRDefault="00DC5882" w:rsidP="00B355F6">
            <w:pPr>
              <w:tabs>
                <w:tab w:val="decimal" w:pos="1785"/>
              </w:tabs>
              <w:rPr>
                <w:sz w:val="24"/>
                <w:szCs w:val="24"/>
              </w:rPr>
            </w:pPr>
          </w:p>
        </w:tc>
        <w:tc>
          <w:tcPr>
            <w:tcW w:w="3349" w:type="dxa"/>
          </w:tcPr>
          <w:p w14:paraId="69BFF929" w14:textId="518B0BFA" w:rsidR="00DC5882" w:rsidRPr="00F9317B" w:rsidRDefault="00DC5882" w:rsidP="00C55360">
            <w:pPr>
              <w:tabs>
                <w:tab w:val="decimal" w:pos="2086"/>
              </w:tabs>
              <w:rPr>
                <w:sz w:val="24"/>
                <w:szCs w:val="24"/>
              </w:rPr>
            </w:pPr>
          </w:p>
        </w:tc>
      </w:tr>
      <w:tr w:rsidR="00DC5882" w:rsidRPr="00C7390B" w14:paraId="3911F701" w14:textId="77777777" w:rsidTr="005116DB">
        <w:trPr>
          <w:jc w:val="center"/>
        </w:trPr>
        <w:tc>
          <w:tcPr>
            <w:tcW w:w="3392" w:type="dxa"/>
          </w:tcPr>
          <w:p w14:paraId="67C5E6D1" w14:textId="039B9F55" w:rsidR="00DC5882" w:rsidRPr="00DC5882" w:rsidRDefault="00DC5882" w:rsidP="00B355F6">
            <w:pPr>
              <w:tabs>
                <w:tab w:val="decimal" w:pos="1785"/>
              </w:tabs>
              <w:rPr>
                <w:sz w:val="24"/>
                <w:szCs w:val="24"/>
              </w:rPr>
            </w:pPr>
          </w:p>
        </w:tc>
        <w:tc>
          <w:tcPr>
            <w:tcW w:w="3349" w:type="dxa"/>
          </w:tcPr>
          <w:p w14:paraId="2E34C262" w14:textId="59B64F20" w:rsidR="00DC5882" w:rsidRPr="00F9317B" w:rsidRDefault="00DC5882" w:rsidP="00C55360">
            <w:pPr>
              <w:tabs>
                <w:tab w:val="decimal" w:pos="2086"/>
              </w:tabs>
              <w:rPr>
                <w:sz w:val="24"/>
                <w:szCs w:val="24"/>
              </w:rPr>
            </w:pPr>
          </w:p>
        </w:tc>
      </w:tr>
      <w:tr w:rsidR="00DC5882" w:rsidRPr="00C7390B" w14:paraId="44272302" w14:textId="77777777" w:rsidTr="005116DB">
        <w:trPr>
          <w:jc w:val="center"/>
        </w:trPr>
        <w:tc>
          <w:tcPr>
            <w:tcW w:w="3392" w:type="dxa"/>
          </w:tcPr>
          <w:p w14:paraId="5E2ACB99" w14:textId="645B9130" w:rsidR="00DC5882" w:rsidRPr="00DC5882" w:rsidRDefault="00DC5882" w:rsidP="00B355F6">
            <w:pPr>
              <w:tabs>
                <w:tab w:val="decimal" w:pos="1785"/>
              </w:tabs>
              <w:rPr>
                <w:sz w:val="24"/>
                <w:szCs w:val="24"/>
              </w:rPr>
            </w:pPr>
          </w:p>
        </w:tc>
        <w:tc>
          <w:tcPr>
            <w:tcW w:w="3349" w:type="dxa"/>
          </w:tcPr>
          <w:p w14:paraId="2AD18D51" w14:textId="440D316D" w:rsidR="00DC5882" w:rsidRPr="00F9317B" w:rsidRDefault="00DC5882" w:rsidP="00C55360">
            <w:pPr>
              <w:tabs>
                <w:tab w:val="decimal" w:pos="2086"/>
              </w:tabs>
              <w:rPr>
                <w:sz w:val="24"/>
                <w:szCs w:val="24"/>
              </w:rPr>
            </w:pPr>
          </w:p>
        </w:tc>
      </w:tr>
      <w:tr w:rsidR="00DC5882" w:rsidRPr="00C7390B" w14:paraId="622CD47A" w14:textId="77777777" w:rsidTr="005116DB">
        <w:trPr>
          <w:jc w:val="center"/>
        </w:trPr>
        <w:tc>
          <w:tcPr>
            <w:tcW w:w="3392" w:type="dxa"/>
          </w:tcPr>
          <w:p w14:paraId="235EF4CE" w14:textId="53C1C0E1" w:rsidR="00DC5882" w:rsidRPr="00DC5882" w:rsidRDefault="00DC5882" w:rsidP="00B355F6">
            <w:pPr>
              <w:tabs>
                <w:tab w:val="decimal" w:pos="1785"/>
              </w:tabs>
              <w:rPr>
                <w:sz w:val="24"/>
                <w:szCs w:val="24"/>
              </w:rPr>
            </w:pPr>
          </w:p>
        </w:tc>
        <w:tc>
          <w:tcPr>
            <w:tcW w:w="3349" w:type="dxa"/>
          </w:tcPr>
          <w:p w14:paraId="0CE256E9" w14:textId="529517E5" w:rsidR="00DC5882" w:rsidRPr="00F9317B" w:rsidRDefault="00DC5882" w:rsidP="00C55360">
            <w:pPr>
              <w:tabs>
                <w:tab w:val="decimal" w:pos="2086"/>
              </w:tabs>
              <w:rPr>
                <w:sz w:val="24"/>
                <w:szCs w:val="24"/>
              </w:rPr>
            </w:pPr>
          </w:p>
        </w:tc>
      </w:tr>
      <w:tr w:rsidR="00DC5882" w:rsidRPr="00C7390B" w14:paraId="3542700E" w14:textId="77777777" w:rsidTr="005116DB">
        <w:trPr>
          <w:jc w:val="center"/>
        </w:trPr>
        <w:tc>
          <w:tcPr>
            <w:tcW w:w="3392" w:type="dxa"/>
          </w:tcPr>
          <w:p w14:paraId="0535D0F0" w14:textId="67D8F1F1" w:rsidR="00DC5882" w:rsidRPr="00DC5882" w:rsidRDefault="009A6DDF" w:rsidP="00B355F6">
            <w:pPr>
              <w:tabs>
                <w:tab w:val="decimal" w:pos="1785"/>
              </w:tabs>
              <w:rPr>
                <w:sz w:val="24"/>
                <w:szCs w:val="24"/>
              </w:rPr>
            </w:pPr>
            <w:r>
              <w:rPr>
                <w:sz w:val="24"/>
                <w:szCs w:val="24"/>
              </w:rPr>
              <w:t>*</w:t>
            </w:r>
          </w:p>
        </w:tc>
        <w:tc>
          <w:tcPr>
            <w:tcW w:w="3349" w:type="dxa"/>
          </w:tcPr>
          <w:p w14:paraId="7C9D2FDF" w14:textId="77847218" w:rsidR="00DC5882" w:rsidRPr="00F9317B" w:rsidRDefault="00DC5882" w:rsidP="00C55360">
            <w:pPr>
              <w:tabs>
                <w:tab w:val="decimal" w:pos="2086"/>
              </w:tabs>
              <w:rPr>
                <w:sz w:val="24"/>
                <w:szCs w:val="24"/>
              </w:rPr>
            </w:pPr>
          </w:p>
        </w:tc>
      </w:tr>
    </w:tbl>
    <w:p w14:paraId="7ABBF9B6" w14:textId="0F763394" w:rsidR="005F4FF4" w:rsidRPr="007E07EB" w:rsidRDefault="007976D7" w:rsidP="005F4FF4">
      <w:pPr>
        <w:keepLines/>
        <w:autoSpaceDE w:val="0"/>
        <w:autoSpaceDN w:val="0"/>
        <w:adjustRightInd w:val="0"/>
        <w:ind w:right="619"/>
        <w:rPr>
          <w:rFonts w:cs="Times New Roman"/>
          <w:u w:val="single"/>
        </w:rPr>
      </w:pPr>
      <w:r>
        <w:rPr>
          <w:rFonts w:cs="Times New Roman"/>
          <w:u w:val="single"/>
        </w:rPr>
        <w:tab/>
      </w:r>
      <w:r w:rsidR="005F4FF4" w:rsidRPr="007E07EB">
        <w:rPr>
          <w:rFonts w:cs="Times New Roman"/>
          <w:u w:val="single"/>
        </w:rPr>
        <w:tab/>
      </w:r>
      <w:r w:rsidR="005F4FF4" w:rsidRPr="007E07EB">
        <w:rPr>
          <w:rFonts w:cs="Times New Roman"/>
          <w:u w:val="single"/>
        </w:rPr>
        <w:tab/>
      </w:r>
    </w:p>
    <w:p w14:paraId="45CA5D68" w14:textId="5AEDD6D6" w:rsidR="00B355F6" w:rsidRDefault="005F4FF4" w:rsidP="007976D7">
      <w:pPr>
        <w:ind w:left="720"/>
        <w:rPr>
          <w:rFonts w:cs="Times New Roman"/>
        </w:rPr>
      </w:pPr>
      <w:r w:rsidRPr="007E07EB">
        <w:rPr>
          <w:rFonts w:cs="Times New Roman"/>
        </w:rPr>
        <w:t>*</w:t>
      </w:r>
      <w:r w:rsidRPr="007E07EB">
        <w:rPr>
          <w:rFonts w:cs="Times New Roman"/>
        </w:rPr>
        <w:tab/>
        <w:t xml:space="preserve">Final </w:t>
      </w:r>
      <w:r w:rsidR="006C66C8">
        <w:rPr>
          <w:rFonts w:cs="Times New Roman"/>
        </w:rPr>
        <w:t>M</w:t>
      </w:r>
      <w:r w:rsidRPr="007E07EB">
        <w:rPr>
          <w:rFonts w:cs="Times New Roman"/>
        </w:rPr>
        <w:t>aturity</w:t>
      </w:r>
    </w:p>
    <w:p w14:paraId="6061E0FC" w14:textId="02499DBA" w:rsidR="005F4FF4" w:rsidRDefault="005F4FF4" w:rsidP="005F4FF4"/>
    <w:p w14:paraId="73DFC331" w14:textId="7B8D8B8A" w:rsidR="00977E29" w:rsidRDefault="00977E29" w:rsidP="00013B8F">
      <w:pPr>
        <w:pStyle w:val="00BodyText5"/>
      </w:pPr>
      <w:r w:rsidRPr="00977E29">
        <w:lastRenderedPageBreak/>
        <w:t xml:space="preserve">Upon redemption of any </w:t>
      </w:r>
      <w:r w:rsidR="00A00F40">
        <w:t>Series 2025 Bonds</w:t>
      </w:r>
      <w:r w:rsidRPr="00977E29">
        <w:t xml:space="preserve"> other than by application of such mandatory sinking fund redemption, an amount equal to the principal amount so redeemed will be credited toward a part or all of any one or more of such mandatory sinking fund redemption amounts for the </w:t>
      </w:r>
      <w:r w:rsidR="00A00F40">
        <w:t>Series 2025 Bonds</w:t>
      </w:r>
      <w:r w:rsidRPr="00977E29">
        <w:t>, in such order of mandatory sinking fund date as shall be directed by the District.</w:t>
      </w:r>
      <w:bookmarkStart w:id="143" w:name="_Ref76628605"/>
      <w:bookmarkStart w:id="144" w:name="_Ref76628628"/>
      <w:bookmarkStart w:id="145" w:name="_Ref76628662"/>
      <w:bookmarkStart w:id="146" w:name="_Ref76628700"/>
      <w:bookmarkStart w:id="147" w:name="_Ref76628742"/>
    </w:p>
    <w:p w14:paraId="30317652" w14:textId="77777777" w:rsidR="006D1150" w:rsidRPr="00C7390B" w:rsidRDefault="00D34500" w:rsidP="006D1150">
      <w:pPr>
        <w:pStyle w:val="Heading2"/>
        <w:keepNext/>
        <w:rPr>
          <w:vanish/>
          <w:color w:val="auto"/>
          <w:specVanish/>
        </w:rPr>
      </w:pPr>
      <w:bookmarkStart w:id="148" w:name="_Toc207106961"/>
      <w:r w:rsidRPr="00C7390B">
        <w:rPr>
          <w:color w:val="auto"/>
        </w:rPr>
        <w:t>Book-Entry System</w:t>
      </w:r>
      <w:bookmarkEnd w:id="143"/>
      <w:bookmarkEnd w:id="144"/>
      <w:bookmarkEnd w:id="145"/>
      <w:bookmarkEnd w:id="146"/>
      <w:bookmarkEnd w:id="147"/>
      <w:bookmarkEnd w:id="148"/>
    </w:p>
    <w:p w14:paraId="7494EFA4" w14:textId="77777777" w:rsidR="006D1150" w:rsidRPr="00C7390B" w:rsidRDefault="006D1150" w:rsidP="006D1150">
      <w:pPr>
        <w:pStyle w:val="HeadingBody2"/>
      </w:pPr>
      <w:r w:rsidRPr="00C7390B">
        <w:t>.</w:t>
      </w:r>
    </w:p>
    <w:p w14:paraId="10BA6E34" w14:textId="72FB67D2" w:rsidR="006D1150" w:rsidRPr="00C7390B" w:rsidRDefault="006D1150" w:rsidP="00D124AE">
      <w:pPr>
        <w:pStyle w:val="Heading3"/>
        <w:rPr>
          <w:color w:val="auto"/>
        </w:rPr>
      </w:pPr>
      <w:r w:rsidRPr="00C7390B">
        <w:rPr>
          <w:color w:val="auto"/>
        </w:rPr>
        <w:t>Except as provided in paragraphs (b) and (c) of this</w:t>
      </w:r>
      <w:r w:rsidR="00B73964">
        <w:rPr>
          <w:color w:val="auto"/>
        </w:rPr>
        <w:t xml:space="preserve"> </w:t>
      </w:r>
      <w:r w:rsidR="00FF15FE">
        <w:rPr>
          <w:color w:val="auto"/>
        </w:rPr>
        <w:fldChar w:fldCharType="begin"/>
      </w:r>
      <w:r w:rsidR="00FF15FE">
        <w:rPr>
          <w:color w:val="auto"/>
        </w:rPr>
        <w:instrText xml:space="preserve"> REF _Ref76628605 \r \h </w:instrText>
      </w:r>
      <w:r w:rsidR="00FF15FE">
        <w:rPr>
          <w:color w:val="auto"/>
        </w:rPr>
      </w:r>
      <w:r w:rsidR="00FF15FE">
        <w:rPr>
          <w:color w:val="auto"/>
        </w:rPr>
        <w:fldChar w:fldCharType="separate"/>
      </w:r>
      <w:r w:rsidR="00BE4F3C">
        <w:rPr>
          <w:color w:val="auto"/>
        </w:rPr>
        <w:t>Section 2.6</w:t>
      </w:r>
      <w:r w:rsidR="00FF15FE">
        <w:rPr>
          <w:color w:val="auto"/>
        </w:rPr>
        <w:fldChar w:fldCharType="end"/>
      </w:r>
      <w:r w:rsidR="00B73964">
        <w:rPr>
          <w:color w:val="auto"/>
        </w:rPr>
        <w:t xml:space="preserve"> </w:t>
      </w:r>
      <w:r w:rsidRPr="00C7390B">
        <w:rPr>
          <w:color w:val="auto"/>
        </w:rPr>
        <w:t xml:space="preserve">the Registered Owner of all </w:t>
      </w:r>
      <w:r w:rsidR="00A00F40">
        <w:rPr>
          <w:color w:val="auto"/>
        </w:rPr>
        <w:t>Series 2025 Bonds</w:t>
      </w:r>
      <w:r w:rsidRPr="00C7390B">
        <w:rPr>
          <w:color w:val="auto"/>
        </w:rPr>
        <w:t xml:space="preserve"> shall be, and the </w:t>
      </w:r>
      <w:r w:rsidR="00A00F40">
        <w:rPr>
          <w:color w:val="auto"/>
        </w:rPr>
        <w:t>Series 2025 Bonds</w:t>
      </w:r>
      <w:r w:rsidRPr="00C7390B">
        <w:rPr>
          <w:color w:val="auto"/>
        </w:rPr>
        <w:t xml:space="preserve"> shall be registered in the name of Cede &amp; Co., as nominee of The Depository Trust Company, New York, New York (together with any substitute securities depository appointed pursuant to paragraph (d)(ii) of this</w:t>
      </w:r>
      <w:r w:rsidR="00FF15FE">
        <w:rPr>
          <w:color w:val="auto"/>
        </w:rPr>
        <w:t xml:space="preserve"> </w:t>
      </w:r>
      <w:r w:rsidR="00FF15FE">
        <w:rPr>
          <w:color w:val="auto"/>
        </w:rPr>
        <w:fldChar w:fldCharType="begin"/>
      </w:r>
      <w:r w:rsidR="00FF15FE">
        <w:rPr>
          <w:color w:val="auto"/>
        </w:rPr>
        <w:instrText xml:space="preserve"> REF _Ref76628662 \r \h </w:instrText>
      </w:r>
      <w:r w:rsidR="00FF15FE">
        <w:rPr>
          <w:color w:val="auto"/>
        </w:rPr>
      </w:r>
      <w:r w:rsidR="00FF15FE">
        <w:rPr>
          <w:color w:val="auto"/>
        </w:rPr>
        <w:fldChar w:fldCharType="separate"/>
      </w:r>
      <w:r w:rsidR="00BE4F3C">
        <w:rPr>
          <w:color w:val="auto"/>
        </w:rPr>
        <w:t>Section 2.6</w:t>
      </w:r>
      <w:r w:rsidR="00FF15FE">
        <w:rPr>
          <w:color w:val="auto"/>
        </w:rPr>
        <w:fldChar w:fldCharType="end"/>
      </w:r>
      <w:r w:rsidRPr="00C7390B">
        <w:rPr>
          <w:color w:val="auto"/>
        </w:rPr>
        <w:t xml:space="preserve">, “DTC”).  Payment of the interest on any </w:t>
      </w:r>
      <w:r w:rsidR="00A00F40">
        <w:rPr>
          <w:color w:val="auto"/>
        </w:rPr>
        <w:t>Series 2025</w:t>
      </w:r>
      <w:r w:rsidRPr="00C7390B">
        <w:rPr>
          <w:color w:val="auto"/>
        </w:rPr>
        <w:t xml:space="preserve"> Bond shall be made in accordance with the provisions of this </w:t>
      </w:r>
      <w:r w:rsidR="00F674A6">
        <w:rPr>
          <w:color w:val="auto"/>
        </w:rPr>
        <w:t>First Supplemental Indenture</w:t>
      </w:r>
      <w:r w:rsidRPr="00C7390B">
        <w:rPr>
          <w:color w:val="auto"/>
        </w:rPr>
        <w:t xml:space="preserve"> to the account of Cede on the Interest Payment Dates for the </w:t>
      </w:r>
      <w:r w:rsidR="00A00F40">
        <w:rPr>
          <w:color w:val="auto"/>
        </w:rPr>
        <w:t>Series 2025 Bonds</w:t>
      </w:r>
      <w:r w:rsidRPr="00C7390B">
        <w:rPr>
          <w:color w:val="auto"/>
        </w:rPr>
        <w:t xml:space="preserve"> at the address indicated for Cede in the registration books of the Bond Registrar. </w:t>
      </w:r>
    </w:p>
    <w:p w14:paraId="5B226BAC" w14:textId="7010F0B8" w:rsidR="006F40CF" w:rsidRPr="00C7390B" w:rsidRDefault="006F40CF" w:rsidP="003C7D13">
      <w:pPr>
        <w:pStyle w:val="Heading3"/>
        <w:rPr>
          <w:color w:val="auto"/>
        </w:rPr>
      </w:pPr>
      <w:r w:rsidRPr="00C7390B">
        <w:rPr>
          <w:color w:val="auto"/>
        </w:rPr>
        <w:t xml:space="preserve">The </w:t>
      </w:r>
      <w:r w:rsidR="00A00F40">
        <w:rPr>
          <w:color w:val="auto"/>
        </w:rPr>
        <w:t>Series 2025 Bonds</w:t>
      </w:r>
      <w:r w:rsidRPr="00C7390B">
        <w:rPr>
          <w:color w:val="auto"/>
        </w:rPr>
        <w:t xml:space="preserve"> shall be initially issued in the form of a separate single fully registered Bond in the amount of each separate stated maturity of the </w:t>
      </w:r>
      <w:r w:rsidR="00A00F40">
        <w:rPr>
          <w:color w:val="auto"/>
        </w:rPr>
        <w:t>Series 2025 Bonds</w:t>
      </w:r>
      <w:r w:rsidRPr="00C7390B">
        <w:rPr>
          <w:color w:val="auto"/>
        </w:rPr>
        <w:t xml:space="preserve">.  Upon initial issuance, the ownership of each such </w:t>
      </w:r>
      <w:r w:rsidR="00A00F40">
        <w:rPr>
          <w:color w:val="auto"/>
        </w:rPr>
        <w:t>Series 2025</w:t>
      </w:r>
      <w:r w:rsidR="00242F76">
        <w:rPr>
          <w:color w:val="auto"/>
        </w:rPr>
        <w:t xml:space="preserve"> Bond</w:t>
      </w:r>
      <w:r w:rsidRPr="00C7390B">
        <w:rPr>
          <w:color w:val="auto"/>
        </w:rPr>
        <w:t xml:space="preserve"> shall be registered in the registration books of </w:t>
      </w:r>
      <w:r w:rsidR="00EF1B39">
        <w:rPr>
          <w:color w:val="auto"/>
        </w:rPr>
        <w:t>the District</w:t>
      </w:r>
      <w:r w:rsidRPr="00C7390B">
        <w:rPr>
          <w:color w:val="auto"/>
        </w:rPr>
        <w:t xml:space="preserve"> kept by the Registrar, in the name of Cede, as nominee of DTC.  With respect to </w:t>
      </w:r>
      <w:r w:rsidR="00A00F40">
        <w:rPr>
          <w:color w:val="auto"/>
        </w:rPr>
        <w:t>Series 2025 Bonds</w:t>
      </w:r>
      <w:r w:rsidRPr="00C7390B">
        <w:rPr>
          <w:color w:val="auto"/>
        </w:rPr>
        <w:t xml:space="preserve"> so registered in the name of Cede, </w:t>
      </w:r>
      <w:r w:rsidR="00EF1B39">
        <w:rPr>
          <w:color w:val="auto"/>
        </w:rPr>
        <w:t>the District</w:t>
      </w:r>
      <w:r w:rsidRPr="00C7390B">
        <w:rPr>
          <w:color w:val="auto"/>
        </w:rPr>
        <w:t xml:space="preserve">, </w:t>
      </w:r>
      <w:r w:rsidR="00EF1B39">
        <w:rPr>
          <w:color w:val="auto"/>
        </w:rPr>
        <w:t xml:space="preserve">the </w:t>
      </w:r>
      <w:r w:rsidRPr="00C7390B">
        <w:rPr>
          <w:color w:val="auto"/>
        </w:rPr>
        <w:t xml:space="preserve">Registrar and any Paying Agent shall have no responsibility or obligation to any DTC participant or to any beneficial owner of any of such </w:t>
      </w:r>
      <w:r w:rsidR="00A00F40">
        <w:rPr>
          <w:color w:val="auto"/>
        </w:rPr>
        <w:t>Series 2025 Bonds</w:t>
      </w:r>
      <w:r w:rsidRPr="00C7390B">
        <w:rPr>
          <w:color w:val="auto"/>
        </w:rPr>
        <w:t xml:space="preserve">.  Without limiting the immediately preceding sentence, </w:t>
      </w:r>
      <w:r w:rsidR="00EF1B39">
        <w:rPr>
          <w:color w:val="auto"/>
        </w:rPr>
        <w:t xml:space="preserve">the District, the </w:t>
      </w:r>
      <w:r w:rsidRPr="00C7390B">
        <w:rPr>
          <w:color w:val="auto"/>
        </w:rPr>
        <w:t xml:space="preserve">Registrar and any Paying Agent shall have no responsibility or obligation with respect to (i) the accuracy of the records of DTC, Cede or any DTC participant with respect to any beneficial ownership interest in the </w:t>
      </w:r>
      <w:r w:rsidR="00A00F40">
        <w:rPr>
          <w:color w:val="auto"/>
        </w:rPr>
        <w:t>Series 2025 Bonds</w:t>
      </w:r>
      <w:r w:rsidRPr="00C7390B">
        <w:rPr>
          <w:color w:val="auto"/>
        </w:rPr>
        <w:t xml:space="preserve">, (ii) the delivery to any DTC participant, beneficial owner or other person, other than DTC, of any notice with respect to the </w:t>
      </w:r>
      <w:r w:rsidR="00A00F40">
        <w:rPr>
          <w:color w:val="auto"/>
        </w:rPr>
        <w:t>Series 2025 Bonds</w:t>
      </w:r>
      <w:r w:rsidRPr="00C7390B">
        <w:rPr>
          <w:color w:val="auto"/>
        </w:rPr>
        <w:t xml:space="preserve">, including any notice of redemption, or (iii) the payment to any DTC participant, beneficial owner or other person, other than DTC, of any amount with respect to the principal or redemption price of, or interest on, any of the </w:t>
      </w:r>
      <w:r w:rsidR="00A00F40">
        <w:rPr>
          <w:color w:val="auto"/>
        </w:rPr>
        <w:t>Series 2025 Bonds</w:t>
      </w:r>
      <w:r w:rsidRPr="00C7390B">
        <w:rPr>
          <w:color w:val="auto"/>
        </w:rPr>
        <w:t xml:space="preserve">.  </w:t>
      </w:r>
      <w:r w:rsidR="00EF1B39">
        <w:rPr>
          <w:color w:val="auto"/>
        </w:rPr>
        <w:t>The District</w:t>
      </w:r>
      <w:r w:rsidRPr="00C7390B">
        <w:rPr>
          <w:color w:val="auto"/>
        </w:rPr>
        <w:t xml:space="preserve">, the Bond Registrar and any Paying Agent may treat DTC as, and deem DTC to be, absolute owner of each </w:t>
      </w:r>
      <w:r w:rsidR="00A00F40">
        <w:rPr>
          <w:color w:val="auto"/>
        </w:rPr>
        <w:t>Series 2025</w:t>
      </w:r>
      <w:r w:rsidR="00242F76">
        <w:rPr>
          <w:color w:val="auto"/>
        </w:rPr>
        <w:t xml:space="preserve"> Bond</w:t>
      </w:r>
      <w:r w:rsidRPr="00C7390B">
        <w:rPr>
          <w:color w:val="auto"/>
        </w:rPr>
        <w:t xml:space="preserve"> for all purposes whatsoever, including (but not limited to) (1) payment of the principal or redemption price of, and interest on, each </w:t>
      </w:r>
      <w:r w:rsidR="00A00F40">
        <w:rPr>
          <w:color w:val="auto"/>
        </w:rPr>
        <w:t>Series 2025</w:t>
      </w:r>
      <w:r w:rsidR="00242F76">
        <w:rPr>
          <w:color w:val="auto"/>
        </w:rPr>
        <w:t xml:space="preserve"> Bond</w:t>
      </w:r>
      <w:r w:rsidRPr="00C7390B">
        <w:rPr>
          <w:color w:val="auto"/>
        </w:rPr>
        <w:t xml:space="preserve">, (2) giving notices of redemption and other matters with respect to such </w:t>
      </w:r>
      <w:r w:rsidR="00A00F40">
        <w:rPr>
          <w:color w:val="auto"/>
        </w:rPr>
        <w:t>Series 2025 Bonds</w:t>
      </w:r>
      <w:r w:rsidRPr="00C7390B">
        <w:rPr>
          <w:color w:val="auto"/>
        </w:rPr>
        <w:t xml:space="preserve">, and (3) registering transfers with respect to such Bonds.  So long as the </w:t>
      </w:r>
      <w:r w:rsidR="00A00F40">
        <w:rPr>
          <w:color w:val="auto"/>
        </w:rPr>
        <w:t>Series 2025 Bonds</w:t>
      </w:r>
      <w:r w:rsidRPr="00C7390B">
        <w:rPr>
          <w:color w:val="auto"/>
        </w:rPr>
        <w:t xml:space="preserve"> are registered in the name of C</w:t>
      </w:r>
      <w:r w:rsidR="00EF1B39">
        <w:rPr>
          <w:color w:val="auto"/>
        </w:rPr>
        <w:t>ede</w:t>
      </w:r>
      <w:r w:rsidRPr="00C7390B">
        <w:rPr>
          <w:color w:val="auto"/>
        </w:rPr>
        <w:t xml:space="preserve"> &amp; Co., the Paying Agent shall pay the principal or redemption price of, and interest on, all </w:t>
      </w:r>
      <w:r w:rsidR="00A00F40">
        <w:rPr>
          <w:color w:val="auto"/>
        </w:rPr>
        <w:t>Series 2025 Bonds</w:t>
      </w:r>
      <w:r w:rsidRPr="00C7390B">
        <w:rPr>
          <w:color w:val="auto"/>
        </w:rPr>
        <w:t xml:space="preserve"> only to or upon the order of DTC, and all such payments shall be valid and effective to satisfy fully and discharge </w:t>
      </w:r>
      <w:r w:rsidR="00EF1B39">
        <w:rPr>
          <w:color w:val="auto"/>
        </w:rPr>
        <w:t>the District</w:t>
      </w:r>
      <w:r w:rsidRPr="00C7390B">
        <w:rPr>
          <w:color w:val="auto"/>
        </w:rPr>
        <w:t>’s obligations with respect to such principal or redemption price, and interest, to the extent of the sum or sums so paid.  Except as provided in paragraph (c) of this</w:t>
      </w:r>
      <w:r w:rsidR="00FF15FE">
        <w:rPr>
          <w:color w:val="auto"/>
        </w:rPr>
        <w:t xml:space="preserve"> </w:t>
      </w:r>
      <w:r w:rsidR="00FF15FE">
        <w:rPr>
          <w:color w:val="auto"/>
        </w:rPr>
        <w:fldChar w:fldCharType="begin"/>
      </w:r>
      <w:r w:rsidR="00FF15FE">
        <w:rPr>
          <w:color w:val="auto"/>
        </w:rPr>
        <w:instrText xml:space="preserve"> REF _Ref76628700 \r \h </w:instrText>
      </w:r>
      <w:r w:rsidR="00FF15FE">
        <w:rPr>
          <w:color w:val="auto"/>
        </w:rPr>
      </w:r>
      <w:r w:rsidR="00FF15FE">
        <w:rPr>
          <w:color w:val="auto"/>
        </w:rPr>
        <w:fldChar w:fldCharType="separate"/>
      </w:r>
      <w:r w:rsidR="00BE4F3C">
        <w:rPr>
          <w:color w:val="auto"/>
        </w:rPr>
        <w:t>Section 2.6</w:t>
      </w:r>
      <w:r w:rsidR="00FF15FE">
        <w:rPr>
          <w:color w:val="auto"/>
        </w:rPr>
        <w:fldChar w:fldCharType="end"/>
      </w:r>
      <w:r w:rsidRPr="00C7390B">
        <w:rPr>
          <w:color w:val="auto"/>
        </w:rPr>
        <w:t xml:space="preserve">, no person other than DTC shall receive a Bond evidencing the obligation of </w:t>
      </w:r>
      <w:r w:rsidR="00EF1B39">
        <w:rPr>
          <w:color w:val="auto"/>
        </w:rPr>
        <w:t>the District</w:t>
      </w:r>
      <w:r w:rsidRPr="00C7390B">
        <w:rPr>
          <w:color w:val="auto"/>
        </w:rPr>
        <w:t xml:space="preserve"> to make payments of principal or redemption price of, and interest on, any such Bond pursuant to this </w:t>
      </w:r>
      <w:r w:rsidR="00F674A6">
        <w:rPr>
          <w:color w:val="auto"/>
        </w:rPr>
        <w:t>First Supplemental Indenture</w:t>
      </w:r>
      <w:r w:rsidRPr="00C7390B">
        <w:rPr>
          <w:color w:val="auto"/>
        </w:rPr>
        <w:t xml:space="preserve">.  Upon delivery by DTC to the Registrar of written notice to the effect that DTC has determined to substitute a new </w:t>
      </w:r>
      <w:r w:rsidRPr="00C7390B">
        <w:rPr>
          <w:color w:val="auto"/>
        </w:rPr>
        <w:lastRenderedPageBreak/>
        <w:t xml:space="preserve">nominee in place of Cede, and subject to the transfer provisions of this </w:t>
      </w:r>
      <w:r w:rsidR="00F674A6">
        <w:rPr>
          <w:color w:val="auto"/>
        </w:rPr>
        <w:t>First Supplemental Indenture</w:t>
      </w:r>
      <w:r w:rsidRPr="00C7390B">
        <w:rPr>
          <w:color w:val="auto"/>
        </w:rPr>
        <w:t xml:space="preserve">, the word “Cede” in this </w:t>
      </w:r>
      <w:r w:rsidR="00F674A6">
        <w:rPr>
          <w:color w:val="auto"/>
        </w:rPr>
        <w:t>First Supplemental Indenture</w:t>
      </w:r>
      <w:r w:rsidRPr="00C7390B">
        <w:rPr>
          <w:color w:val="auto"/>
        </w:rPr>
        <w:t xml:space="preserve"> shall refer to such new nominee of DTC.</w:t>
      </w:r>
    </w:p>
    <w:p w14:paraId="52899AD2" w14:textId="1CA94C9D" w:rsidR="006F40CF" w:rsidRPr="00C7390B" w:rsidRDefault="006F40CF" w:rsidP="006F40CF">
      <w:pPr>
        <w:pStyle w:val="Heading3"/>
        <w:tabs>
          <w:tab w:val="left" w:pos="2160"/>
        </w:tabs>
        <w:rPr>
          <w:color w:val="auto"/>
        </w:rPr>
      </w:pPr>
      <w:r w:rsidRPr="00C7390B">
        <w:rPr>
          <w:color w:val="auto"/>
        </w:rPr>
        <w:t>Except as provided in paragraph (d)(iii) of this</w:t>
      </w:r>
      <w:r w:rsidR="00FF15FE">
        <w:rPr>
          <w:color w:val="auto"/>
        </w:rPr>
        <w:t xml:space="preserve"> </w:t>
      </w:r>
      <w:r w:rsidR="00FF15FE">
        <w:rPr>
          <w:color w:val="auto"/>
        </w:rPr>
        <w:fldChar w:fldCharType="begin"/>
      </w:r>
      <w:r w:rsidR="00FF15FE">
        <w:rPr>
          <w:color w:val="auto"/>
        </w:rPr>
        <w:instrText xml:space="preserve"> REF _Ref76628742 \r \h </w:instrText>
      </w:r>
      <w:r w:rsidR="00FF15FE">
        <w:rPr>
          <w:color w:val="auto"/>
        </w:rPr>
      </w:r>
      <w:r w:rsidR="00FF15FE">
        <w:rPr>
          <w:color w:val="auto"/>
        </w:rPr>
        <w:fldChar w:fldCharType="separate"/>
      </w:r>
      <w:r w:rsidR="00BE4F3C">
        <w:rPr>
          <w:color w:val="auto"/>
        </w:rPr>
        <w:t>Section 2.6</w:t>
      </w:r>
      <w:r w:rsidR="00FF15FE">
        <w:rPr>
          <w:color w:val="auto"/>
        </w:rPr>
        <w:fldChar w:fldCharType="end"/>
      </w:r>
      <w:r w:rsidRPr="00C7390B">
        <w:rPr>
          <w:color w:val="auto"/>
        </w:rPr>
        <w:t xml:space="preserve">, and notwithstanding any other provisions of this </w:t>
      </w:r>
      <w:r w:rsidR="00F674A6">
        <w:rPr>
          <w:color w:val="auto"/>
        </w:rPr>
        <w:t>First Supplemental Indenture</w:t>
      </w:r>
      <w:r w:rsidRPr="00C7390B">
        <w:rPr>
          <w:color w:val="auto"/>
        </w:rPr>
        <w:t xml:space="preserve">, the </w:t>
      </w:r>
      <w:r w:rsidR="00A00F40">
        <w:rPr>
          <w:color w:val="auto"/>
        </w:rPr>
        <w:t>Series 2025 Bonds</w:t>
      </w:r>
      <w:r w:rsidRPr="00C7390B">
        <w:rPr>
          <w:color w:val="auto"/>
        </w:rPr>
        <w:t xml:space="preserve"> may be transferred, in whole but not in part, only to a nominee of DTC, or by a nominee of DTC to DTC or a nominee of DTC, or by DTC or a nominee of DTC to any successor securities depository or any nominee thereof.</w:t>
      </w:r>
    </w:p>
    <w:p w14:paraId="0405555E" w14:textId="23074D1A" w:rsidR="006F40CF" w:rsidRPr="00C7390B" w:rsidRDefault="006F40CF" w:rsidP="006F40CF">
      <w:pPr>
        <w:pStyle w:val="Heading3"/>
        <w:tabs>
          <w:tab w:val="left" w:pos="2160"/>
        </w:tabs>
        <w:rPr>
          <w:color w:val="auto"/>
        </w:rPr>
      </w:pPr>
      <w:r w:rsidRPr="00C7390B">
        <w:rPr>
          <w:color w:val="auto"/>
        </w:rPr>
        <w:t xml:space="preserve">(i)  DTC may determine to discontinue providing its services with respect to the </w:t>
      </w:r>
      <w:r w:rsidR="00A00F40">
        <w:rPr>
          <w:color w:val="auto"/>
        </w:rPr>
        <w:t>Series 2025 Bonds</w:t>
      </w:r>
      <w:r w:rsidRPr="00C7390B">
        <w:rPr>
          <w:color w:val="auto"/>
        </w:rPr>
        <w:t xml:space="preserve"> at any time by giving written notice to </w:t>
      </w:r>
      <w:r w:rsidR="00EF1B39">
        <w:rPr>
          <w:color w:val="auto"/>
        </w:rPr>
        <w:t>the District</w:t>
      </w:r>
      <w:r w:rsidRPr="00C7390B">
        <w:rPr>
          <w:color w:val="auto"/>
        </w:rPr>
        <w:t xml:space="preserve">, the Registrar, and the Paying Agent, which notice shall certify that DTC has discharged its responsibilities with respect to the </w:t>
      </w:r>
      <w:r w:rsidR="00A00F40">
        <w:rPr>
          <w:color w:val="auto"/>
        </w:rPr>
        <w:t>Series 2025 Bonds</w:t>
      </w:r>
      <w:r w:rsidRPr="00C7390B">
        <w:rPr>
          <w:color w:val="auto"/>
        </w:rPr>
        <w:t xml:space="preserve"> under applicable law.</w:t>
      </w:r>
    </w:p>
    <w:p w14:paraId="5BA899EA" w14:textId="60A09C99" w:rsidR="006F40CF" w:rsidRPr="00C7390B" w:rsidRDefault="00EF1B39" w:rsidP="006F40CF">
      <w:pPr>
        <w:pStyle w:val="Heading4"/>
        <w:numPr>
          <w:ilvl w:val="3"/>
          <w:numId w:val="23"/>
        </w:numPr>
        <w:tabs>
          <w:tab w:val="num" w:pos="2160"/>
        </w:tabs>
        <w:ind w:left="720"/>
        <w:rPr>
          <w:color w:val="auto"/>
        </w:rPr>
      </w:pPr>
      <w:r>
        <w:rPr>
          <w:color w:val="auto"/>
        </w:rPr>
        <w:t>The District</w:t>
      </w:r>
      <w:r w:rsidR="006F40CF" w:rsidRPr="00C7390B">
        <w:rPr>
          <w:color w:val="auto"/>
        </w:rPr>
        <w:t xml:space="preserve">, in its sole discretion and without the consent of any other person, may, by notice to the Registrar, terminate the services of DTC with respect to the </w:t>
      </w:r>
      <w:r w:rsidR="00A00F40">
        <w:rPr>
          <w:color w:val="auto"/>
        </w:rPr>
        <w:t>Series 2025 Bonds</w:t>
      </w:r>
      <w:r w:rsidR="006F40CF" w:rsidRPr="00C7390B">
        <w:rPr>
          <w:color w:val="auto"/>
        </w:rPr>
        <w:t xml:space="preserve"> if </w:t>
      </w:r>
      <w:r>
        <w:rPr>
          <w:color w:val="auto"/>
        </w:rPr>
        <w:t>the District</w:t>
      </w:r>
      <w:r w:rsidR="006F40CF" w:rsidRPr="00C7390B">
        <w:rPr>
          <w:color w:val="auto"/>
        </w:rPr>
        <w:t xml:space="preserve"> determines that the continuation of the system of book-entry-only transfers through DTC is not in the best interests of the beneficial owners of the </w:t>
      </w:r>
      <w:r w:rsidR="00A00F40">
        <w:rPr>
          <w:color w:val="auto"/>
        </w:rPr>
        <w:t>Series 2025 Bonds</w:t>
      </w:r>
      <w:r w:rsidR="006F40CF" w:rsidRPr="00C7390B">
        <w:rPr>
          <w:color w:val="auto"/>
        </w:rPr>
        <w:t xml:space="preserve"> or </w:t>
      </w:r>
      <w:r>
        <w:rPr>
          <w:color w:val="auto"/>
        </w:rPr>
        <w:t>the District</w:t>
      </w:r>
      <w:r w:rsidR="006F40CF" w:rsidRPr="00C7390B">
        <w:rPr>
          <w:color w:val="auto"/>
        </w:rPr>
        <w:t xml:space="preserve">; and </w:t>
      </w:r>
      <w:r>
        <w:rPr>
          <w:color w:val="auto"/>
        </w:rPr>
        <w:t>the District</w:t>
      </w:r>
      <w:r w:rsidR="006F40CF" w:rsidRPr="00C7390B">
        <w:rPr>
          <w:color w:val="auto"/>
        </w:rPr>
        <w:t xml:space="preserve"> shall, by notice to the Registrar, terminate the services of DTC with respect to the </w:t>
      </w:r>
      <w:r w:rsidR="00A00F40">
        <w:rPr>
          <w:color w:val="auto"/>
        </w:rPr>
        <w:t>Series 2025 Bonds</w:t>
      </w:r>
      <w:r w:rsidR="006F40CF" w:rsidRPr="00C7390B">
        <w:rPr>
          <w:color w:val="auto"/>
        </w:rPr>
        <w:t xml:space="preserve"> upon receipt by </w:t>
      </w:r>
      <w:r>
        <w:rPr>
          <w:color w:val="auto"/>
        </w:rPr>
        <w:t>the District</w:t>
      </w:r>
      <w:r w:rsidR="006F40CF" w:rsidRPr="00C7390B">
        <w:rPr>
          <w:color w:val="auto"/>
        </w:rPr>
        <w:t xml:space="preserve">, the Registrar, and the Paying Agent of written notice from DTC to the effect that DTC has received written notice from DTC participants having interests, as shown in the records of DTC, in an aggregate principal amount of not less than fifty percent (50%) of the aggregate principal amount of the then outstanding </w:t>
      </w:r>
      <w:r w:rsidR="00A00F40">
        <w:rPr>
          <w:color w:val="auto"/>
        </w:rPr>
        <w:t>Series 2025 Bonds</w:t>
      </w:r>
      <w:r w:rsidR="006F40CF" w:rsidRPr="00C7390B">
        <w:rPr>
          <w:color w:val="auto"/>
        </w:rPr>
        <w:t xml:space="preserve"> to the effect that:  (1) DTC is unable to discharge its responsibilities with respect to the </w:t>
      </w:r>
      <w:r w:rsidR="00A00F40">
        <w:rPr>
          <w:color w:val="auto"/>
        </w:rPr>
        <w:t>Series 2025 Bonds</w:t>
      </w:r>
      <w:r w:rsidR="006F40CF" w:rsidRPr="00C7390B">
        <w:rPr>
          <w:color w:val="auto"/>
        </w:rPr>
        <w:t xml:space="preserve">; or (2) a continuation of the requirement that all of the outstanding </w:t>
      </w:r>
      <w:r w:rsidR="00A00F40">
        <w:rPr>
          <w:color w:val="auto"/>
        </w:rPr>
        <w:t>Series 2025 Bonds</w:t>
      </w:r>
      <w:r w:rsidR="006F40CF" w:rsidRPr="00C7390B">
        <w:rPr>
          <w:color w:val="auto"/>
        </w:rPr>
        <w:t xml:space="preserve"> be registered in the registration books kept by the Registrar in the name of Cede, as nominee of DTC, is not in the best interests of the beneficial owners of the </w:t>
      </w:r>
      <w:r w:rsidR="00A00F40">
        <w:rPr>
          <w:color w:val="auto"/>
        </w:rPr>
        <w:t>Series 2025 Bonds</w:t>
      </w:r>
      <w:r w:rsidR="006F40CF" w:rsidRPr="00C7390B">
        <w:rPr>
          <w:color w:val="auto"/>
        </w:rPr>
        <w:t>.</w:t>
      </w:r>
    </w:p>
    <w:p w14:paraId="6E258AA2" w14:textId="0BB3255A" w:rsidR="006F40CF" w:rsidRPr="00C7390B" w:rsidRDefault="006F40CF" w:rsidP="006F40CF">
      <w:pPr>
        <w:pStyle w:val="Heading4"/>
        <w:numPr>
          <w:ilvl w:val="3"/>
          <w:numId w:val="23"/>
        </w:numPr>
        <w:tabs>
          <w:tab w:val="num" w:pos="2160"/>
        </w:tabs>
        <w:ind w:left="720"/>
        <w:rPr>
          <w:color w:val="auto"/>
        </w:rPr>
      </w:pPr>
      <w:r w:rsidRPr="00C7390B">
        <w:rPr>
          <w:color w:val="auto"/>
        </w:rPr>
        <w:t xml:space="preserve">Upon the termination of the services of DTC with respect to the </w:t>
      </w:r>
      <w:r w:rsidR="00A00F40">
        <w:rPr>
          <w:color w:val="auto"/>
        </w:rPr>
        <w:t>Series 2025 Bonds</w:t>
      </w:r>
      <w:r w:rsidRPr="00C7390B">
        <w:rPr>
          <w:color w:val="auto"/>
        </w:rPr>
        <w:t xml:space="preserve"> pursuant to subsection (d)(ii)(2) hereof, or upon the discontinuance or termination of the services of DTC with respect to the </w:t>
      </w:r>
      <w:r w:rsidR="00A00F40">
        <w:rPr>
          <w:color w:val="auto"/>
        </w:rPr>
        <w:t>Series 2025 Bonds</w:t>
      </w:r>
      <w:r w:rsidRPr="00C7390B">
        <w:rPr>
          <w:color w:val="auto"/>
        </w:rPr>
        <w:t xml:space="preserve"> pursuant to subsection (d)(i) or subsection (d)(ii)(1) hereof </w:t>
      </w:r>
      <w:r w:rsidR="00EF1B39">
        <w:rPr>
          <w:color w:val="auto"/>
        </w:rPr>
        <w:t>the District</w:t>
      </w:r>
      <w:r w:rsidRPr="00C7390B">
        <w:rPr>
          <w:color w:val="auto"/>
        </w:rPr>
        <w:t xml:space="preserve"> may within 90 days thereafter appoint a substitute securities depository which, in the opinion of </w:t>
      </w:r>
      <w:r w:rsidR="00EF1B39">
        <w:rPr>
          <w:color w:val="auto"/>
        </w:rPr>
        <w:t>the District</w:t>
      </w:r>
      <w:r w:rsidRPr="00C7390B">
        <w:rPr>
          <w:color w:val="auto"/>
        </w:rPr>
        <w:t xml:space="preserve">, is willing and able to undertake the functions of DTC hereunder upon reasonable and customary terms.  If no such successor can be found within such period, the </w:t>
      </w:r>
      <w:r w:rsidR="00A00F40">
        <w:rPr>
          <w:color w:val="auto"/>
        </w:rPr>
        <w:t>Series 2025 Bonds</w:t>
      </w:r>
      <w:r w:rsidRPr="00C7390B">
        <w:rPr>
          <w:color w:val="auto"/>
        </w:rPr>
        <w:t xml:space="preserve"> shall no longer be restricted to being registered in the registration books kept by the Registrar in the name of Cede, as nominee of DTC.  In such event, </w:t>
      </w:r>
      <w:r w:rsidR="00EF1B39">
        <w:rPr>
          <w:color w:val="auto"/>
        </w:rPr>
        <w:t>the District</w:t>
      </w:r>
      <w:r w:rsidRPr="00C7390B">
        <w:rPr>
          <w:color w:val="auto"/>
        </w:rPr>
        <w:t xml:space="preserve"> shall execute and the Registrar shall authenticate </w:t>
      </w:r>
      <w:r w:rsidR="00A00F40">
        <w:rPr>
          <w:color w:val="auto"/>
        </w:rPr>
        <w:t>Series 2025</w:t>
      </w:r>
      <w:r w:rsidR="00242F76">
        <w:rPr>
          <w:color w:val="auto"/>
        </w:rPr>
        <w:t xml:space="preserve"> Bond</w:t>
      </w:r>
      <w:r w:rsidRPr="00C7390B">
        <w:rPr>
          <w:color w:val="auto"/>
        </w:rPr>
        <w:t xml:space="preserve"> certificates as requested by DTC of like principal amount, maturity and Series, in authorized denominations to the identifiable beneficial owners in replacement of such beneficial owners' beneficial interest in the </w:t>
      </w:r>
      <w:r w:rsidR="00A00F40">
        <w:rPr>
          <w:color w:val="auto"/>
        </w:rPr>
        <w:t>Series 2025 Bonds</w:t>
      </w:r>
      <w:r w:rsidRPr="00C7390B">
        <w:rPr>
          <w:color w:val="auto"/>
        </w:rPr>
        <w:t>.</w:t>
      </w:r>
    </w:p>
    <w:p w14:paraId="314466E2" w14:textId="139A4284" w:rsidR="006F40CF" w:rsidRPr="00C7390B" w:rsidRDefault="006F40CF" w:rsidP="006F40CF">
      <w:pPr>
        <w:pStyle w:val="Heading4"/>
        <w:numPr>
          <w:ilvl w:val="3"/>
          <w:numId w:val="23"/>
        </w:numPr>
        <w:tabs>
          <w:tab w:val="num" w:pos="2160"/>
        </w:tabs>
        <w:ind w:left="720"/>
        <w:rPr>
          <w:color w:val="auto"/>
        </w:rPr>
      </w:pPr>
      <w:r w:rsidRPr="00C7390B">
        <w:rPr>
          <w:color w:val="auto"/>
        </w:rPr>
        <w:t xml:space="preserve">Notwithstanding any other provision of this </w:t>
      </w:r>
      <w:r w:rsidR="00F674A6">
        <w:rPr>
          <w:color w:val="auto"/>
        </w:rPr>
        <w:t>First Supplemental Indenture</w:t>
      </w:r>
      <w:r w:rsidRPr="00C7390B">
        <w:rPr>
          <w:color w:val="auto"/>
        </w:rPr>
        <w:t xml:space="preserve"> to the contrary, so long as any </w:t>
      </w:r>
      <w:r w:rsidR="00A00F40">
        <w:rPr>
          <w:color w:val="auto"/>
        </w:rPr>
        <w:t>Series 2025</w:t>
      </w:r>
      <w:r w:rsidR="00242F76">
        <w:rPr>
          <w:color w:val="auto"/>
        </w:rPr>
        <w:t xml:space="preserve"> Bond</w:t>
      </w:r>
      <w:r w:rsidRPr="00C7390B">
        <w:rPr>
          <w:color w:val="auto"/>
        </w:rPr>
        <w:t xml:space="preserve"> is registered in the name of Cede, as nominee of DTC, all payments with respect to the principal or redemption price of, and </w:t>
      </w:r>
      <w:r w:rsidRPr="00C7390B">
        <w:rPr>
          <w:color w:val="auto"/>
        </w:rPr>
        <w:lastRenderedPageBreak/>
        <w:t xml:space="preserve">interest on, such </w:t>
      </w:r>
      <w:r w:rsidR="00A00F40">
        <w:rPr>
          <w:color w:val="auto"/>
        </w:rPr>
        <w:t>Series 2025</w:t>
      </w:r>
      <w:r w:rsidR="00242F76">
        <w:rPr>
          <w:color w:val="auto"/>
        </w:rPr>
        <w:t xml:space="preserve"> Bond</w:t>
      </w:r>
      <w:r w:rsidRPr="00C7390B">
        <w:rPr>
          <w:color w:val="auto"/>
        </w:rPr>
        <w:t xml:space="preserve"> and all notices with respect to such </w:t>
      </w:r>
      <w:r w:rsidR="00A00F40">
        <w:rPr>
          <w:color w:val="auto"/>
        </w:rPr>
        <w:t>Series 2025</w:t>
      </w:r>
      <w:r w:rsidR="00242F76">
        <w:rPr>
          <w:color w:val="auto"/>
        </w:rPr>
        <w:t xml:space="preserve"> Bond</w:t>
      </w:r>
      <w:r w:rsidRPr="00C7390B">
        <w:rPr>
          <w:color w:val="auto"/>
        </w:rPr>
        <w:t xml:space="preserve"> shall be made and given, respectively, to DTC.</w:t>
      </w:r>
    </w:p>
    <w:p w14:paraId="282BB3A9" w14:textId="42ECBC78" w:rsidR="006F40CF" w:rsidRPr="00C7390B" w:rsidRDefault="006F40CF" w:rsidP="006F40CF">
      <w:pPr>
        <w:pStyle w:val="Heading4"/>
        <w:numPr>
          <w:ilvl w:val="3"/>
          <w:numId w:val="23"/>
        </w:numPr>
        <w:tabs>
          <w:tab w:val="num" w:pos="2160"/>
        </w:tabs>
        <w:ind w:left="720"/>
        <w:rPr>
          <w:color w:val="auto"/>
        </w:rPr>
      </w:pPr>
      <w:r w:rsidRPr="00C7390B">
        <w:rPr>
          <w:color w:val="auto"/>
        </w:rPr>
        <w:t xml:space="preserve">In connection with any notice or other communication to be provided to </w:t>
      </w:r>
      <w:r w:rsidR="00DF2ADC">
        <w:rPr>
          <w:color w:val="auto"/>
        </w:rPr>
        <w:t>Bondh</w:t>
      </w:r>
      <w:r w:rsidRPr="00C7390B">
        <w:rPr>
          <w:color w:val="auto"/>
        </w:rPr>
        <w:t xml:space="preserve">olders of </w:t>
      </w:r>
      <w:r w:rsidR="00A00F40">
        <w:rPr>
          <w:color w:val="auto"/>
        </w:rPr>
        <w:t>Series 2025 Bonds</w:t>
      </w:r>
      <w:r w:rsidRPr="00C7390B">
        <w:rPr>
          <w:color w:val="auto"/>
        </w:rPr>
        <w:t xml:space="preserve"> registered in the name of Cede pursuant to this </w:t>
      </w:r>
      <w:r w:rsidR="00F674A6">
        <w:rPr>
          <w:color w:val="auto"/>
        </w:rPr>
        <w:t>First Supplemental Indenture</w:t>
      </w:r>
      <w:r w:rsidRPr="00C7390B">
        <w:rPr>
          <w:color w:val="auto"/>
        </w:rPr>
        <w:t xml:space="preserve"> by </w:t>
      </w:r>
      <w:r w:rsidR="00EF1B39">
        <w:rPr>
          <w:color w:val="auto"/>
        </w:rPr>
        <w:t>the District</w:t>
      </w:r>
      <w:r w:rsidRPr="00C7390B">
        <w:rPr>
          <w:color w:val="auto"/>
        </w:rPr>
        <w:t xml:space="preserve"> or the Registrar with respect to any consent or other action to be taken by such </w:t>
      </w:r>
      <w:r w:rsidR="00DF2ADC">
        <w:rPr>
          <w:color w:val="auto"/>
        </w:rPr>
        <w:t>Bondh</w:t>
      </w:r>
      <w:r w:rsidRPr="00C7390B">
        <w:rPr>
          <w:color w:val="auto"/>
        </w:rPr>
        <w:t xml:space="preserve">olders, </w:t>
      </w:r>
      <w:r w:rsidR="00EF1B39">
        <w:rPr>
          <w:color w:val="auto"/>
        </w:rPr>
        <w:t>the District</w:t>
      </w:r>
      <w:r w:rsidRPr="00C7390B">
        <w:rPr>
          <w:color w:val="auto"/>
        </w:rPr>
        <w:t xml:space="preserve"> shall establish a record date for such consent or other action by such </w:t>
      </w:r>
      <w:r w:rsidR="00DF2ADC">
        <w:rPr>
          <w:color w:val="auto"/>
        </w:rPr>
        <w:t>Bondh</w:t>
      </w:r>
      <w:r w:rsidRPr="00C7390B">
        <w:rPr>
          <w:color w:val="auto"/>
        </w:rPr>
        <w:t>olders and give DTC notice of such record date not less than fifteen (15) days in advance of such record date to the extent possible.</w:t>
      </w:r>
    </w:p>
    <w:p w14:paraId="2F981FC8" w14:textId="1E21E1F1" w:rsidR="006F40CF" w:rsidRPr="00C7390B" w:rsidRDefault="00A00F40" w:rsidP="001E66AA">
      <w:pPr>
        <w:pStyle w:val="Heading2"/>
        <w:rPr>
          <w:vanish/>
          <w:color w:val="auto"/>
          <w:u w:val="none"/>
          <w:specVanish/>
        </w:rPr>
      </w:pPr>
      <w:bookmarkStart w:id="149" w:name="_Toc207106962"/>
      <w:r>
        <w:rPr>
          <w:color w:val="auto"/>
        </w:rPr>
        <w:t>Series 2025 Bonds</w:t>
      </w:r>
      <w:r w:rsidR="006F40CF" w:rsidRPr="00C7390B">
        <w:rPr>
          <w:color w:val="auto"/>
        </w:rPr>
        <w:t xml:space="preserve"> as Initial Bonds</w:t>
      </w:r>
      <w:bookmarkEnd w:id="149"/>
    </w:p>
    <w:p w14:paraId="7A07F6C5" w14:textId="45BC27DA" w:rsidR="006F40CF" w:rsidRDefault="006F40CF" w:rsidP="00CC3745">
      <w:pPr>
        <w:pStyle w:val="00BodyText5"/>
        <w:rPr>
          <w:rStyle w:val="00BodyText5Char"/>
        </w:rPr>
      </w:pPr>
      <w:bookmarkStart w:id="150" w:name="_Toc76568346"/>
      <w:r w:rsidRPr="00C7390B">
        <w:t xml:space="preserve">.  </w:t>
      </w:r>
      <w:r w:rsidRPr="00C7390B">
        <w:rPr>
          <w:rStyle w:val="00BodyText5Char"/>
        </w:rPr>
        <w:t xml:space="preserve">The </w:t>
      </w:r>
      <w:r w:rsidR="00A00F40">
        <w:rPr>
          <w:rStyle w:val="00BodyText5Char"/>
        </w:rPr>
        <w:t>Series 2025 Bonds</w:t>
      </w:r>
      <w:r w:rsidRPr="00C7390B">
        <w:rPr>
          <w:rStyle w:val="00BodyText5Char"/>
        </w:rPr>
        <w:t xml:space="preserve"> are issued as the Initial Bonds under the </w:t>
      </w:r>
      <w:r w:rsidR="00F674A6">
        <w:rPr>
          <w:rStyle w:val="00BodyText5Char"/>
        </w:rPr>
        <w:t>General Indenture</w:t>
      </w:r>
      <w:r w:rsidRPr="00C7390B">
        <w:rPr>
          <w:rStyle w:val="00BodyText5Char"/>
        </w:rPr>
        <w:t>.</w:t>
      </w:r>
      <w:bookmarkEnd w:id="150"/>
    </w:p>
    <w:p w14:paraId="3E69E649" w14:textId="4BD3EEBC" w:rsidR="000A4E8B" w:rsidRPr="005F4AA1" w:rsidRDefault="000A4E8B" w:rsidP="000A4E8B">
      <w:pPr>
        <w:pStyle w:val="Heading2"/>
        <w:rPr>
          <w:vanish/>
          <w:color w:val="auto"/>
          <w:u w:val="none"/>
          <w:specVanish/>
        </w:rPr>
      </w:pPr>
      <w:bookmarkStart w:id="151" w:name="_Toc207106963"/>
      <w:r>
        <w:rPr>
          <w:color w:val="auto"/>
        </w:rPr>
        <w:t xml:space="preserve">Discharge on </w:t>
      </w:r>
      <w:r w:rsidR="00B75CD2">
        <w:rPr>
          <w:color w:val="auto"/>
        </w:rPr>
        <w:t>[___] 1</w:t>
      </w:r>
      <w:r>
        <w:rPr>
          <w:color w:val="auto"/>
        </w:rPr>
        <w:t>, 20</w:t>
      </w:r>
      <w:r w:rsidR="001646E5">
        <w:rPr>
          <w:color w:val="auto"/>
        </w:rPr>
        <w:t>[</w:t>
      </w:r>
      <w:r>
        <w:rPr>
          <w:color w:val="auto"/>
        </w:rPr>
        <w:t>65</w:t>
      </w:r>
      <w:r w:rsidR="001646E5">
        <w:rPr>
          <w:color w:val="auto"/>
        </w:rPr>
        <w:t>]</w:t>
      </w:r>
      <w:r w:rsidRPr="005F4AA1">
        <w:rPr>
          <w:color w:val="auto"/>
          <w:u w:val="none"/>
        </w:rPr>
        <w:t>.</w:t>
      </w:r>
      <w:bookmarkEnd w:id="151"/>
    </w:p>
    <w:p w14:paraId="20E693E7" w14:textId="6C76EFE1" w:rsidR="000A4E8B" w:rsidRPr="00C7390B" w:rsidRDefault="000A4E8B" w:rsidP="00013B8F">
      <w:pPr>
        <w:pStyle w:val="00BodyText5"/>
        <w:ind w:firstLine="0"/>
      </w:pPr>
      <w:r w:rsidRPr="00C7390B">
        <w:t xml:space="preserve"> </w:t>
      </w:r>
      <w:r>
        <w:t xml:space="preserve"> </w:t>
      </w:r>
      <w:r w:rsidRPr="002A1921">
        <w:t xml:space="preserve">Notwithstanding any other provision in this Indenture, in the event that any amount of principal of or interest on the </w:t>
      </w:r>
      <w:r w:rsidR="00A00F40">
        <w:t>Series 2025 Bonds</w:t>
      </w:r>
      <w:r w:rsidRPr="002A1921">
        <w:t xml:space="preserve"> remains unpaid after the application of all </w:t>
      </w:r>
      <w:r w:rsidR="00F674A6">
        <w:t>Pledged Revenues</w:t>
      </w:r>
      <w:r w:rsidRPr="002A1921">
        <w:t xml:space="preserve"> available therefor on </w:t>
      </w:r>
      <w:r w:rsidR="00B75CD2">
        <w:t>[___] 1</w:t>
      </w:r>
      <w:r w:rsidRPr="002A1921">
        <w:t>, 20</w:t>
      </w:r>
      <w:r w:rsidR="001646E5">
        <w:t>[</w:t>
      </w:r>
      <w:r w:rsidRPr="002A1921">
        <w:t>65</w:t>
      </w:r>
      <w:r w:rsidR="001646E5">
        <w:t>]</w:t>
      </w:r>
      <w:r w:rsidRPr="002A1921">
        <w:t xml:space="preserve">, the </w:t>
      </w:r>
      <w:r w:rsidR="00A00F40">
        <w:t>Series 2025 Bonds</w:t>
      </w:r>
      <w:r w:rsidRPr="002A1921">
        <w:t xml:space="preserve"> and the lien of this Indenture securing payment thereof shall be deemed discharged, the estate and rights hereby granted shall cease, terminate, and be void, and thereupon the Trustee shall cancel and discharge the lien of this Indenture, and execute and deliver to the District such instruments in writing as shall be required to evidence the same.  Upon such discharge, the Owners will have no recourse to the District or any property of the District for the payment of any amount of principal of or interest on the </w:t>
      </w:r>
      <w:r w:rsidR="00A00F40">
        <w:t>Series 2025 Bonds</w:t>
      </w:r>
      <w:r w:rsidRPr="002A1921">
        <w:t xml:space="preserve"> remaining unpaid</w:t>
      </w:r>
      <w:r w:rsidRPr="00C7390B">
        <w:rPr>
          <w:rStyle w:val="00BodyText5Char"/>
        </w:rPr>
        <w:t>.</w:t>
      </w:r>
      <w:r w:rsidR="00013B8F">
        <w:rPr>
          <w:rStyle w:val="00BodyText5Char"/>
        </w:rPr>
        <w:t xml:space="preserve">  </w:t>
      </w:r>
    </w:p>
    <w:p w14:paraId="1E92EFD6" w14:textId="77777777" w:rsidR="006F40CF" w:rsidRPr="00C7390B" w:rsidRDefault="006F40CF">
      <w:pPr>
        <w:rPr>
          <w:rFonts w:eastAsiaTheme="majorEastAsia" w:cs="Times New Roman"/>
          <w:bCs/>
          <w:caps/>
          <w:szCs w:val="28"/>
        </w:rPr>
      </w:pPr>
      <w:r w:rsidRPr="00C7390B">
        <w:br w:type="page"/>
      </w:r>
    </w:p>
    <w:p w14:paraId="0607996C" w14:textId="77777777" w:rsidR="006F40CF" w:rsidRPr="00C7390B" w:rsidRDefault="006F40CF" w:rsidP="006F40CF">
      <w:pPr>
        <w:pStyle w:val="Heading1"/>
        <w:rPr>
          <w:color w:val="auto"/>
        </w:rPr>
      </w:pPr>
      <w:bookmarkStart w:id="152" w:name="_Toc76568347"/>
      <w:bookmarkStart w:id="153" w:name="_Toc76589672"/>
      <w:bookmarkStart w:id="154" w:name="_Toc78464833"/>
      <w:bookmarkStart w:id="155" w:name="_Toc80907449"/>
      <w:bookmarkStart w:id="156" w:name="_Toc81310957"/>
      <w:bookmarkStart w:id="157" w:name="_Toc182327806"/>
      <w:bookmarkStart w:id="158" w:name="_Toc182327834"/>
      <w:bookmarkStart w:id="159" w:name="_Toc182412336"/>
      <w:bookmarkStart w:id="160" w:name="_Toc182470906"/>
      <w:bookmarkStart w:id="161" w:name="_Toc182903834"/>
      <w:bookmarkStart w:id="162" w:name="_Toc182990804"/>
      <w:bookmarkStart w:id="163" w:name="_Toc183085115"/>
      <w:bookmarkStart w:id="164" w:name="_Toc183101980"/>
      <w:bookmarkStart w:id="165" w:name="_Toc183159164"/>
      <w:bookmarkStart w:id="166" w:name="_Toc184131113"/>
      <w:bookmarkStart w:id="167" w:name="_Toc184132483"/>
      <w:bookmarkStart w:id="168" w:name="_Toc184207089"/>
      <w:bookmarkStart w:id="169" w:name="_Toc184207133"/>
      <w:bookmarkStart w:id="170" w:name="_Toc184207164"/>
      <w:bookmarkStart w:id="171" w:name="_Toc184207245"/>
      <w:bookmarkStart w:id="172" w:name="_Toc184207283"/>
      <w:bookmarkStart w:id="173" w:name="_Toc184223345"/>
      <w:bookmarkStart w:id="174" w:name="_Toc184228658"/>
      <w:bookmarkStart w:id="175" w:name="_Toc207106964"/>
      <w:r w:rsidRPr="00C7390B">
        <w:rPr>
          <w:color w:val="auto"/>
        </w:rPr>
        <w:lastRenderedPageBreak/>
        <w:br/>
        <w:t>APPLICATION OF PROCEEDS; FUNDS AND ACCOUNTS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C7390B">
        <w:rPr>
          <w:color w:val="auto"/>
        </w:rPr>
        <w:t xml:space="preserve"> </w:t>
      </w:r>
    </w:p>
    <w:p w14:paraId="6C956BF2" w14:textId="77777777" w:rsidR="006F40CF" w:rsidRPr="00C7390B" w:rsidRDefault="006F40CF" w:rsidP="006F40CF">
      <w:pPr>
        <w:pStyle w:val="Heading2"/>
        <w:rPr>
          <w:vanish/>
          <w:color w:val="auto"/>
          <w:specVanish/>
        </w:rPr>
      </w:pPr>
      <w:bookmarkStart w:id="176" w:name="_Toc207106965"/>
      <w:r w:rsidRPr="00C7390B">
        <w:rPr>
          <w:color w:val="auto"/>
        </w:rPr>
        <w:t>Accounts</w:t>
      </w:r>
      <w:bookmarkEnd w:id="176"/>
    </w:p>
    <w:p w14:paraId="3B5B0718" w14:textId="7AFC089B" w:rsidR="006F40CF" w:rsidRDefault="006F40CF" w:rsidP="006F40CF">
      <w:pPr>
        <w:pStyle w:val="HeadingBody2"/>
      </w:pPr>
      <w:r w:rsidRPr="00C7390B">
        <w:t xml:space="preserve">.  Within the Funds established pursuant to Article III of the </w:t>
      </w:r>
      <w:r w:rsidR="00F674A6">
        <w:t>General Indenture</w:t>
      </w:r>
      <w:r w:rsidRPr="00C7390B">
        <w:t xml:space="preserve"> there are hereby created the following Account</w:t>
      </w:r>
      <w:r w:rsidR="00A55EDC">
        <w:t>s</w:t>
      </w:r>
      <w:r w:rsidRPr="00C7390B">
        <w:t>:</w:t>
      </w:r>
    </w:p>
    <w:p w14:paraId="5F06873B" w14:textId="665EDA47" w:rsidR="007A664F" w:rsidRPr="007A664F" w:rsidRDefault="007A664F" w:rsidP="007A664F">
      <w:pPr>
        <w:pStyle w:val="Heading3"/>
      </w:pPr>
      <w:r w:rsidRPr="00C7390B">
        <w:rPr>
          <w:color w:val="auto"/>
        </w:rPr>
        <w:t xml:space="preserve">Within the </w:t>
      </w:r>
      <w:r>
        <w:rPr>
          <w:color w:val="auto"/>
        </w:rPr>
        <w:t>Bond</w:t>
      </w:r>
      <w:r w:rsidRPr="00C7390B">
        <w:rPr>
          <w:color w:val="auto"/>
        </w:rPr>
        <w:t xml:space="preserve"> Fund</w:t>
      </w:r>
      <w:r>
        <w:rPr>
          <w:color w:val="auto"/>
        </w:rPr>
        <w:t xml:space="preserve">, a </w:t>
      </w:r>
      <w:r w:rsidR="00A00F40">
        <w:rPr>
          <w:color w:val="auto"/>
        </w:rPr>
        <w:t>Series 2025</w:t>
      </w:r>
      <w:r w:rsidR="00517F67">
        <w:rPr>
          <w:color w:val="auto"/>
        </w:rPr>
        <w:t xml:space="preserve"> Mandatory Redemption Account</w:t>
      </w:r>
      <w:r>
        <w:rPr>
          <w:color w:val="auto"/>
        </w:rPr>
        <w:t xml:space="preserve"> </w:t>
      </w:r>
      <w:r w:rsidRPr="00C7390B">
        <w:rPr>
          <w:color w:val="auto"/>
        </w:rPr>
        <w:t>to be held by the Trustee</w:t>
      </w:r>
      <w:r>
        <w:rPr>
          <w:color w:val="auto"/>
        </w:rPr>
        <w:t>.</w:t>
      </w:r>
    </w:p>
    <w:p w14:paraId="2E2BF804" w14:textId="56F84A55" w:rsidR="0038480E" w:rsidRPr="00C7390B" w:rsidRDefault="0038480E" w:rsidP="008E641D">
      <w:pPr>
        <w:pStyle w:val="Heading3"/>
        <w:rPr>
          <w:color w:val="auto"/>
        </w:rPr>
      </w:pPr>
      <w:r w:rsidRPr="00C7390B">
        <w:rPr>
          <w:color w:val="auto"/>
        </w:rPr>
        <w:t xml:space="preserve">Within the </w:t>
      </w:r>
      <w:r w:rsidR="008D2AA9" w:rsidRPr="00C7390B">
        <w:rPr>
          <w:color w:val="auto"/>
        </w:rPr>
        <w:t xml:space="preserve">Construction </w:t>
      </w:r>
      <w:r w:rsidRPr="00C7390B">
        <w:rPr>
          <w:color w:val="auto"/>
        </w:rPr>
        <w:t>Fund</w:t>
      </w:r>
      <w:r w:rsidR="000204D6" w:rsidRPr="00C7390B">
        <w:rPr>
          <w:color w:val="auto"/>
        </w:rPr>
        <w:t>,</w:t>
      </w:r>
      <w:r w:rsidRPr="00C7390B">
        <w:rPr>
          <w:color w:val="auto"/>
        </w:rPr>
        <w:t xml:space="preserve"> a </w:t>
      </w:r>
      <w:r w:rsidR="00A00F40">
        <w:rPr>
          <w:color w:val="auto"/>
        </w:rPr>
        <w:t>Series 2025</w:t>
      </w:r>
      <w:r w:rsidRPr="00C7390B">
        <w:rPr>
          <w:color w:val="auto"/>
        </w:rPr>
        <w:t xml:space="preserve"> </w:t>
      </w:r>
      <w:r w:rsidR="00EA692D" w:rsidRPr="00C7390B">
        <w:rPr>
          <w:color w:val="auto"/>
        </w:rPr>
        <w:t>Construction Account</w:t>
      </w:r>
      <w:r w:rsidR="00EF1B39">
        <w:rPr>
          <w:color w:val="auto"/>
        </w:rPr>
        <w:t xml:space="preserve"> and</w:t>
      </w:r>
      <w:r w:rsidR="0070252C">
        <w:rPr>
          <w:color w:val="auto"/>
        </w:rPr>
        <w:t xml:space="preserve"> a </w:t>
      </w:r>
      <w:r w:rsidR="00A00F40">
        <w:rPr>
          <w:color w:val="auto"/>
        </w:rPr>
        <w:t>Series 2025</w:t>
      </w:r>
      <w:r w:rsidR="0070252C">
        <w:rPr>
          <w:color w:val="auto"/>
        </w:rPr>
        <w:t xml:space="preserve"> Capitalized Interest </w:t>
      </w:r>
      <w:r w:rsidR="00B634F7">
        <w:rPr>
          <w:color w:val="auto"/>
        </w:rPr>
        <w:t xml:space="preserve">Account </w:t>
      </w:r>
      <w:r w:rsidRPr="00C7390B">
        <w:rPr>
          <w:color w:val="auto"/>
        </w:rPr>
        <w:t>to be held by the Trustee</w:t>
      </w:r>
      <w:r w:rsidR="00303973" w:rsidRPr="00C7390B">
        <w:rPr>
          <w:color w:val="auto"/>
        </w:rPr>
        <w:t>.</w:t>
      </w:r>
    </w:p>
    <w:p w14:paraId="67D67230" w14:textId="106558D3" w:rsidR="0038480E" w:rsidRPr="00C7390B" w:rsidRDefault="0038480E" w:rsidP="00775E1C">
      <w:pPr>
        <w:pStyle w:val="Heading3"/>
        <w:rPr>
          <w:color w:val="auto"/>
        </w:rPr>
      </w:pPr>
      <w:r w:rsidRPr="00C7390B">
        <w:rPr>
          <w:color w:val="auto"/>
        </w:rPr>
        <w:t>Within the Rebate Fund</w:t>
      </w:r>
      <w:r w:rsidR="000204D6" w:rsidRPr="00C7390B">
        <w:rPr>
          <w:color w:val="auto"/>
        </w:rPr>
        <w:t>,</w:t>
      </w:r>
      <w:r w:rsidRPr="00C7390B">
        <w:rPr>
          <w:color w:val="auto"/>
        </w:rPr>
        <w:t xml:space="preserve"> a </w:t>
      </w:r>
      <w:r w:rsidR="00A00F40">
        <w:rPr>
          <w:color w:val="auto"/>
        </w:rPr>
        <w:t>Series 2025</w:t>
      </w:r>
      <w:r w:rsidR="00303973" w:rsidRPr="00C7390B">
        <w:rPr>
          <w:color w:val="auto"/>
        </w:rPr>
        <w:t xml:space="preserve"> </w:t>
      </w:r>
      <w:r w:rsidR="00EA692D" w:rsidRPr="00C7390B">
        <w:rPr>
          <w:color w:val="auto"/>
        </w:rPr>
        <w:t>Rebate Account</w:t>
      </w:r>
      <w:r w:rsidR="00303973" w:rsidRPr="00C7390B">
        <w:rPr>
          <w:color w:val="auto"/>
        </w:rPr>
        <w:t xml:space="preserve"> </w:t>
      </w:r>
      <w:r w:rsidRPr="00C7390B">
        <w:rPr>
          <w:color w:val="auto"/>
        </w:rPr>
        <w:t>to be held by the Trustee.</w:t>
      </w:r>
    </w:p>
    <w:p w14:paraId="28E7993E" w14:textId="628F4207" w:rsidR="00303973" w:rsidRPr="00C7390B" w:rsidRDefault="00303973" w:rsidP="00303973">
      <w:pPr>
        <w:pStyle w:val="Heading3"/>
        <w:rPr>
          <w:color w:val="auto"/>
        </w:rPr>
      </w:pPr>
      <w:r w:rsidRPr="00C7390B">
        <w:rPr>
          <w:color w:val="auto"/>
        </w:rPr>
        <w:t xml:space="preserve">Within the Surplus Fund, a </w:t>
      </w:r>
      <w:r w:rsidR="00A00F40">
        <w:rPr>
          <w:color w:val="auto"/>
        </w:rPr>
        <w:t>Series 2025</w:t>
      </w:r>
      <w:r w:rsidRPr="00C7390B">
        <w:rPr>
          <w:color w:val="auto"/>
        </w:rPr>
        <w:t xml:space="preserve"> Surplus Account</w:t>
      </w:r>
      <w:r w:rsidR="0088511B" w:rsidRPr="00C7390B">
        <w:rPr>
          <w:color w:val="auto"/>
        </w:rPr>
        <w:t xml:space="preserve"> </w:t>
      </w:r>
      <w:r w:rsidRPr="00C7390B">
        <w:rPr>
          <w:color w:val="auto"/>
        </w:rPr>
        <w:t>to be held by the Trustee.</w:t>
      </w:r>
    </w:p>
    <w:p w14:paraId="7C249823" w14:textId="482F1983" w:rsidR="00E24C62" w:rsidRPr="00C7390B" w:rsidRDefault="00E24C62" w:rsidP="00E24C62">
      <w:pPr>
        <w:pStyle w:val="Heading3"/>
        <w:rPr>
          <w:color w:val="auto"/>
        </w:rPr>
      </w:pPr>
      <w:r w:rsidRPr="00C7390B">
        <w:rPr>
          <w:color w:val="auto"/>
        </w:rPr>
        <w:t xml:space="preserve">Within the Costs of Issuance Fund, a </w:t>
      </w:r>
      <w:r w:rsidR="00A00F40">
        <w:rPr>
          <w:color w:val="auto"/>
        </w:rPr>
        <w:t>Series 2025</w:t>
      </w:r>
      <w:r w:rsidRPr="00C7390B">
        <w:rPr>
          <w:color w:val="auto"/>
        </w:rPr>
        <w:t xml:space="preserve"> Costs of Issuance Account to be held by the Trustee.</w:t>
      </w:r>
    </w:p>
    <w:p w14:paraId="22ED5F51" w14:textId="7EAF9E85" w:rsidR="0038480E" w:rsidRPr="00C7390B" w:rsidRDefault="0038480E" w:rsidP="00303973">
      <w:pPr>
        <w:pStyle w:val="Heading3"/>
        <w:rPr>
          <w:color w:val="auto"/>
        </w:rPr>
      </w:pPr>
      <w:r w:rsidRPr="00C7390B">
        <w:rPr>
          <w:color w:val="auto"/>
        </w:rPr>
        <w:t>In addition</w:t>
      </w:r>
      <w:r w:rsidR="00303973" w:rsidRPr="00C7390B">
        <w:rPr>
          <w:color w:val="auto"/>
        </w:rPr>
        <w:t>,</w:t>
      </w:r>
      <w:r w:rsidRPr="00C7390B">
        <w:rPr>
          <w:color w:val="auto"/>
        </w:rPr>
        <w:t xml:space="preserve"> the Trustee shall hold the Bond Fund for the benefit of the Owners of the </w:t>
      </w:r>
      <w:r w:rsidR="00A00F40">
        <w:rPr>
          <w:color w:val="auto"/>
        </w:rPr>
        <w:t>Series 2025 Bonds</w:t>
      </w:r>
      <w:r w:rsidRPr="00C7390B">
        <w:rPr>
          <w:color w:val="auto"/>
        </w:rPr>
        <w:t xml:space="preserve"> and any Additional Bonds and shall apply the same as provided in this </w:t>
      </w:r>
      <w:r w:rsidR="00F674A6">
        <w:rPr>
          <w:color w:val="auto"/>
        </w:rPr>
        <w:t>First Supplemental Indenture</w:t>
      </w:r>
      <w:r w:rsidRPr="00C7390B">
        <w:rPr>
          <w:color w:val="auto"/>
        </w:rPr>
        <w:t xml:space="preserve">. </w:t>
      </w:r>
    </w:p>
    <w:p w14:paraId="076E6FC9" w14:textId="5BD19A07" w:rsidR="0038480E" w:rsidRPr="00C7390B" w:rsidRDefault="0038480E" w:rsidP="00303973">
      <w:pPr>
        <w:pStyle w:val="Heading3"/>
        <w:rPr>
          <w:color w:val="auto"/>
        </w:rPr>
      </w:pPr>
      <w:r w:rsidRPr="00C7390B">
        <w:rPr>
          <w:color w:val="auto"/>
        </w:rPr>
        <w:t xml:space="preserve">So long as any of the </w:t>
      </w:r>
      <w:r w:rsidR="00A00F40">
        <w:rPr>
          <w:color w:val="auto"/>
        </w:rPr>
        <w:t>Series 2025 Bonds</w:t>
      </w:r>
      <w:r w:rsidRPr="00C7390B">
        <w:rPr>
          <w:color w:val="auto"/>
        </w:rPr>
        <w:t xml:space="preserve"> herein authorized, or any interest thereon, or amounts owing the United States under Section 148(f) of the Code, remain unpaid, the moneys in the foregoing </w:t>
      </w:r>
      <w:r w:rsidR="00A55EDC">
        <w:rPr>
          <w:color w:val="auto"/>
        </w:rPr>
        <w:t>a</w:t>
      </w:r>
      <w:r w:rsidRPr="00C7390B">
        <w:rPr>
          <w:color w:val="auto"/>
        </w:rPr>
        <w:t xml:space="preserve">ccounts shall be used for no purpose other than those required or permitted by the </w:t>
      </w:r>
      <w:r w:rsidR="00F674A6">
        <w:rPr>
          <w:color w:val="auto"/>
        </w:rPr>
        <w:t>General Indenture</w:t>
      </w:r>
      <w:r w:rsidRPr="00C7390B">
        <w:rPr>
          <w:color w:val="auto"/>
        </w:rPr>
        <w:t xml:space="preserve"> and this </w:t>
      </w:r>
      <w:r w:rsidR="00F674A6">
        <w:rPr>
          <w:color w:val="auto"/>
        </w:rPr>
        <w:t>First Supplemental Indenture</w:t>
      </w:r>
      <w:r w:rsidRPr="00C7390B">
        <w:rPr>
          <w:color w:val="auto"/>
        </w:rPr>
        <w:t xml:space="preserve"> and the Act. </w:t>
      </w:r>
    </w:p>
    <w:p w14:paraId="32C31ED4" w14:textId="5FCFB253" w:rsidR="00DA0161" w:rsidRPr="00C7390B" w:rsidRDefault="00DA0161" w:rsidP="00DA0161">
      <w:pPr>
        <w:pStyle w:val="Heading2"/>
        <w:rPr>
          <w:vanish/>
          <w:color w:val="auto"/>
          <w:specVanish/>
        </w:rPr>
      </w:pPr>
      <w:bookmarkStart w:id="177" w:name="_Toc207106966"/>
      <w:r w:rsidRPr="00C7390B">
        <w:rPr>
          <w:color w:val="auto"/>
        </w:rPr>
        <w:t xml:space="preserve">Disposition of </w:t>
      </w:r>
      <w:r w:rsidR="00A00F40">
        <w:rPr>
          <w:color w:val="auto"/>
        </w:rPr>
        <w:t>Series 2025</w:t>
      </w:r>
      <w:r w:rsidR="00242F76">
        <w:rPr>
          <w:color w:val="auto"/>
        </w:rPr>
        <w:t xml:space="preserve"> Bond</w:t>
      </w:r>
      <w:r w:rsidRPr="00C7390B">
        <w:rPr>
          <w:color w:val="auto"/>
        </w:rPr>
        <w:t xml:space="preserve"> Proceeds</w:t>
      </w:r>
      <w:bookmarkEnd w:id="177"/>
    </w:p>
    <w:p w14:paraId="6201F051" w14:textId="776CC9EA" w:rsidR="00DA0161" w:rsidRPr="00C7390B" w:rsidRDefault="00DA0161" w:rsidP="00EF1B39">
      <w:pPr>
        <w:pStyle w:val="HeadingBody2"/>
      </w:pPr>
      <w:r w:rsidRPr="00C7390B">
        <w:t xml:space="preserve">.  The proceeds from the sale of the </w:t>
      </w:r>
      <w:r w:rsidR="00A00F40">
        <w:t>Series 2025 Bonds</w:t>
      </w:r>
      <w:r w:rsidRPr="00C7390B">
        <w:t xml:space="preserve"> (representing the par amount thereof</w:t>
      </w:r>
      <w:r w:rsidR="006A26A0" w:rsidRPr="00C7390B">
        <w:t xml:space="preserve">, </w:t>
      </w:r>
      <w:r w:rsidR="008D120C">
        <w:t xml:space="preserve">less </w:t>
      </w:r>
      <w:r w:rsidR="006A26A0" w:rsidRPr="00C7390B">
        <w:t>a</w:t>
      </w:r>
      <w:r w:rsidR="00E502E8" w:rsidRPr="00C7390B">
        <w:t>n</w:t>
      </w:r>
      <w:r w:rsidR="006A26A0" w:rsidRPr="00C7390B">
        <w:t xml:space="preserve"> </w:t>
      </w:r>
      <w:r w:rsidR="00E502E8" w:rsidRPr="00C7390B">
        <w:t xml:space="preserve">Underwriter’s discount </w:t>
      </w:r>
      <w:r w:rsidR="006A26A0" w:rsidRPr="00C7390B">
        <w:t>of $</w:t>
      </w:r>
      <w:r w:rsidR="00A66F95">
        <w:t>[__________]</w:t>
      </w:r>
      <w:r w:rsidR="008D120C">
        <w:t>, less original issue discount of $</w:t>
      </w:r>
      <w:r w:rsidR="00A66F95">
        <w:t>[__________]</w:t>
      </w:r>
      <w:r w:rsidR="008D120C">
        <w:t>,</w:t>
      </w:r>
      <w:r w:rsidR="00F8641E" w:rsidRPr="00C7390B">
        <w:t xml:space="preserve"> </w:t>
      </w:r>
      <w:r w:rsidR="008E3A77" w:rsidRPr="00C7390B">
        <w:t>for a total of $</w:t>
      </w:r>
      <w:r w:rsidR="00A66F95">
        <w:t>[__________]</w:t>
      </w:r>
      <w:r w:rsidRPr="00C7390B">
        <w:t xml:space="preserve">) shall be set aside and used as follows: </w:t>
      </w:r>
    </w:p>
    <w:p w14:paraId="7F6D4D08" w14:textId="25DDB59C" w:rsidR="007C61FC" w:rsidRPr="00C7390B" w:rsidRDefault="007C61FC" w:rsidP="00EF1B39">
      <w:pPr>
        <w:pStyle w:val="Heading4"/>
        <w:tabs>
          <w:tab w:val="left" w:pos="2160"/>
        </w:tabs>
        <w:ind w:left="720"/>
        <w:rPr>
          <w:color w:val="auto"/>
        </w:rPr>
      </w:pPr>
      <w:bookmarkStart w:id="178" w:name="_Hlk184900701"/>
      <w:r w:rsidRPr="00C7390B">
        <w:rPr>
          <w:color w:val="auto"/>
        </w:rPr>
        <w:t xml:space="preserve">to the </w:t>
      </w:r>
      <w:r w:rsidR="00A00F40">
        <w:rPr>
          <w:color w:val="auto"/>
        </w:rPr>
        <w:t>Series 2025</w:t>
      </w:r>
      <w:r w:rsidR="0070252C">
        <w:rPr>
          <w:color w:val="auto"/>
        </w:rPr>
        <w:t xml:space="preserve"> Capitalized Interest</w:t>
      </w:r>
      <w:r w:rsidR="00B634F7">
        <w:rPr>
          <w:color w:val="auto"/>
        </w:rPr>
        <w:t xml:space="preserve"> Account</w:t>
      </w:r>
      <w:r w:rsidRPr="00C7390B">
        <w:rPr>
          <w:color w:val="auto"/>
        </w:rPr>
        <w:t>, the amount of $</w:t>
      </w:r>
      <w:r w:rsidR="00A66F95">
        <w:t>[__________]</w:t>
      </w:r>
      <w:r w:rsidRPr="00C7390B">
        <w:rPr>
          <w:color w:val="auto"/>
        </w:rPr>
        <w:t xml:space="preserve">, representing capitalized interest on the </w:t>
      </w:r>
      <w:r w:rsidR="00A00F40">
        <w:rPr>
          <w:color w:val="auto"/>
        </w:rPr>
        <w:t>Series 2025 Bonds</w:t>
      </w:r>
      <w:r w:rsidRPr="00C7390B">
        <w:rPr>
          <w:color w:val="auto"/>
        </w:rPr>
        <w:t xml:space="preserve">; </w:t>
      </w:r>
    </w:p>
    <w:p w14:paraId="4C8FE2EA" w14:textId="14D8B26D" w:rsidR="00752B28" w:rsidRDefault="00752B28" w:rsidP="00752B28">
      <w:pPr>
        <w:pStyle w:val="Heading4"/>
        <w:tabs>
          <w:tab w:val="clear" w:pos="2880"/>
        </w:tabs>
        <w:ind w:left="720"/>
      </w:pPr>
      <w:r>
        <w:t xml:space="preserve">to the </w:t>
      </w:r>
      <w:r w:rsidR="00A00F40">
        <w:t>Series 2025</w:t>
      </w:r>
      <w:r w:rsidR="00BE757A" w:rsidRPr="00BE757A">
        <w:t xml:space="preserve"> Surplus </w:t>
      </w:r>
      <w:r w:rsidR="006F7E61">
        <w:t>A</w:t>
      </w:r>
      <w:r w:rsidR="00BE757A" w:rsidRPr="00BE757A">
        <w:t>ccount</w:t>
      </w:r>
      <w:r>
        <w:t>, the amount of $</w:t>
      </w:r>
      <w:r w:rsidR="00A66F95">
        <w:t>[__________]</w:t>
      </w:r>
      <w:r>
        <w:t xml:space="preserve"> (the </w:t>
      </w:r>
      <w:r w:rsidR="00A00F40">
        <w:t>Series 2025</w:t>
      </w:r>
      <w:r w:rsidR="00F64C10">
        <w:t xml:space="preserve"> </w:t>
      </w:r>
      <w:r>
        <w:t>Initial Deposit);</w:t>
      </w:r>
    </w:p>
    <w:p w14:paraId="3EC62547" w14:textId="4EC98E23" w:rsidR="00A73771" w:rsidRPr="00C7390B" w:rsidRDefault="007C61FC" w:rsidP="00EF1B39">
      <w:pPr>
        <w:pStyle w:val="Heading4"/>
        <w:tabs>
          <w:tab w:val="left" w:pos="2160"/>
        </w:tabs>
        <w:ind w:left="720"/>
        <w:rPr>
          <w:color w:val="auto"/>
        </w:rPr>
      </w:pPr>
      <w:r w:rsidRPr="00C7390B">
        <w:rPr>
          <w:color w:val="auto"/>
        </w:rPr>
        <w:t>to the</w:t>
      </w:r>
      <w:r w:rsidR="00A73771" w:rsidRPr="00C7390B">
        <w:rPr>
          <w:color w:val="auto"/>
        </w:rPr>
        <w:t xml:space="preserve"> </w:t>
      </w:r>
      <w:r w:rsidR="00A00F40">
        <w:rPr>
          <w:color w:val="auto"/>
        </w:rPr>
        <w:t>Series 2025</w:t>
      </w:r>
      <w:r w:rsidR="00A73771" w:rsidRPr="00C7390B">
        <w:rPr>
          <w:color w:val="auto"/>
        </w:rPr>
        <w:t xml:space="preserve"> Cost</w:t>
      </w:r>
      <w:r w:rsidR="00DA2169" w:rsidRPr="00C7390B">
        <w:rPr>
          <w:color w:val="auto"/>
        </w:rPr>
        <w:t>s</w:t>
      </w:r>
      <w:r w:rsidR="00A73771" w:rsidRPr="00C7390B">
        <w:rPr>
          <w:color w:val="auto"/>
        </w:rPr>
        <w:t xml:space="preserve"> of Issuance Account</w:t>
      </w:r>
      <w:r w:rsidRPr="00C7390B">
        <w:rPr>
          <w:color w:val="auto"/>
        </w:rPr>
        <w:t>, the amount of $</w:t>
      </w:r>
      <w:r w:rsidR="00A66F95">
        <w:t>[__________]</w:t>
      </w:r>
      <w:r w:rsidR="00A73771" w:rsidRPr="00C7390B">
        <w:rPr>
          <w:color w:val="auto"/>
        </w:rPr>
        <w:t>;</w:t>
      </w:r>
      <w:r w:rsidR="00C05095">
        <w:rPr>
          <w:color w:val="auto"/>
        </w:rPr>
        <w:t xml:space="preserve"> and</w:t>
      </w:r>
    </w:p>
    <w:p w14:paraId="1D5BEBCF" w14:textId="3A810499" w:rsidR="00DA0161" w:rsidRPr="00C7390B" w:rsidRDefault="0090541F" w:rsidP="00EF1B39">
      <w:pPr>
        <w:pStyle w:val="Heading4"/>
        <w:tabs>
          <w:tab w:val="left" w:pos="2160"/>
        </w:tabs>
        <w:ind w:left="720"/>
        <w:rPr>
          <w:color w:val="auto"/>
        </w:rPr>
      </w:pPr>
      <w:r w:rsidRPr="00C7390B">
        <w:rPr>
          <w:color w:val="auto"/>
        </w:rPr>
        <w:t>a</w:t>
      </w:r>
      <w:r w:rsidR="00DA0161" w:rsidRPr="00C7390B">
        <w:rPr>
          <w:color w:val="auto"/>
        </w:rPr>
        <w:t>n amount equal to $</w:t>
      </w:r>
      <w:r w:rsidR="00A66F95">
        <w:t>[__________]</w:t>
      </w:r>
      <w:r w:rsidR="00F8641E" w:rsidRPr="00C7390B">
        <w:rPr>
          <w:color w:val="auto"/>
        </w:rPr>
        <w:t xml:space="preserve"> </w:t>
      </w:r>
      <w:r w:rsidR="00DA0161" w:rsidRPr="00C7390B">
        <w:rPr>
          <w:color w:val="auto"/>
        </w:rPr>
        <w:t xml:space="preserve">shall be deposited into the </w:t>
      </w:r>
      <w:r w:rsidR="00A00F40">
        <w:rPr>
          <w:color w:val="auto"/>
        </w:rPr>
        <w:t>Series 2025</w:t>
      </w:r>
      <w:r w:rsidR="00DA0161" w:rsidRPr="00C7390B">
        <w:rPr>
          <w:color w:val="auto"/>
        </w:rPr>
        <w:t xml:space="preserve"> Construction Account.</w:t>
      </w:r>
    </w:p>
    <w:p w14:paraId="387A6D90" w14:textId="7B9372EB" w:rsidR="00DA2169" w:rsidRPr="00C7390B" w:rsidRDefault="00A00F40" w:rsidP="00DA2169">
      <w:pPr>
        <w:pStyle w:val="Heading2"/>
        <w:rPr>
          <w:vanish/>
          <w:color w:val="auto"/>
          <w:specVanish/>
        </w:rPr>
      </w:pPr>
      <w:bookmarkStart w:id="179" w:name="_Toc207106967"/>
      <w:bookmarkEnd w:id="178"/>
      <w:r>
        <w:rPr>
          <w:color w:val="auto"/>
        </w:rPr>
        <w:lastRenderedPageBreak/>
        <w:t>Series 2025</w:t>
      </w:r>
      <w:r w:rsidR="00DA2169" w:rsidRPr="00C7390B">
        <w:rPr>
          <w:color w:val="auto"/>
        </w:rPr>
        <w:t xml:space="preserve"> Costs of Issuance Account</w:t>
      </w:r>
      <w:bookmarkEnd w:id="179"/>
    </w:p>
    <w:p w14:paraId="4BCA0BDF" w14:textId="0C1A3195" w:rsidR="00DA2169" w:rsidRPr="00C7390B" w:rsidRDefault="00DA2169" w:rsidP="00DA2169">
      <w:pPr>
        <w:pStyle w:val="HeadingBody2"/>
      </w:pPr>
      <w:r w:rsidRPr="00C7390B">
        <w:t xml:space="preserve">.  Moneys in the </w:t>
      </w:r>
      <w:r w:rsidR="00A00F40">
        <w:t>Series 2025</w:t>
      </w:r>
      <w:r w:rsidRPr="00C7390B">
        <w:t xml:space="preserve"> Costs of Issuance Account shall be used to pay costs of issuance of the </w:t>
      </w:r>
      <w:r w:rsidR="00A00F40">
        <w:t>Series 2025 Bonds</w:t>
      </w:r>
      <w:r w:rsidRPr="00C7390B">
        <w:t xml:space="preserve">. Costs of issuance shall be paid by the Trustee from the </w:t>
      </w:r>
      <w:r w:rsidR="00A00F40">
        <w:t>Series 2025</w:t>
      </w:r>
      <w:r w:rsidRPr="00C7390B">
        <w:t xml:space="preserve"> Cost</w:t>
      </w:r>
      <w:r w:rsidR="00FD4A11">
        <w:t>s</w:t>
      </w:r>
      <w:r w:rsidRPr="00C7390B">
        <w:t xml:space="preserve"> of Issuance Account upon receipt from </w:t>
      </w:r>
      <w:r w:rsidR="00EF1B39">
        <w:t>the District</w:t>
      </w:r>
      <w:r w:rsidRPr="00C7390B">
        <w:t xml:space="preserve"> of an executed Cost</w:t>
      </w:r>
      <w:r w:rsidR="004A364F" w:rsidRPr="00C7390B">
        <w:t>s</w:t>
      </w:r>
      <w:r w:rsidRPr="00C7390B">
        <w:t xml:space="preserve"> of Issuance Disbursement Request by an Authorized Representative of </w:t>
      </w:r>
      <w:r w:rsidR="00EF1B39">
        <w:t>the District</w:t>
      </w:r>
      <w:r w:rsidRPr="00C7390B">
        <w:t xml:space="preserve">, in substantially the form of </w:t>
      </w:r>
      <w:r w:rsidRPr="00C7390B">
        <w:rPr>
          <w:u w:val="single"/>
        </w:rPr>
        <w:t xml:space="preserve">Exhibit </w:t>
      </w:r>
      <w:r w:rsidR="00EF1B39">
        <w:rPr>
          <w:u w:val="single"/>
        </w:rPr>
        <w:t>B</w:t>
      </w:r>
      <w:r w:rsidRPr="00C7390B">
        <w:t xml:space="preserve"> attached hereto. Any unexpended balances remaining in the </w:t>
      </w:r>
      <w:r w:rsidR="00A00F40">
        <w:t>Series 2025</w:t>
      </w:r>
      <w:r w:rsidRPr="00C7390B">
        <w:t xml:space="preserve"> Cost</w:t>
      </w:r>
      <w:r w:rsidR="004A364F" w:rsidRPr="00C7390B">
        <w:t>s</w:t>
      </w:r>
      <w:r w:rsidRPr="00C7390B">
        <w:t xml:space="preserve"> of Issuance Account </w:t>
      </w:r>
      <w:r w:rsidR="00247D75">
        <w:t>1</w:t>
      </w:r>
      <w:r w:rsidR="00B634F7">
        <w:t>8</w:t>
      </w:r>
      <w:r w:rsidR="00247D75">
        <w:t>0</w:t>
      </w:r>
      <w:r w:rsidRPr="00C7390B">
        <w:t xml:space="preserve"> days after delivery of the </w:t>
      </w:r>
      <w:r w:rsidR="00A00F40">
        <w:t>Series 2025 Bonds</w:t>
      </w:r>
      <w:r w:rsidRPr="00C7390B">
        <w:t xml:space="preserve"> shall be </w:t>
      </w:r>
      <w:r w:rsidR="00247D75">
        <w:t xml:space="preserve">deposited to the </w:t>
      </w:r>
      <w:r w:rsidR="00A00F40">
        <w:t>Series 2025</w:t>
      </w:r>
      <w:r w:rsidR="00B634F7">
        <w:t xml:space="preserve"> Construction Account</w:t>
      </w:r>
      <w:r w:rsidRPr="00C7390B">
        <w:t>.</w:t>
      </w:r>
    </w:p>
    <w:p w14:paraId="21364CB2" w14:textId="77777777" w:rsidR="008156E1" w:rsidRPr="00C7390B" w:rsidRDefault="008156E1" w:rsidP="008156E1">
      <w:pPr>
        <w:pStyle w:val="Heading2"/>
        <w:rPr>
          <w:vanish/>
          <w:color w:val="auto"/>
          <w:specVanish/>
        </w:rPr>
      </w:pPr>
      <w:bookmarkStart w:id="180" w:name="_Toc207106968"/>
      <w:r w:rsidRPr="00C7390B">
        <w:rPr>
          <w:color w:val="auto"/>
        </w:rPr>
        <w:t xml:space="preserve">Disbursements from Construction </w:t>
      </w:r>
      <w:r w:rsidR="0070252C">
        <w:rPr>
          <w:color w:val="auto"/>
        </w:rPr>
        <w:t>Fund</w:t>
      </w:r>
      <w:bookmarkEnd w:id="180"/>
    </w:p>
    <w:p w14:paraId="3B29049B" w14:textId="71E244A0" w:rsidR="008156E1" w:rsidRDefault="008156E1" w:rsidP="008156E1">
      <w:pPr>
        <w:pStyle w:val="HeadingBody2"/>
      </w:pPr>
      <w:r w:rsidRPr="00C7390B">
        <w:t xml:space="preserve">.  Disbursements of moneys in the </w:t>
      </w:r>
      <w:r w:rsidR="00A00F40">
        <w:t>Series 2025</w:t>
      </w:r>
      <w:r w:rsidRPr="00C7390B">
        <w:t xml:space="preserve"> Construction Account shall be made in accordance with the provisions of Section 6.1 of the </w:t>
      </w:r>
      <w:r w:rsidR="00F674A6">
        <w:t>General Indenture</w:t>
      </w:r>
      <w:r w:rsidRPr="00C7390B">
        <w:t>.</w:t>
      </w:r>
      <w:r w:rsidR="0070252C">
        <w:t xml:space="preserve"> Pursuant to Section 3.2 above, $</w:t>
      </w:r>
      <w:r w:rsidR="0009145D">
        <w:t>[__________]</w:t>
      </w:r>
      <w:r w:rsidR="0070252C">
        <w:t xml:space="preserve"> shall be deposited to the </w:t>
      </w:r>
      <w:r w:rsidR="00A00F40">
        <w:t>Series 2025</w:t>
      </w:r>
      <w:r w:rsidR="0070252C">
        <w:t xml:space="preserve"> Capitalized Interest </w:t>
      </w:r>
      <w:r w:rsidR="00B634F7">
        <w:t xml:space="preserve">Account </w:t>
      </w:r>
      <w:r w:rsidR="0070252C">
        <w:t>for capitalized interest, all of which shall be used to pay Principal of and i</w:t>
      </w:r>
      <w:r w:rsidR="0070252C" w:rsidRPr="00EF4EE0">
        <w:t xml:space="preserve">nterest on the </w:t>
      </w:r>
      <w:r w:rsidR="00A00F40">
        <w:t>Series 2025 Bonds</w:t>
      </w:r>
      <w:r w:rsidR="0070252C" w:rsidRPr="00EF4EE0">
        <w:t xml:space="preserve"> through </w:t>
      </w:r>
      <w:r w:rsidR="009C27C5">
        <w:t>[__________]</w:t>
      </w:r>
      <w:r w:rsidR="008D120C" w:rsidRPr="00EF4EE0">
        <w:t xml:space="preserve"> 15, 20</w:t>
      </w:r>
      <w:r w:rsidR="009C27C5">
        <w:t>[__]</w:t>
      </w:r>
      <w:r w:rsidR="0070252C" w:rsidRPr="00EF4EE0">
        <w:t>.</w:t>
      </w:r>
      <w:r w:rsidR="0070252C">
        <w:t xml:space="preserve"> </w:t>
      </w:r>
    </w:p>
    <w:p w14:paraId="0DF7DD39" w14:textId="77777777" w:rsidR="00013B8F" w:rsidRPr="00013B8F" w:rsidRDefault="00A00F40" w:rsidP="00013B8F">
      <w:pPr>
        <w:pStyle w:val="Heading2"/>
        <w:rPr>
          <w:vanish/>
          <w:specVanish/>
        </w:rPr>
      </w:pPr>
      <w:bookmarkStart w:id="181" w:name="_Toc207106969"/>
      <w:r>
        <w:t>Series 2025</w:t>
      </w:r>
      <w:r w:rsidR="00517F67">
        <w:t xml:space="preserve"> Mandatory Redemption Account</w:t>
      </w:r>
      <w:r w:rsidR="00951F6B">
        <w:t xml:space="preserve"> Authorization and Use</w:t>
      </w:r>
      <w:bookmarkEnd w:id="181"/>
    </w:p>
    <w:p w14:paraId="0494A6E5" w14:textId="5A77CA87" w:rsidR="001A769E" w:rsidRPr="002E6C73" w:rsidRDefault="00013B8F" w:rsidP="00013B8F">
      <w:pPr>
        <w:pStyle w:val="00BodyText5"/>
      </w:pPr>
      <w:r>
        <w:t>.</w:t>
      </w:r>
      <w:r w:rsidR="00B16F3B" w:rsidRPr="002E6C73">
        <w:t xml:space="preserve"> </w:t>
      </w:r>
      <w:r w:rsidR="00951F6B">
        <w:t xml:space="preserve"> Pursuant to the permissions granted in </w:t>
      </w:r>
      <w:r w:rsidR="00951F6B" w:rsidRPr="00D45444">
        <w:t xml:space="preserve">Section 6.2 of the </w:t>
      </w:r>
      <w:r w:rsidR="00F674A6">
        <w:t>General Indenture</w:t>
      </w:r>
      <w:r w:rsidR="00951F6B">
        <w:t xml:space="preserve"> under “THIRD” that allows for the creation and funding of a </w:t>
      </w:r>
      <w:r w:rsidR="00A00F40">
        <w:t>Series 2025</w:t>
      </w:r>
      <w:r w:rsidR="00517F67">
        <w:t xml:space="preserve"> Mandatory Redemption Account</w:t>
      </w:r>
      <w:r w:rsidR="00951F6B">
        <w:t xml:space="preserve">, the </w:t>
      </w:r>
      <w:r w:rsidR="00A00F40">
        <w:t>Series 2025</w:t>
      </w:r>
      <w:r w:rsidR="00517F67">
        <w:t xml:space="preserve"> Mandatory Redemption Account</w:t>
      </w:r>
      <w:r w:rsidR="00951F6B">
        <w:t xml:space="preserve"> is hereby authorized. </w:t>
      </w:r>
      <w:r w:rsidR="002E6C73" w:rsidRPr="001A769E">
        <w:t xml:space="preserve">On the 45th day prior to each Mandatory Redemption Date, the Trustee shall determine the amounts on deposit in the </w:t>
      </w:r>
      <w:r w:rsidR="00A00F40">
        <w:t>Series 2025</w:t>
      </w:r>
      <w:r w:rsidR="00517F67">
        <w:t xml:space="preserve"> Mandatory Redemption Account</w:t>
      </w:r>
      <w:r w:rsidR="002E6C73" w:rsidRPr="001A769E">
        <w:t xml:space="preserve"> available for application to redemption of the</w:t>
      </w:r>
      <w:r w:rsidR="0064559A">
        <w:t xml:space="preserve"> </w:t>
      </w:r>
      <w:r w:rsidR="00A00F40">
        <w:t>Series 2025</w:t>
      </w:r>
      <w:r w:rsidR="002E6C73" w:rsidRPr="001A769E">
        <w:t xml:space="preserve"> Bonds. The Trustee shall provide notice of the mandatory redemption to occur on each Mandatory Redemption Date as a result of amounts credited to the </w:t>
      </w:r>
      <w:r w:rsidR="00A00F40">
        <w:t>Series 2025</w:t>
      </w:r>
      <w:r w:rsidR="00517F67">
        <w:t xml:space="preserve"> Mandatory Redemption Account</w:t>
      </w:r>
      <w:r w:rsidR="002E6C73" w:rsidRPr="001A769E">
        <w:t xml:space="preserve">. On each Mandatory Redemption Date, the Trustee is to apply amounts on deposit in the </w:t>
      </w:r>
      <w:r w:rsidR="00A00F40">
        <w:t>Series 2025</w:t>
      </w:r>
      <w:r w:rsidR="00517F67">
        <w:t xml:space="preserve"> Mandatory Redemption Account</w:t>
      </w:r>
      <w:r w:rsidR="002E6C73" w:rsidRPr="001A769E">
        <w:t xml:space="preserve"> to the payment of the principal portion of any Mandatory Redemption Price</w:t>
      </w:r>
      <w:r w:rsidR="0064559A">
        <w:t xml:space="preserve"> i</w:t>
      </w:r>
      <w:r w:rsidR="0064559A" w:rsidRPr="0064559A">
        <w:t>n accordance with the provisions of Section 2.5(b) hereof</w:t>
      </w:r>
      <w:r w:rsidR="002E6C73" w:rsidRPr="001A769E">
        <w:t>.</w:t>
      </w:r>
      <w:r>
        <w:t xml:space="preserve">  </w:t>
      </w:r>
    </w:p>
    <w:p w14:paraId="7951AF36" w14:textId="2DF82705" w:rsidR="003B7C61" w:rsidRPr="00C7390B" w:rsidRDefault="00A00F40" w:rsidP="003B7C61">
      <w:pPr>
        <w:pStyle w:val="Heading2"/>
        <w:rPr>
          <w:vanish/>
          <w:color w:val="auto"/>
          <w:specVanish/>
        </w:rPr>
      </w:pPr>
      <w:bookmarkStart w:id="182" w:name="_Toc207106970"/>
      <w:r>
        <w:rPr>
          <w:color w:val="auto"/>
        </w:rPr>
        <w:t>Series 2025</w:t>
      </w:r>
      <w:r w:rsidR="003B7C61" w:rsidRPr="00C7390B">
        <w:rPr>
          <w:color w:val="auto"/>
        </w:rPr>
        <w:t xml:space="preserve"> Surplus Account</w:t>
      </w:r>
      <w:bookmarkEnd w:id="182"/>
    </w:p>
    <w:p w14:paraId="4DBBB4C9" w14:textId="602E7782" w:rsidR="003B7C61" w:rsidRDefault="003B7C61" w:rsidP="0088780C">
      <w:pPr>
        <w:pStyle w:val="HeadingBody2"/>
      </w:pPr>
      <w:r w:rsidRPr="00C7390B">
        <w:t xml:space="preserve">.  </w:t>
      </w:r>
      <w:r w:rsidR="0064559A" w:rsidRPr="00C7390B">
        <w:t xml:space="preserve">The </w:t>
      </w:r>
      <w:r w:rsidR="00A00F40">
        <w:t>Series 2025</w:t>
      </w:r>
      <w:r w:rsidR="0064559A">
        <w:t xml:space="preserve"> </w:t>
      </w:r>
      <w:r w:rsidR="006F7E61">
        <w:t>Surplus A</w:t>
      </w:r>
      <w:r w:rsidR="0064559A">
        <w:t xml:space="preserve">ccount </w:t>
      </w:r>
      <w:r w:rsidR="0064559A" w:rsidRPr="00C7390B">
        <w:t>shall be funded</w:t>
      </w:r>
      <w:r w:rsidR="0064559A">
        <w:t xml:space="preserve"> from proceeds of the </w:t>
      </w:r>
      <w:r w:rsidR="00A00F40">
        <w:t>Series 2025 Bonds</w:t>
      </w:r>
      <w:r w:rsidR="0064559A">
        <w:t xml:space="preserve"> to</w:t>
      </w:r>
      <w:r w:rsidR="0064559A" w:rsidRPr="00C7390B">
        <w:t xml:space="preserve"> the Maximum Surplus Amount </w:t>
      </w:r>
      <w:r w:rsidR="0064559A">
        <w:t xml:space="preserve">pursuant to Section 6.2 of the </w:t>
      </w:r>
      <w:r w:rsidR="00F674A6">
        <w:t>General Indenture</w:t>
      </w:r>
      <w:r w:rsidR="0064559A" w:rsidRPr="00C7390B">
        <w:t xml:space="preserve">. </w:t>
      </w:r>
      <w:r w:rsidR="0064559A" w:rsidRPr="00BE757A">
        <w:t xml:space="preserve">Amounts in the </w:t>
      </w:r>
      <w:r w:rsidR="00A00F40">
        <w:t>Series 2025</w:t>
      </w:r>
      <w:r w:rsidR="0064559A" w:rsidRPr="00BE757A">
        <w:t xml:space="preserve"> Surplus Account shall secure the </w:t>
      </w:r>
      <w:r w:rsidR="00A00F40">
        <w:t>Series 2025 Bonds</w:t>
      </w:r>
      <w:r w:rsidR="0064559A" w:rsidRPr="00BE757A">
        <w:t>.</w:t>
      </w:r>
      <w:r w:rsidR="0064559A">
        <w:t xml:space="preserve"> Any </w:t>
      </w:r>
      <w:r w:rsidR="0064559A" w:rsidRPr="00C7390B">
        <w:t xml:space="preserve">amounts </w:t>
      </w:r>
      <w:r w:rsidR="0064559A">
        <w:t xml:space="preserve">released from the lien of the Indenture in accordance with FOURTH of Section 6.2 of the </w:t>
      </w:r>
      <w:r w:rsidR="00F674A6">
        <w:t>General Indenture</w:t>
      </w:r>
      <w:r w:rsidR="0064559A">
        <w:t xml:space="preserve"> representing amounts released from the </w:t>
      </w:r>
      <w:r w:rsidR="00A00F40">
        <w:t>Series 2025</w:t>
      </w:r>
      <w:r w:rsidR="0064559A">
        <w:t xml:space="preserve"> Surplus </w:t>
      </w:r>
      <w:r w:rsidR="006F7E61">
        <w:t>A</w:t>
      </w:r>
      <w:r w:rsidR="0064559A">
        <w:t xml:space="preserve">ccount shall be </w:t>
      </w:r>
      <w:r w:rsidR="0064559A" w:rsidRPr="00851F00">
        <w:t xml:space="preserve">(i) used to redeem the </w:t>
      </w:r>
      <w:r w:rsidR="00A00F40" w:rsidRPr="00851F00">
        <w:t>Series 2025</w:t>
      </w:r>
      <w:r w:rsidR="0064559A" w:rsidRPr="00851F00">
        <w:t xml:space="preserve"> Bonds in accordance with Section 2.5(a) herein, (ii) used to pay or reimburse costs of the </w:t>
      </w:r>
      <w:r w:rsidR="00A00F40" w:rsidRPr="00851F00">
        <w:t>Series 2025</w:t>
      </w:r>
      <w:r w:rsidR="0064559A" w:rsidRPr="00851F00">
        <w:t xml:space="preserve"> Project, or (iii) with an opinion of bond counsel stating that such use will not adversely affect the exclusion of interest on the </w:t>
      </w:r>
      <w:r w:rsidR="00A00F40" w:rsidRPr="00851F00">
        <w:t>Series 2025 Bonds</w:t>
      </w:r>
      <w:r w:rsidR="0064559A" w:rsidRPr="00851F00">
        <w:t xml:space="preserve"> from gross income for federal income tax purposes, for any lawful use, and thereafter the </w:t>
      </w:r>
      <w:r w:rsidR="00A00F40" w:rsidRPr="00851F00">
        <w:t>Series 2025</w:t>
      </w:r>
      <w:r w:rsidR="0064559A" w:rsidRPr="00851F00">
        <w:t xml:space="preserve"> </w:t>
      </w:r>
      <w:r w:rsidR="006F7E61">
        <w:t>Surplus A</w:t>
      </w:r>
      <w:r w:rsidR="0064559A" w:rsidRPr="00851F00">
        <w:t>ccount shall be closed.</w:t>
      </w:r>
    </w:p>
    <w:p w14:paraId="114000E7" w14:textId="77777777" w:rsidR="00013B8F" w:rsidRPr="00013B8F" w:rsidRDefault="00083521" w:rsidP="00083521">
      <w:pPr>
        <w:pStyle w:val="Heading2"/>
        <w:rPr>
          <w:vanish/>
          <w:color w:val="auto"/>
          <w:specVanish/>
        </w:rPr>
      </w:pPr>
      <w:bookmarkStart w:id="183" w:name="_Toc207106971"/>
      <w:r>
        <w:rPr>
          <w:color w:val="auto"/>
        </w:rPr>
        <w:t>Certain Tax Covenants</w:t>
      </w:r>
      <w:bookmarkEnd w:id="183"/>
    </w:p>
    <w:p w14:paraId="7E249377" w14:textId="697F38A9" w:rsidR="005E4071" w:rsidRPr="00C7390B" w:rsidRDefault="00083521" w:rsidP="00013B8F">
      <w:pPr>
        <w:pStyle w:val="00BodyText5"/>
      </w:pPr>
      <w:r>
        <w:t>.</w:t>
      </w:r>
      <w:bookmarkStart w:id="184" w:name="_Toc3021017"/>
      <w:bookmarkStart w:id="185" w:name="_Hlk61509039"/>
      <w:r w:rsidR="00013B8F">
        <w:t xml:space="preserve"> </w:t>
      </w:r>
      <w:r>
        <w:t xml:space="preserve"> </w:t>
      </w:r>
      <w:r w:rsidR="005E4071" w:rsidRPr="00083521">
        <w:t xml:space="preserve">Unless otherwise approved by Supplemental Indenture, the </w:t>
      </w:r>
      <w:r w:rsidR="00A00F40" w:rsidRPr="00083521">
        <w:t>Series 2025 Bonds</w:t>
      </w:r>
      <w:r w:rsidR="005E4071" w:rsidRPr="00083521">
        <w:t xml:space="preserve"> are not “private activity bonds” within the meaning of Section 141 of the Code and neither (i) the private business use test and private payment test of Section 141 of the Code or (ii) the private loan financing test will be met, as used in Section 141 of the Code.  Neither principal nor interest on the </w:t>
      </w:r>
      <w:r w:rsidR="00A00F40" w:rsidRPr="00083521">
        <w:t>Series 2025 Bonds</w:t>
      </w:r>
      <w:r w:rsidR="005E4071" w:rsidRPr="00083521">
        <w:t xml:space="preserve"> shall be paid from any proceeds from the sale, lease or other disposition of property in the Project Area nor shall the payment of such principal, premium, if any, or interest be, directly or indirectly or under the terms of any underlying arrangement, (a) secured by any interest in property used or to be used for a private business use or payments in respect of such property or (b) derived from payments in respect of </w:t>
      </w:r>
      <w:r w:rsidR="005E4071" w:rsidRPr="00083521">
        <w:lastRenderedPageBreak/>
        <w:t>property, or borrowed money, used or to be used for a private business use, within the meaning of Section 141(b)(6) of the Code and the Regulations.</w:t>
      </w:r>
      <w:bookmarkEnd w:id="184"/>
      <w:r w:rsidR="00013B8F">
        <w:t xml:space="preserve">  </w:t>
      </w:r>
    </w:p>
    <w:p w14:paraId="5C3A31F1" w14:textId="50ADA11B" w:rsidR="0038480E" w:rsidRPr="00C7390B" w:rsidRDefault="0038480E" w:rsidP="0038480E">
      <w:pPr>
        <w:pStyle w:val="Heading1"/>
        <w:rPr>
          <w:color w:val="auto"/>
        </w:rPr>
      </w:pPr>
      <w:bookmarkStart w:id="186" w:name="_Toc4234323"/>
      <w:bookmarkStart w:id="187" w:name="_Toc6286692"/>
      <w:bookmarkStart w:id="188" w:name="_Toc207106972"/>
      <w:bookmarkEnd w:id="185"/>
      <w:r w:rsidRPr="00C7390B">
        <w:rPr>
          <w:color w:val="auto"/>
        </w:rPr>
        <w:br/>
      </w:r>
      <w:bookmarkStart w:id="189" w:name="_Toc6286701"/>
      <w:bookmarkStart w:id="190" w:name="_Toc348620641"/>
      <w:bookmarkStart w:id="191" w:name="_Toc348622002"/>
      <w:bookmarkStart w:id="192" w:name="_Toc351972814"/>
      <w:bookmarkStart w:id="193" w:name="_Toc351973326"/>
      <w:bookmarkStart w:id="194" w:name="_Toc357587013"/>
      <w:bookmarkStart w:id="195" w:name="_Toc357587793"/>
      <w:bookmarkStart w:id="196" w:name="_Toc358124718"/>
      <w:bookmarkStart w:id="197" w:name="_Toc358124742"/>
      <w:bookmarkStart w:id="198" w:name="_Toc358720812"/>
      <w:bookmarkStart w:id="199" w:name="_Toc358723262"/>
      <w:bookmarkStart w:id="200" w:name="_Toc358877816"/>
      <w:bookmarkStart w:id="201" w:name="_Toc359334189"/>
      <w:bookmarkStart w:id="202" w:name="_Toc484095749"/>
      <w:bookmarkStart w:id="203" w:name="_Toc485732119"/>
      <w:bookmarkStart w:id="204" w:name="_Toc72761275"/>
      <w:bookmarkStart w:id="205" w:name="_Toc73104669"/>
      <w:bookmarkStart w:id="206" w:name="_Toc74122497"/>
      <w:bookmarkStart w:id="207" w:name="_Toc74580047"/>
      <w:bookmarkStart w:id="208" w:name="_Toc76568356"/>
      <w:bookmarkStart w:id="209" w:name="_Toc76589681"/>
      <w:bookmarkStart w:id="210" w:name="_Toc78464843"/>
      <w:bookmarkStart w:id="211" w:name="_Toc80907459"/>
      <w:bookmarkStart w:id="212" w:name="_Toc81310967"/>
      <w:bookmarkStart w:id="213" w:name="_Toc182327816"/>
      <w:bookmarkStart w:id="214" w:name="_Toc182327844"/>
      <w:bookmarkStart w:id="215" w:name="_Toc182412346"/>
      <w:bookmarkStart w:id="216" w:name="_Toc182470916"/>
      <w:bookmarkStart w:id="217" w:name="_Toc182903844"/>
      <w:bookmarkStart w:id="218" w:name="_Toc182990814"/>
      <w:bookmarkStart w:id="219" w:name="_Toc183085125"/>
      <w:bookmarkStart w:id="220" w:name="_Toc183101990"/>
      <w:bookmarkStart w:id="221" w:name="_Toc183159174"/>
      <w:bookmarkStart w:id="222" w:name="_Toc184131123"/>
      <w:bookmarkStart w:id="223" w:name="_Toc184132493"/>
      <w:bookmarkStart w:id="224" w:name="_Toc184207099"/>
      <w:bookmarkStart w:id="225" w:name="_Toc184207143"/>
      <w:bookmarkStart w:id="226" w:name="_Toc184207174"/>
      <w:bookmarkStart w:id="227" w:name="_Toc184207256"/>
      <w:bookmarkStart w:id="228" w:name="_Toc184207293"/>
      <w:bookmarkStart w:id="229" w:name="_Toc184223355"/>
      <w:bookmarkStart w:id="230" w:name="_Toc184228668"/>
      <w:bookmarkEnd w:id="186"/>
      <w:bookmarkEnd w:id="187"/>
      <w:r w:rsidRPr="00C7390B">
        <w:rPr>
          <w:color w:val="auto"/>
        </w:rPr>
        <w:t>MISCELLANEOUS</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188"/>
    </w:p>
    <w:p w14:paraId="3F9AD22D" w14:textId="74438026" w:rsidR="00B245C1" w:rsidRPr="00C7390B" w:rsidRDefault="00F674A6" w:rsidP="0038480E">
      <w:pPr>
        <w:pStyle w:val="Heading2"/>
        <w:rPr>
          <w:vanish/>
          <w:color w:val="auto"/>
          <w:specVanish/>
        </w:rPr>
      </w:pPr>
      <w:bookmarkStart w:id="231" w:name="_Toc207106973"/>
      <w:r>
        <w:rPr>
          <w:color w:val="auto"/>
        </w:rPr>
        <w:t>First Supplemental Indenture</w:t>
      </w:r>
      <w:r w:rsidR="0038480E" w:rsidRPr="00C7390B">
        <w:rPr>
          <w:color w:val="auto"/>
        </w:rPr>
        <w:t xml:space="preserve"> Construed with </w:t>
      </w:r>
      <w:r>
        <w:rPr>
          <w:color w:val="auto"/>
        </w:rPr>
        <w:t>General Indenture</w:t>
      </w:r>
      <w:bookmarkEnd w:id="231"/>
    </w:p>
    <w:p w14:paraId="317DEA35" w14:textId="7965AB08" w:rsidR="0038480E" w:rsidRPr="00C7390B" w:rsidRDefault="0038480E" w:rsidP="00E83095">
      <w:pPr>
        <w:pStyle w:val="HeadingBody2"/>
      </w:pPr>
      <w:r w:rsidRPr="00C7390B">
        <w:t xml:space="preserve">.  All of the provisions of this </w:t>
      </w:r>
      <w:r w:rsidR="00F674A6">
        <w:t>First Supplemental Indenture</w:t>
      </w:r>
      <w:r w:rsidRPr="00C7390B">
        <w:t xml:space="preserve"> shall be deemed to be and construed as part of the </w:t>
      </w:r>
      <w:r w:rsidR="00F674A6">
        <w:t>General Indenture</w:t>
      </w:r>
      <w:r w:rsidRPr="00C7390B">
        <w:t xml:space="preserve"> to the same extent as if fully set forth therein. </w:t>
      </w:r>
    </w:p>
    <w:p w14:paraId="468EAF45" w14:textId="08666989" w:rsidR="00B245C1" w:rsidRPr="00C7390B" w:rsidRDefault="00F674A6" w:rsidP="0038480E">
      <w:pPr>
        <w:pStyle w:val="Heading2"/>
        <w:rPr>
          <w:vanish/>
          <w:color w:val="auto"/>
          <w:specVanish/>
        </w:rPr>
      </w:pPr>
      <w:bookmarkStart w:id="232" w:name="_Toc207106974"/>
      <w:r>
        <w:rPr>
          <w:color w:val="auto"/>
        </w:rPr>
        <w:t>General Indenture</w:t>
      </w:r>
      <w:r w:rsidR="0038480E" w:rsidRPr="00C7390B">
        <w:rPr>
          <w:color w:val="auto"/>
        </w:rPr>
        <w:t xml:space="preserve"> as Supplemented to Remain in Effect</w:t>
      </w:r>
      <w:bookmarkEnd w:id="232"/>
    </w:p>
    <w:p w14:paraId="6AE6D6DC" w14:textId="00E64206" w:rsidR="0038480E" w:rsidRPr="00C7390B" w:rsidRDefault="0038480E" w:rsidP="00E83095">
      <w:pPr>
        <w:pStyle w:val="HeadingBody2"/>
      </w:pPr>
      <w:r w:rsidRPr="00C7390B">
        <w:t xml:space="preserve">.  Save and except as herein supplemented by this </w:t>
      </w:r>
      <w:r w:rsidR="00F674A6">
        <w:t>First Supplemental Indenture</w:t>
      </w:r>
      <w:r w:rsidRPr="00C7390B">
        <w:t xml:space="preserve">, the </w:t>
      </w:r>
      <w:r w:rsidR="00F674A6">
        <w:t>General Indenture</w:t>
      </w:r>
      <w:r w:rsidRPr="00C7390B">
        <w:t xml:space="preserve"> shall remain in full force and effect. </w:t>
      </w:r>
    </w:p>
    <w:p w14:paraId="34CDAC3C" w14:textId="77777777" w:rsidR="00B245C1" w:rsidRPr="00C7390B" w:rsidRDefault="0038480E" w:rsidP="0038480E">
      <w:pPr>
        <w:pStyle w:val="Heading2"/>
        <w:rPr>
          <w:vanish/>
          <w:color w:val="auto"/>
          <w:specVanish/>
        </w:rPr>
      </w:pPr>
      <w:bookmarkStart w:id="233" w:name="_Toc207106975"/>
      <w:r w:rsidRPr="00C7390B">
        <w:rPr>
          <w:color w:val="auto"/>
        </w:rPr>
        <w:t>Execution in Counterparts</w:t>
      </w:r>
      <w:bookmarkEnd w:id="233"/>
    </w:p>
    <w:p w14:paraId="51554C71" w14:textId="66F6F2B1" w:rsidR="0038480E" w:rsidRPr="00C7390B" w:rsidRDefault="0038480E" w:rsidP="00E83095">
      <w:pPr>
        <w:pStyle w:val="HeadingBody2"/>
      </w:pPr>
      <w:r w:rsidRPr="00C7390B">
        <w:t xml:space="preserve">.  This </w:t>
      </w:r>
      <w:r w:rsidR="00F674A6">
        <w:t>First Supplemental Indenture</w:t>
      </w:r>
      <w:r w:rsidRPr="00C7390B">
        <w:t xml:space="preserve"> may be executed in any number of counterparts, each of which, when so executed and delivered, shall be an original; but such counterparts shall together constitute but one and the same instrument. </w:t>
      </w:r>
    </w:p>
    <w:p w14:paraId="5062724D" w14:textId="77777777" w:rsidR="00B245C1" w:rsidRPr="00C7390B" w:rsidRDefault="0038480E" w:rsidP="0038480E">
      <w:pPr>
        <w:pStyle w:val="Heading2"/>
        <w:rPr>
          <w:vanish/>
          <w:color w:val="auto"/>
          <w:specVanish/>
        </w:rPr>
      </w:pPr>
      <w:bookmarkStart w:id="234" w:name="_Toc207106976"/>
      <w:r w:rsidRPr="00C7390B">
        <w:rPr>
          <w:color w:val="auto"/>
        </w:rPr>
        <w:t>Severability</w:t>
      </w:r>
      <w:bookmarkEnd w:id="234"/>
    </w:p>
    <w:p w14:paraId="6BC7D959" w14:textId="09EE54F7" w:rsidR="0038480E" w:rsidRPr="00C7390B" w:rsidRDefault="0038480E" w:rsidP="00E83095">
      <w:pPr>
        <w:pStyle w:val="HeadingBody2"/>
      </w:pPr>
      <w:r w:rsidRPr="00C7390B">
        <w:t xml:space="preserve">.  If any section, paragraph, clause or provision of this </w:t>
      </w:r>
      <w:r w:rsidR="00F674A6">
        <w:t>First Supplemental Indenture</w:t>
      </w:r>
      <w:r w:rsidRPr="00C7390B">
        <w:t xml:space="preserve"> shall for any reason be held to be invalid or unenforceable, the invalidity or unenforceability of such section, paragraph, clause or provision shall not affect any of the remaining provisions of this </w:t>
      </w:r>
      <w:r w:rsidR="00F674A6">
        <w:t>First Supplemental Indenture</w:t>
      </w:r>
      <w:r w:rsidRPr="00C7390B">
        <w:t xml:space="preserve">. </w:t>
      </w:r>
    </w:p>
    <w:p w14:paraId="6CEA2251" w14:textId="77777777" w:rsidR="00B245C1" w:rsidRPr="00C7390B" w:rsidRDefault="0038480E" w:rsidP="0038480E">
      <w:pPr>
        <w:pStyle w:val="Heading2"/>
        <w:rPr>
          <w:vanish/>
          <w:color w:val="auto"/>
          <w:specVanish/>
        </w:rPr>
      </w:pPr>
      <w:bookmarkStart w:id="235" w:name="_Toc207106977"/>
      <w:r w:rsidRPr="00C7390B">
        <w:rPr>
          <w:color w:val="auto"/>
        </w:rPr>
        <w:t>Governing Law</w:t>
      </w:r>
      <w:bookmarkEnd w:id="235"/>
    </w:p>
    <w:p w14:paraId="6D336859" w14:textId="4AF92056" w:rsidR="0038480E" w:rsidRPr="00C7390B" w:rsidRDefault="0038480E" w:rsidP="00E83095">
      <w:pPr>
        <w:pStyle w:val="HeadingBody2"/>
      </w:pPr>
      <w:r w:rsidRPr="00C7390B">
        <w:t xml:space="preserve">.  This </w:t>
      </w:r>
      <w:r w:rsidR="00F674A6">
        <w:t>First Supplemental Indenture</w:t>
      </w:r>
      <w:r w:rsidRPr="00C7390B">
        <w:t xml:space="preserve"> shall be construed in accordance with the laws of the State of Utah. </w:t>
      </w:r>
    </w:p>
    <w:p w14:paraId="6836FFF6" w14:textId="77777777" w:rsidR="00B245C1" w:rsidRPr="00C7390B" w:rsidRDefault="0038480E" w:rsidP="0038480E">
      <w:pPr>
        <w:pStyle w:val="Heading2"/>
        <w:rPr>
          <w:vanish/>
          <w:color w:val="auto"/>
          <w:specVanish/>
        </w:rPr>
      </w:pPr>
      <w:bookmarkStart w:id="236" w:name="_Toc207106978"/>
      <w:r w:rsidRPr="00C7390B">
        <w:rPr>
          <w:color w:val="auto"/>
        </w:rPr>
        <w:t>Further Assurances</w:t>
      </w:r>
      <w:bookmarkEnd w:id="236"/>
    </w:p>
    <w:p w14:paraId="21067449" w14:textId="5C371C21" w:rsidR="0038480E" w:rsidRPr="00C7390B" w:rsidRDefault="0038480E" w:rsidP="00E83095">
      <w:pPr>
        <w:pStyle w:val="HeadingBody2"/>
      </w:pPr>
      <w:r w:rsidRPr="00C7390B">
        <w:t xml:space="preserve">.  At any and all times </w:t>
      </w:r>
      <w:r w:rsidR="00EF1B39">
        <w:t>the District</w:t>
      </w:r>
      <w:r w:rsidRPr="00C7390B">
        <w:t xml:space="preserve">, so far as it may be authorized by law, shall make, do, execute, acknowledge and deliver, all and every such further acts, deeds, conveyances, assignments, transfers and assurances as may be necessary or desirable for the better assuring, conveying, granting, pledging, assigning and confirming all and singular the rights, </w:t>
      </w:r>
      <w:r w:rsidR="00F674A6">
        <w:t>Pledged Revenues</w:t>
      </w:r>
      <w:r w:rsidRPr="00C7390B">
        <w:t xml:space="preserve"> and other moneys, securities and property, pledged or assigned by this Indenture, or intended so to be, or which </w:t>
      </w:r>
      <w:r w:rsidR="00EF1B39">
        <w:t>the District</w:t>
      </w:r>
      <w:r w:rsidRPr="00C7390B">
        <w:t xml:space="preserve"> may become bound to pledge or assign.</w:t>
      </w:r>
    </w:p>
    <w:p w14:paraId="0FA7C7EC" w14:textId="77777777" w:rsidR="000230B5" w:rsidRPr="00C7390B" w:rsidRDefault="000230B5" w:rsidP="000230B5"/>
    <w:p w14:paraId="32AD7370" w14:textId="77777777" w:rsidR="000230B5" w:rsidRPr="00C7390B" w:rsidRDefault="000230B5" w:rsidP="000230B5"/>
    <w:p w14:paraId="43326D33" w14:textId="77777777" w:rsidR="000230B5" w:rsidRPr="00C7390B" w:rsidRDefault="000230B5" w:rsidP="000230B5"/>
    <w:p w14:paraId="00940B62" w14:textId="77777777" w:rsidR="00775E1C" w:rsidRPr="00C7390B" w:rsidRDefault="00775E1C" w:rsidP="000230B5">
      <w:pPr>
        <w:sectPr w:rsidR="00775E1C" w:rsidRPr="00C7390B" w:rsidSect="00013B8F">
          <w:headerReference w:type="even" r:id="rId18"/>
          <w:headerReference w:type="default" r:id="rId19"/>
          <w:footerReference w:type="default" r:id="rId20"/>
          <w:headerReference w:type="first" r:id="rId21"/>
          <w:footerReference w:type="first" r:id="rId22"/>
          <w:pgSz w:w="12240" w:h="15840" w:code="1"/>
          <w:pgMar w:top="1440" w:right="1440" w:bottom="1440" w:left="1440" w:header="720" w:footer="720" w:gutter="0"/>
          <w:pgNumType w:start="1"/>
          <w:cols w:space="720"/>
          <w:noEndnote/>
          <w:titlePg/>
          <w:docGrid w:linePitch="326"/>
        </w:sectPr>
      </w:pPr>
    </w:p>
    <w:p w14:paraId="4A855783" w14:textId="71DF6735" w:rsidR="0038480E" w:rsidRPr="00C7390B" w:rsidRDefault="0038480E" w:rsidP="00013B8F">
      <w:pPr>
        <w:pStyle w:val="00BodyText5"/>
      </w:pPr>
      <w:r w:rsidRPr="00C7390B">
        <w:lastRenderedPageBreak/>
        <w:t xml:space="preserve">IN WITNESS WHEREOF, the undersigned </w:t>
      </w:r>
      <w:r w:rsidR="00E05420" w:rsidRPr="00C7390B">
        <w:t xml:space="preserve">Chair </w:t>
      </w:r>
      <w:r w:rsidRPr="00C7390B">
        <w:t xml:space="preserve">and </w:t>
      </w:r>
      <w:r w:rsidR="00E40CCF">
        <w:t>Executive Director</w:t>
      </w:r>
      <w:r w:rsidR="00E05420" w:rsidRPr="00C7390B">
        <w:t xml:space="preserve"> </w:t>
      </w:r>
      <w:r w:rsidRPr="00C7390B">
        <w:t xml:space="preserve">of the </w:t>
      </w:r>
      <w:r w:rsidR="00D52E19">
        <w:t xml:space="preserve">MIDA Mountain Village Public Infrastructure District </w:t>
      </w:r>
      <w:r w:rsidRPr="00C7390B">
        <w:t xml:space="preserve">and the undersigned officers of the Trustee have hereunto executed this </w:t>
      </w:r>
      <w:r w:rsidR="00F674A6">
        <w:t>First Supplemental Indenture</w:t>
      </w:r>
      <w:r w:rsidRPr="00C7390B">
        <w:t xml:space="preserve"> </w:t>
      </w:r>
      <w:r w:rsidR="00380FB5" w:rsidRPr="00C7390B">
        <w:t xml:space="preserve">of Trust </w:t>
      </w:r>
      <w:r w:rsidRPr="00C7390B">
        <w:t xml:space="preserve">as of the date first written above. </w:t>
      </w:r>
    </w:p>
    <w:p w14:paraId="787B1D2C" w14:textId="134ACE23" w:rsidR="0038480E" w:rsidRPr="00C7390B" w:rsidRDefault="00D52E19" w:rsidP="00013B8F">
      <w:pPr>
        <w:ind w:left="4680"/>
      </w:pPr>
      <w:r>
        <w:t xml:space="preserve">MIDA MOUNTAIN VILLAGE PUBLIC INFRASTRUCTURE DISTRICT </w:t>
      </w:r>
    </w:p>
    <w:p w14:paraId="261B0B76" w14:textId="77777777" w:rsidR="00E502E8" w:rsidRPr="00C7390B" w:rsidRDefault="00E502E8" w:rsidP="00013B8F">
      <w:pPr>
        <w:ind w:left="4680"/>
      </w:pPr>
    </w:p>
    <w:p w14:paraId="769365B0" w14:textId="77777777" w:rsidR="0038480E" w:rsidRPr="00C7390B" w:rsidRDefault="0038480E" w:rsidP="00013B8F">
      <w:pPr>
        <w:ind w:left="4680"/>
      </w:pPr>
    </w:p>
    <w:p w14:paraId="0FB0F725" w14:textId="77777777" w:rsidR="0038480E" w:rsidRPr="00C7390B" w:rsidRDefault="0038480E" w:rsidP="00013B8F">
      <w:pPr>
        <w:ind w:left="4680"/>
      </w:pPr>
    </w:p>
    <w:p w14:paraId="1305F0A1" w14:textId="241C2FDC" w:rsidR="0038480E" w:rsidRPr="00C7390B" w:rsidRDefault="0038480E" w:rsidP="00013B8F">
      <w:pPr>
        <w:tabs>
          <w:tab w:val="right" w:pos="9360"/>
        </w:tabs>
        <w:ind w:left="4680"/>
      </w:pPr>
      <w:r w:rsidRPr="00C7390B">
        <w:t>B</w:t>
      </w:r>
      <w:r w:rsidR="00013B8F">
        <w:t>y:</w:t>
      </w:r>
      <w:r w:rsidR="00013B8F">
        <w:rPr>
          <w:u w:val="single"/>
        </w:rPr>
        <w:tab/>
      </w:r>
      <w:r w:rsidRPr="00C7390B">
        <w:t xml:space="preserve"> </w:t>
      </w:r>
    </w:p>
    <w:p w14:paraId="65ED0E14" w14:textId="77777777" w:rsidR="0038480E" w:rsidRPr="00C7390B" w:rsidRDefault="006371D5" w:rsidP="00013B8F">
      <w:pPr>
        <w:ind w:left="4680"/>
        <w:jc w:val="center"/>
      </w:pPr>
      <w:r w:rsidRPr="00C7390B">
        <w:t>Chair</w:t>
      </w:r>
    </w:p>
    <w:p w14:paraId="5241FAF1" w14:textId="77777777" w:rsidR="0038480E" w:rsidRPr="00C7390B" w:rsidRDefault="0038480E" w:rsidP="00013B8F"/>
    <w:p w14:paraId="4844DC0C" w14:textId="77777777" w:rsidR="008D2AA9" w:rsidRPr="00C7390B" w:rsidRDefault="008D2AA9" w:rsidP="00013B8F"/>
    <w:p w14:paraId="14BA92CD" w14:textId="77777777" w:rsidR="008D2AA9" w:rsidRPr="00C7390B" w:rsidRDefault="008D2AA9" w:rsidP="00013B8F"/>
    <w:p w14:paraId="549E7F2A" w14:textId="13A6B558" w:rsidR="0038480E" w:rsidRPr="00013B8F" w:rsidRDefault="000A4BFE" w:rsidP="00013B8F">
      <w:pPr>
        <w:pStyle w:val="00SignatureLEFT"/>
        <w:ind w:right="3960"/>
        <w:rPr>
          <w:u w:val="single"/>
        </w:rPr>
      </w:pPr>
      <w:r w:rsidRPr="00C7390B">
        <w:t>By:</w:t>
      </w:r>
      <w:r w:rsidR="00013B8F">
        <w:rPr>
          <w:u w:val="single"/>
        </w:rPr>
        <w:tab/>
      </w:r>
    </w:p>
    <w:p w14:paraId="5F814D0A" w14:textId="48B365B7" w:rsidR="0038480E" w:rsidRPr="00C7390B" w:rsidRDefault="00E40CCF" w:rsidP="00013B8F">
      <w:pPr>
        <w:pStyle w:val="00SignatureLEFT"/>
        <w:ind w:right="3960"/>
        <w:jc w:val="center"/>
      </w:pPr>
      <w:r>
        <w:t>Executive Director</w:t>
      </w:r>
    </w:p>
    <w:p w14:paraId="7E757037" w14:textId="77777777" w:rsidR="0038480E" w:rsidRDefault="0038480E" w:rsidP="00013B8F">
      <w:pPr>
        <w:pStyle w:val="00SignatureLEFT"/>
        <w:ind w:right="3960"/>
      </w:pPr>
    </w:p>
    <w:p w14:paraId="34E94C9D" w14:textId="77777777" w:rsidR="00013B8F" w:rsidRDefault="00013B8F" w:rsidP="00013B8F">
      <w:pPr>
        <w:pStyle w:val="00SignatureLEFT"/>
        <w:ind w:right="3960"/>
      </w:pPr>
    </w:p>
    <w:p w14:paraId="598673B4" w14:textId="77777777" w:rsidR="00013B8F" w:rsidRPr="00C7390B" w:rsidRDefault="00013B8F" w:rsidP="00013B8F">
      <w:pPr>
        <w:pStyle w:val="00SignatureLEFT"/>
        <w:ind w:right="3960"/>
      </w:pPr>
    </w:p>
    <w:p w14:paraId="7A5EEA49" w14:textId="77777777" w:rsidR="0038480E" w:rsidRPr="00C7390B" w:rsidRDefault="0038480E" w:rsidP="00013B8F">
      <w:pPr>
        <w:pStyle w:val="00SignatureLEFT"/>
        <w:ind w:right="3960"/>
      </w:pPr>
      <w:r w:rsidRPr="00C7390B">
        <w:t xml:space="preserve">(SEAL) </w:t>
      </w:r>
    </w:p>
    <w:p w14:paraId="264ED98C" w14:textId="77777777" w:rsidR="0038480E" w:rsidRPr="00C7390B" w:rsidRDefault="0038480E" w:rsidP="0038480E"/>
    <w:p w14:paraId="39FCA068" w14:textId="77777777" w:rsidR="0038480E" w:rsidRPr="00C7390B" w:rsidRDefault="0038480E" w:rsidP="0038480E"/>
    <w:p w14:paraId="41D98D14" w14:textId="77777777" w:rsidR="0038480E" w:rsidRPr="00C7390B" w:rsidRDefault="0038480E" w:rsidP="0038480E"/>
    <w:p w14:paraId="52061B52" w14:textId="24619C46" w:rsidR="0038480E" w:rsidRPr="00C7390B" w:rsidRDefault="00BC2F14" w:rsidP="00013B8F">
      <w:pPr>
        <w:ind w:left="4680"/>
      </w:pPr>
      <w:r>
        <w:t xml:space="preserve">U.S. BANK </w:t>
      </w:r>
      <w:r w:rsidR="0032071F">
        <w:t xml:space="preserve">TRUST COMPANY, </w:t>
      </w:r>
      <w:r>
        <w:t>NATIONAL ASSOCIATION</w:t>
      </w:r>
      <w:r w:rsidR="0038480E" w:rsidRPr="00C7390B">
        <w:t xml:space="preserve"> </w:t>
      </w:r>
    </w:p>
    <w:p w14:paraId="4F52F793" w14:textId="77777777" w:rsidR="0038480E" w:rsidRPr="00C7390B" w:rsidRDefault="0038480E" w:rsidP="00013B8F">
      <w:pPr>
        <w:ind w:left="4680"/>
      </w:pPr>
    </w:p>
    <w:p w14:paraId="3CF093A0" w14:textId="77777777" w:rsidR="000230B5" w:rsidRPr="00C7390B" w:rsidRDefault="000230B5" w:rsidP="00013B8F">
      <w:pPr>
        <w:ind w:left="4680"/>
      </w:pPr>
    </w:p>
    <w:p w14:paraId="745C3711" w14:textId="77777777" w:rsidR="000230B5" w:rsidRPr="00C7390B" w:rsidRDefault="000230B5" w:rsidP="00013B8F">
      <w:pPr>
        <w:ind w:left="4680"/>
      </w:pPr>
    </w:p>
    <w:p w14:paraId="10B96E21" w14:textId="3250135F" w:rsidR="0038480E" w:rsidRPr="00013B8F" w:rsidRDefault="0038480E" w:rsidP="00013B8F">
      <w:pPr>
        <w:tabs>
          <w:tab w:val="right" w:pos="9360"/>
        </w:tabs>
        <w:ind w:left="4680"/>
        <w:rPr>
          <w:u w:val="single"/>
        </w:rPr>
      </w:pPr>
      <w:r w:rsidRPr="00C7390B">
        <w:t>B</w:t>
      </w:r>
      <w:r w:rsidR="00013B8F">
        <w:t>y:</w:t>
      </w:r>
      <w:r w:rsidR="00013B8F">
        <w:rPr>
          <w:u w:val="single"/>
        </w:rPr>
        <w:tab/>
      </w:r>
    </w:p>
    <w:p w14:paraId="34C2B1A5" w14:textId="77777777" w:rsidR="000230B5" w:rsidRPr="00C7390B" w:rsidRDefault="000230B5" w:rsidP="00013B8F">
      <w:pPr>
        <w:tabs>
          <w:tab w:val="right" w:pos="9360"/>
        </w:tabs>
        <w:ind w:left="4680"/>
      </w:pPr>
    </w:p>
    <w:p w14:paraId="2C25CFA0" w14:textId="439CE891" w:rsidR="0038480E" w:rsidRPr="00013B8F" w:rsidRDefault="0038480E" w:rsidP="00013B8F">
      <w:pPr>
        <w:tabs>
          <w:tab w:val="right" w:pos="9360"/>
        </w:tabs>
        <w:ind w:left="4680"/>
        <w:rPr>
          <w:u w:val="single"/>
        </w:rPr>
      </w:pPr>
      <w:r w:rsidRPr="00C7390B">
        <w:t>Its:</w:t>
      </w:r>
      <w:r w:rsidR="00577A23" w:rsidRPr="00C7390B">
        <w:t xml:space="preserve"> </w:t>
      </w:r>
      <w:r w:rsidR="00013B8F">
        <w:rPr>
          <w:u w:val="single"/>
        </w:rPr>
        <w:tab/>
      </w:r>
    </w:p>
    <w:p w14:paraId="419AE7F2" w14:textId="77777777" w:rsidR="0038480E" w:rsidRPr="00C7390B" w:rsidRDefault="0038480E" w:rsidP="00013B8F">
      <w:pPr>
        <w:ind w:left="4680"/>
      </w:pPr>
    </w:p>
    <w:p w14:paraId="6EC0F8F1" w14:textId="77777777" w:rsidR="0038480E" w:rsidRPr="00C7390B" w:rsidRDefault="0038480E" w:rsidP="0038480E"/>
    <w:p w14:paraId="7C1B2112" w14:textId="77777777" w:rsidR="0038480E" w:rsidRPr="00C7390B" w:rsidRDefault="0038480E" w:rsidP="0038480E"/>
    <w:p w14:paraId="37D0A28E" w14:textId="77777777" w:rsidR="0038480E" w:rsidRPr="00C7390B" w:rsidRDefault="0038480E" w:rsidP="0038480E">
      <w:pPr>
        <w:sectPr w:rsidR="0038480E" w:rsidRPr="00C7390B" w:rsidSect="00013B8F">
          <w:headerReference w:type="default" r:id="rId23"/>
          <w:footerReference w:type="default" r:id="rId24"/>
          <w:footerReference w:type="first" r:id="rId25"/>
          <w:pgSz w:w="12240" w:h="15840" w:code="1"/>
          <w:pgMar w:top="1440" w:right="1440" w:bottom="1440" w:left="1440" w:header="720" w:footer="720" w:gutter="0"/>
          <w:pgNumType w:start="1"/>
          <w:cols w:space="720"/>
          <w:noEndnote/>
          <w:titlePg/>
          <w:docGrid w:linePitch="326"/>
        </w:sectPr>
      </w:pPr>
    </w:p>
    <w:p w14:paraId="59F8F488" w14:textId="06FD1F5C" w:rsidR="0038480E" w:rsidRPr="00C7390B" w:rsidRDefault="00CA7E82" w:rsidP="00013B8F">
      <w:pPr>
        <w:pStyle w:val="00Center"/>
      </w:pPr>
      <w:r w:rsidRPr="00C7390B">
        <w:rPr>
          <w:u w:val="single"/>
        </w:rPr>
        <w:lastRenderedPageBreak/>
        <w:t xml:space="preserve">EXHIBIT </w:t>
      </w:r>
      <w:r w:rsidR="0038480E" w:rsidRPr="00C7390B">
        <w:rPr>
          <w:u w:val="single"/>
        </w:rPr>
        <w:t>A</w:t>
      </w:r>
      <w:r w:rsidR="00013B8F">
        <w:rPr>
          <w:u w:val="single"/>
        </w:rPr>
        <w:t xml:space="preserve"> </w:t>
      </w:r>
      <w:r w:rsidR="00013B8F">
        <w:rPr>
          <w:u w:val="single"/>
        </w:rPr>
        <w:br/>
      </w:r>
      <w:r w:rsidR="00A00F40">
        <w:t>SERIES 2025</w:t>
      </w:r>
      <w:r w:rsidR="0038480E" w:rsidRPr="00C7390B">
        <w:t xml:space="preserve"> BOND FORM</w:t>
      </w:r>
      <w:r w:rsidR="004F1B5C" w:rsidRPr="00C7390B">
        <w:t xml:space="preserve"> </w:t>
      </w:r>
    </w:p>
    <w:p w14:paraId="61F66083" w14:textId="77777777" w:rsidR="00304B44" w:rsidRPr="00C7390B" w:rsidRDefault="00304B44" w:rsidP="00013B8F">
      <w:pPr>
        <w:pStyle w:val="00Normal"/>
        <w:jc w:val="both"/>
      </w:pPr>
      <w:bookmarkStart w:id="237" w:name="_Hlk80946129"/>
      <w:r w:rsidRPr="00C7390B">
        <w:t>Unless this certificate is presented by an authorized representative of The Depository Trust Company (55 Water Street, New York, New York) to the issuer or its agent for registration of transfer, exchange or payment, and any certificate issued is registered in the name of Cede &amp; Co. or such other name as requested by an authorized representative of The Depository Trust Company and any payment is made to Cede &amp; Co., ANY TRANSFER, PLEDGE OR OTHER USE HEREOF FOR VALUE OR OTHERWISE BY OR TO ANY PERSON IS WRONGFUL since the registered owner hereof, Cede &amp; Co., has an interest herein.</w:t>
      </w:r>
    </w:p>
    <w:p w14:paraId="43E17A13" w14:textId="3535F97A" w:rsidR="0038480E" w:rsidRPr="00C7390B" w:rsidRDefault="0038480E" w:rsidP="00013B8F"/>
    <w:p w14:paraId="3C1507BD" w14:textId="77777777" w:rsidR="0038480E" w:rsidRPr="00C7390B" w:rsidRDefault="0038480E" w:rsidP="00013B8F">
      <w:pPr>
        <w:jc w:val="center"/>
      </w:pPr>
      <w:r w:rsidRPr="00C7390B">
        <w:t>UNITED STATES OF AMERICA</w:t>
      </w:r>
    </w:p>
    <w:p w14:paraId="0DD6B987" w14:textId="77777777" w:rsidR="0038480E" w:rsidRPr="00C7390B" w:rsidRDefault="0038480E" w:rsidP="00013B8F">
      <w:pPr>
        <w:jc w:val="center"/>
      </w:pPr>
      <w:r w:rsidRPr="00C7390B">
        <w:t>STATE OF UTAH</w:t>
      </w:r>
    </w:p>
    <w:p w14:paraId="019817AF" w14:textId="130FAB99" w:rsidR="0038480E" w:rsidRPr="00C7390B" w:rsidRDefault="00D52E19" w:rsidP="00013B8F">
      <w:pPr>
        <w:jc w:val="center"/>
      </w:pPr>
      <w:r>
        <w:t>MIDA MOUNTAIN VILLAGE PUBLIC INFRASTRUCTURE DISTRICT</w:t>
      </w:r>
    </w:p>
    <w:p w14:paraId="42D14B6C" w14:textId="72B08B9F" w:rsidR="00A66A2C" w:rsidRPr="00C7390B" w:rsidRDefault="00D52E19" w:rsidP="00013B8F">
      <w:pPr>
        <w:jc w:val="center"/>
      </w:pPr>
      <w:r>
        <w:t xml:space="preserve">TAX </w:t>
      </w:r>
      <w:r w:rsidR="00F13606" w:rsidRPr="00C7390B">
        <w:t>ALLOCATION</w:t>
      </w:r>
      <w:r w:rsidR="001D37BF" w:rsidRPr="00C7390B">
        <w:t xml:space="preserve"> </w:t>
      </w:r>
      <w:r w:rsidR="0038480E" w:rsidRPr="00C7390B">
        <w:t>REVENUE BOND</w:t>
      </w:r>
      <w:r w:rsidR="006371D5" w:rsidRPr="00C7390B">
        <w:t>S</w:t>
      </w:r>
    </w:p>
    <w:p w14:paraId="72474693" w14:textId="7B276E5E" w:rsidR="0038480E" w:rsidRPr="00C7390B" w:rsidRDefault="00A00F40" w:rsidP="00013B8F">
      <w:pPr>
        <w:jc w:val="center"/>
      </w:pPr>
      <w:r>
        <w:t>SERIES 2025</w:t>
      </w:r>
    </w:p>
    <w:p w14:paraId="336B60A0" w14:textId="77777777" w:rsidR="007E5142" w:rsidRPr="00C7390B" w:rsidRDefault="007E5142" w:rsidP="00013B8F">
      <w:pPr>
        <w:jc w:val="center"/>
      </w:pPr>
    </w:p>
    <w:p w14:paraId="3966B144" w14:textId="493EF5BB" w:rsidR="00304B44" w:rsidRPr="00C7390B" w:rsidRDefault="00304B44" w:rsidP="00013B8F">
      <w:pPr>
        <w:pStyle w:val="00Normal"/>
        <w:tabs>
          <w:tab w:val="right" w:pos="9360"/>
        </w:tabs>
      </w:pPr>
      <w:r w:rsidRPr="00C7390B">
        <w:t>No. R</w:t>
      </w:r>
      <w:r w:rsidR="005F4FF4">
        <w:t>-</w:t>
      </w:r>
      <w:r w:rsidRPr="00C7390B">
        <w:tab/>
        <w:t>$</w:t>
      </w:r>
      <w:r w:rsidR="001B6F71">
        <w:t>___________</w:t>
      </w:r>
    </w:p>
    <w:tbl>
      <w:tblPr>
        <w:tblW w:w="5000" w:type="pct"/>
        <w:tblLayout w:type="fixed"/>
        <w:tblLook w:val="0000" w:firstRow="0" w:lastRow="0" w:firstColumn="0" w:lastColumn="0" w:noHBand="0" w:noVBand="0"/>
      </w:tblPr>
      <w:tblGrid>
        <w:gridCol w:w="2340"/>
        <w:gridCol w:w="2340"/>
        <w:gridCol w:w="2340"/>
        <w:gridCol w:w="2340"/>
      </w:tblGrid>
      <w:tr w:rsidR="00C7390B" w:rsidRPr="00C7390B" w14:paraId="7C044BA0" w14:textId="77777777" w:rsidTr="003B296E">
        <w:tc>
          <w:tcPr>
            <w:tcW w:w="1250" w:type="pct"/>
            <w:tcBorders>
              <w:top w:val="nil"/>
              <w:left w:val="nil"/>
              <w:bottom w:val="nil"/>
              <w:right w:val="nil"/>
            </w:tcBorders>
          </w:tcPr>
          <w:p w14:paraId="3D31D870" w14:textId="5AAA26DB" w:rsidR="00E502E8" w:rsidRPr="00C7390B" w:rsidRDefault="00E71BE1" w:rsidP="003B296E">
            <w:pPr>
              <w:jc w:val="center"/>
              <w:rPr>
                <w:u w:val="single"/>
              </w:rPr>
            </w:pPr>
            <w:r>
              <w:rPr>
                <w:u w:val="single"/>
              </w:rPr>
              <w:t>Interest R</w:t>
            </w:r>
            <w:r w:rsidRPr="00C7390B">
              <w:rPr>
                <w:u w:val="single"/>
              </w:rPr>
              <w:t>ate</w:t>
            </w:r>
          </w:p>
        </w:tc>
        <w:tc>
          <w:tcPr>
            <w:tcW w:w="1250" w:type="pct"/>
            <w:tcBorders>
              <w:top w:val="nil"/>
              <w:left w:val="nil"/>
              <w:bottom w:val="nil"/>
              <w:right w:val="nil"/>
            </w:tcBorders>
          </w:tcPr>
          <w:p w14:paraId="3C490A0B" w14:textId="6A8166CD" w:rsidR="00E502E8" w:rsidRPr="00C7390B" w:rsidRDefault="00E71BE1" w:rsidP="003B296E">
            <w:pPr>
              <w:jc w:val="center"/>
              <w:rPr>
                <w:u w:val="single"/>
              </w:rPr>
            </w:pPr>
            <w:r>
              <w:rPr>
                <w:u w:val="single"/>
              </w:rPr>
              <w:t>Dated D</w:t>
            </w:r>
            <w:r w:rsidRPr="00C7390B">
              <w:rPr>
                <w:u w:val="single"/>
              </w:rPr>
              <w:t>ate</w:t>
            </w:r>
          </w:p>
        </w:tc>
        <w:tc>
          <w:tcPr>
            <w:tcW w:w="1250" w:type="pct"/>
            <w:tcBorders>
              <w:top w:val="nil"/>
              <w:left w:val="nil"/>
              <w:bottom w:val="nil"/>
              <w:right w:val="nil"/>
            </w:tcBorders>
          </w:tcPr>
          <w:p w14:paraId="59131B2A" w14:textId="36CFE896" w:rsidR="00E502E8" w:rsidRPr="00C7390B" w:rsidRDefault="00E71BE1" w:rsidP="003B296E">
            <w:pPr>
              <w:jc w:val="center"/>
              <w:rPr>
                <w:u w:val="single"/>
              </w:rPr>
            </w:pPr>
            <w:r>
              <w:rPr>
                <w:u w:val="single"/>
              </w:rPr>
              <w:t>Maturity D</w:t>
            </w:r>
            <w:r w:rsidRPr="00C7390B">
              <w:rPr>
                <w:u w:val="single"/>
              </w:rPr>
              <w:t>ate</w:t>
            </w:r>
          </w:p>
        </w:tc>
        <w:tc>
          <w:tcPr>
            <w:tcW w:w="1250" w:type="pct"/>
            <w:tcBorders>
              <w:top w:val="nil"/>
              <w:left w:val="nil"/>
              <w:bottom w:val="nil"/>
              <w:right w:val="nil"/>
            </w:tcBorders>
          </w:tcPr>
          <w:p w14:paraId="4D060BEC" w14:textId="50E45471" w:rsidR="00E502E8" w:rsidRPr="00C7390B" w:rsidRDefault="00E71BE1" w:rsidP="003B296E">
            <w:pPr>
              <w:jc w:val="center"/>
              <w:rPr>
                <w:u w:val="single"/>
              </w:rPr>
            </w:pPr>
            <w:r w:rsidRPr="00DA1470">
              <w:rPr>
                <w:u w:val="single"/>
              </w:rPr>
              <w:t>CUSIP</w:t>
            </w:r>
          </w:p>
        </w:tc>
      </w:tr>
      <w:tr w:rsidR="00E502E8" w:rsidRPr="00C7390B" w14:paraId="2BD1EFC0" w14:textId="77777777" w:rsidTr="003B296E">
        <w:trPr>
          <w:trHeight w:val="432"/>
        </w:trPr>
        <w:tc>
          <w:tcPr>
            <w:tcW w:w="1250" w:type="pct"/>
            <w:tcBorders>
              <w:top w:val="nil"/>
              <w:left w:val="nil"/>
              <w:bottom w:val="nil"/>
              <w:right w:val="nil"/>
            </w:tcBorders>
          </w:tcPr>
          <w:p w14:paraId="4BD632BC" w14:textId="13A325B0" w:rsidR="00E502E8" w:rsidRPr="00C7390B" w:rsidRDefault="001B6F71" w:rsidP="003B296E">
            <w:pPr>
              <w:jc w:val="center"/>
            </w:pPr>
            <w:r>
              <w:t>____</w:t>
            </w:r>
            <w:r w:rsidR="00EB28C7">
              <w:t>%</w:t>
            </w:r>
          </w:p>
        </w:tc>
        <w:tc>
          <w:tcPr>
            <w:tcW w:w="1250" w:type="pct"/>
            <w:tcBorders>
              <w:top w:val="nil"/>
              <w:left w:val="nil"/>
              <w:bottom w:val="nil"/>
              <w:right w:val="nil"/>
            </w:tcBorders>
          </w:tcPr>
          <w:p w14:paraId="736528A4" w14:textId="20DB5FD2" w:rsidR="00E502E8" w:rsidRPr="00C7390B" w:rsidRDefault="00B03FB2" w:rsidP="003B296E">
            <w:pPr>
              <w:jc w:val="center"/>
            </w:pPr>
            <w:r>
              <w:t>__________</w:t>
            </w:r>
            <w:r w:rsidR="008D120C">
              <w:t>, 20</w:t>
            </w:r>
            <w:r>
              <w:t>__</w:t>
            </w:r>
          </w:p>
        </w:tc>
        <w:tc>
          <w:tcPr>
            <w:tcW w:w="1250" w:type="pct"/>
            <w:tcBorders>
              <w:top w:val="nil"/>
              <w:left w:val="nil"/>
              <w:bottom w:val="nil"/>
              <w:right w:val="nil"/>
            </w:tcBorders>
          </w:tcPr>
          <w:p w14:paraId="0AD50D53" w14:textId="1CEA9C5C" w:rsidR="00E502E8" w:rsidRPr="00C7390B" w:rsidRDefault="00B75CD2" w:rsidP="003B296E">
            <w:pPr>
              <w:jc w:val="center"/>
            </w:pPr>
            <w:r>
              <w:t>[___] 1</w:t>
            </w:r>
            <w:r w:rsidR="00EB28C7">
              <w:t xml:space="preserve">, </w:t>
            </w:r>
            <w:r w:rsidR="008D120C">
              <w:t>20</w:t>
            </w:r>
            <w:r w:rsidR="001B6F71">
              <w:t>__</w:t>
            </w:r>
          </w:p>
        </w:tc>
        <w:tc>
          <w:tcPr>
            <w:tcW w:w="1250" w:type="pct"/>
            <w:tcBorders>
              <w:top w:val="nil"/>
              <w:left w:val="nil"/>
              <w:bottom w:val="nil"/>
              <w:right w:val="nil"/>
            </w:tcBorders>
          </w:tcPr>
          <w:p w14:paraId="2A6CD271" w14:textId="61EEA5FF" w:rsidR="00E502E8" w:rsidRPr="00DA1470" w:rsidRDefault="0070250F" w:rsidP="003B296E">
            <w:pPr>
              <w:jc w:val="center"/>
            </w:pPr>
            <w:r>
              <w:t>[__</w:t>
            </w:r>
            <w:r w:rsidR="001B6F71">
              <w:t>___</w:t>
            </w:r>
            <w:r>
              <w:t>_]</w:t>
            </w:r>
          </w:p>
        </w:tc>
      </w:tr>
    </w:tbl>
    <w:p w14:paraId="2FE76328" w14:textId="77777777" w:rsidR="0038480E" w:rsidRPr="00C7390B" w:rsidRDefault="0038480E" w:rsidP="00013B8F"/>
    <w:p w14:paraId="5AD3B72B" w14:textId="296CDF19" w:rsidR="0038480E" w:rsidRPr="00C7390B" w:rsidRDefault="0038480E" w:rsidP="00013B8F">
      <w:r w:rsidRPr="00C7390B">
        <w:t>REGISTERED OWNER:</w:t>
      </w:r>
      <w:r w:rsidR="003B296E">
        <w:tab/>
      </w:r>
      <w:r w:rsidR="00E502E8" w:rsidRPr="00C7390B">
        <w:t>CEDE &amp; CO.</w:t>
      </w:r>
    </w:p>
    <w:p w14:paraId="0726CAF6" w14:textId="77777777" w:rsidR="0038480E" w:rsidRPr="00C7390B" w:rsidRDefault="0038480E" w:rsidP="00013B8F"/>
    <w:p w14:paraId="7644E6C7" w14:textId="372E24AE" w:rsidR="0038480E" w:rsidRPr="00C7390B" w:rsidRDefault="0038480E" w:rsidP="00013B8F">
      <w:r w:rsidRPr="00C7390B">
        <w:t>PRINCIPAL AMOUNT:</w:t>
      </w:r>
      <w:r w:rsidR="003B296E">
        <w:tab/>
      </w:r>
      <w:r w:rsidR="001B6F71">
        <w:t>__________________________</w:t>
      </w:r>
      <w:r w:rsidR="008D120C">
        <w:t xml:space="preserve"> DOLLARS AND NO/100******</w:t>
      </w:r>
    </w:p>
    <w:p w14:paraId="4C564EF6" w14:textId="77777777" w:rsidR="0038480E" w:rsidRDefault="0038480E" w:rsidP="00013B8F"/>
    <w:p w14:paraId="19F5061F" w14:textId="77777777" w:rsidR="003B296E" w:rsidRPr="00C7390B" w:rsidRDefault="003B296E" w:rsidP="00013B8F"/>
    <w:p w14:paraId="26201826" w14:textId="112DEA2A" w:rsidR="0038480E" w:rsidRDefault="00D52E19" w:rsidP="00013B8F">
      <w:pPr>
        <w:pStyle w:val="00BodyText5"/>
      </w:pPr>
      <w:r>
        <w:t xml:space="preserve">MIDA Mountain Village Public Infrastructure District </w:t>
      </w:r>
      <w:r w:rsidR="0038480E" w:rsidRPr="00C7390B">
        <w:t xml:space="preserve">(hereinafter sometimes called </w:t>
      </w:r>
      <w:r>
        <w:t>the “District</w:t>
      </w:r>
      <w:r w:rsidR="0038480E" w:rsidRPr="00C7390B">
        <w:t xml:space="preserve">”), </w:t>
      </w:r>
      <w:r>
        <w:t>a political subdivision and body politic and corporate duly organized and existing under the Constitution and laws of the State of Utah</w:t>
      </w:r>
      <w:r w:rsidR="0038480E" w:rsidRPr="00C7390B">
        <w:t xml:space="preserve">, for value received, hereby promises to pay (but solely from the funds hereinafter mentioned) to the Registered Owner indicated above, or registered assigns, on the Maturity Date set forth above, upon presentation and surrender of this bond at the principal corporate trust office of </w:t>
      </w:r>
      <w:r w:rsidR="00E82904">
        <w:t xml:space="preserve">U.S Bank </w:t>
      </w:r>
      <w:r>
        <w:t xml:space="preserve">Trust Company, </w:t>
      </w:r>
      <w:r w:rsidR="00E82904">
        <w:t>National Association</w:t>
      </w:r>
      <w:r w:rsidR="0038480E" w:rsidRPr="00C7390B">
        <w:t xml:space="preserve">, in </w:t>
      </w:r>
      <w:r w:rsidR="007E5142" w:rsidRPr="00C7390B">
        <w:t>Salt Lake City, Utah</w:t>
      </w:r>
      <w:r w:rsidR="0038480E" w:rsidRPr="00C7390B">
        <w:t xml:space="preserve"> (the “Trustee”) the principal amount set forth above, with interest thereon (payable solely from said funds), at the interest rate per annum set forth hereinabove, interest payable semiannually on </w:t>
      </w:r>
      <w:r w:rsidR="0070250F">
        <w:t>June</w:t>
      </w:r>
      <w:r w:rsidR="00B75CD2">
        <w:t xml:space="preserve"> 1</w:t>
      </w:r>
      <w:r w:rsidR="00E502E8" w:rsidRPr="00C7390B">
        <w:t xml:space="preserve"> </w:t>
      </w:r>
      <w:r w:rsidR="00C529BE" w:rsidRPr="00C7390B">
        <w:t xml:space="preserve">and </w:t>
      </w:r>
      <w:r w:rsidR="00BC2F14">
        <w:t>December 1</w:t>
      </w:r>
      <w:r w:rsidR="00E502E8" w:rsidRPr="00C7390B">
        <w:t xml:space="preserve"> </w:t>
      </w:r>
      <w:r w:rsidR="0038480E" w:rsidRPr="00C7390B">
        <w:t>of each and every year, commencing</w:t>
      </w:r>
      <w:r w:rsidR="00E502E8" w:rsidRPr="00C7390B">
        <w:t xml:space="preserve"> </w:t>
      </w:r>
      <w:r w:rsidR="00B03FB2">
        <w:t>__________</w:t>
      </w:r>
      <w:r>
        <w:t xml:space="preserve"> </w:t>
      </w:r>
      <w:r w:rsidR="00EB28C7">
        <w:t>1, 20</w:t>
      </w:r>
      <w:r w:rsidR="00B03FB2">
        <w:t>__</w:t>
      </w:r>
      <w:r w:rsidR="00EB28C7">
        <w:t xml:space="preserve"> </w:t>
      </w:r>
      <w:r w:rsidR="0038480E" w:rsidRPr="00C7390B">
        <w:t xml:space="preserve">until this bond is paid, interest being payable by check or draft mailed on said interest payment date to the registered owner of record as of the fifteenth day </w:t>
      </w:r>
      <w:r w:rsidR="00312DC1" w:rsidRPr="00C7390B">
        <w:t>immediately</w:t>
      </w:r>
      <w:r w:rsidR="0038480E" w:rsidRPr="00C7390B">
        <w:t xml:space="preserve"> preceding the applicable interest payment date or, as provided in the hereinafter mentioned Indenture as of any duly established special record date; provided, however, that if at the maturity date or prior redemption date of this bond, funds are available for payment thereof, as provided in the Indenture this bond shall then cease to bear interest. Interest on this bond shall be computed on the basis of a 360</w:t>
      </w:r>
      <w:r w:rsidR="00E63830" w:rsidRPr="00C7390B">
        <w:noBreakHyphen/>
      </w:r>
      <w:r w:rsidR="0038480E" w:rsidRPr="00C7390B">
        <w:t>day year of twelve 30-day months. Both principal and interest are payable in lawful money of the United States of America which is legal tender for the payment of public and private debts.</w:t>
      </w:r>
      <w:r w:rsidR="00922115" w:rsidRPr="00C7390B">
        <w:t xml:space="preserve">  </w:t>
      </w:r>
      <w:r w:rsidR="0038480E" w:rsidRPr="00C7390B">
        <w:t xml:space="preserve">Interest on this bond shall accrue from the interest payment date next preceding the date of </w:t>
      </w:r>
      <w:r w:rsidR="0038480E" w:rsidRPr="00C7390B">
        <w:lastRenderedPageBreak/>
        <w:t xml:space="preserve">authentication hereof unless this bond is authenticated as of an interest payment date, in which event this bond shall bear interest from such date, or unless, as shown by the records of the Trustee, interest on the </w:t>
      </w:r>
      <w:r w:rsidR="00A00F40">
        <w:t>Series 2025</w:t>
      </w:r>
      <w:r w:rsidR="00901D88" w:rsidRPr="00C7390B">
        <w:t xml:space="preserve"> Bonds</w:t>
      </w:r>
      <w:r w:rsidR="0038480E" w:rsidRPr="00C7390B">
        <w:t xml:space="preserve">, as hereinafter identified, shall be in default, in which event this bond shall bear interest from the date to which interest has been paid in full, or unless no interest shall have been paid on the </w:t>
      </w:r>
      <w:r w:rsidR="00A00F40">
        <w:t>Series 2025</w:t>
      </w:r>
      <w:r w:rsidR="00E63830" w:rsidRPr="00C7390B">
        <w:t xml:space="preserve"> </w:t>
      </w:r>
      <w:r w:rsidR="00901D88" w:rsidRPr="00C7390B">
        <w:t>Bonds</w:t>
      </w:r>
      <w:r w:rsidR="0038480E" w:rsidRPr="00C7390B">
        <w:t xml:space="preserve">, in which event this bond shall bear interest from its Dated Date. </w:t>
      </w:r>
    </w:p>
    <w:p w14:paraId="4ED5B0EE" w14:textId="4F200076" w:rsidR="00C60775" w:rsidRPr="00C7390B" w:rsidRDefault="00C60775" w:rsidP="00013B8F">
      <w:pPr>
        <w:pStyle w:val="00BodyText5"/>
      </w:pPr>
      <w:r w:rsidRPr="00C60775">
        <w:t xml:space="preserve">PURSUANT TO THE INDENTURE, IN THE EVENT THAT ANY AMOUNT OF PRINCIPAL OF OR INTEREST ON THIS BOND REMAINS UNPAID AFTER THE APPLICATION OF ALL PLEDGED REVENUE AVAILABLE THEREFOR, ON </w:t>
      </w:r>
      <w:r w:rsidR="00B75CD2">
        <w:t>[___] 1</w:t>
      </w:r>
      <w:r w:rsidRPr="00C60775">
        <w:t>, 20</w:t>
      </w:r>
      <w:r w:rsidR="00B03FB2">
        <w:t>[</w:t>
      </w:r>
      <w:r w:rsidRPr="00C60775">
        <w:t>65</w:t>
      </w:r>
      <w:r w:rsidR="00B03FB2">
        <w:t>]</w:t>
      </w:r>
      <w:r w:rsidRPr="00C60775">
        <w:t xml:space="preserve">, THE </w:t>
      </w:r>
      <w:r w:rsidR="00A00F40">
        <w:t>SERIES 2025</w:t>
      </w:r>
      <w:r w:rsidR="00FB2856">
        <w:t xml:space="preserve"> </w:t>
      </w:r>
      <w:r w:rsidRPr="00C60775">
        <w:t xml:space="preserve">BONDS AND THE LIEN OF THE INDENTURE SECURING PAYMENT THEREOF SHALL BE DEEMED DISCHARGED. IN SUCH EVENT THE OWNERS WILL HAVE NO RECOURSE TO THE DISTRICT OR ANY PROPERTY OF THE DISTRICT FOR THE PAYMENT OF ANY AMOUNT OF PRINCIPAL OF OR INTEREST ON THE </w:t>
      </w:r>
      <w:r w:rsidR="00A00F40">
        <w:t>SERIES 2025</w:t>
      </w:r>
      <w:r w:rsidR="00FB2856">
        <w:t xml:space="preserve"> </w:t>
      </w:r>
      <w:r w:rsidRPr="00C60775">
        <w:t>BOND REMAINING UNPAID.</w:t>
      </w:r>
    </w:p>
    <w:p w14:paraId="384B290C" w14:textId="23E59D59" w:rsidR="0038480E" w:rsidRPr="00C7390B" w:rsidRDefault="0038480E" w:rsidP="00013B8F">
      <w:pPr>
        <w:pStyle w:val="00BodyText5"/>
      </w:pPr>
      <w:r w:rsidRPr="00C7390B">
        <w:t xml:space="preserve">This bond is one of a duly authorized issue of bonds of </w:t>
      </w:r>
      <w:r w:rsidR="00EF1B39">
        <w:t>the District</w:t>
      </w:r>
      <w:r w:rsidRPr="00C7390B">
        <w:t xml:space="preserve"> designated “</w:t>
      </w:r>
      <w:r w:rsidR="00D52E19">
        <w:t xml:space="preserve">MIDA Mountain Village Public Infrastructure District Tax Allocation Revenue Bonds, </w:t>
      </w:r>
      <w:r w:rsidR="00A00F40">
        <w:t>Series 2025</w:t>
      </w:r>
      <w:r w:rsidRPr="00C7390B">
        <w:t>” (the “</w:t>
      </w:r>
      <w:r w:rsidR="00A00F40">
        <w:t>Series 2025</w:t>
      </w:r>
      <w:r w:rsidR="00E63830" w:rsidRPr="00C7390B">
        <w:t xml:space="preserve"> </w:t>
      </w:r>
      <w:r w:rsidR="00901D88" w:rsidRPr="00C7390B">
        <w:t>Bonds</w:t>
      </w:r>
      <w:r w:rsidRPr="00C7390B">
        <w:t xml:space="preserve">”) limited in aggregate principal amount to </w:t>
      </w:r>
      <w:r w:rsidR="00242331">
        <w:t>$</w:t>
      </w:r>
      <w:r w:rsidR="00B03FB2">
        <w:t>[PAR]</w:t>
      </w:r>
      <w:r w:rsidRPr="00C7390B">
        <w:t xml:space="preserve"> all of like tenor (except for bond numbers, maturity dates and differences, if any, in interest rate and denomination) and all of which have been issued pursuant to and in full conformity with the Constitution and the laws of the State of Utah</w:t>
      </w:r>
      <w:r w:rsidR="00D52E19">
        <w:t>,</w:t>
      </w:r>
      <w:r w:rsidRPr="00C7390B">
        <w:t xml:space="preserve"> particularly </w:t>
      </w:r>
      <w:r w:rsidR="00D52E19" w:rsidRPr="00625249">
        <w:t>Title 17B, Chapter 1</w:t>
      </w:r>
      <w:r w:rsidR="003E301E">
        <w:t xml:space="preserve">, Utah Code Annotated 1953, as amended; </w:t>
      </w:r>
      <w:r w:rsidR="00D52E19">
        <w:t>Title 17D, Chapter</w:t>
      </w:r>
      <w:r w:rsidR="00D52E19" w:rsidRPr="00625249">
        <w:t xml:space="preserve"> </w:t>
      </w:r>
      <w:r w:rsidR="00D52E19">
        <w:t>4</w:t>
      </w:r>
      <w:r w:rsidR="003E301E">
        <w:t>, Utah Code Annotated 1953, as amended; Title 11, Chapter 14, Utah Code Annotated 1953, as amended</w:t>
      </w:r>
      <w:r w:rsidR="00D52E19" w:rsidRPr="00625249">
        <w:t xml:space="preserve"> (</w:t>
      </w:r>
      <w:r w:rsidR="00D52E19">
        <w:t xml:space="preserve">collectively, </w:t>
      </w:r>
      <w:r w:rsidR="00D52E19" w:rsidRPr="00625249">
        <w:t>the “District Act”)</w:t>
      </w:r>
      <w:r w:rsidR="00D52E19">
        <w:t xml:space="preserve">, and the </w:t>
      </w:r>
      <w:r w:rsidR="00D52E19" w:rsidRPr="00A17300">
        <w:t>Military Installation Development Authority Act</w:t>
      </w:r>
      <w:r w:rsidR="00D52E19">
        <w:t xml:space="preserve"> (the “MIDA Act” and together with the District Act, the “Act”)</w:t>
      </w:r>
      <w:r w:rsidR="00D52E19" w:rsidRPr="00A17300">
        <w:t xml:space="preserve">, Title 63H, </w:t>
      </w:r>
      <w:r w:rsidR="00D52E19">
        <w:t xml:space="preserve">Chapter 1, </w:t>
      </w:r>
      <w:r w:rsidR="00D52E19" w:rsidRPr="00A17300">
        <w:t>Utah Code</w:t>
      </w:r>
      <w:r w:rsidR="003E301E">
        <w:t xml:space="preserve"> Annotated 1953, as amended</w:t>
      </w:r>
      <w:r w:rsidR="00A20FEF" w:rsidRPr="00C7390B">
        <w:t xml:space="preserve">, </w:t>
      </w:r>
      <w:r w:rsidR="005F3964" w:rsidRPr="00C7390B">
        <w:t xml:space="preserve">and </w:t>
      </w:r>
      <w:r w:rsidR="00D52E19">
        <w:t xml:space="preserve">the </w:t>
      </w:r>
      <w:r w:rsidR="00B75CD2">
        <w:t>[PROJECT PLANS]</w:t>
      </w:r>
      <w:r w:rsidR="005F3964" w:rsidRPr="00C7390B">
        <w:t xml:space="preserve"> (collectively, the “Project Area Plans”) and in connection with the project area contemplated therein for the purpose of financing all or a portion of any improvements as permitted by the </w:t>
      </w:r>
      <w:r w:rsidR="00A66A2C" w:rsidRPr="00C7390B">
        <w:t xml:space="preserve">Act and the </w:t>
      </w:r>
      <w:r w:rsidR="00671885">
        <w:t>Tax</w:t>
      </w:r>
      <w:r w:rsidR="00A66A2C" w:rsidRPr="00C7390B">
        <w:t xml:space="preserve"> Sharing Agreement (as defined</w:t>
      </w:r>
      <w:r w:rsidR="005F3964" w:rsidRPr="00C7390B">
        <w:t xml:space="preserve"> in the Indenture</w:t>
      </w:r>
      <w:r w:rsidR="00A66A2C" w:rsidRPr="00C7390B">
        <w:t>)</w:t>
      </w:r>
      <w:r w:rsidRPr="00C7390B">
        <w:t>.</w:t>
      </w:r>
    </w:p>
    <w:p w14:paraId="36727086" w14:textId="76D1C625" w:rsidR="0038480E" w:rsidRPr="00C7390B" w:rsidRDefault="0038480E" w:rsidP="00013B8F">
      <w:pPr>
        <w:pStyle w:val="00BodyText5"/>
      </w:pPr>
      <w:r w:rsidRPr="00C7390B">
        <w:t>This bond and the interest thereon are not general obligations or debts of</w:t>
      </w:r>
      <w:r w:rsidR="00E502E8" w:rsidRPr="00C7390B">
        <w:t xml:space="preserve"> </w:t>
      </w:r>
      <w:r w:rsidR="00EF1B39">
        <w:t>the District</w:t>
      </w:r>
      <w:r w:rsidRPr="00C7390B">
        <w:t xml:space="preserve">, the State of Utah or any of its political subdivisions and neither said State nor any of its political subdivisions is liable thereon, nor in any event shall this bond or said interest give rise to a general obligation or liability of said State or any of its political subdivisions or a charge against their general credit or taxing powers, or be payable out of any funds or properties other than the funds of </w:t>
      </w:r>
      <w:r w:rsidR="00EF1B39">
        <w:t>the District</w:t>
      </w:r>
      <w:r w:rsidRPr="00C7390B">
        <w:t xml:space="preserve"> hereinafter mentioned. This bond does not constitute an indebtedness within the meaning of any constitutional or statutory debt limitation or restriction. Neither the members of </w:t>
      </w:r>
      <w:r w:rsidR="00EF1B39">
        <w:t>the District</w:t>
      </w:r>
      <w:r w:rsidRPr="00C7390B">
        <w:t xml:space="preserve"> nor any persons executing this bond are liable personally on this bond by reason of its issuance. </w:t>
      </w:r>
      <w:r w:rsidR="00EF1B39">
        <w:t>The District</w:t>
      </w:r>
      <w:r w:rsidRPr="00C7390B">
        <w:t xml:space="preserve"> has no taxing power. </w:t>
      </w:r>
    </w:p>
    <w:p w14:paraId="5F53A33D" w14:textId="4BAFB86C" w:rsidR="0038480E" w:rsidRPr="00C7390B" w:rsidRDefault="0038480E" w:rsidP="00013B8F">
      <w:pPr>
        <w:pStyle w:val="00BodyText5"/>
      </w:pPr>
      <w:r w:rsidRPr="00C7390B">
        <w:t xml:space="preserve">All of the </w:t>
      </w:r>
      <w:r w:rsidR="00A00F40">
        <w:t>Series 2025</w:t>
      </w:r>
      <w:r w:rsidR="00E63830" w:rsidRPr="00C7390B">
        <w:t xml:space="preserve"> </w:t>
      </w:r>
      <w:r w:rsidR="00901D88" w:rsidRPr="00C7390B">
        <w:t>Bonds</w:t>
      </w:r>
      <w:r w:rsidRPr="00C7390B">
        <w:t xml:space="preserve"> are equally secured in accordance with the terms of the </w:t>
      </w:r>
      <w:r w:rsidR="00F674A6">
        <w:t>General Indenture</w:t>
      </w:r>
      <w:r w:rsidRPr="00C7390B">
        <w:t xml:space="preserve"> of Trust (the “</w:t>
      </w:r>
      <w:r w:rsidR="00F674A6">
        <w:t>General Indenture</w:t>
      </w:r>
      <w:r w:rsidRPr="00C7390B">
        <w:t xml:space="preserve">”) and a </w:t>
      </w:r>
      <w:r w:rsidR="00F674A6">
        <w:t>First Supplemental Indenture</w:t>
      </w:r>
      <w:r w:rsidR="00380FB5" w:rsidRPr="00C7390B">
        <w:t xml:space="preserve"> of Trust</w:t>
      </w:r>
      <w:r w:rsidRPr="00C7390B">
        <w:t xml:space="preserve"> (the “</w:t>
      </w:r>
      <w:r w:rsidR="00F674A6">
        <w:t>First Supplemental Indenture</w:t>
      </w:r>
      <w:r w:rsidRPr="00C7390B">
        <w:t xml:space="preserve">” and, collectively with the </w:t>
      </w:r>
      <w:r w:rsidR="00F674A6">
        <w:t>General Indenture</w:t>
      </w:r>
      <w:r w:rsidRPr="00C7390B">
        <w:t xml:space="preserve">, the “Indenture”), each entered into by and between </w:t>
      </w:r>
      <w:r w:rsidR="00EF1B39">
        <w:t>the District</w:t>
      </w:r>
      <w:r w:rsidRPr="00C7390B">
        <w:t xml:space="preserve"> and the Trustee and each dated as of </w:t>
      </w:r>
      <w:r w:rsidR="00175C76">
        <w:t>[INDENTURE MONTH]</w:t>
      </w:r>
      <w:r w:rsidR="00BE4F3C">
        <w:t xml:space="preserve"> 1</w:t>
      </w:r>
      <w:r w:rsidR="00F8641E" w:rsidRPr="00C7390B">
        <w:t>, 202</w:t>
      </w:r>
      <w:r w:rsidR="00175C76">
        <w:t>5,</w:t>
      </w:r>
      <w:r w:rsidRPr="00C7390B">
        <w:t xml:space="preserve"> reference to which is hereby made for a specific description of the security therein provided for the </w:t>
      </w:r>
      <w:r w:rsidR="00A00F40">
        <w:t>Series 2025</w:t>
      </w:r>
      <w:r w:rsidR="00E63830" w:rsidRPr="00C7390B">
        <w:t xml:space="preserve"> </w:t>
      </w:r>
      <w:r w:rsidR="00901D88" w:rsidRPr="00C7390B">
        <w:t>Bonds</w:t>
      </w:r>
      <w:r w:rsidRPr="00C7390B">
        <w:t xml:space="preserve">, for the nature, extent and manner of enforcement of such security, for the covenants and agreements made for the benefit of the </w:t>
      </w:r>
      <w:r w:rsidR="000230B5" w:rsidRPr="00C7390B">
        <w:t>B</w:t>
      </w:r>
      <w:r w:rsidRPr="00C7390B">
        <w:t xml:space="preserve">ondowners and for a </w:t>
      </w:r>
      <w:r w:rsidRPr="00C7390B">
        <w:lastRenderedPageBreak/>
        <w:t xml:space="preserve">statement of the rights of the </w:t>
      </w:r>
      <w:r w:rsidR="000230B5" w:rsidRPr="00C7390B">
        <w:t>B</w:t>
      </w:r>
      <w:r w:rsidRPr="00C7390B">
        <w:t>ondowners; and by the acceptance of this bond the owner hereof assents to all of the terms, conditions and provisions of the Indenture. Under the Indenture</w:t>
      </w:r>
      <w:r w:rsidR="00216FEA" w:rsidRPr="00C7390B">
        <w:t>,</w:t>
      </w:r>
      <w:r w:rsidRPr="00C7390B">
        <w:t xml:space="preserve"> </w:t>
      </w:r>
      <w:r w:rsidR="00EF1B39">
        <w:t>the District</w:t>
      </w:r>
      <w:r w:rsidRPr="00C7390B">
        <w:t xml:space="preserve"> may issue Bonds in addition to the </w:t>
      </w:r>
      <w:r w:rsidR="00A00F40">
        <w:t>Series 2025</w:t>
      </w:r>
      <w:r w:rsidR="00242F76">
        <w:t xml:space="preserve"> Bond</w:t>
      </w:r>
      <w:r w:rsidR="00216FEA" w:rsidRPr="00C7390B">
        <w:t>s</w:t>
      </w:r>
      <w:r w:rsidRPr="00C7390B">
        <w:t xml:space="preserve"> which may be secured on a parity with the </w:t>
      </w:r>
      <w:r w:rsidR="00A00F40">
        <w:t>Series 2025</w:t>
      </w:r>
      <w:r w:rsidR="00242F76">
        <w:t xml:space="preserve"> Bond</w:t>
      </w:r>
      <w:r w:rsidR="00901D88" w:rsidRPr="00C7390B">
        <w:t>s</w:t>
      </w:r>
      <w:r w:rsidRPr="00C7390B">
        <w:t xml:space="preserve"> (the “Additional Bonds”). The </w:t>
      </w:r>
      <w:r w:rsidR="00A00F40">
        <w:t>Series 2025</w:t>
      </w:r>
      <w:r w:rsidR="00242F76">
        <w:t xml:space="preserve"> Bond</w:t>
      </w:r>
      <w:r w:rsidR="00901D88" w:rsidRPr="00C7390B">
        <w:t>s</w:t>
      </w:r>
      <w:r w:rsidRPr="00C7390B">
        <w:t xml:space="preserve"> and any Additional Bonds are herein referred to as the “Bonds.</w:t>
      </w:r>
      <w:r w:rsidR="00E63830" w:rsidRPr="00C7390B">
        <w:t xml:space="preserve">” </w:t>
      </w:r>
      <w:r w:rsidRPr="00C7390B">
        <w:t xml:space="preserve">In addition, </w:t>
      </w:r>
      <w:r w:rsidR="00EF1B39">
        <w:t>the District</w:t>
      </w:r>
      <w:r w:rsidRPr="00C7390B">
        <w:t xml:space="preserve"> may issue bonds or other obligations secured by a pledge of the </w:t>
      </w:r>
      <w:r w:rsidR="009E255B">
        <w:t>Tax Allocation Revenues</w:t>
      </w:r>
      <w:r w:rsidRPr="00C7390B">
        <w:t xml:space="preserve"> (defined in the Indenture) which is subordinate to the pledge made with respect to the </w:t>
      </w:r>
      <w:r w:rsidR="00A00F40">
        <w:t>Series 2025</w:t>
      </w:r>
      <w:r w:rsidR="00242F76">
        <w:t xml:space="preserve"> Bond</w:t>
      </w:r>
      <w:r w:rsidR="00901D88" w:rsidRPr="00C7390B">
        <w:t>s</w:t>
      </w:r>
      <w:r w:rsidRPr="00C7390B">
        <w:t xml:space="preserve">. </w:t>
      </w:r>
      <w:r w:rsidR="00216FEA" w:rsidRPr="00C7390B">
        <w:t xml:space="preserve"> </w:t>
      </w:r>
      <w:r w:rsidRPr="00C7390B">
        <w:t xml:space="preserve">In the manner and subject to the requirements provided in the Indenture, said Indenture and the rights and obligations of </w:t>
      </w:r>
      <w:r w:rsidR="00EF1B39">
        <w:t>the District</w:t>
      </w:r>
      <w:r w:rsidRPr="00C7390B">
        <w:t xml:space="preserve"> and of the owners of the </w:t>
      </w:r>
      <w:r w:rsidR="00A00F40">
        <w:t>Series 2025</w:t>
      </w:r>
      <w:r w:rsidR="00704D8F">
        <w:t xml:space="preserve"> </w:t>
      </w:r>
      <w:r w:rsidRPr="00C7390B">
        <w:t xml:space="preserve">Bonds may (with certain exceptions as stated in the Indenture) </w:t>
      </w:r>
      <w:r w:rsidR="00762C22" w:rsidRPr="00C7390B">
        <w:t>be modified or amended with the consent of the owners of 6</w:t>
      </w:r>
      <w:r w:rsidR="00762C22">
        <w:t>6 2/3</w:t>
      </w:r>
      <w:r w:rsidR="00762C22" w:rsidRPr="00C7390B">
        <w:t>% in aggregate of the</w:t>
      </w:r>
      <w:r w:rsidR="00704D8F">
        <w:t xml:space="preserve"> </w:t>
      </w:r>
      <w:r w:rsidR="00A00F40">
        <w:t>Series 2025</w:t>
      </w:r>
      <w:r w:rsidR="00762C22" w:rsidRPr="00C7390B">
        <w:t xml:space="preserve"> </w:t>
      </w:r>
      <w:r w:rsidR="00762C22">
        <w:t>Bonds then Outstanding</w:t>
      </w:r>
      <w:r w:rsidRPr="00C7390B">
        <w:t xml:space="preserve">. Capitalized terms used in </w:t>
      </w:r>
      <w:r w:rsidR="006C55FF" w:rsidRPr="00C7390B">
        <w:t>this b</w:t>
      </w:r>
      <w:r w:rsidRPr="00C7390B">
        <w:t xml:space="preserve">ond which are not defined herein but which are defined in the Indenture shall have the respective meanings set forth in the Indenture when used herein. </w:t>
      </w:r>
    </w:p>
    <w:p w14:paraId="26AA3DD8" w14:textId="146D1EEE" w:rsidR="0038480E" w:rsidRPr="00C7390B" w:rsidRDefault="0038480E" w:rsidP="00013B8F">
      <w:pPr>
        <w:pStyle w:val="00BodyText5"/>
      </w:pPr>
      <w:r w:rsidRPr="00C7390B">
        <w:t xml:space="preserve">Except as otherwise provided in the Indenture, the principal of this bond and the interest thereon are, along with all other Bonds issued on a parity therewith, secured by an irrevocable </w:t>
      </w:r>
      <w:r w:rsidR="00F15C5B" w:rsidRPr="00C7390B">
        <w:t>first</w:t>
      </w:r>
      <w:r w:rsidR="00F23FC6" w:rsidRPr="00C7390B">
        <w:t xml:space="preserve"> </w:t>
      </w:r>
      <w:r w:rsidRPr="00C7390B">
        <w:t xml:space="preserve">lien pledge of, and are payable solely from, the </w:t>
      </w:r>
      <w:r w:rsidR="00F674A6">
        <w:t>Pledged Revenues</w:t>
      </w:r>
      <w:r w:rsidRPr="00C7390B">
        <w:t xml:space="preserve"> (as defined in the Indenture) and other funds, all as more particularly set forth in the Indenture. </w:t>
      </w:r>
      <w:r w:rsidR="006371D5" w:rsidRPr="00C7390B">
        <w:t xml:space="preserve"> </w:t>
      </w:r>
    </w:p>
    <w:p w14:paraId="6C134369" w14:textId="3A642B8C" w:rsidR="0038480E" w:rsidRPr="00C7390B" w:rsidRDefault="0038480E" w:rsidP="00013B8F">
      <w:pPr>
        <w:pStyle w:val="00BodyText5"/>
      </w:pPr>
      <w:r w:rsidRPr="00C7390B">
        <w:t xml:space="preserve">This bond shall be registered on the books of </w:t>
      </w:r>
      <w:r w:rsidR="00EF1B39">
        <w:t>the District</w:t>
      </w:r>
      <w:r w:rsidRPr="00C7390B">
        <w:t xml:space="preserve"> to be kept for that purpose at the principal corporate trust office of the Trustee in </w:t>
      </w:r>
      <w:r w:rsidR="007E5142" w:rsidRPr="00C7390B">
        <w:t>Salt Lake City, Utah</w:t>
      </w:r>
      <w:r w:rsidRPr="00C7390B">
        <w:t xml:space="preserve">, such registration shall be noted hereon, and this bond shall be transferable only upon said books at said office by the Registered Owner hereof or by his duly authorized attorney. Such transfers shall be without charge to the owner hereof, but any taxes or other governmental charges required to be paid with respect to the same shall be paid by the owner requesting such transfer as a condition precedent to the exercise of such privilege. Upon any such transfer, </w:t>
      </w:r>
      <w:r w:rsidR="00EF1B39">
        <w:t>the District</w:t>
      </w:r>
      <w:r w:rsidRPr="00C7390B">
        <w:t xml:space="preserve"> shall execute and the Trustee shall authenticate and deliver in exchange for this bond a new registered bond or bonds without coupons, of the same maturity, series and interest rate, registered in the name of the transferee, of Authorized Denominations. </w:t>
      </w:r>
      <w:r w:rsidR="00EF1B39">
        <w:t>The District</w:t>
      </w:r>
      <w:r w:rsidRPr="00C7390B">
        <w:t xml:space="preserve">, the Trustee and the Paying Agent may deem and treat the person in whose name this bond is registered as the absolute owner hereof, whether or not this bond is overdue, for the purpose of receiving payment and for all other purposes, and </w:t>
      </w:r>
      <w:r w:rsidR="00EF1B39">
        <w:t>the District</w:t>
      </w:r>
      <w:r w:rsidRPr="00C7390B">
        <w:t xml:space="preserve">, the Trustee and the Paying Agent shall not be affected by any notice to the contrary. </w:t>
      </w:r>
      <w:r w:rsidR="00EF1B39">
        <w:t>The District</w:t>
      </w:r>
      <w:r w:rsidRPr="00C7390B">
        <w:t xml:space="preserve">, the Trustee and the Paying Agent shall not be required (a) to issue, transfer or exchange Bonds from the fifteenth day of the month next preceding any interest payment date through and including such interest payment date; or (b) to transfer or exchange any Bond called for redemption or selected for call for redemption. The </w:t>
      </w:r>
      <w:r w:rsidR="00A00F40">
        <w:t>Series 2025</w:t>
      </w:r>
      <w:r w:rsidR="00B47700" w:rsidRPr="00C7390B">
        <w:t xml:space="preserve"> </w:t>
      </w:r>
      <w:r w:rsidR="00901D88" w:rsidRPr="00C7390B">
        <w:t>Bonds</w:t>
      </w:r>
      <w:r w:rsidRPr="00C7390B">
        <w:t xml:space="preserve"> </w:t>
      </w:r>
      <w:r w:rsidR="008A482B" w:rsidRPr="00C7390B">
        <w:t>are issuable as registered bonds in the denominations of $500,000 or any $1,000 increment in excess thereof</w:t>
      </w:r>
      <w:r w:rsidRPr="00C7390B">
        <w:t xml:space="preserve">. </w:t>
      </w:r>
    </w:p>
    <w:p w14:paraId="3A0DF8F9" w14:textId="690CE460" w:rsidR="0038480E" w:rsidRPr="00C7390B" w:rsidRDefault="0038480E" w:rsidP="00013B8F">
      <w:pPr>
        <w:pStyle w:val="00BodyText5"/>
      </w:pPr>
      <w:r w:rsidRPr="00C7390B">
        <w:t xml:space="preserve">The </w:t>
      </w:r>
      <w:r w:rsidR="00A00F40">
        <w:t>Series 2025</w:t>
      </w:r>
      <w:r w:rsidR="00901D88" w:rsidRPr="00C7390B">
        <w:t xml:space="preserve"> Bonds</w:t>
      </w:r>
      <w:r w:rsidRPr="00C7390B">
        <w:t xml:space="preserve"> are subject to redemption prior to maturity at the times and with notice as provided in the Indenture. </w:t>
      </w:r>
    </w:p>
    <w:p w14:paraId="45153C9A" w14:textId="77777777" w:rsidR="0038480E" w:rsidRPr="00C7390B" w:rsidRDefault="0038480E" w:rsidP="00013B8F">
      <w:pPr>
        <w:pStyle w:val="00BodyText5"/>
      </w:pPr>
      <w:r w:rsidRPr="00C7390B">
        <w:t xml:space="preserve">It is hereby recited, certified and declared that any and all acts, conditions and things required to exist, to happen and to be performed precedent to and in the issuance of this bond exist, have happened and have been performed in due time, form and manner as required by the </w:t>
      </w:r>
      <w:r w:rsidR="005F3964" w:rsidRPr="00C7390B">
        <w:t>Project Area</w:t>
      </w:r>
      <w:r w:rsidRPr="00C7390B">
        <w:t xml:space="preserve"> Plan</w:t>
      </w:r>
      <w:r w:rsidR="005F3964" w:rsidRPr="00C7390B">
        <w:t>s</w:t>
      </w:r>
      <w:r w:rsidRPr="00C7390B">
        <w:t xml:space="preserve">, the Act, and the Constitution and statutes of the State of Utah. </w:t>
      </w:r>
    </w:p>
    <w:p w14:paraId="5AC2B91C" w14:textId="40FDECE2" w:rsidR="00874D29" w:rsidRPr="00C7390B" w:rsidRDefault="0038480E" w:rsidP="00013B8F">
      <w:pPr>
        <w:pStyle w:val="00BodyText5"/>
      </w:pPr>
      <w:r w:rsidRPr="00C7390B">
        <w:lastRenderedPageBreak/>
        <w:t>This bond shall not become valid or obligatory for any purpose or be entitled to any security or benefit under the Indenture until the Certificate of Authentication hereon shall have been manually signed by the Trustee.</w:t>
      </w:r>
      <w:r w:rsidR="00B47700" w:rsidRPr="00C7390B">
        <w:t xml:space="preserve">  </w:t>
      </w:r>
    </w:p>
    <w:p w14:paraId="7B4446DA" w14:textId="2F5D8E17" w:rsidR="0038480E" w:rsidRPr="00C7390B" w:rsidRDefault="0038480E" w:rsidP="00013B8F">
      <w:pPr>
        <w:pStyle w:val="00BodyText5"/>
      </w:pPr>
      <w:r w:rsidRPr="00C7390B">
        <w:t xml:space="preserve">IN WITNESS WHEREOF, </w:t>
      </w:r>
      <w:r w:rsidR="00D52E19">
        <w:t xml:space="preserve">the MIDA Mountain Village Public Infrastructure District </w:t>
      </w:r>
      <w:r w:rsidRPr="00C7390B">
        <w:t xml:space="preserve">has caused this bond to be executed on its behalf by the manual or facsimile signature of its </w:t>
      </w:r>
      <w:r w:rsidR="00E05420" w:rsidRPr="00C7390B">
        <w:t xml:space="preserve">Chair </w:t>
      </w:r>
      <w:r w:rsidRPr="00C7390B">
        <w:t xml:space="preserve">and to be countersigned and attested by the manual or facsimile signature of its </w:t>
      </w:r>
      <w:r w:rsidR="00E40CCF">
        <w:t>Executive Director</w:t>
      </w:r>
      <w:r w:rsidR="00E05420" w:rsidRPr="00C7390B">
        <w:t xml:space="preserve"> </w:t>
      </w:r>
      <w:r w:rsidRPr="00C7390B">
        <w:t xml:space="preserve">and the seal of </w:t>
      </w:r>
      <w:r w:rsidR="00EF1B39">
        <w:t>the District</w:t>
      </w:r>
      <w:r w:rsidR="00E502E8" w:rsidRPr="00C7390B">
        <w:t xml:space="preserve"> </w:t>
      </w:r>
      <w:r w:rsidRPr="00C7390B">
        <w:t>to be impressed, imprinted or reproduced hereon.</w:t>
      </w:r>
    </w:p>
    <w:p w14:paraId="055F17AE" w14:textId="4BCD1757" w:rsidR="0038480E" w:rsidRPr="00C7390B" w:rsidRDefault="00D52E19" w:rsidP="003B296E">
      <w:pPr>
        <w:pStyle w:val="Signature"/>
      </w:pPr>
      <w:r>
        <w:t xml:space="preserve">MIDA MOUNTAIN VILLAGE PUBLIC INFRASTRUCTURE DISTRICT </w:t>
      </w:r>
    </w:p>
    <w:p w14:paraId="2C1C12B4" w14:textId="77777777" w:rsidR="0038480E" w:rsidRPr="00C7390B" w:rsidRDefault="0038480E" w:rsidP="003B296E">
      <w:pPr>
        <w:pStyle w:val="Signature"/>
      </w:pPr>
    </w:p>
    <w:p w14:paraId="4C064879" w14:textId="77777777" w:rsidR="00E502E8" w:rsidRPr="00C7390B" w:rsidRDefault="00E502E8" w:rsidP="003B296E">
      <w:pPr>
        <w:pStyle w:val="Signature"/>
      </w:pPr>
    </w:p>
    <w:p w14:paraId="281735EE" w14:textId="77777777" w:rsidR="0038480E" w:rsidRPr="00C7390B" w:rsidRDefault="0038480E" w:rsidP="003B296E">
      <w:pPr>
        <w:pStyle w:val="Signature"/>
      </w:pPr>
    </w:p>
    <w:p w14:paraId="1D7CBB7D" w14:textId="77777777" w:rsidR="0038480E" w:rsidRPr="00C7390B" w:rsidRDefault="0038480E" w:rsidP="003B296E">
      <w:pPr>
        <w:pStyle w:val="Signature"/>
      </w:pPr>
      <w:r w:rsidRPr="00C7390B">
        <w:t>By:</w:t>
      </w:r>
      <w:r w:rsidR="00B47700" w:rsidRPr="00C7390B">
        <w:t xml:space="preserve"> </w:t>
      </w:r>
      <w:r w:rsidRPr="00C7390B">
        <w:t xml:space="preserve">________________________________ </w:t>
      </w:r>
    </w:p>
    <w:p w14:paraId="55315D96" w14:textId="77777777" w:rsidR="0038480E" w:rsidRPr="00C7390B" w:rsidRDefault="006371D5" w:rsidP="003B296E">
      <w:pPr>
        <w:pStyle w:val="Signature"/>
        <w:jc w:val="center"/>
      </w:pPr>
      <w:r w:rsidRPr="00C7390B">
        <w:t>Chair</w:t>
      </w:r>
    </w:p>
    <w:p w14:paraId="61E01FA7" w14:textId="77777777" w:rsidR="0038480E" w:rsidRPr="00C7390B" w:rsidRDefault="0038480E" w:rsidP="00013B8F"/>
    <w:p w14:paraId="6E2B338A" w14:textId="77777777" w:rsidR="0038480E" w:rsidRPr="00C7390B" w:rsidRDefault="0038480E" w:rsidP="003B296E">
      <w:r w:rsidRPr="00C7390B">
        <w:t xml:space="preserve">(SEAL) </w:t>
      </w:r>
    </w:p>
    <w:p w14:paraId="0A65283A" w14:textId="77777777" w:rsidR="00532FD9" w:rsidRPr="00C7390B" w:rsidRDefault="00532FD9" w:rsidP="003B296E">
      <w:pPr>
        <w:pStyle w:val="00SignatureLEFT"/>
      </w:pPr>
    </w:p>
    <w:p w14:paraId="65C4EC8B" w14:textId="77777777" w:rsidR="00532FD9" w:rsidRPr="00C7390B" w:rsidRDefault="00532FD9" w:rsidP="003B296E">
      <w:pPr>
        <w:pStyle w:val="00SignatureLEFT"/>
      </w:pPr>
    </w:p>
    <w:p w14:paraId="4EB38888" w14:textId="77777777" w:rsidR="0038480E" w:rsidRPr="00C7390B" w:rsidRDefault="0038480E" w:rsidP="003B296E">
      <w:pPr>
        <w:pStyle w:val="00SignatureLEFT"/>
      </w:pPr>
    </w:p>
    <w:p w14:paraId="5889A2CB" w14:textId="77777777" w:rsidR="0038480E" w:rsidRPr="00C7390B" w:rsidRDefault="00874D29" w:rsidP="003B296E">
      <w:pPr>
        <w:pStyle w:val="00SignatureLEFT"/>
      </w:pPr>
      <w:r w:rsidRPr="00C7390B">
        <w:t xml:space="preserve">COUNTERSIGNED AND ATTESTED: </w:t>
      </w:r>
    </w:p>
    <w:p w14:paraId="33373A56" w14:textId="77777777" w:rsidR="00874D29" w:rsidRPr="00C7390B" w:rsidRDefault="00874D29" w:rsidP="003B296E">
      <w:pPr>
        <w:pStyle w:val="00SignatureLEFT"/>
      </w:pPr>
    </w:p>
    <w:p w14:paraId="68C5C0FE" w14:textId="77777777" w:rsidR="00874D29" w:rsidRDefault="00874D29" w:rsidP="003B296E">
      <w:pPr>
        <w:pStyle w:val="00SignatureLEFT"/>
      </w:pPr>
    </w:p>
    <w:p w14:paraId="5D5296FE" w14:textId="77777777" w:rsidR="001F2411" w:rsidRPr="00C7390B" w:rsidRDefault="001F2411" w:rsidP="003B296E">
      <w:pPr>
        <w:pStyle w:val="00SignatureLEFT"/>
      </w:pPr>
    </w:p>
    <w:p w14:paraId="0589C29E" w14:textId="77777777" w:rsidR="0038480E" w:rsidRPr="00C7390B" w:rsidRDefault="0038480E" w:rsidP="003B296E">
      <w:pPr>
        <w:pStyle w:val="00SignatureLEFT"/>
      </w:pPr>
      <w:r w:rsidRPr="00C7390B">
        <w:t xml:space="preserve">By: ______________________________ </w:t>
      </w:r>
    </w:p>
    <w:p w14:paraId="10FBE1EC" w14:textId="2B523685" w:rsidR="0038480E" w:rsidRDefault="00E40CCF" w:rsidP="003B296E">
      <w:pPr>
        <w:pStyle w:val="00SignatureLEFT"/>
        <w:jc w:val="center"/>
      </w:pPr>
      <w:r>
        <w:t>Executive Director</w:t>
      </w:r>
    </w:p>
    <w:p w14:paraId="4E16B7C1" w14:textId="77777777" w:rsidR="003B296E" w:rsidRPr="00C7390B" w:rsidRDefault="003B296E" w:rsidP="003B296E"/>
    <w:p w14:paraId="6BC83BBA" w14:textId="77777777" w:rsidR="007F0299" w:rsidRDefault="007F0299" w:rsidP="0038480E">
      <w:pPr>
        <w:jc w:val="both"/>
        <w:sectPr w:rsidR="007F0299" w:rsidSect="00013B8F">
          <w:headerReference w:type="default" r:id="rId26"/>
          <w:footerReference w:type="default" r:id="rId27"/>
          <w:footerReference w:type="first" r:id="rId28"/>
          <w:pgSz w:w="12240" w:h="15840" w:code="1"/>
          <w:pgMar w:top="1440" w:right="1440" w:bottom="1440" w:left="1440" w:header="720" w:footer="720" w:gutter="0"/>
          <w:pgNumType w:start="1"/>
          <w:cols w:space="720"/>
          <w:noEndnote/>
          <w:titlePg/>
          <w:docGrid w:linePitch="326"/>
        </w:sectPr>
      </w:pPr>
    </w:p>
    <w:p w14:paraId="0E113443" w14:textId="65FEF0BC" w:rsidR="0038480E" w:rsidRPr="00C7390B" w:rsidRDefault="0038480E" w:rsidP="00013B8F">
      <w:pPr>
        <w:jc w:val="center"/>
      </w:pPr>
      <w:r w:rsidRPr="00C7390B">
        <w:lastRenderedPageBreak/>
        <w:t>CERTIFICATE OF AUTHENTICATION</w:t>
      </w:r>
    </w:p>
    <w:p w14:paraId="450EA796" w14:textId="77777777" w:rsidR="0038480E" w:rsidRPr="00C7390B" w:rsidRDefault="0038480E" w:rsidP="001F2411">
      <w:pPr>
        <w:ind w:left="-720"/>
        <w:jc w:val="center"/>
      </w:pPr>
    </w:p>
    <w:p w14:paraId="5E3FF6A3" w14:textId="0161562A" w:rsidR="0038480E" w:rsidRPr="00C7390B" w:rsidRDefault="0038480E" w:rsidP="00013B8F">
      <w:pPr>
        <w:pStyle w:val="00BodyText5"/>
      </w:pPr>
      <w:r w:rsidRPr="00C7390B">
        <w:t xml:space="preserve">This bond is one of the </w:t>
      </w:r>
      <w:r w:rsidR="00A00F40">
        <w:t>Series 2025</w:t>
      </w:r>
      <w:r w:rsidR="00B47700" w:rsidRPr="00C7390B">
        <w:t xml:space="preserve"> </w:t>
      </w:r>
      <w:r w:rsidR="00901D88" w:rsidRPr="00C7390B">
        <w:t>Bonds</w:t>
      </w:r>
      <w:r w:rsidRPr="00C7390B">
        <w:t xml:space="preserve"> described in the within</w:t>
      </w:r>
      <w:r w:rsidR="001D27F6">
        <w:t>-</w:t>
      </w:r>
      <w:r w:rsidRPr="00C7390B">
        <w:t xml:space="preserve">mentioned Indenture and is one of </w:t>
      </w:r>
      <w:r w:rsidR="00EF1B39">
        <w:t>the District</w:t>
      </w:r>
      <w:r w:rsidRPr="00C7390B">
        <w:t xml:space="preserve">’s </w:t>
      </w:r>
      <w:r w:rsidR="00F13606" w:rsidRPr="00C7390B">
        <w:t>Tax Allocation</w:t>
      </w:r>
      <w:r w:rsidR="00901D88" w:rsidRPr="00C7390B">
        <w:t xml:space="preserve"> </w:t>
      </w:r>
      <w:r w:rsidR="005116DB" w:rsidRPr="00C7390B">
        <w:t xml:space="preserve">Revenue </w:t>
      </w:r>
      <w:r w:rsidR="00901D88" w:rsidRPr="00C7390B">
        <w:t>Bonds</w:t>
      </w:r>
      <w:r w:rsidRPr="00C7390B">
        <w:t xml:space="preserve">, </w:t>
      </w:r>
      <w:r w:rsidR="00A00F40">
        <w:t>Series 2025</w:t>
      </w:r>
      <w:r w:rsidRPr="00C7390B">
        <w:t xml:space="preserve">. </w:t>
      </w:r>
    </w:p>
    <w:p w14:paraId="56E5C08D" w14:textId="5ED839FB" w:rsidR="00874D29" w:rsidRPr="00C7390B" w:rsidRDefault="00E82904" w:rsidP="003B296E">
      <w:pPr>
        <w:pStyle w:val="Signature"/>
      </w:pPr>
      <w:r>
        <w:t>U.S. BANK</w:t>
      </w:r>
      <w:r w:rsidR="0032071F">
        <w:t xml:space="preserve"> TRUST COMPANY,</w:t>
      </w:r>
      <w:r>
        <w:t xml:space="preserve"> NATIONAL ASSOCIATION</w:t>
      </w:r>
    </w:p>
    <w:p w14:paraId="4718CC4C" w14:textId="77777777" w:rsidR="00874D29" w:rsidRPr="00C7390B" w:rsidRDefault="00874D29" w:rsidP="003B296E">
      <w:pPr>
        <w:pStyle w:val="Signature"/>
      </w:pPr>
    </w:p>
    <w:p w14:paraId="1D6248BE" w14:textId="77777777" w:rsidR="00874D29" w:rsidRDefault="00874D29" w:rsidP="003B296E">
      <w:pPr>
        <w:pStyle w:val="Signature"/>
      </w:pPr>
    </w:p>
    <w:p w14:paraId="60237928" w14:textId="77777777" w:rsidR="001D27F6" w:rsidRPr="00C7390B" w:rsidRDefault="001D27F6" w:rsidP="003B296E">
      <w:pPr>
        <w:pStyle w:val="Signature"/>
      </w:pPr>
    </w:p>
    <w:p w14:paraId="5E8D5F4A" w14:textId="6C705255" w:rsidR="0038480E" w:rsidRPr="00C7390B" w:rsidRDefault="0038480E" w:rsidP="003B296E">
      <w:pPr>
        <w:pStyle w:val="Signature"/>
      </w:pPr>
      <w:r w:rsidRPr="00C7390B">
        <w:t>By _____________________________</w:t>
      </w:r>
      <w:r w:rsidR="001F2411">
        <w:t>____</w:t>
      </w:r>
      <w:r w:rsidRPr="00C7390B">
        <w:t xml:space="preserve"> </w:t>
      </w:r>
    </w:p>
    <w:p w14:paraId="708D718C" w14:textId="75D9119F" w:rsidR="0038480E" w:rsidRPr="00C7390B" w:rsidRDefault="0038480E" w:rsidP="003B296E">
      <w:pPr>
        <w:pStyle w:val="Signature"/>
        <w:jc w:val="center"/>
      </w:pPr>
      <w:r w:rsidRPr="00C7390B">
        <w:t>Authorized Officer</w:t>
      </w:r>
    </w:p>
    <w:p w14:paraId="7D49F5A0" w14:textId="77777777" w:rsidR="0038480E" w:rsidRPr="00C7390B" w:rsidRDefault="0038480E" w:rsidP="003B296E">
      <w:pPr>
        <w:pStyle w:val="00SignatureLEFT"/>
      </w:pPr>
    </w:p>
    <w:p w14:paraId="1960FF60" w14:textId="77777777" w:rsidR="0038480E" w:rsidRPr="00C7390B" w:rsidRDefault="0038480E" w:rsidP="003B296E">
      <w:pPr>
        <w:pStyle w:val="00SignatureLEFT"/>
      </w:pPr>
      <w:r w:rsidRPr="00C7390B">
        <w:t xml:space="preserve">Date of Authentication: </w:t>
      </w:r>
    </w:p>
    <w:p w14:paraId="3931D048" w14:textId="77777777" w:rsidR="0038480E" w:rsidRDefault="0038480E" w:rsidP="003B296E">
      <w:pPr>
        <w:pStyle w:val="00SignatureLEFT"/>
      </w:pPr>
    </w:p>
    <w:p w14:paraId="320E41D2" w14:textId="77777777" w:rsidR="001D27F6" w:rsidRPr="00C7390B" w:rsidRDefault="001D27F6" w:rsidP="003B296E">
      <w:pPr>
        <w:pStyle w:val="00SignatureLEFT"/>
      </w:pPr>
    </w:p>
    <w:p w14:paraId="47101BCB" w14:textId="1640838D" w:rsidR="0038480E" w:rsidRPr="00C7390B" w:rsidRDefault="0038480E" w:rsidP="003B296E">
      <w:pPr>
        <w:pStyle w:val="00SignatureLEFT"/>
      </w:pPr>
      <w:r w:rsidRPr="00C7390B">
        <w:t>____________________</w:t>
      </w:r>
      <w:r w:rsidR="001F2411">
        <w:t>____</w:t>
      </w:r>
    </w:p>
    <w:p w14:paraId="50071915" w14:textId="77777777" w:rsidR="0038480E" w:rsidRPr="00C7390B" w:rsidRDefault="0038480E" w:rsidP="00013B8F"/>
    <w:p w14:paraId="3B5A0868" w14:textId="77777777" w:rsidR="00901D88" w:rsidRPr="00C7390B" w:rsidRDefault="000B0B0A" w:rsidP="003B296E">
      <w:pPr>
        <w:pStyle w:val="00Center"/>
      </w:pPr>
      <w:r w:rsidRPr="00C7390B">
        <w:br w:type="page"/>
      </w:r>
      <w:r w:rsidR="00901D88" w:rsidRPr="00C7390B">
        <w:lastRenderedPageBreak/>
        <w:t>ABBREVIATIONS</w:t>
      </w:r>
    </w:p>
    <w:p w14:paraId="33EA9EB2" w14:textId="77777777" w:rsidR="00901D88" w:rsidRPr="00C7390B" w:rsidRDefault="00901D88" w:rsidP="00013B8F">
      <w:pPr>
        <w:pStyle w:val="00BodyText5"/>
      </w:pPr>
      <w:r w:rsidRPr="00C7390B">
        <w:t xml:space="preserve">The following abbreviations, when used in the inscription on the face of the within Bond, shall be construed as though they were written out in full according to applicable laws or regulations. </w:t>
      </w:r>
    </w:p>
    <w:p w14:paraId="4AD6F14C" w14:textId="77777777" w:rsidR="00901D88" w:rsidRPr="00C7390B" w:rsidRDefault="00901D88" w:rsidP="00013B8F">
      <w:r w:rsidRPr="00C7390B">
        <w:t xml:space="preserve">TEN COM - as tenants in common </w:t>
      </w:r>
    </w:p>
    <w:p w14:paraId="32F3DA42" w14:textId="77777777" w:rsidR="00901D88" w:rsidRPr="00C7390B" w:rsidRDefault="00901D88" w:rsidP="00013B8F">
      <w:r w:rsidRPr="00C7390B">
        <w:t xml:space="preserve">TEN ENT - as tenants by the entireties </w:t>
      </w:r>
    </w:p>
    <w:p w14:paraId="5008F429" w14:textId="77777777" w:rsidR="00901D88" w:rsidRPr="00C7390B" w:rsidRDefault="00901D88" w:rsidP="00013B8F">
      <w:r w:rsidRPr="00C7390B">
        <w:t xml:space="preserve">JT TEN - as joint tenants with right of survivorship and not as tenants in common </w:t>
      </w:r>
    </w:p>
    <w:p w14:paraId="028BAF1A" w14:textId="77777777" w:rsidR="00901D88" w:rsidRPr="00C7390B" w:rsidRDefault="00901D88" w:rsidP="00013B8F"/>
    <w:p w14:paraId="43C922A1" w14:textId="77777777" w:rsidR="00901D88" w:rsidRPr="00C7390B" w:rsidRDefault="00901D88" w:rsidP="00013B8F">
      <w:r w:rsidRPr="00C7390B">
        <w:t>UNIF GIF MIN ACT - _____________________________________________________</w:t>
      </w:r>
    </w:p>
    <w:p w14:paraId="16425E73" w14:textId="77777777" w:rsidR="00901D88" w:rsidRPr="00C7390B" w:rsidRDefault="00901D88" w:rsidP="00013B8F">
      <w:pPr>
        <w:tabs>
          <w:tab w:val="center" w:pos="5760"/>
        </w:tabs>
      </w:pPr>
      <w:r w:rsidRPr="00C7390B">
        <w:tab/>
        <w:t>(Cust.)</w:t>
      </w:r>
    </w:p>
    <w:p w14:paraId="0B2E11BC" w14:textId="77777777" w:rsidR="00901D88" w:rsidRPr="00C7390B" w:rsidRDefault="00901D88" w:rsidP="003B296E">
      <w:r w:rsidRPr="00C7390B">
        <w:t>Custodian for _____________________________________________________________</w:t>
      </w:r>
    </w:p>
    <w:p w14:paraId="016B165E" w14:textId="77777777" w:rsidR="00901D88" w:rsidRPr="00C7390B" w:rsidRDefault="00901D88" w:rsidP="003B296E">
      <w:pPr>
        <w:tabs>
          <w:tab w:val="center" w:pos="5760"/>
        </w:tabs>
      </w:pPr>
      <w:r w:rsidRPr="00C7390B">
        <w:tab/>
        <w:t>(Minor)</w:t>
      </w:r>
    </w:p>
    <w:p w14:paraId="0445C90D" w14:textId="77777777" w:rsidR="00901D88" w:rsidRPr="00C7390B" w:rsidRDefault="00901D88" w:rsidP="003B296E">
      <w:r w:rsidRPr="00C7390B">
        <w:t>under Uniform Gifts to Minors Act of _________________________________________</w:t>
      </w:r>
    </w:p>
    <w:p w14:paraId="043EB458" w14:textId="77777777" w:rsidR="00901D88" w:rsidRPr="00C7390B" w:rsidRDefault="00901D88" w:rsidP="003B296E">
      <w:pPr>
        <w:tabs>
          <w:tab w:val="center" w:pos="5760"/>
        </w:tabs>
      </w:pPr>
      <w:r w:rsidRPr="00C7390B">
        <w:tab/>
        <w:t>(State)</w:t>
      </w:r>
    </w:p>
    <w:p w14:paraId="749950EA" w14:textId="77777777" w:rsidR="00901D88" w:rsidRPr="00C7390B" w:rsidRDefault="00901D88" w:rsidP="003B296E"/>
    <w:p w14:paraId="38C223BC" w14:textId="77777777" w:rsidR="00901D88" w:rsidRPr="00C7390B" w:rsidRDefault="00901D88" w:rsidP="003B296E"/>
    <w:p w14:paraId="2CEF5C77" w14:textId="77777777" w:rsidR="003B296E" w:rsidRDefault="003B296E">
      <w:r>
        <w:br w:type="page"/>
      </w:r>
    </w:p>
    <w:p w14:paraId="0AE1BBF1" w14:textId="2B81C856" w:rsidR="00901D88" w:rsidRPr="00C7390B" w:rsidRDefault="00901D88" w:rsidP="003B296E">
      <w:pPr>
        <w:pStyle w:val="00Center"/>
      </w:pPr>
      <w:r w:rsidRPr="00C7390B">
        <w:lastRenderedPageBreak/>
        <w:t>(Form of Assignment)</w:t>
      </w:r>
    </w:p>
    <w:p w14:paraId="716B461A" w14:textId="77777777" w:rsidR="00901D88" w:rsidRPr="00C7390B" w:rsidRDefault="00901D88" w:rsidP="003B296E">
      <w:r w:rsidRPr="00C7390B">
        <w:t>FOR VALUE RECEIVED the undersigned hereby sells, assigns and transfers unto ________________________________________________________________________</w:t>
      </w:r>
    </w:p>
    <w:p w14:paraId="3B6D420A" w14:textId="77777777" w:rsidR="00901D88" w:rsidRDefault="00901D88" w:rsidP="003B296E">
      <w:r w:rsidRPr="00C7390B">
        <w:t>(Please Print or Typewrite Name and Address of Transferee)</w:t>
      </w:r>
    </w:p>
    <w:p w14:paraId="3034B6AF" w14:textId="77777777" w:rsidR="003B296E" w:rsidRPr="00C7390B" w:rsidRDefault="003B296E" w:rsidP="003B296E"/>
    <w:p w14:paraId="698B575E" w14:textId="77777777" w:rsidR="00901D88" w:rsidRPr="00C7390B" w:rsidRDefault="00901D88" w:rsidP="003B296E">
      <w:pPr>
        <w:pStyle w:val="00Normal"/>
        <w:jc w:val="both"/>
      </w:pPr>
      <w:r w:rsidRPr="00C7390B">
        <w:t xml:space="preserve">the within bond and all rights thereunder, and hereby irrevocably constitutes and appoints ________________________________________________ attorney to transfer the within bond on the books kept for registration thereof, with full power of substitution in the premises. </w:t>
      </w:r>
    </w:p>
    <w:p w14:paraId="21A393E8" w14:textId="77777777" w:rsidR="00901D88" w:rsidRPr="00C7390B" w:rsidRDefault="00901D88" w:rsidP="003B296E"/>
    <w:p w14:paraId="1B6DEE32" w14:textId="77777777" w:rsidR="00901D88" w:rsidRPr="00C7390B" w:rsidRDefault="00901D88" w:rsidP="003B296E">
      <w:r w:rsidRPr="00C7390B">
        <w:t>DATED:</w:t>
      </w:r>
      <w:r w:rsidR="00B47700" w:rsidRPr="00C7390B">
        <w:t xml:space="preserve"> </w:t>
      </w:r>
      <w:r w:rsidRPr="00C7390B">
        <w:t>____________________________</w:t>
      </w:r>
    </w:p>
    <w:p w14:paraId="6357AF81" w14:textId="77777777" w:rsidR="00901D88" w:rsidRPr="00C7390B" w:rsidRDefault="00901D88" w:rsidP="003B296E"/>
    <w:p w14:paraId="35F4E2AC" w14:textId="77777777" w:rsidR="00901D88" w:rsidRPr="00C7390B" w:rsidRDefault="00901D88" w:rsidP="003B296E">
      <w:r w:rsidRPr="00C7390B">
        <w:t>ASSIGNOR’S SIGNATURE:</w:t>
      </w:r>
      <w:r w:rsidR="00B47700" w:rsidRPr="00C7390B">
        <w:t xml:space="preserve"> </w:t>
      </w:r>
      <w:r w:rsidRPr="00C7390B">
        <w:t xml:space="preserve">_____________________________________ </w:t>
      </w:r>
    </w:p>
    <w:p w14:paraId="0EA8AF2A" w14:textId="77777777" w:rsidR="00901D88" w:rsidRPr="00C7390B" w:rsidRDefault="00901D88" w:rsidP="003B296E"/>
    <w:p w14:paraId="78548717" w14:textId="77777777" w:rsidR="00901D88" w:rsidRPr="00C7390B" w:rsidRDefault="00901D88" w:rsidP="00FD7C45">
      <w:pPr>
        <w:pStyle w:val="00BlockInd5"/>
        <w:ind w:left="0" w:right="4680"/>
        <w:jc w:val="both"/>
      </w:pPr>
      <w:r w:rsidRPr="00C7390B">
        <w:t>NOTICE:</w:t>
      </w:r>
      <w:r w:rsidRPr="00C7390B">
        <w:tab/>
        <w:t xml:space="preserve">The signature to this assignment must correspond with the name as it appears upon the face of the within bond in every particular, without alteration or enlargement or any change whatsoever. </w:t>
      </w:r>
    </w:p>
    <w:p w14:paraId="66E94E4A" w14:textId="77777777" w:rsidR="00FD7C45" w:rsidRDefault="00901D88" w:rsidP="00FD7C45">
      <w:pPr>
        <w:pStyle w:val="00BlockInd5"/>
        <w:ind w:left="0" w:right="4680"/>
      </w:pPr>
      <w:r w:rsidRPr="00C7390B">
        <w:t xml:space="preserve">SIGNATURE GUARANTEED: </w:t>
      </w:r>
    </w:p>
    <w:p w14:paraId="7C080901" w14:textId="4FED8A8E" w:rsidR="00901D88" w:rsidRPr="00C7390B" w:rsidRDefault="00901D88" w:rsidP="00FD7C45">
      <w:pPr>
        <w:pStyle w:val="00BlockInd5"/>
        <w:ind w:left="0" w:right="4680"/>
      </w:pPr>
      <w:r w:rsidRPr="00C7390B">
        <w:t xml:space="preserve">__________________________________ </w:t>
      </w:r>
    </w:p>
    <w:p w14:paraId="6C4A76EF" w14:textId="77777777" w:rsidR="00901D88" w:rsidRDefault="00901D88" w:rsidP="00FD7C45">
      <w:pPr>
        <w:pStyle w:val="00BlockInd5"/>
        <w:ind w:left="0" w:right="4680"/>
        <w:jc w:val="both"/>
      </w:pPr>
      <w:r w:rsidRPr="00C7390B">
        <w:t>NOTICE:</w:t>
      </w:r>
      <w:r w:rsidRPr="00C7390B">
        <w:tab/>
      </w:r>
      <w:r w:rsidR="00052F40" w:rsidRPr="00C7390B">
        <w:t>Signature(s) must be guaranteed by an “eligible guarantor institution” that is a member of or a participant in a “signature guarantee program” (e.g., the Securities Transfer Agents Medallion Program, the Stock Exchange Medallion Program or the New York Stock Exchange, Inc. Medallion Signature Program).</w:t>
      </w:r>
      <w:bookmarkEnd w:id="237"/>
    </w:p>
    <w:p w14:paraId="4D5DAF4D" w14:textId="77777777" w:rsidR="003B296E" w:rsidRPr="00C7390B" w:rsidRDefault="003B296E" w:rsidP="003B296E">
      <w:pPr>
        <w:jc w:val="both"/>
      </w:pPr>
    </w:p>
    <w:p w14:paraId="7FC19313" w14:textId="77777777" w:rsidR="006D7A70" w:rsidRPr="00C7390B" w:rsidRDefault="006D7A70" w:rsidP="003B296E"/>
    <w:p w14:paraId="4652270B" w14:textId="77777777" w:rsidR="007F0299" w:rsidRDefault="007F0299" w:rsidP="006D7A70">
      <w:pPr>
        <w:sectPr w:rsidR="007F0299" w:rsidSect="00013B8F">
          <w:footerReference w:type="default" r:id="rId29"/>
          <w:footerReference w:type="first" r:id="rId30"/>
          <w:pgSz w:w="12240" w:h="15840" w:code="1"/>
          <w:pgMar w:top="1440" w:right="1440" w:bottom="1440" w:left="1440" w:header="720" w:footer="720" w:gutter="0"/>
          <w:cols w:space="720"/>
          <w:noEndnote/>
          <w:titlePg/>
          <w:docGrid w:linePitch="326"/>
        </w:sectPr>
      </w:pPr>
    </w:p>
    <w:p w14:paraId="54E0870A" w14:textId="075F8A35" w:rsidR="00C5163A" w:rsidRPr="00B931AD" w:rsidRDefault="00355ECF" w:rsidP="00B931AD">
      <w:pPr>
        <w:ind w:left="-720"/>
        <w:jc w:val="center"/>
        <w:outlineLvl w:val="1"/>
        <w:rPr>
          <w:u w:val="single"/>
        </w:rPr>
      </w:pPr>
      <w:bookmarkStart w:id="238" w:name="_Hlk184136736"/>
      <w:r w:rsidRPr="00C7390B">
        <w:rPr>
          <w:u w:val="single"/>
        </w:rPr>
        <w:lastRenderedPageBreak/>
        <w:t xml:space="preserve">EXHIBIT </w:t>
      </w:r>
      <w:r>
        <w:rPr>
          <w:u w:val="single"/>
        </w:rPr>
        <w:t>B</w:t>
      </w:r>
      <w:bookmarkEnd w:id="238"/>
      <w:r w:rsidRPr="00C7390B">
        <w:rPr>
          <w:u w:val="single"/>
        </w:rPr>
        <w:br/>
      </w:r>
      <w:r w:rsidRPr="00C7390B">
        <w:rPr>
          <w:u w:val="single"/>
        </w:rPr>
        <w:br/>
      </w:r>
      <w:r w:rsidR="00B931AD" w:rsidRPr="00B931AD">
        <w:t>COSTS</w:t>
      </w:r>
      <w:r w:rsidR="00B931AD">
        <w:t xml:space="preserve"> </w:t>
      </w:r>
      <w:r w:rsidR="00B931AD" w:rsidRPr="00C90954">
        <w:t>OF ISSUANCE DISBURSEMENT REQUEST</w:t>
      </w:r>
      <w:r w:rsidR="006D7A70" w:rsidRPr="00C7390B">
        <w:rPr>
          <w:u w:val="single"/>
        </w:rPr>
        <w:br/>
      </w:r>
    </w:p>
    <w:p w14:paraId="44A96CDD" w14:textId="28353670" w:rsidR="00532FD9" w:rsidRPr="00C7390B" w:rsidRDefault="00E82904" w:rsidP="001F2411">
      <w:pPr>
        <w:ind w:left="-720"/>
      </w:pPr>
      <w:r>
        <w:t xml:space="preserve">U.S Bank </w:t>
      </w:r>
      <w:r w:rsidR="00D52E19">
        <w:t xml:space="preserve">Trust Company, </w:t>
      </w:r>
      <w:r>
        <w:t>National Association</w:t>
      </w:r>
    </w:p>
    <w:p w14:paraId="32C23925" w14:textId="77777777" w:rsidR="00532FD9" w:rsidRPr="00C7390B" w:rsidRDefault="00532FD9" w:rsidP="001F2411">
      <w:pPr>
        <w:ind w:left="-720"/>
      </w:pPr>
      <w:r w:rsidRPr="00C7390B">
        <w:t>Corporate Trust Department</w:t>
      </w:r>
    </w:p>
    <w:p w14:paraId="601718A1" w14:textId="77777777" w:rsidR="00532FD9" w:rsidRPr="00C7390B" w:rsidRDefault="00E82904" w:rsidP="001F2411">
      <w:pPr>
        <w:ind w:left="-720"/>
      </w:pPr>
      <w:r>
        <w:t>170 South Main Street, Suite 200</w:t>
      </w:r>
    </w:p>
    <w:p w14:paraId="7118D0AC" w14:textId="1C7641E1" w:rsidR="00532FD9" w:rsidRPr="00C7390B" w:rsidRDefault="00532FD9" w:rsidP="001F2411">
      <w:pPr>
        <w:ind w:left="-720"/>
      </w:pPr>
      <w:r w:rsidRPr="00C7390B">
        <w:t xml:space="preserve">Salt Lake City, Utah </w:t>
      </w:r>
      <w:r w:rsidR="00E82904">
        <w:t>84101</w:t>
      </w:r>
    </w:p>
    <w:p w14:paraId="600A3DCF" w14:textId="77777777" w:rsidR="00532FD9" w:rsidRPr="00C7390B" w:rsidRDefault="00532FD9" w:rsidP="001F2411">
      <w:pPr>
        <w:ind w:left="-720"/>
      </w:pPr>
    </w:p>
    <w:p w14:paraId="03F21AA0" w14:textId="561FA98B" w:rsidR="00C5163A" w:rsidRPr="00C7390B" w:rsidRDefault="00C5163A" w:rsidP="001F2411">
      <w:pPr>
        <w:pStyle w:val="BodyText5"/>
        <w:ind w:left="-720"/>
      </w:pPr>
      <w:r w:rsidRPr="00C7390B">
        <w:t xml:space="preserve">Pursuant to Section </w:t>
      </w:r>
      <w:r w:rsidR="00DA2169" w:rsidRPr="00C7390B">
        <w:t>3</w:t>
      </w:r>
      <w:r w:rsidR="00532FD9" w:rsidRPr="00C7390B">
        <w:t>.</w:t>
      </w:r>
      <w:r w:rsidR="00DA2169" w:rsidRPr="00C7390B">
        <w:t>3</w:t>
      </w:r>
      <w:r w:rsidRPr="00C7390B">
        <w:t xml:space="preserve"> of the </w:t>
      </w:r>
      <w:r w:rsidR="00F674A6">
        <w:t>First Supplemental Indenture</w:t>
      </w:r>
      <w:r w:rsidRPr="00C7390B">
        <w:t xml:space="preserve"> of Trust dated as of </w:t>
      </w:r>
      <w:r w:rsidR="001D27F6">
        <w:t>[INDENTURE MONTH]</w:t>
      </w:r>
      <w:r w:rsidR="00BE4F3C">
        <w:t xml:space="preserve"> 1</w:t>
      </w:r>
      <w:r w:rsidR="00F8641E" w:rsidRPr="00C7390B">
        <w:t>, 202</w:t>
      </w:r>
      <w:r w:rsidR="001D27F6">
        <w:t>5</w:t>
      </w:r>
      <w:r w:rsidRPr="00C7390B">
        <w:t xml:space="preserve">, you are hereby authorized to pay to the following costs of issuance from the </w:t>
      </w:r>
      <w:r w:rsidR="00A00F40">
        <w:t>Series 2025</w:t>
      </w:r>
      <w:r w:rsidRPr="00C7390B">
        <w:t xml:space="preserve"> </w:t>
      </w:r>
      <w:r w:rsidR="00577A23" w:rsidRPr="00C7390B">
        <w:t>Cost</w:t>
      </w:r>
      <w:r w:rsidR="00DA2169" w:rsidRPr="00C7390B">
        <w:t>s</w:t>
      </w:r>
      <w:r w:rsidR="00577A23" w:rsidRPr="00C7390B">
        <w:t xml:space="preserve"> of Issuance </w:t>
      </w:r>
      <w:r w:rsidRPr="00C7390B">
        <w:t>Account:</w:t>
      </w:r>
    </w:p>
    <w:p w14:paraId="79F4193B" w14:textId="77777777" w:rsidR="00C5163A" w:rsidRPr="00C7390B" w:rsidRDefault="00C5163A" w:rsidP="001F2411">
      <w:pPr>
        <w:ind w:left="-720"/>
        <w:jc w:val="center"/>
      </w:pPr>
      <w:r w:rsidRPr="00C7390B">
        <w:t>[See Attached Schedule]</w:t>
      </w:r>
    </w:p>
    <w:p w14:paraId="2478D39D" w14:textId="77777777" w:rsidR="00C5163A" w:rsidRPr="00C7390B" w:rsidRDefault="00C5163A" w:rsidP="001F2411">
      <w:pPr>
        <w:ind w:left="-720"/>
      </w:pPr>
    </w:p>
    <w:p w14:paraId="4A5AE628" w14:textId="77777777" w:rsidR="00C5163A" w:rsidRPr="00C7390B" w:rsidRDefault="00C5163A" w:rsidP="001F2411">
      <w:pPr>
        <w:ind w:left="-720"/>
      </w:pPr>
    </w:p>
    <w:p w14:paraId="1C3C683F" w14:textId="2583A7B3" w:rsidR="00C5163A" w:rsidRPr="001F2411" w:rsidRDefault="001F2411" w:rsidP="001F2411">
      <w:pPr>
        <w:ind w:left="4230"/>
      </w:pPr>
      <w:r>
        <w:tab/>
        <w:t>_____________________________________</w:t>
      </w:r>
    </w:p>
    <w:p w14:paraId="5477F8F3" w14:textId="77777777" w:rsidR="00C5163A" w:rsidRPr="00C7390B" w:rsidRDefault="00C5163A" w:rsidP="001F2411">
      <w:pPr>
        <w:ind w:left="3510" w:firstLine="720"/>
      </w:pPr>
      <w:r w:rsidRPr="00C7390B">
        <w:t>AUTHORIZED REPRESENTATIVE,</w:t>
      </w:r>
    </w:p>
    <w:p w14:paraId="199667BC" w14:textId="119B38A7" w:rsidR="00C5163A" w:rsidRPr="00C7390B" w:rsidRDefault="00D52E19" w:rsidP="001F2411">
      <w:pPr>
        <w:ind w:left="4230"/>
      </w:pPr>
      <w:r>
        <w:t>MIDA MOUNTAIN VILLAGE PUBLIC INFRASTRUCTURE DISTRICT</w:t>
      </w:r>
    </w:p>
    <w:p w14:paraId="3A164887" w14:textId="77777777" w:rsidR="00C5163A" w:rsidRPr="00C7390B" w:rsidRDefault="00C5163A" w:rsidP="001F2411">
      <w:pPr>
        <w:ind w:left="-720"/>
      </w:pPr>
    </w:p>
    <w:p w14:paraId="03E9237C" w14:textId="77777777" w:rsidR="00C5163A" w:rsidRPr="00C7390B" w:rsidRDefault="00C5163A" w:rsidP="001F2411">
      <w:pPr>
        <w:ind w:left="-720"/>
        <w:jc w:val="center"/>
      </w:pPr>
    </w:p>
    <w:p w14:paraId="2203079E" w14:textId="77777777" w:rsidR="00C5163A" w:rsidRPr="00C7390B" w:rsidRDefault="00C5163A" w:rsidP="001F2411">
      <w:pPr>
        <w:ind w:left="-720"/>
        <w:jc w:val="center"/>
      </w:pPr>
    </w:p>
    <w:p w14:paraId="6947FB62" w14:textId="77777777" w:rsidR="00C5163A" w:rsidRPr="00C7390B" w:rsidRDefault="00C5163A" w:rsidP="001F2411">
      <w:pPr>
        <w:ind w:left="-720"/>
        <w:jc w:val="center"/>
      </w:pPr>
    </w:p>
    <w:p w14:paraId="0983C748" w14:textId="77777777" w:rsidR="00C5163A" w:rsidRPr="00C7390B" w:rsidRDefault="00C5163A" w:rsidP="001F2411">
      <w:pPr>
        <w:ind w:left="-720"/>
        <w:jc w:val="center"/>
      </w:pPr>
      <w:r w:rsidRPr="00C7390B">
        <w:t>COSTS OF ISSUANCE</w:t>
      </w:r>
    </w:p>
    <w:tbl>
      <w:tblPr>
        <w:tblW w:w="0" w:type="auto"/>
        <w:tblLook w:val="0000" w:firstRow="0" w:lastRow="0" w:firstColumn="0" w:lastColumn="0" w:noHBand="0" w:noVBand="0"/>
      </w:tblPr>
      <w:tblGrid>
        <w:gridCol w:w="2952"/>
        <w:gridCol w:w="2952"/>
        <w:gridCol w:w="2952"/>
      </w:tblGrid>
      <w:tr w:rsidR="00C7390B" w:rsidRPr="00C7390B" w14:paraId="6319ED03" w14:textId="77777777" w:rsidTr="00DA0161">
        <w:tc>
          <w:tcPr>
            <w:tcW w:w="2952" w:type="dxa"/>
            <w:tcBorders>
              <w:top w:val="nil"/>
              <w:left w:val="nil"/>
              <w:bottom w:val="nil"/>
              <w:right w:val="nil"/>
            </w:tcBorders>
          </w:tcPr>
          <w:p w14:paraId="1F80BF1E" w14:textId="77777777" w:rsidR="00C5163A" w:rsidRPr="00C7390B" w:rsidRDefault="00C5163A" w:rsidP="001F2411">
            <w:pPr>
              <w:spacing w:after="120"/>
              <w:ind w:left="-720"/>
              <w:jc w:val="center"/>
              <w:rPr>
                <w:u w:val="single"/>
              </w:rPr>
            </w:pPr>
            <w:r w:rsidRPr="00C7390B">
              <w:rPr>
                <w:u w:val="single"/>
              </w:rPr>
              <w:t>Payee</w:t>
            </w:r>
          </w:p>
        </w:tc>
        <w:tc>
          <w:tcPr>
            <w:tcW w:w="2952" w:type="dxa"/>
            <w:tcBorders>
              <w:top w:val="nil"/>
              <w:left w:val="nil"/>
              <w:bottom w:val="nil"/>
              <w:right w:val="nil"/>
            </w:tcBorders>
          </w:tcPr>
          <w:p w14:paraId="2930B0F3" w14:textId="77777777" w:rsidR="00C5163A" w:rsidRPr="00C7390B" w:rsidRDefault="00C5163A" w:rsidP="001F2411">
            <w:pPr>
              <w:spacing w:after="120"/>
              <w:ind w:left="-720"/>
              <w:jc w:val="center"/>
              <w:rPr>
                <w:u w:val="single"/>
              </w:rPr>
            </w:pPr>
            <w:r w:rsidRPr="00C7390B">
              <w:rPr>
                <w:u w:val="single"/>
              </w:rPr>
              <w:t>Purpose</w:t>
            </w:r>
          </w:p>
        </w:tc>
        <w:tc>
          <w:tcPr>
            <w:tcW w:w="2952" w:type="dxa"/>
            <w:tcBorders>
              <w:top w:val="nil"/>
              <w:left w:val="nil"/>
              <w:bottom w:val="nil"/>
              <w:right w:val="nil"/>
            </w:tcBorders>
          </w:tcPr>
          <w:p w14:paraId="4C0125F4" w14:textId="77777777" w:rsidR="00C5163A" w:rsidRPr="00C7390B" w:rsidRDefault="00C5163A" w:rsidP="001F2411">
            <w:pPr>
              <w:spacing w:after="120"/>
              <w:ind w:left="-720"/>
              <w:jc w:val="center"/>
              <w:rPr>
                <w:u w:val="single"/>
              </w:rPr>
            </w:pPr>
            <w:r w:rsidRPr="00C7390B">
              <w:rPr>
                <w:u w:val="single"/>
              </w:rPr>
              <w:t>Amount</w:t>
            </w:r>
          </w:p>
        </w:tc>
      </w:tr>
      <w:tr w:rsidR="00C7390B" w:rsidRPr="00C7390B" w14:paraId="33A6B755" w14:textId="77777777" w:rsidTr="00DA0161">
        <w:tc>
          <w:tcPr>
            <w:tcW w:w="2952" w:type="dxa"/>
            <w:tcBorders>
              <w:top w:val="nil"/>
              <w:left w:val="nil"/>
              <w:bottom w:val="nil"/>
              <w:right w:val="nil"/>
            </w:tcBorders>
          </w:tcPr>
          <w:p w14:paraId="74A67117" w14:textId="77777777" w:rsidR="00C5163A" w:rsidRPr="00C7390B" w:rsidRDefault="00C5163A" w:rsidP="001F2411">
            <w:pPr>
              <w:ind w:left="-720"/>
            </w:pPr>
          </w:p>
        </w:tc>
        <w:tc>
          <w:tcPr>
            <w:tcW w:w="2952" w:type="dxa"/>
            <w:tcBorders>
              <w:top w:val="nil"/>
              <w:left w:val="nil"/>
              <w:bottom w:val="nil"/>
              <w:right w:val="nil"/>
            </w:tcBorders>
          </w:tcPr>
          <w:p w14:paraId="304D79DD" w14:textId="77777777" w:rsidR="00C5163A" w:rsidRPr="00C7390B" w:rsidRDefault="00C5163A" w:rsidP="001F2411">
            <w:pPr>
              <w:ind w:left="-720"/>
            </w:pPr>
          </w:p>
        </w:tc>
        <w:tc>
          <w:tcPr>
            <w:tcW w:w="2952" w:type="dxa"/>
            <w:tcBorders>
              <w:top w:val="nil"/>
              <w:left w:val="nil"/>
              <w:bottom w:val="nil"/>
              <w:right w:val="nil"/>
            </w:tcBorders>
          </w:tcPr>
          <w:p w14:paraId="2748EC87" w14:textId="77777777" w:rsidR="00C5163A" w:rsidRPr="00C7390B" w:rsidRDefault="00C5163A" w:rsidP="001F2411">
            <w:pPr>
              <w:ind w:left="-720"/>
            </w:pPr>
          </w:p>
        </w:tc>
      </w:tr>
      <w:tr w:rsidR="00C7390B" w:rsidRPr="00C7390B" w14:paraId="5290E474" w14:textId="77777777" w:rsidTr="00DA0161">
        <w:tc>
          <w:tcPr>
            <w:tcW w:w="2952" w:type="dxa"/>
            <w:tcBorders>
              <w:top w:val="nil"/>
              <w:left w:val="nil"/>
              <w:bottom w:val="nil"/>
              <w:right w:val="nil"/>
            </w:tcBorders>
          </w:tcPr>
          <w:p w14:paraId="1DD40BE0" w14:textId="77777777" w:rsidR="00C5163A" w:rsidRPr="00C7390B" w:rsidRDefault="00C5163A" w:rsidP="001F2411">
            <w:pPr>
              <w:ind w:left="-720"/>
            </w:pPr>
          </w:p>
        </w:tc>
        <w:tc>
          <w:tcPr>
            <w:tcW w:w="2952" w:type="dxa"/>
            <w:tcBorders>
              <w:top w:val="nil"/>
              <w:left w:val="nil"/>
              <w:bottom w:val="nil"/>
              <w:right w:val="nil"/>
            </w:tcBorders>
          </w:tcPr>
          <w:p w14:paraId="6AD85B9A" w14:textId="77777777" w:rsidR="00C5163A" w:rsidRPr="00C7390B" w:rsidRDefault="00C5163A" w:rsidP="001F2411">
            <w:pPr>
              <w:ind w:left="-720"/>
            </w:pPr>
          </w:p>
        </w:tc>
        <w:tc>
          <w:tcPr>
            <w:tcW w:w="2952" w:type="dxa"/>
            <w:tcBorders>
              <w:top w:val="nil"/>
              <w:left w:val="nil"/>
              <w:bottom w:val="nil"/>
              <w:right w:val="nil"/>
            </w:tcBorders>
          </w:tcPr>
          <w:p w14:paraId="093F0AE0" w14:textId="77777777" w:rsidR="00C5163A" w:rsidRPr="00C7390B" w:rsidRDefault="00C5163A" w:rsidP="001F2411">
            <w:pPr>
              <w:ind w:left="-720"/>
            </w:pPr>
          </w:p>
        </w:tc>
      </w:tr>
      <w:tr w:rsidR="00C7390B" w:rsidRPr="00C7390B" w14:paraId="39A790DE" w14:textId="77777777" w:rsidTr="00DA0161">
        <w:tc>
          <w:tcPr>
            <w:tcW w:w="2952" w:type="dxa"/>
            <w:tcBorders>
              <w:top w:val="nil"/>
              <w:left w:val="nil"/>
              <w:bottom w:val="nil"/>
              <w:right w:val="nil"/>
            </w:tcBorders>
          </w:tcPr>
          <w:p w14:paraId="1B990F02" w14:textId="77777777" w:rsidR="00C5163A" w:rsidRPr="00C7390B" w:rsidRDefault="00C5163A" w:rsidP="001F2411">
            <w:pPr>
              <w:ind w:left="-720"/>
            </w:pPr>
          </w:p>
        </w:tc>
        <w:tc>
          <w:tcPr>
            <w:tcW w:w="2952" w:type="dxa"/>
            <w:tcBorders>
              <w:top w:val="nil"/>
              <w:left w:val="nil"/>
              <w:bottom w:val="nil"/>
              <w:right w:val="nil"/>
            </w:tcBorders>
          </w:tcPr>
          <w:p w14:paraId="59E18389" w14:textId="77777777" w:rsidR="00C5163A" w:rsidRPr="00C7390B" w:rsidRDefault="00C5163A" w:rsidP="001F2411">
            <w:pPr>
              <w:ind w:left="-720"/>
            </w:pPr>
          </w:p>
        </w:tc>
        <w:tc>
          <w:tcPr>
            <w:tcW w:w="2952" w:type="dxa"/>
            <w:tcBorders>
              <w:top w:val="nil"/>
              <w:left w:val="nil"/>
              <w:bottom w:val="nil"/>
              <w:right w:val="nil"/>
            </w:tcBorders>
          </w:tcPr>
          <w:p w14:paraId="3B80075F" w14:textId="77777777" w:rsidR="00C5163A" w:rsidRPr="00C7390B" w:rsidRDefault="00C5163A" w:rsidP="001F2411">
            <w:pPr>
              <w:ind w:left="-720"/>
            </w:pPr>
          </w:p>
        </w:tc>
      </w:tr>
      <w:tr w:rsidR="00C7390B" w:rsidRPr="00C7390B" w14:paraId="3A2409DE" w14:textId="77777777" w:rsidTr="00DA0161">
        <w:tc>
          <w:tcPr>
            <w:tcW w:w="2952" w:type="dxa"/>
            <w:tcBorders>
              <w:top w:val="nil"/>
              <w:left w:val="nil"/>
              <w:bottom w:val="nil"/>
              <w:right w:val="nil"/>
            </w:tcBorders>
          </w:tcPr>
          <w:p w14:paraId="6C6D67D1" w14:textId="77777777" w:rsidR="00C5163A" w:rsidRPr="00C7390B" w:rsidRDefault="00C5163A" w:rsidP="001F2411">
            <w:pPr>
              <w:ind w:left="-720"/>
            </w:pPr>
          </w:p>
        </w:tc>
        <w:tc>
          <w:tcPr>
            <w:tcW w:w="2952" w:type="dxa"/>
            <w:tcBorders>
              <w:top w:val="nil"/>
              <w:left w:val="nil"/>
              <w:bottom w:val="nil"/>
              <w:right w:val="nil"/>
            </w:tcBorders>
          </w:tcPr>
          <w:p w14:paraId="3C34AE98" w14:textId="77777777" w:rsidR="00C5163A" w:rsidRPr="00C7390B" w:rsidRDefault="00C5163A" w:rsidP="001F2411">
            <w:pPr>
              <w:ind w:left="-720"/>
            </w:pPr>
          </w:p>
        </w:tc>
        <w:tc>
          <w:tcPr>
            <w:tcW w:w="2952" w:type="dxa"/>
            <w:tcBorders>
              <w:top w:val="nil"/>
              <w:left w:val="nil"/>
              <w:bottom w:val="nil"/>
              <w:right w:val="nil"/>
            </w:tcBorders>
          </w:tcPr>
          <w:p w14:paraId="4C1AC5D3" w14:textId="77777777" w:rsidR="00C5163A" w:rsidRPr="00C7390B" w:rsidRDefault="00C5163A" w:rsidP="001F2411">
            <w:pPr>
              <w:ind w:left="-720"/>
            </w:pPr>
          </w:p>
        </w:tc>
      </w:tr>
      <w:tr w:rsidR="00C5163A" w:rsidRPr="00C7390B" w14:paraId="7775F568" w14:textId="77777777" w:rsidTr="00DA0161">
        <w:tc>
          <w:tcPr>
            <w:tcW w:w="2952" w:type="dxa"/>
            <w:tcBorders>
              <w:top w:val="nil"/>
              <w:left w:val="nil"/>
              <w:bottom w:val="nil"/>
              <w:right w:val="nil"/>
            </w:tcBorders>
          </w:tcPr>
          <w:p w14:paraId="139B57CD" w14:textId="77777777" w:rsidR="00C5163A" w:rsidRPr="00C7390B" w:rsidRDefault="00C5163A" w:rsidP="001F2411">
            <w:pPr>
              <w:ind w:left="-720"/>
            </w:pPr>
          </w:p>
        </w:tc>
        <w:tc>
          <w:tcPr>
            <w:tcW w:w="2952" w:type="dxa"/>
            <w:tcBorders>
              <w:top w:val="nil"/>
              <w:left w:val="nil"/>
              <w:bottom w:val="nil"/>
              <w:right w:val="nil"/>
            </w:tcBorders>
          </w:tcPr>
          <w:p w14:paraId="49841842" w14:textId="77777777" w:rsidR="00C5163A" w:rsidRPr="00C7390B" w:rsidRDefault="00C5163A" w:rsidP="001F2411">
            <w:pPr>
              <w:ind w:left="-720"/>
            </w:pPr>
          </w:p>
        </w:tc>
        <w:tc>
          <w:tcPr>
            <w:tcW w:w="2952" w:type="dxa"/>
            <w:tcBorders>
              <w:top w:val="nil"/>
              <w:left w:val="nil"/>
              <w:bottom w:val="nil"/>
              <w:right w:val="nil"/>
            </w:tcBorders>
          </w:tcPr>
          <w:p w14:paraId="6BA36C13" w14:textId="77777777" w:rsidR="00C5163A" w:rsidRPr="00C7390B" w:rsidRDefault="00C5163A" w:rsidP="001F2411">
            <w:pPr>
              <w:ind w:left="-720"/>
            </w:pPr>
          </w:p>
        </w:tc>
      </w:tr>
    </w:tbl>
    <w:p w14:paraId="03549530" w14:textId="77777777" w:rsidR="006B23B6" w:rsidRPr="00C7390B" w:rsidRDefault="006B23B6" w:rsidP="003B296E"/>
    <w:p w14:paraId="527EDA2D" w14:textId="77777777" w:rsidR="00815111" w:rsidRDefault="00815111" w:rsidP="003B296E">
      <w:pPr>
        <w:sectPr w:rsidR="00815111" w:rsidSect="00013B8F">
          <w:footerReference w:type="default" r:id="rId31"/>
          <w:footerReference w:type="first" r:id="rId32"/>
          <w:pgSz w:w="12240" w:h="15840" w:code="1"/>
          <w:pgMar w:top="1440" w:right="1440" w:bottom="1440" w:left="1440" w:header="720" w:footer="720" w:gutter="0"/>
          <w:pgNumType w:start="1"/>
          <w:cols w:space="720"/>
          <w:titlePg/>
          <w:docGrid w:linePitch="360"/>
        </w:sectPr>
      </w:pPr>
    </w:p>
    <w:p w14:paraId="4C7BFBB6" w14:textId="2DE04A5B" w:rsidR="00815111" w:rsidRDefault="00F6063A" w:rsidP="003B296E">
      <w:pPr>
        <w:jc w:val="center"/>
      </w:pPr>
      <w:bookmarkStart w:id="239" w:name="_Toc184207300"/>
      <w:bookmarkStart w:id="240" w:name="_Toc184223362"/>
      <w:bookmarkStart w:id="241" w:name="_Toc184228675"/>
      <w:bookmarkStart w:id="242" w:name="_Toc207106979"/>
      <w:r w:rsidRPr="005378EE">
        <w:rPr>
          <w:u w:val="single"/>
        </w:rPr>
        <w:lastRenderedPageBreak/>
        <w:t xml:space="preserve">EXHIBIT </w:t>
      </w:r>
      <w:r w:rsidR="005378EE" w:rsidRPr="005378EE">
        <w:rPr>
          <w:u w:val="single"/>
        </w:rPr>
        <w:t>C</w:t>
      </w:r>
      <w:r>
        <w:br/>
      </w:r>
      <w:r>
        <w:br/>
      </w:r>
      <w:r w:rsidR="00815111">
        <w:t>LIST OF PUBLIC INFRASTRUCTURE AND IMPROVEMENTS</w:t>
      </w:r>
      <w:bookmarkEnd w:id="239"/>
      <w:bookmarkEnd w:id="240"/>
      <w:bookmarkEnd w:id="241"/>
      <w:bookmarkEnd w:id="242"/>
    </w:p>
    <w:p w14:paraId="6EF5E49B" w14:textId="77777777" w:rsidR="003B296E" w:rsidRDefault="003B296E" w:rsidP="003B296E">
      <w:pPr>
        <w:jc w:val="center"/>
      </w:pPr>
    </w:p>
    <w:p w14:paraId="3222D59D" w14:textId="77777777" w:rsidR="00537671" w:rsidRDefault="00537671" w:rsidP="003B296E"/>
    <w:p w14:paraId="59BC6A62" w14:textId="77777777" w:rsidR="003B296E" w:rsidRPr="003B296E" w:rsidRDefault="003B296E" w:rsidP="003B296E">
      <w:pPr>
        <w:sectPr w:rsidR="003B296E" w:rsidRPr="003B296E" w:rsidSect="00013B8F">
          <w:footerReference w:type="first" r:id="rId33"/>
          <w:pgSz w:w="12240" w:h="15840" w:code="1"/>
          <w:pgMar w:top="1440" w:right="1440" w:bottom="1440" w:left="1440" w:header="720" w:footer="720" w:gutter="0"/>
          <w:pgNumType w:start="1"/>
          <w:cols w:space="720"/>
          <w:titlePg/>
          <w:docGrid w:linePitch="360"/>
        </w:sectPr>
      </w:pPr>
    </w:p>
    <w:p w14:paraId="2C4A1A34" w14:textId="13A9E622" w:rsidR="00537671" w:rsidRDefault="00537671" w:rsidP="003B296E">
      <w:pPr>
        <w:jc w:val="center"/>
      </w:pPr>
      <w:bookmarkStart w:id="243" w:name="_Toc184207301"/>
      <w:bookmarkStart w:id="244" w:name="_Toc184223363"/>
      <w:bookmarkStart w:id="245" w:name="_Toc184228676"/>
      <w:bookmarkStart w:id="246" w:name="_Toc207106980"/>
      <w:r w:rsidRPr="005378EE">
        <w:rPr>
          <w:u w:val="single"/>
        </w:rPr>
        <w:lastRenderedPageBreak/>
        <w:t xml:space="preserve">EXHIBIT </w:t>
      </w:r>
      <w:r w:rsidR="005378EE" w:rsidRPr="005378EE">
        <w:rPr>
          <w:u w:val="single"/>
        </w:rPr>
        <w:t>D</w:t>
      </w:r>
      <w:r>
        <w:br/>
      </w:r>
      <w:r>
        <w:br/>
        <w:t>DEBT SERVICE SCHEDULE</w:t>
      </w:r>
      <w:bookmarkEnd w:id="243"/>
      <w:bookmarkEnd w:id="244"/>
      <w:bookmarkEnd w:id="245"/>
      <w:bookmarkEnd w:id="246"/>
    </w:p>
    <w:p w14:paraId="570D6F84" w14:textId="77777777" w:rsidR="003B296E" w:rsidRDefault="003B296E" w:rsidP="003B296E"/>
    <w:p w14:paraId="6D865C46" w14:textId="77777777" w:rsidR="003B296E" w:rsidRPr="00136DEA" w:rsidRDefault="003B296E" w:rsidP="003B296E"/>
    <w:sectPr w:rsidR="003B296E" w:rsidRPr="00136DEA" w:rsidSect="00013B8F">
      <w:footerReference w:type="default" r:id="rId34"/>
      <w:footerReference w:type="first" r:id="rId3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B7CE" w14:textId="77777777" w:rsidR="001B6A6B" w:rsidRDefault="001B6A6B" w:rsidP="007A2563">
      <w:r>
        <w:separator/>
      </w:r>
    </w:p>
  </w:endnote>
  <w:endnote w:type="continuationSeparator" w:id="0">
    <w:p w14:paraId="1C3084B1" w14:textId="77777777" w:rsidR="001B6A6B" w:rsidRDefault="001B6A6B" w:rsidP="007A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023E" w14:textId="77777777" w:rsidR="00FD7C45" w:rsidRDefault="00FD7C4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DE54" w14:textId="77777777" w:rsidR="001B6A6B" w:rsidRDefault="001B6A6B" w:rsidP="003B296E">
    <w:pPr>
      <w:pStyle w:val="Footer"/>
      <w:rPr>
        <w:rStyle w:val="PageNumber"/>
      </w:rPr>
    </w:pPr>
    <w:r>
      <w:rPr>
        <w:rStyle w:val="DOCID0"/>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4D12E8" w14:textId="6FB585DB" w:rsidR="001B6A6B" w:rsidRDefault="001B6A6B" w:rsidP="00E66BCE">
    <w:pPr>
      <w:pStyle w:val="Footer"/>
      <w:tabs>
        <w:tab w:val="clear" w:pos="4680"/>
        <w:tab w:val="center" w:pos="4320"/>
      </w:tabs>
      <w:spacing w:line="180" w:lineRule="exact"/>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541D9">
      <w:rPr>
        <w:rFonts w:ascii="Arial" w:hAnsi="Arial" w:cs="Arial"/>
        <w:sz w:val="16"/>
      </w:rPr>
      <w:t>4935-9287-0240, v. 2</w:t>
    </w:r>
    <w:r>
      <w:rPr>
        <w:rFonts w:ascii="Arial" w:hAnsi="Arial" w:cs="Arial"/>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425B" w14:textId="70F327CA" w:rsidR="001B6A6B" w:rsidRDefault="001B6A6B" w:rsidP="003B296E">
    <w:pPr>
      <w:pStyle w:val="Footer"/>
    </w:pPr>
    <w:r>
      <w:rPr>
        <w:rFonts w:ascii="Arial" w:hAnsi="Arial" w:cs="Arial"/>
        <w:sz w:val="16"/>
      </w:rPr>
      <w:tab/>
    </w:r>
    <w:r>
      <w:t>A-</w:t>
    </w:r>
    <w:r w:rsidR="007F0299">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AC51" w14:textId="77777777" w:rsidR="00FD7C45" w:rsidRDefault="00FD7C45" w:rsidP="003B296E">
    <w:pPr>
      <w:pStyle w:val="Footer"/>
      <w:rPr>
        <w:rStyle w:val="PageNumber"/>
      </w:rPr>
    </w:pPr>
    <w:r>
      <w:rPr>
        <w:rStyle w:val="DOCID0"/>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5B6D34" w14:textId="547AAC4D" w:rsidR="00FD7C45" w:rsidRDefault="00FD7C45" w:rsidP="00E66BCE">
    <w:pPr>
      <w:pStyle w:val="Footer"/>
      <w:tabs>
        <w:tab w:val="clear" w:pos="4680"/>
        <w:tab w:val="center" w:pos="4320"/>
      </w:tabs>
      <w:spacing w:line="180" w:lineRule="exact"/>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541D9">
      <w:rPr>
        <w:rFonts w:ascii="Arial" w:hAnsi="Arial" w:cs="Arial"/>
        <w:sz w:val="16"/>
      </w:rPr>
      <w:t>4935-9287-0240, v. 2</w:t>
    </w:r>
    <w:r>
      <w:rPr>
        <w:rFonts w:ascii="Arial" w:hAnsi="Arial" w:cs="Arial"/>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DAAA" w14:textId="5D58723E" w:rsidR="007F0299" w:rsidRDefault="007F0299" w:rsidP="00FD7C45">
    <w:pPr>
      <w:pStyle w:val="Footer"/>
    </w:pPr>
    <w:r>
      <w:rPr>
        <w:rFonts w:ascii="Arial" w:hAnsi="Arial" w:cs="Arial"/>
        <w:sz w:val="16"/>
      </w:rPr>
      <w:tab/>
    </w:r>
    <w:r>
      <w:t>A-</w:t>
    </w:r>
    <w:r w:rsidR="00FD7C45">
      <w:fldChar w:fldCharType="begin"/>
    </w:r>
    <w:r w:rsidR="00FD7C45">
      <w:instrText xml:space="preserve"> PAGE   \* MERGEFORMAT </w:instrText>
    </w:r>
    <w:r w:rsidR="00FD7C45">
      <w:fldChar w:fldCharType="separate"/>
    </w:r>
    <w:r w:rsidR="00FD7C45">
      <w:rPr>
        <w:noProof/>
      </w:rPr>
      <w:t>1</w:t>
    </w:r>
    <w:r w:rsidR="00FD7C45">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E8A9" w14:textId="77777777" w:rsidR="001B6A6B" w:rsidRDefault="001B6A6B">
    <w:pPr>
      <w:pStyle w:val="Footer"/>
      <w:tabs>
        <w:tab w:val="clear" w:pos="4680"/>
        <w:tab w:val="center" w:pos="4320"/>
      </w:tabs>
      <w:rPr>
        <w:rStyle w:val="PageNumber"/>
      </w:rPr>
    </w:pPr>
    <w:r>
      <w:rPr>
        <w:rStyle w:val="DocID"/>
      </w:rPr>
      <w:tab/>
    </w:r>
    <w:r>
      <w:rPr>
        <w:rStyle w:val="PageNumber"/>
      </w:rPr>
      <w:t>B-1</w:t>
    </w:r>
  </w:p>
  <w:p w14:paraId="50F25D08" w14:textId="63DE9F92" w:rsidR="001B6A6B" w:rsidRDefault="001B6A6B" w:rsidP="00E66BCE">
    <w:pPr>
      <w:pStyle w:val="Footer"/>
      <w:tabs>
        <w:tab w:val="clear" w:pos="4680"/>
        <w:tab w:val="center" w:pos="432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541D9">
      <w:rPr>
        <w:rFonts w:ascii="Arial" w:hAnsi="Arial" w:cs="Arial"/>
        <w:sz w:val="16"/>
      </w:rPr>
      <w:t>4935-9287-0240, v. 2</w:t>
    </w:r>
    <w:r>
      <w:rPr>
        <w:rFonts w:ascii="Arial" w:hAnsi="Arial" w:cs="Arial"/>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4A4C" w14:textId="00CFDA20" w:rsidR="001B6A6B" w:rsidRDefault="001B6A6B" w:rsidP="003B296E">
    <w:pPr>
      <w:tabs>
        <w:tab w:val="center" w:pos="4680"/>
      </w:tabs>
      <w:rPr>
        <w:rStyle w:val="DocID"/>
      </w:rPr>
    </w:pPr>
    <w:r>
      <w:rPr>
        <w:rStyle w:val="DocID"/>
      </w:rPr>
      <w:tab/>
    </w:r>
    <w:r w:rsidR="005378EE">
      <w:rPr>
        <w:rStyle w:val="PageNumber"/>
      </w:rPr>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7E56" w14:textId="619A8AE8" w:rsidR="00136DEA" w:rsidRDefault="00136DEA" w:rsidP="003B296E">
    <w:pPr>
      <w:tabs>
        <w:tab w:val="center" w:pos="4680"/>
      </w:tabs>
      <w:rPr>
        <w:rStyle w:val="DocID"/>
      </w:rPr>
    </w:pPr>
    <w:r>
      <w:rPr>
        <w:rStyle w:val="DocID"/>
      </w:rPr>
      <w:tab/>
    </w:r>
    <w:r w:rsidR="005378EE">
      <w:rPr>
        <w:rStyle w:val="PageNumber"/>
      </w:rPr>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A220" w14:textId="580F212C" w:rsidR="00A2476B" w:rsidRDefault="00A2476B">
    <w:pPr>
      <w:pStyle w:val="Footer"/>
      <w:tabs>
        <w:tab w:val="clear" w:pos="4680"/>
        <w:tab w:val="center" w:pos="4320"/>
      </w:tabs>
      <w:rPr>
        <w:rStyle w:val="PageNumber"/>
      </w:rPr>
    </w:pPr>
    <w:r>
      <w:rPr>
        <w:rStyle w:val="DocID"/>
      </w:rPr>
      <w:tab/>
    </w:r>
    <w:r>
      <w:rPr>
        <w:rStyle w:val="PageNumber"/>
      </w:rPr>
      <w:t>E-2</w:t>
    </w:r>
  </w:p>
  <w:p w14:paraId="1771A275" w14:textId="04D52F92" w:rsidR="00A2476B" w:rsidRDefault="00A2476B" w:rsidP="00E66BCE">
    <w:pPr>
      <w:pStyle w:val="Footer"/>
      <w:tabs>
        <w:tab w:val="clear" w:pos="4680"/>
        <w:tab w:val="center" w:pos="432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541D9">
      <w:rPr>
        <w:rFonts w:ascii="Arial" w:hAnsi="Arial" w:cs="Arial"/>
        <w:sz w:val="16"/>
      </w:rPr>
      <w:t>4935-9287-0240, v. 2</w:t>
    </w:r>
    <w:r>
      <w:rPr>
        <w:rFonts w:ascii="Arial" w:hAnsi="Arial" w:cs="Arial"/>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84A0" w14:textId="1D1C4BF4" w:rsidR="00537671" w:rsidRDefault="00537671" w:rsidP="003B296E">
    <w:pPr>
      <w:tabs>
        <w:tab w:val="center" w:pos="4680"/>
      </w:tabs>
      <w:rPr>
        <w:rStyle w:val="DocID"/>
      </w:rPr>
    </w:pPr>
    <w:r>
      <w:rPr>
        <w:rStyle w:val="DocID"/>
      </w:rPr>
      <w:tab/>
    </w:r>
    <w:r w:rsidR="005378EE">
      <w:rPr>
        <w:rStyle w:val="PageNumber"/>
      </w:rPr>
      <w:t>D</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C994" w14:textId="77777777" w:rsidR="001B6A6B" w:rsidRDefault="001B6A6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D8E951" w14:textId="77777777" w:rsidR="001B6A6B" w:rsidRDefault="001B6A6B">
    <w:pPr>
      <w:pStyle w:val="Footer"/>
      <w:framePr w:wrap="auto" w:vAnchor="text" w:hAnchor="page" w:x="6502" w:y="5"/>
      <w:rPr>
        <w:rStyle w:val="PageNumber"/>
      </w:rPr>
    </w:pPr>
  </w:p>
  <w:p w14:paraId="047B84E6" w14:textId="62C6D461" w:rsidR="001B6A6B" w:rsidRDefault="001B6A6B">
    <w:pPr>
      <w:pStyle w:val="Footer"/>
      <w:rPr>
        <w:rStyle w:val="DOCID0"/>
      </w:rPr>
    </w:pPr>
    <w:r>
      <w:rPr>
        <w:rStyle w:val="DOCID0"/>
      </w:rPr>
      <w:fldChar w:fldCharType="begin"/>
    </w:r>
    <w:r>
      <w:rPr>
        <w:rStyle w:val="DOCID0"/>
      </w:rPr>
      <w:instrText xml:space="preserve"> DOCPROPERTY "DOCID" \* MERGEFORMAT </w:instrText>
    </w:r>
    <w:r>
      <w:rPr>
        <w:rStyle w:val="DOCID0"/>
      </w:rPr>
      <w:fldChar w:fldCharType="separate"/>
    </w:r>
    <w:r w:rsidR="000541D9" w:rsidRPr="000541D9">
      <w:rPr>
        <w:rStyle w:val="DocID"/>
      </w:rPr>
      <w:t>DMWEST #9689868 v5</w:t>
    </w:r>
    <w:r>
      <w:rPr>
        <w:rStyle w:val="DOCID0"/>
      </w:rPr>
      <w:fldChar w:fldCharType="end"/>
    </w:r>
  </w:p>
  <w:p w14:paraId="11A60F13" w14:textId="0A6EEF44" w:rsidR="001B6A6B" w:rsidRDefault="001B6A6B" w:rsidP="00E66BCE">
    <w:pPr>
      <w:pStyle w:val="Footer"/>
      <w:spacing w:line="180" w:lineRule="exact"/>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541D9">
      <w:rPr>
        <w:rFonts w:ascii="Arial" w:hAnsi="Arial" w:cs="Arial"/>
        <w:sz w:val="16"/>
      </w:rPr>
      <w:t>4935-9287-0240,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AAA3" w14:textId="1EBBC2BD" w:rsidR="001B6A6B" w:rsidRDefault="001B6A6B">
    <w:pPr>
      <w:pStyle w:val="Footer"/>
    </w:pPr>
    <w:r>
      <w:rPr>
        <w:rFonts w:ascii="Arial" w:hAnsi="Arial" w:cs="Arial"/>
        <w:sz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11C8" w14:textId="77777777" w:rsidR="001B6A6B" w:rsidRDefault="001B6A6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B5BE858" w14:textId="77777777" w:rsidR="001B6A6B" w:rsidRDefault="001B6A6B">
    <w:pPr>
      <w:pStyle w:val="Footer"/>
      <w:framePr w:wrap="auto" w:vAnchor="text" w:hAnchor="page" w:x="6502" w:y="5"/>
      <w:rPr>
        <w:rStyle w:val="PageNumber"/>
      </w:rPr>
    </w:pPr>
  </w:p>
  <w:p w14:paraId="2FED44C6" w14:textId="436F9E5D" w:rsidR="001B6A6B" w:rsidRDefault="001B6A6B" w:rsidP="00B6161A">
    <w:pPr>
      <w:pStyle w:val="Footer"/>
      <w:tabs>
        <w:tab w:val="clear" w:pos="4680"/>
        <w:tab w:val="center" w:pos="4320"/>
      </w:tabs>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541D9">
      <w:rPr>
        <w:rFonts w:ascii="Arial" w:hAnsi="Arial" w:cs="Arial"/>
        <w:sz w:val="16"/>
      </w:rPr>
      <w:t>4935-9287-0240, v. 2</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9A95" w14:textId="5DB24641" w:rsidR="001B6A6B" w:rsidRPr="009D68AC" w:rsidRDefault="001B6A6B" w:rsidP="00013B8F">
    <w:pPr>
      <w:pStyle w:val="Footer"/>
      <w:tabs>
        <w:tab w:val="clear" w:pos="4680"/>
        <w:tab w:val="center" w:pos="450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13B8F">
      <w:rPr>
        <w:rFonts w:ascii="Arial" w:hAnsi="Arial" w:cs="Arial"/>
        <w:sz w:val="16"/>
      </w:rPr>
      <w:t>4935-9287-0240, v. 2</w:t>
    </w:r>
    <w:r>
      <w:rPr>
        <w:rFonts w:ascii="Arial" w:hAnsi="Arial" w:cs="Arial"/>
        <w:sz w:val="16"/>
      </w:rPr>
      <w:fldChar w:fldCharType="end"/>
    </w:r>
    <w:r>
      <w:rPr>
        <w:rFonts w:ascii="Arial" w:hAnsi="Arial" w:cs="Arial"/>
        <w:sz w:val="16"/>
      </w:rPr>
      <w:tab/>
    </w:r>
    <w:r w:rsidRPr="009D68AC">
      <w:fldChar w:fldCharType="begin"/>
    </w:r>
    <w:r w:rsidRPr="009D68AC">
      <w:instrText xml:space="preserve"> PAGE   \* MERGEFORMAT </w:instrText>
    </w:r>
    <w:r w:rsidRPr="009D68AC">
      <w:fldChar w:fldCharType="separate"/>
    </w:r>
    <w:r w:rsidRPr="009D68AC">
      <w:t>1</w:t>
    </w:r>
    <w:r w:rsidRPr="009D68A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D52B" w14:textId="2DC67D27" w:rsidR="001B6A6B" w:rsidRPr="00013B8F" w:rsidRDefault="001B6A6B" w:rsidP="00013B8F">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541D9">
      <w:rPr>
        <w:rFonts w:ascii="Arial" w:hAnsi="Arial" w:cs="Arial"/>
        <w:sz w:val="16"/>
      </w:rPr>
      <w:t>4935-9287-0240, v. 2</w:t>
    </w:r>
    <w:r>
      <w:rPr>
        <w:rFonts w:ascii="Arial" w:hAnsi="Arial" w:cs="Arial"/>
        <w:sz w:val="16"/>
      </w:rPr>
      <w:fldChar w:fldCharType="end"/>
    </w:r>
    <w:r>
      <w:rPr>
        <w:rFonts w:ascii="Arial" w:hAnsi="Arial" w:cs="Arial"/>
        <w:sz w:val="16"/>
      </w:rPr>
      <w:tab/>
    </w:r>
    <w:r w:rsidRPr="00BA44FA">
      <w:fldChar w:fldCharType="begin"/>
    </w:r>
    <w:r w:rsidRPr="00BA44FA">
      <w:instrText xml:space="preserve"> PAGE   \* MERGEFORMAT </w:instrText>
    </w:r>
    <w:r w:rsidRPr="00BA44FA">
      <w:fldChar w:fldCharType="separate"/>
    </w:r>
    <w:r w:rsidRPr="00BA44FA">
      <w:t>1</w:t>
    </w:r>
    <w:r w:rsidRPr="00BA44FA">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1E1B" w14:textId="067BB332" w:rsidR="001B6A6B" w:rsidRPr="00BE4F3C" w:rsidRDefault="001B6A6B" w:rsidP="00BE4F3C">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13B8F">
      <w:rPr>
        <w:rFonts w:ascii="Arial" w:hAnsi="Arial" w:cs="Arial"/>
        <w:sz w:val="16"/>
      </w:rPr>
      <w:t>4935-9287-0240, v. 2</w:t>
    </w:r>
    <w:r>
      <w:rPr>
        <w:rFonts w:ascii="Arial" w:hAnsi="Arial" w:cs="Arial"/>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3F97" w14:textId="77777777" w:rsidR="001B6A6B" w:rsidRDefault="001B6A6B">
    <w:pPr>
      <w:pStyle w:val="Footer"/>
      <w:tabs>
        <w:tab w:val="clear" w:pos="4680"/>
        <w:tab w:val="center" w:pos="4320"/>
      </w:tabs>
      <w:rPr>
        <w:rStyle w:val="PageNumber"/>
      </w:rPr>
    </w:pPr>
    <w:r>
      <w:rPr>
        <w:rStyle w:val="DOCID0"/>
      </w:rPr>
      <w:tab/>
    </w:r>
    <w:r>
      <w:rPr>
        <w:rStyle w:val="PageNumber"/>
      </w:rPr>
      <w:t>S-</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B93683" w14:textId="71431CFD" w:rsidR="001B6A6B" w:rsidRDefault="001B6A6B" w:rsidP="00E66BCE">
    <w:pPr>
      <w:pStyle w:val="Footer"/>
      <w:tabs>
        <w:tab w:val="clear" w:pos="4680"/>
        <w:tab w:val="center" w:pos="4320"/>
      </w:tabs>
      <w:spacing w:line="180" w:lineRule="exact"/>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541D9">
      <w:rPr>
        <w:rFonts w:ascii="Arial" w:hAnsi="Arial" w:cs="Arial"/>
        <w:sz w:val="16"/>
      </w:rPr>
      <w:t>4935-9287-0240, v. 2</w:t>
    </w:r>
    <w:r>
      <w:rPr>
        <w:rFonts w:ascii="Arial" w:hAnsi="Arial" w:cs="Arial"/>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32D0" w14:textId="4F2F400D" w:rsidR="001B6A6B" w:rsidRDefault="001B6A6B" w:rsidP="00013B8F">
    <w:pPr>
      <w:pStyle w:val="Footer"/>
    </w:pPr>
    <w:r>
      <w:rPr>
        <w:rFonts w:ascii="Arial" w:hAnsi="Arial" w:cs="Arial"/>
        <w:sz w:val="16"/>
      </w:rPr>
      <w:tab/>
    </w:r>
    <w:r w:rsidRPr="00BA44FA">
      <w:t>S-1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4C4A" w14:textId="77777777" w:rsidR="001B6A6B" w:rsidRDefault="001B6A6B" w:rsidP="007A2563">
      <w:r>
        <w:separator/>
      </w:r>
    </w:p>
  </w:footnote>
  <w:footnote w:type="continuationSeparator" w:id="0">
    <w:p w14:paraId="36702CC6" w14:textId="77777777" w:rsidR="001B6A6B" w:rsidRDefault="001B6A6B" w:rsidP="007A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2EF3" w14:textId="77777777" w:rsidR="00FD7C45" w:rsidRDefault="00FD7C4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2CC6" w14:textId="77777777" w:rsidR="001B6A6B" w:rsidRDefault="001B6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28B8" w14:textId="77777777" w:rsidR="00FD7C45" w:rsidRDefault="00FD7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C196" w14:textId="77777777" w:rsidR="00FD7C45" w:rsidRDefault="00FD7C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AF20" w14:textId="77777777" w:rsidR="001B6A6B" w:rsidRDefault="001B6A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095D" w14:textId="77777777" w:rsidR="001B6A6B" w:rsidRDefault="001B6A6B" w:rsidP="006A62E5">
    <w:pPr>
      <w:pStyle w:val="Header"/>
      <w:jc w:val="right"/>
    </w:pPr>
  </w:p>
  <w:p w14:paraId="450BFF7D" w14:textId="77777777" w:rsidR="001B6A6B" w:rsidRDefault="001B6A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8EBB" w14:textId="77777777" w:rsidR="001B6A6B" w:rsidRDefault="001B6A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90C4" w14:textId="77777777" w:rsidR="001B6A6B" w:rsidRDefault="001B6A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1879" w14:textId="77777777" w:rsidR="001B6A6B" w:rsidRPr="00BA44FA" w:rsidRDefault="001B6A6B" w:rsidP="00BA44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D287" w14:textId="77777777" w:rsidR="001B6A6B" w:rsidRDefault="001B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A44C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907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E8E9A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A450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3D053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9641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34FB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C252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B43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A6F7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614D52"/>
    <w:multiLevelType w:val="multilevel"/>
    <w:tmpl w:val="51C2DBA6"/>
    <w:lvl w:ilvl="0">
      <w:start w:val="1"/>
      <w:numFmt w:val="upperRoman"/>
      <w:suff w:val="nothing"/>
      <w:lvlText w:val="ARTICLE %1"/>
      <w:lvlJc w:val="left"/>
      <w:pPr>
        <w:ind w:left="0" w:firstLine="0"/>
      </w:pPr>
      <w:rPr>
        <w:rFonts w:hint="default"/>
        <w:caps/>
        <w:smallCaps w:val="0"/>
        <w:vanish w:val="0"/>
        <w:color w:val="000000"/>
        <w:u w:val="none"/>
      </w:rPr>
    </w:lvl>
    <w:lvl w:ilvl="1">
      <w:start w:val="1"/>
      <w:numFmt w:val="decimal"/>
      <w:isLgl/>
      <w:lvlText w:val="Section %1.%2"/>
      <w:lvlJc w:val="left"/>
      <w:pPr>
        <w:tabs>
          <w:tab w:val="num" w:pos="1800"/>
        </w:tabs>
        <w:ind w:left="0" w:firstLine="720"/>
      </w:pPr>
      <w:rPr>
        <w:rFonts w:hint="default"/>
        <w:vanish w:val="0"/>
        <w:color w:val="000000"/>
        <w:u w:val="none"/>
      </w:rPr>
    </w:lvl>
    <w:lvl w:ilvl="2">
      <w:start w:val="1"/>
      <w:numFmt w:val="lowerLetter"/>
      <w:lvlText w:val="(%3)"/>
      <w:lvlJc w:val="left"/>
      <w:pPr>
        <w:tabs>
          <w:tab w:val="num" w:pos="1800"/>
        </w:tabs>
        <w:ind w:left="720" w:firstLine="720"/>
      </w:pPr>
      <w:rPr>
        <w:rFonts w:hint="default"/>
        <w:vanish w:val="0"/>
        <w:color w:val="000000"/>
        <w:u w:val="none"/>
      </w:rPr>
    </w:lvl>
    <w:lvl w:ilvl="3">
      <w:start w:val="1"/>
      <w:numFmt w:val="lowerRoman"/>
      <w:lvlText w:val="(%4)"/>
      <w:lvlJc w:val="left"/>
      <w:pPr>
        <w:tabs>
          <w:tab w:val="num" w:pos="2880"/>
        </w:tabs>
        <w:ind w:left="1440" w:firstLine="720"/>
      </w:pPr>
      <w:rPr>
        <w:rFonts w:hint="default"/>
        <w:vanish w:val="0"/>
        <w:color w:val="000000"/>
        <w:u w:val="none"/>
      </w:rPr>
    </w:lvl>
    <w:lvl w:ilvl="4">
      <w:start w:val="1"/>
      <w:numFmt w:val="upperLetter"/>
      <w:lvlText w:val="(%5)"/>
      <w:lvlJc w:val="left"/>
      <w:pPr>
        <w:tabs>
          <w:tab w:val="num" w:pos="3240"/>
        </w:tabs>
        <w:ind w:left="2160" w:firstLine="720"/>
      </w:pPr>
      <w:rPr>
        <w:rFonts w:hint="default"/>
        <w:vanish w:val="0"/>
        <w:color w:val="000000"/>
        <w:u w:val="none"/>
      </w:rPr>
    </w:lvl>
    <w:lvl w:ilvl="5">
      <w:start w:val="1"/>
      <w:numFmt w:val="lowerLetter"/>
      <w:lvlText w:val="%6."/>
      <w:lvlJc w:val="left"/>
      <w:pPr>
        <w:tabs>
          <w:tab w:val="num" w:pos="3960"/>
        </w:tabs>
        <w:ind w:left="2880" w:firstLine="720"/>
      </w:pPr>
      <w:rPr>
        <w:rFonts w:hint="default"/>
        <w:vanish w:val="0"/>
        <w:color w:val="000000"/>
        <w:u w:val="none"/>
      </w:rPr>
    </w:lvl>
    <w:lvl w:ilvl="6">
      <w:start w:val="1"/>
      <w:numFmt w:val="decimal"/>
      <w:lvlText w:val="%7."/>
      <w:lvlJc w:val="left"/>
      <w:pPr>
        <w:tabs>
          <w:tab w:val="num" w:pos="4680"/>
        </w:tabs>
        <w:ind w:left="3600" w:firstLine="720"/>
      </w:pPr>
      <w:rPr>
        <w:rFonts w:hint="default"/>
        <w:vanish w:val="0"/>
        <w:color w:val="000000"/>
        <w:u w:val="none"/>
      </w:rPr>
    </w:lvl>
    <w:lvl w:ilvl="7">
      <w:start w:val="1"/>
      <w:numFmt w:val="lowerRoman"/>
      <w:lvlText w:val="%8."/>
      <w:lvlJc w:val="left"/>
      <w:pPr>
        <w:tabs>
          <w:tab w:val="num" w:pos="5760"/>
        </w:tabs>
        <w:ind w:left="4320" w:firstLine="720"/>
      </w:pPr>
      <w:rPr>
        <w:rFonts w:hint="default"/>
        <w:vanish w:val="0"/>
        <w:color w:val="000000"/>
        <w:u w:val="none"/>
      </w:rPr>
    </w:lvl>
    <w:lvl w:ilvl="8">
      <w:start w:val="1"/>
      <w:numFmt w:val="decimal"/>
      <w:lvlText w:val="(%9)"/>
      <w:lvlJc w:val="left"/>
      <w:pPr>
        <w:tabs>
          <w:tab w:val="num" w:pos="6120"/>
        </w:tabs>
        <w:ind w:left="5040" w:firstLine="720"/>
      </w:pPr>
      <w:rPr>
        <w:rFonts w:hint="default"/>
        <w:vanish w:val="0"/>
        <w:color w:val="000000"/>
        <w:u w:val="none"/>
      </w:rPr>
    </w:lvl>
  </w:abstractNum>
  <w:abstractNum w:abstractNumId="11"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018464A"/>
    <w:multiLevelType w:val="multilevel"/>
    <w:tmpl w:val="793C67C2"/>
    <w:lvl w:ilvl="0">
      <w:start w:val="1"/>
      <w:numFmt w:val="upperRoman"/>
      <w:suff w:val="space"/>
      <w:lvlText w:val="Article %1"/>
      <w:lvlJc w:val="left"/>
      <w:pPr>
        <w:ind w:left="0" w:firstLine="0"/>
      </w:pPr>
      <w:rPr>
        <w:rFonts w:hint="default"/>
        <w:caps/>
      </w:rPr>
    </w:lvl>
    <w:lvl w:ilvl="1">
      <w:start w:val="1"/>
      <w:numFmt w:val="decimal"/>
      <w:isLgl/>
      <w:lvlText w:val="Section %1.%2"/>
      <w:lvlJc w:val="left"/>
      <w:pPr>
        <w:ind w:left="4320" w:firstLine="720"/>
      </w:pPr>
      <w:rPr>
        <w:rFonts w:hint="default"/>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33BE488A"/>
    <w:multiLevelType w:val="multilevel"/>
    <w:tmpl w:val="57CA3786"/>
    <w:name w:val="Corporate (1)"/>
    <w:lvl w:ilvl="0">
      <w:start w:val="1"/>
      <w:numFmt w:val="decimal"/>
      <w:suff w:val="nothing"/>
      <w:lvlText w:val="Article %1"/>
      <w:lvlJc w:val="left"/>
      <w:pPr>
        <w:tabs>
          <w:tab w:val="num" w:pos="0"/>
        </w:tabs>
        <w:ind w:left="0" w:firstLine="0"/>
      </w:pPr>
      <w:rPr>
        <w:rFonts w:ascii="Times New Roman" w:hAnsi="Times New Roman" w:cs="Times New Roman"/>
        <w:b w:val="0"/>
        <w:caps/>
        <w:smallCaps w:val="0"/>
        <w:vanish w:val="0"/>
        <w:color w:val="010000"/>
        <w:sz w:val="24"/>
        <w:u w:val="none"/>
      </w:rPr>
    </w:lvl>
    <w:lvl w:ilvl="1">
      <w:start w:val="1"/>
      <w:numFmt w:val="decimal"/>
      <w:isLgl/>
      <w:lvlText w:val="Section %1.%2"/>
      <w:lvlJc w:val="left"/>
      <w:pPr>
        <w:tabs>
          <w:tab w:val="num" w:pos="2160"/>
        </w:tabs>
        <w:ind w:left="0" w:firstLine="1440"/>
      </w:pPr>
      <w:rPr>
        <w:rFonts w:ascii="Times New Roman" w:hAnsi="Times New Roman" w:cs="Times New Roman"/>
        <w:b w:val="0"/>
        <w:vanish w:val="0"/>
        <w:color w:val="010000"/>
        <w:sz w:val="24"/>
        <w:u w:val="none"/>
      </w:rPr>
    </w:lvl>
    <w:lvl w:ilvl="2">
      <w:start w:val="1"/>
      <w:numFmt w:val="lowerLetter"/>
      <w:lvlText w:val="(%3)"/>
      <w:lvlJc w:val="left"/>
      <w:pPr>
        <w:tabs>
          <w:tab w:val="num" w:pos="2160"/>
        </w:tabs>
        <w:ind w:left="720" w:firstLine="720"/>
      </w:pPr>
      <w:rPr>
        <w:rFonts w:ascii="Times New Roman" w:hAnsi="Times New Roman" w:cs="Times New Roman"/>
        <w:b w:val="0"/>
        <w:vanish w:val="0"/>
        <w:color w:val="010000"/>
        <w:sz w:val="24"/>
        <w:u w:val="none"/>
      </w:rPr>
    </w:lvl>
    <w:lvl w:ilvl="3">
      <w:start w:val="1"/>
      <w:numFmt w:val="lowerRoman"/>
      <w:lvlText w:val="(%4)"/>
      <w:lvlJc w:val="left"/>
      <w:pPr>
        <w:tabs>
          <w:tab w:val="num" w:pos="2880"/>
        </w:tabs>
        <w:ind w:left="1440" w:firstLine="720"/>
      </w:pPr>
      <w:rPr>
        <w:rFonts w:ascii="Times New Roman" w:hAnsi="Times New Roman" w:cs="Times New Roman"/>
        <w:b w:val="0"/>
        <w:vanish w:val="0"/>
        <w:color w:val="010000"/>
        <w:sz w:val="24"/>
        <w:u w:val="none"/>
      </w:rPr>
    </w:lvl>
    <w:lvl w:ilvl="4">
      <w:start w:val="1"/>
      <w:numFmt w:val="upperLetter"/>
      <w:lvlText w:val="(%5)"/>
      <w:lvlJc w:val="left"/>
      <w:pPr>
        <w:tabs>
          <w:tab w:val="num" w:pos="3600"/>
        </w:tabs>
        <w:ind w:left="2160" w:firstLine="720"/>
      </w:pPr>
      <w:rPr>
        <w:rFonts w:ascii="Times New Roman" w:hAnsi="Times New Roman" w:cs="Times New Roman"/>
        <w:b w:val="0"/>
        <w:vanish w:val="0"/>
        <w:color w:val="010000"/>
        <w:sz w:val="24"/>
        <w:u w:val="none"/>
      </w:rPr>
    </w:lvl>
    <w:lvl w:ilvl="5">
      <w:start w:val="1"/>
      <w:numFmt w:val="lowerLetter"/>
      <w:lvlText w:val="%6."/>
      <w:lvlJc w:val="left"/>
      <w:pPr>
        <w:tabs>
          <w:tab w:val="num" w:pos="4320"/>
        </w:tabs>
        <w:ind w:left="2880" w:firstLine="720"/>
      </w:pPr>
      <w:rPr>
        <w:rFonts w:ascii="Times New Roman" w:hAnsi="Times New Roman" w:cs="Times New Roman"/>
        <w:b w:val="0"/>
        <w:vanish w:val="0"/>
        <w:color w:val="010000"/>
        <w:sz w:val="24"/>
        <w:u w:val="none"/>
      </w:rPr>
    </w:lvl>
    <w:lvl w:ilvl="6">
      <w:start w:val="1"/>
      <w:numFmt w:val="decimal"/>
      <w:lvlText w:val="%7."/>
      <w:lvlJc w:val="left"/>
      <w:pPr>
        <w:tabs>
          <w:tab w:val="num" w:pos="5040"/>
        </w:tabs>
        <w:ind w:left="3600" w:firstLine="720"/>
      </w:pPr>
      <w:rPr>
        <w:rFonts w:ascii="Times New Roman" w:hAnsi="Times New Roman" w:cs="Times New Roman"/>
        <w:b w:val="0"/>
        <w:vanish w:val="0"/>
        <w:color w:val="010000"/>
        <w:sz w:val="24"/>
        <w:u w:val="none"/>
      </w:rPr>
    </w:lvl>
    <w:lvl w:ilvl="7">
      <w:start w:val="1"/>
      <w:numFmt w:val="lowerRoman"/>
      <w:lvlText w:val="%8."/>
      <w:lvlJc w:val="left"/>
      <w:pPr>
        <w:tabs>
          <w:tab w:val="num" w:pos="5760"/>
        </w:tabs>
        <w:ind w:left="4320" w:firstLine="720"/>
      </w:pPr>
      <w:rPr>
        <w:rFonts w:ascii="Times New Roman" w:hAnsi="Times New Roman" w:cs="Times New Roman"/>
        <w:b w:val="0"/>
        <w:vanish w:val="0"/>
        <w:color w:val="010000"/>
        <w:sz w:val="24"/>
        <w:u w:val="none"/>
      </w:rPr>
    </w:lvl>
    <w:lvl w:ilvl="8">
      <w:start w:val="1"/>
      <w:numFmt w:val="decimal"/>
      <w:lvlText w:val="(%9)"/>
      <w:lvlJc w:val="left"/>
      <w:pPr>
        <w:tabs>
          <w:tab w:val="num" w:pos="6480"/>
        </w:tabs>
        <w:ind w:left="5040" w:firstLine="720"/>
      </w:pPr>
      <w:rPr>
        <w:rFonts w:ascii="Times New Roman" w:hAnsi="Times New Roman" w:cs="Times New Roman"/>
        <w:b w:val="0"/>
        <w:vanish w:val="0"/>
        <w:color w:val="010000"/>
        <w:sz w:val="24"/>
        <w:u w:val="none"/>
      </w:rPr>
    </w:lvl>
  </w:abstractNum>
  <w:abstractNum w:abstractNumId="14"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D6554"/>
    <w:multiLevelType w:val="multilevel"/>
    <w:tmpl w:val="AC3895E2"/>
    <w:name w:val="Ballard Spahr Scheme 1"/>
    <w:lvl w:ilvl="0">
      <w:start w:val="1"/>
      <w:numFmt w:val="upperRoman"/>
      <w:suff w:val="space"/>
      <w:lvlText w:val="ARTICLE %1"/>
      <w:lvlJc w:val="left"/>
      <w:pPr>
        <w:tabs>
          <w:tab w:val="num" w:pos="0"/>
        </w:tabs>
        <w:ind w:left="0" w:firstLine="0"/>
      </w:pPr>
      <w:rPr>
        <w:rFonts w:ascii="Times New Roman" w:hAnsi="Times New Roman" w:cs="Times New Roman"/>
        <w:b w:val="0"/>
        <w:caps w:val="0"/>
        <w:vanish w:val="0"/>
        <w:color w:val="auto"/>
        <w:sz w:val="24"/>
        <w:u w:val="none"/>
      </w:rPr>
    </w:lvl>
    <w:lvl w:ilvl="1">
      <w:start w:val="1"/>
      <w:numFmt w:val="decimal"/>
      <w:isLgl/>
      <w:lvlText w:val="Section %1.%2."/>
      <w:lvlJc w:val="left"/>
      <w:pPr>
        <w:tabs>
          <w:tab w:val="num" w:pos="2160"/>
        </w:tabs>
        <w:ind w:left="0" w:firstLine="720"/>
      </w:pPr>
      <w:rPr>
        <w:rFonts w:ascii="Times New Roman" w:hAnsi="Times New Roman" w:cs="Times New Roman"/>
        <w:b w:val="0"/>
        <w:caps w:val="0"/>
        <w:vanish w:val="0"/>
        <w:color w:val="auto"/>
        <w:sz w:val="24"/>
        <w:u w:val="none"/>
      </w:rPr>
    </w:lvl>
    <w:lvl w:ilvl="2">
      <w:start w:val="1"/>
      <w:numFmt w:val="decimal"/>
      <w:isLgl/>
      <w:lvlText w:val="%1.%2.%3."/>
      <w:lvlJc w:val="left"/>
      <w:pPr>
        <w:tabs>
          <w:tab w:val="num" w:pos="2880"/>
        </w:tabs>
        <w:ind w:left="0" w:firstLine="2160"/>
      </w:pPr>
      <w:rPr>
        <w:rFonts w:ascii="Times New Roman" w:hAnsi="Times New Roman" w:cs="Times New Roman"/>
        <w:b w:val="0"/>
        <w:caps w:val="0"/>
        <w:vanish w:val="0"/>
        <w:color w:val="auto"/>
        <w:sz w:val="24"/>
        <w:u w:val="none"/>
      </w:rPr>
    </w:lvl>
    <w:lvl w:ilvl="3">
      <w:start w:val="1"/>
      <w:numFmt w:val="lowerLetter"/>
      <w:lvlText w:val="(%4)"/>
      <w:lvlJc w:val="left"/>
      <w:pPr>
        <w:tabs>
          <w:tab w:val="num" w:pos="2160"/>
        </w:tabs>
        <w:ind w:left="720" w:firstLine="720"/>
      </w:pPr>
      <w:rPr>
        <w:rFonts w:ascii="Times New Roman" w:hAnsi="Times New Roman" w:cs="Times New Roman"/>
        <w:b w:val="0"/>
        <w:caps w:val="0"/>
        <w:vanish w:val="0"/>
        <w:color w:val="auto"/>
        <w:sz w:val="24"/>
        <w:u w:val="none"/>
      </w:rPr>
    </w:lvl>
    <w:lvl w:ilvl="4">
      <w:start w:val="1"/>
      <w:numFmt w:val="lowerRoman"/>
      <w:lvlText w:val="(%5)"/>
      <w:lvlJc w:val="left"/>
      <w:pPr>
        <w:tabs>
          <w:tab w:val="num" w:pos="2880"/>
        </w:tabs>
        <w:ind w:left="1440" w:firstLine="720"/>
      </w:pPr>
      <w:rPr>
        <w:rFonts w:ascii="Times New Roman" w:hAnsi="Times New Roman" w:cs="Times New Roman"/>
        <w:b w:val="0"/>
        <w:caps w:val="0"/>
        <w:vanish w:val="0"/>
        <w:color w:val="auto"/>
        <w:sz w:val="24"/>
        <w:u w:val="none"/>
      </w:rPr>
    </w:lvl>
    <w:lvl w:ilvl="5">
      <w:start w:val="1"/>
      <w:numFmt w:val="upperLetter"/>
      <w:lvlText w:val="(%6)"/>
      <w:lvlJc w:val="left"/>
      <w:pPr>
        <w:tabs>
          <w:tab w:val="num" w:pos="4680"/>
        </w:tabs>
        <w:ind w:left="0" w:firstLine="4320"/>
      </w:pPr>
      <w:rPr>
        <w:rFonts w:ascii="Times New Roman" w:hAnsi="Times New Roman" w:cs="Times New Roman"/>
        <w:b w:val="0"/>
        <w:caps w:val="0"/>
        <w:vanish w:val="0"/>
        <w:color w:val="auto"/>
        <w:sz w:val="24"/>
        <w:u w:val="none"/>
      </w:rPr>
    </w:lvl>
    <w:lvl w:ilvl="6">
      <w:start w:val="1"/>
      <w:numFmt w:val="decimal"/>
      <w:lvlText w:val="(%7)"/>
      <w:lvlJc w:val="left"/>
      <w:pPr>
        <w:tabs>
          <w:tab w:val="num" w:pos="5400"/>
        </w:tabs>
        <w:ind w:left="0" w:firstLine="5040"/>
      </w:pPr>
      <w:rPr>
        <w:rFonts w:ascii="Times New Roman" w:hAnsi="Times New Roman" w:cs="Times New Roman"/>
        <w:b w:val="0"/>
        <w:caps w:val="0"/>
        <w:vanish w:val="0"/>
        <w:color w:val="auto"/>
        <w:sz w:val="24"/>
        <w:u w:val="none"/>
      </w:rPr>
    </w:lvl>
    <w:lvl w:ilvl="7">
      <w:start w:val="1"/>
      <w:numFmt w:val="lowerLetter"/>
      <w:lvlText w:val="%8."/>
      <w:lvlJc w:val="left"/>
      <w:pPr>
        <w:tabs>
          <w:tab w:val="num" w:pos="6120"/>
        </w:tabs>
        <w:ind w:left="0" w:firstLine="5760"/>
      </w:pPr>
      <w:rPr>
        <w:rFonts w:ascii="Times New Roman" w:hAnsi="Times New Roman" w:cs="Times New Roman"/>
        <w:b w:val="0"/>
        <w:caps w:val="0"/>
        <w:vanish w:val="0"/>
        <w:color w:val="auto"/>
        <w:sz w:val="24"/>
        <w:u w:val="none"/>
      </w:rPr>
    </w:lvl>
    <w:lvl w:ilvl="8">
      <w:start w:val="1"/>
      <w:numFmt w:val="lowerRoman"/>
      <w:lvlText w:val="%9."/>
      <w:lvlJc w:val="left"/>
      <w:pPr>
        <w:tabs>
          <w:tab w:val="num" w:pos="7200"/>
        </w:tabs>
        <w:ind w:left="0" w:firstLine="6480"/>
      </w:pPr>
      <w:rPr>
        <w:rFonts w:ascii="Times New Roman" w:hAnsi="Times New Roman" w:cs="Times New Roman"/>
        <w:b w:val="0"/>
        <w:caps w:val="0"/>
        <w:vanish w:val="0"/>
        <w:color w:val="auto"/>
        <w:sz w:val="24"/>
        <w:u w:val="none"/>
      </w:rPr>
    </w:lvl>
  </w:abstractNum>
  <w:abstractNum w:abstractNumId="16" w15:restartNumberingAfterBreak="0">
    <w:nsid w:val="3F624BDF"/>
    <w:multiLevelType w:val="multilevel"/>
    <w:tmpl w:val="A4E8F5CA"/>
    <w:styleLink w:val="Style1"/>
    <w:lvl w:ilvl="0">
      <w:start w:val="1"/>
      <w:numFmt w:val="upperRoman"/>
      <w:suff w:val="nothing"/>
      <w:lvlText w:val="Article %1"/>
      <w:lvlJc w:val="center"/>
      <w:pPr>
        <w:ind w:left="0" w:firstLine="0"/>
      </w:pPr>
      <w:rPr>
        <w:rFonts w:hint="default"/>
        <w:caps/>
        <w:smallCaps w:val="0"/>
        <w:vanish w:val="0"/>
        <w:color w:val="auto"/>
        <w:u w:val="none"/>
      </w:rPr>
    </w:lvl>
    <w:lvl w:ilvl="1">
      <w:start w:val="1"/>
      <w:numFmt w:val="decimal"/>
      <w:isLgl/>
      <w:lvlText w:val="Section %1.%2."/>
      <w:lvlJc w:val="left"/>
      <w:pPr>
        <w:ind w:left="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firstLine="720"/>
      </w:pPr>
      <w:rPr>
        <w:rFonts w:hint="default"/>
        <w:vanish w:val="0"/>
        <w:color w:val="auto"/>
        <w:u w:val="none"/>
      </w:rPr>
    </w:lvl>
    <w:lvl w:ilvl="3">
      <w:start w:val="1"/>
      <w:numFmt w:val="lowerRoman"/>
      <w:lvlText w:val="(%4)"/>
      <w:lvlJc w:val="left"/>
      <w:pPr>
        <w:tabs>
          <w:tab w:val="num" w:pos="2880"/>
        </w:tabs>
        <w:ind w:left="1440" w:firstLine="720"/>
      </w:pPr>
      <w:rPr>
        <w:rFonts w:hint="default"/>
        <w:vanish w:val="0"/>
        <w:color w:val="auto"/>
        <w:u w:val="none"/>
      </w:rPr>
    </w:lvl>
    <w:lvl w:ilvl="4">
      <w:start w:val="1"/>
      <w:numFmt w:val="upperLetter"/>
      <w:lvlText w:val="(%5)"/>
      <w:lvlJc w:val="left"/>
      <w:pPr>
        <w:tabs>
          <w:tab w:val="num" w:pos="3240"/>
        </w:tabs>
        <w:ind w:left="2160" w:firstLine="720"/>
      </w:pPr>
      <w:rPr>
        <w:rFonts w:hint="default"/>
        <w:vanish w:val="0"/>
        <w:color w:val="auto"/>
        <w:u w:val="none"/>
      </w:rPr>
    </w:lvl>
    <w:lvl w:ilvl="5">
      <w:start w:val="1"/>
      <w:numFmt w:val="lowerLetter"/>
      <w:lvlText w:val="%6."/>
      <w:lvlJc w:val="left"/>
      <w:pPr>
        <w:tabs>
          <w:tab w:val="num" w:pos="3960"/>
        </w:tabs>
        <w:ind w:left="2880" w:firstLine="720"/>
      </w:pPr>
      <w:rPr>
        <w:rFonts w:hint="default"/>
        <w:vanish w:val="0"/>
        <w:color w:val="auto"/>
        <w:u w:val="none"/>
      </w:rPr>
    </w:lvl>
    <w:lvl w:ilvl="6">
      <w:start w:val="1"/>
      <w:numFmt w:val="decimal"/>
      <w:lvlText w:val="%7."/>
      <w:lvlJc w:val="left"/>
      <w:pPr>
        <w:tabs>
          <w:tab w:val="num" w:pos="4680"/>
        </w:tabs>
        <w:ind w:left="3600" w:firstLine="720"/>
      </w:pPr>
      <w:rPr>
        <w:rFonts w:hint="default"/>
        <w:vanish w:val="0"/>
        <w:color w:val="auto"/>
        <w:u w:val="none"/>
      </w:rPr>
    </w:lvl>
    <w:lvl w:ilvl="7">
      <w:start w:val="1"/>
      <w:numFmt w:val="lowerRoman"/>
      <w:lvlText w:val="%8."/>
      <w:lvlJc w:val="left"/>
      <w:pPr>
        <w:tabs>
          <w:tab w:val="num" w:pos="5760"/>
        </w:tabs>
        <w:ind w:left="4320" w:firstLine="720"/>
      </w:pPr>
      <w:rPr>
        <w:rFonts w:hint="default"/>
        <w:vanish w:val="0"/>
        <w:color w:val="auto"/>
        <w:u w:val="none"/>
      </w:rPr>
    </w:lvl>
    <w:lvl w:ilvl="8">
      <w:start w:val="1"/>
      <w:numFmt w:val="decimal"/>
      <w:lvlText w:val="(%9)"/>
      <w:lvlJc w:val="left"/>
      <w:pPr>
        <w:tabs>
          <w:tab w:val="num" w:pos="6120"/>
        </w:tabs>
        <w:ind w:left="5040" w:firstLine="720"/>
      </w:pPr>
      <w:rPr>
        <w:rFonts w:hint="default"/>
        <w:vanish w:val="0"/>
        <w:color w:val="auto"/>
        <w:u w:val="none"/>
      </w:rPr>
    </w:lvl>
  </w:abstractNum>
  <w:abstractNum w:abstractNumId="17" w15:restartNumberingAfterBreak="0">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0724F"/>
    <w:multiLevelType w:val="multilevel"/>
    <w:tmpl w:val="C656849A"/>
    <w:lvl w:ilvl="0">
      <w:start w:val="1"/>
      <w:numFmt w:val="upperRoman"/>
      <w:suff w:val="nothing"/>
      <w:lvlText w:val="Article %1"/>
      <w:lvlJc w:val="center"/>
      <w:pPr>
        <w:ind w:left="4392" w:firstLine="288"/>
      </w:pPr>
      <w:rPr>
        <w:rFonts w:hint="default"/>
        <w:caps/>
        <w:smallCaps w:val="0"/>
        <w:vanish w:val="0"/>
        <w:color w:val="auto"/>
        <w:u w:val="none"/>
      </w:rPr>
    </w:lvl>
    <w:lvl w:ilvl="1">
      <w:start w:val="1"/>
      <w:numFmt w:val="decimal"/>
      <w:isLgl/>
      <w:lvlText w:val="Section %1.%2."/>
      <w:lvlJc w:val="left"/>
      <w:pPr>
        <w:tabs>
          <w:tab w:val="num" w:pos="3780"/>
        </w:tabs>
        <w:ind w:left="23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340"/>
        </w:tabs>
        <w:ind w:left="900" w:firstLine="720"/>
      </w:pPr>
      <w:rPr>
        <w:rFonts w:hint="default"/>
        <w:vanish w:val="0"/>
        <w:color w:val="auto"/>
        <w:u w:val="none"/>
      </w:rPr>
    </w:lvl>
    <w:lvl w:ilvl="3">
      <w:start w:val="1"/>
      <w:numFmt w:val="lowerRoman"/>
      <w:lvlText w:val="(%4)"/>
      <w:lvlJc w:val="left"/>
      <w:pPr>
        <w:tabs>
          <w:tab w:val="num" w:pos="2880"/>
        </w:tabs>
        <w:ind w:left="1440" w:firstLine="720"/>
      </w:pPr>
      <w:rPr>
        <w:rFonts w:hint="default"/>
        <w:vanish w:val="0"/>
        <w:color w:val="auto"/>
        <w:u w:val="none"/>
      </w:rPr>
    </w:lvl>
    <w:lvl w:ilvl="4">
      <w:start w:val="1"/>
      <w:numFmt w:val="upperLetter"/>
      <w:lvlText w:val="(%5)"/>
      <w:lvlJc w:val="left"/>
      <w:pPr>
        <w:tabs>
          <w:tab w:val="num" w:pos="3240"/>
        </w:tabs>
        <w:ind w:left="2160" w:firstLine="720"/>
      </w:pPr>
      <w:rPr>
        <w:rFonts w:hint="default"/>
        <w:vanish w:val="0"/>
        <w:color w:val="auto"/>
        <w:u w:val="none"/>
      </w:rPr>
    </w:lvl>
    <w:lvl w:ilvl="5">
      <w:start w:val="1"/>
      <w:numFmt w:val="lowerLetter"/>
      <w:lvlText w:val="%6."/>
      <w:lvlJc w:val="left"/>
      <w:pPr>
        <w:tabs>
          <w:tab w:val="num" w:pos="3960"/>
        </w:tabs>
        <w:ind w:left="2880" w:firstLine="720"/>
      </w:pPr>
      <w:rPr>
        <w:rFonts w:hint="default"/>
        <w:vanish w:val="0"/>
        <w:color w:val="auto"/>
        <w:u w:val="none"/>
      </w:rPr>
    </w:lvl>
    <w:lvl w:ilvl="6">
      <w:start w:val="1"/>
      <w:numFmt w:val="decimal"/>
      <w:lvlText w:val="%7."/>
      <w:lvlJc w:val="left"/>
      <w:pPr>
        <w:tabs>
          <w:tab w:val="num" w:pos="4680"/>
        </w:tabs>
        <w:ind w:left="3600" w:firstLine="720"/>
      </w:pPr>
      <w:rPr>
        <w:rFonts w:hint="default"/>
        <w:vanish w:val="0"/>
        <w:color w:val="auto"/>
        <w:u w:val="none"/>
      </w:rPr>
    </w:lvl>
    <w:lvl w:ilvl="7">
      <w:start w:val="1"/>
      <w:numFmt w:val="lowerRoman"/>
      <w:lvlText w:val="%8."/>
      <w:lvlJc w:val="left"/>
      <w:pPr>
        <w:tabs>
          <w:tab w:val="num" w:pos="5760"/>
        </w:tabs>
        <w:ind w:left="4320" w:firstLine="720"/>
      </w:pPr>
      <w:rPr>
        <w:rFonts w:hint="default"/>
        <w:vanish w:val="0"/>
        <w:color w:val="auto"/>
        <w:u w:val="none"/>
      </w:rPr>
    </w:lvl>
    <w:lvl w:ilvl="8">
      <w:start w:val="1"/>
      <w:numFmt w:val="decimal"/>
      <w:lvlText w:val="(%9)"/>
      <w:lvlJc w:val="left"/>
      <w:pPr>
        <w:tabs>
          <w:tab w:val="num" w:pos="6120"/>
        </w:tabs>
        <w:ind w:left="5040" w:firstLine="720"/>
      </w:pPr>
      <w:rPr>
        <w:rFonts w:hint="default"/>
        <w:vanish w:val="0"/>
        <w:color w:val="auto"/>
        <w:u w:val="none"/>
      </w:rPr>
    </w:lvl>
  </w:abstractNum>
  <w:abstractNum w:abstractNumId="19" w15:restartNumberingAfterBreak="0">
    <w:nsid w:val="685257ED"/>
    <w:multiLevelType w:val="hybridMultilevel"/>
    <w:tmpl w:val="CCB2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91626"/>
    <w:multiLevelType w:val="multilevel"/>
    <w:tmpl w:val="B964B080"/>
    <w:name w:val="Corporate (1)2"/>
    <w:lvl w:ilvl="0">
      <w:start w:val="1"/>
      <w:numFmt w:val="upperRoman"/>
      <w:pStyle w:val="Heading1"/>
      <w:suff w:val="nothing"/>
      <w:lvlText w:val="Article %1"/>
      <w:lvlJc w:val="left"/>
      <w:pPr>
        <w:ind w:left="0" w:firstLine="0"/>
      </w:pPr>
      <w:rPr>
        <w:rFonts w:ascii="Times New Roman" w:hAnsi="Times New Roman" w:cs="Times New Roman" w:hint="default"/>
        <w:b w:val="0"/>
        <w:caps/>
        <w:smallCaps w:val="0"/>
        <w:vanish w:val="0"/>
        <w:color w:val="010000"/>
        <w:sz w:val="24"/>
        <w:u w:val="none"/>
      </w:rPr>
    </w:lvl>
    <w:lvl w:ilvl="1">
      <w:start w:val="1"/>
      <w:numFmt w:val="decimal"/>
      <w:pStyle w:val="Heading2"/>
      <w:isLgl/>
      <w:lvlText w:val="Section %1.%2"/>
      <w:lvlJc w:val="left"/>
      <w:pPr>
        <w:tabs>
          <w:tab w:val="num" w:pos="2160"/>
        </w:tabs>
        <w:ind w:left="0" w:firstLine="1440"/>
      </w:pPr>
      <w:rPr>
        <w:rFonts w:ascii="Times New Roman" w:hAnsi="Times New Roman"/>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2160"/>
        </w:tabs>
        <w:ind w:left="720" w:firstLine="720"/>
      </w:pPr>
      <w:rPr>
        <w:rFonts w:ascii="Times New Roman" w:hAnsi="Times New Roman" w:cs="Times New Roman" w:hint="default"/>
        <w:b w:val="0"/>
        <w:vanish w:val="0"/>
        <w:color w:val="010000"/>
        <w:sz w:val="24"/>
        <w:u w:val="none"/>
      </w:rPr>
    </w:lvl>
    <w:lvl w:ilvl="3">
      <w:start w:val="1"/>
      <w:numFmt w:val="lowerRoman"/>
      <w:pStyle w:val="Heading4"/>
      <w:lvlText w:val="(%4)"/>
      <w:lvlJc w:val="left"/>
      <w:pPr>
        <w:tabs>
          <w:tab w:val="num" w:pos="2880"/>
        </w:tabs>
        <w:ind w:left="1440" w:firstLine="720"/>
      </w:pPr>
      <w:rPr>
        <w:rFonts w:ascii="Times New Roman" w:hAnsi="Times New Roman" w:cs="Times New Roman" w:hint="default"/>
        <w:b w:val="0"/>
        <w:vanish w:val="0"/>
        <w:color w:val="010000"/>
        <w:sz w:val="24"/>
        <w:u w:val="none"/>
      </w:rPr>
    </w:lvl>
    <w:lvl w:ilvl="4">
      <w:start w:val="1"/>
      <w:numFmt w:val="upperLetter"/>
      <w:pStyle w:val="Heading5"/>
      <w:lvlText w:val="(%5)"/>
      <w:lvlJc w:val="left"/>
      <w:pPr>
        <w:tabs>
          <w:tab w:val="num" w:pos="3600"/>
        </w:tabs>
        <w:ind w:left="2160" w:firstLine="720"/>
      </w:pPr>
      <w:rPr>
        <w:rFonts w:ascii="Times New Roman" w:hAnsi="Times New Roman" w:cs="Times New Roman" w:hint="default"/>
        <w:b w:val="0"/>
        <w:vanish w:val="0"/>
        <w:color w:val="010000"/>
        <w:sz w:val="24"/>
        <w:u w:val="none"/>
      </w:rPr>
    </w:lvl>
    <w:lvl w:ilvl="5">
      <w:start w:val="1"/>
      <w:numFmt w:val="lowerLetter"/>
      <w:pStyle w:val="Heading6"/>
      <w:lvlText w:val="%6."/>
      <w:lvlJc w:val="left"/>
      <w:pPr>
        <w:tabs>
          <w:tab w:val="num" w:pos="4320"/>
        </w:tabs>
        <w:ind w:left="2880" w:firstLine="720"/>
      </w:pPr>
      <w:rPr>
        <w:rFonts w:ascii="Times New Roman" w:hAnsi="Times New Roman" w:cs="Times New Roman" w:hint="default"/>
        <w:b w:val="0"/>
        <w:vanish w:val="0"/>
        <w:color w:val="010000"/>
        <w:sz w:val="24"/>
        <w:u w:val="none"/>
      </w:rPr>
    </w:lvl>
    <w:lvl w:ilvl="6">
      <w:start w:val="1"/>
      <w:numFmt w:val="decimal"/>
      <w:pStyle w:val="Heading7"/>
      <w:lvlText w:val="%7."/>
      <w:lvlJc w:val="left"/>
      <w:pPr>
        <w:tabs>
          <w:tab w:val="num" w:pos="5040"/>
        </w:tabs>
        <w:ind w:left="3600" w:firstLine="720"/>
      </w:pPr>
      <w:rPr>
        <w:rFonts w:ascii="Times New Roman" w:hAnsi="Times New Roman" w:cs="Times New Roman" w:hint="default"/>
        <w:b w:val="0"/>
        <w:vanish w:val="0"/>
        <w:color w:val="010000"/>
        <w:sz w:val="24"/>
        <w:u w:val="none"/>
      </w:rPr>
    </w:lvl>
    <w:lvl w:ilvl="7">
      <w:start w:val="1"/>
      <w:numFmt w:val="lowerRoman"/>
      <w:pStyle w:val="Heading8"/>
      <w:lvlText w:val="%8."/>
      <w:lvlJc w:val="left"/>
      <w:pPr>
        <w:tabs>
          <w:tab w:val="num" w:pos="5760"/>
        </w:tabs>
        <w:ind w:left="4320" w:firstLine="720"/>
      </w:pPr>
      <w:rPr>
        <w:rFonts w:ascii="Times New Roman" w:hAnsi="Times New Roman" w:cs="Times New Roman" w:hint="default"/>
        <w:b w:val="0"/>
        <w:vanish w:val="0"/>
        <w:color w:val="010000"/>
        <w:sz w:val="24"/>
        <w:u w:val="none"/>
      </w:rPr>
    </w:lvl>
    <w:lvl w:ilvl="8">
      <w:start w:val="1"/>
      <w:numFmt w:val="decimal"/>
      <w:pStyle w:val="Heading9"/>
      <w:lvlText w:val="(%9)"/>
      <w:lvlJc w:val="left"/>
      <w:pPr>
        <w:tabs>
          <w:tab w:val="num" w:pos="6480"/>
        </w:tabs>
        <w:ind w:left="5040" w:firstLine="720"/>
      </w:pPr>
      <w:rPr>
        <w:rFonts w:ascii="Times New Roman" w:hAnsi="Times New Roman" w:cs="Times New Roman" w:hint="default"/>
        <w:b w:val="0"/>
        <w:vanish w:val="0"/>
        <w:color w:val="010000"/>
        <w:sz w:val="24"/>
        <w:u w:val="none"/>
      </w:rPr>
    </w:lvl>
  </w:abstractNum>
  <w:num w:numId="1" w16cid:durableId="2022586566">
    <w:abstractNumId w:val="15"/>
  </w:num>
  <w:num w:numId="2" w16cid:durableId="1374963967">
    <w:abstractNumId w:val="9"/>
  </w:num>
  <w:num w:numId="3" w16cid:durableId="1850366589">
    <w:abstractNumId w:val="7"/>
  </w:num>
  <w:num w:numId="4" w16cid:durableId="663123900">
    <w:abstractNumId w:val="6"/>
  </w:num>
  <w:num w:numId="5" w16cid:durableId="1064571833">
    <w:abstractNumId w:val="5"/>
  </w:num>
  <w:num w:numId="6" w16cid:durableId="2005277047">
    <w:abstractNumId w:val="4"/>
  </w:num>
  <w:num w:numId="7" w16cid:durableId="1722096321">
    <w:abstractNumId w:val="8"/>
  </w:num>
  <w:num w:numId="8" w16cid:durableId="94519548">
    <w:abstractNumId w:val="3"/>
  </w:num>
  <w:num w:numId="9" w16cid:durableId="478503054">
    <w:abstractNumId w:val="2"/>
  </w:num>
  <w:num w:numId="10" w16cid:durableId="1940985271">
    <w:abstractNumId w:val="1"/>
  </w:num>
  <w:num w:numId="11" w16cid:durableId="690185685">
    <w:abstractNumId w:val="0"/>
  </w:num>
  <w:num w:numId="12" w16cid:durableId="1293100311">
    <w:abstractNumId w:val="17"/>
  </w:num>
  <w:num w:numId="13" w16cid:durableId="654840040">
    <w:abstractNumId w:val="14"/>
  </w:num>
  <w:num w:numId="14" w16cid:durableId="458769059">
    <w:abstractNumId w:val="11"/>
  </w:num>
  <w:num w:numId="15" w16cid:durableId="1598712866">
    <w:abstractNumId w:val="13"/>
  </w:num>
  <w:num w:numId="16" w16cid:durableId="751975770">
    <w:abstractNumId w:val="21"/>
  </w:num>
  <w:num w:numId="17" w16cid:durableId="832599630">
    <w:abstractNumId w:val="10"/>
  </w:num>
  <w:num w:numId="18" w16cid:durableId="1456219825">
    <w:abstractNumId w:val="21"/>
  </w:num>
  <w:num w:numId="19" w16cid:durableId="19779553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18683">
    <w:abstractNumId w:val="21"/>
    <w:lvlOverride w:ilvl="0">
      <w:startOverride w:val="1"/>
    </w:lvlOverride>
    <w:lvlOverride w:ilvl="1">
      <w:startOverride w:val="1"/>
    </w:lvlOverride>
    <w:lvlOverride w:ilvl="2">
      <w:startOverride w:val="1"/>
    </w:lvlOverride>
    <w:lvlOverride w:ilvl="3">
      <w:startOverride w:val="2"/>
    </w:lvlOverride>
  </w:num>
  <w:num w:numId="21" w16cid:durableId="340015851">
    <w:abstractNumId w:val="16"/>
  </w:num>
  <w:num w:numId="22" w16cid:durableId="274101144">
    <w:abstractNumId w:val="18"/>
  </w:num>
  <w:num w:numId="23" w16cid:durableId="1343969565">
    <w:abstractNumId w:val="18"/>
    <w:lvlOverride w:ilvl="0">
      <w:startOverride w:val="2"/>
    </w:lvlOverride>
    <w:lvlOverride w:ilvl="1">
      <w:startOverride w:val="9"/>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57284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158840">
    <w:abstractNumId w:val="21"/>
  </w:num>
  <w:num w:numId="26" w16cid:durableId="1840390854">
    <w:abstractNumId w:val="21"/>
  </w:num>
  <w:num w:numId="27" w16cid:durableId="1749569663">
    <w:abstractNumId w:val="21"/>
  </w:num>
  <w:num w:numId="28" w16cid:durableId="110322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1801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0563662">
    <w:abstractNumId w:val="21"/>
  </w:num>
  <w:num w:numId="31" w16cid:durableId="330530790">
    <w:abstractNumId w:val="21"/>
  </w:num>
  <w:num w:numId="32" w16cid:durableId="12563998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5008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7994041">
    <w:abstractNumId w:val="21"/>
  </w:num>
  <w:num w:numId="35" w16cid:durableId="298345118">
    <w:abstractNumId w:val="21"/>
  </w:num>
  <w:num w:numId="36" w16cid:durableId="2143839789">
    <w:abstractNumId w:val="12"/>
  </w:num>
  <w:num w:numId="37" w16cid:durableId="1218590423">
    <w:abstractNumId w:val="12"/>
    <w:lvlOverride w:ilvl="0">
      <w:startOverride w:val="2"/>
    </w:lvlOverride>
    <w:lvlOverride w:ilvl="1">
      <w:startOverride w:val="7"/>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0069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5575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3263135">
    <w:abstractNumId w:val="19"/>
  </w:num>
  <w:num w:numId="41" w16cid:durableId="828592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faultNumberOfLevelsInTOCForThisScheme" w:val="3"/>
    <w:docVar w:name="LastSchemeChoice" w:val="Corporate (1)"/>
    <w:docVar w:name="LastSchemeUniqueID" w:val="113"/>
    <w:docVar w:name="ndGeneratedStamp" w:val="4935-9287-0240, v. 2"/>
    <w:docVar w:name="ndGeneratedStampLocation" w:val="ExceptFirst"/>
    <w:docVar w:name="Option0True" w:val="False"/>
    <w:docVar w:name="Option1True" w:val="False"/>
    <w:docVar w:name="Option2True" w:val="False"/>
    <w:docVar w:name="Option3True" w:val="False"/>
    <w:docVar w:name="Option4True" w:val="False"/>
    <w:docVar w:name="Option5True" w:val="False"/>
    <w:docVar w:name="Option6True" w:val="False"/>
  </w:docVars>
  <w:rsids>
    <w:rsidRoot w:val="0038480E"/>
    <w:rsid w:val="00000270"/>
    <w:rsid w:val="000048E0"/>
    <w:rsid w:val="00013B8F"/>
    <w:rsid w:val="000149A4"/>
    <w:rsid w:val="0001738B"/>
    <w:rsid w:val="000204D6"/>
    <w:rsid w:val="000230B5"/>
    <w:rsid w:val="0002463E"/>
    <w:rsid w:val="00025416"/>
    <w:rsid w:val="000264DF"/>
    <w:rsid w:val="00026875"/>
    <w:rsid w:val="0003500A"/>
    <w:rsid w:val="0003502E"/>
    <w:rsid w:val="00035E79"/>
    <w:rsid w:val="00042880"/>
    <w:rsid w:val="00052F40"/>
    <w:rsid w:val="000541D9"/>
    <w:rsid w:val="00054464"/>
    <w:rsid w:val="000579A5"/>
    <w:rsid w:val="000601C6"/>
    <w:rsid w:val="00071AD3"/>
    <w:rsid w:val="00071EA0"/>
    <w:rsid w:val="000744E2"/>
    <w:rsid w:val="00083521"/>
    <w:rsid w:val="00083C54"/>
    <w:rsid w:val="0008431B"/>
    <w:rsid w:val="00084FEB"/>
    <w:rsid w:val="0009145D"/>
    <w:rsid w:val="0009186B"/>
    <w:rsid w:val="00091910"/>
    <w:rsid w:val="00095EB4"/>
    <w:rsid w:val="000A1560"/>
    <w:rsid w:val="000A3E8E"/>
    <w:rsid w:val="000A4BFE"/>
    <w:rsid w:val="000A4E8B"/>
    <w:rsid w:val="000A6A4D"/>
    <w:rsid w:val="000B0B0A"/>
    <w:rsid w:val="000C2365"/>
    <w:rsid w:val="000C3F47"/>
    <w:rsid w:val="000C5BEA"/>
    <w:rsid w:val="000C6042"/>
    <w:rsid w:val="000C78F4"/>
    <w:rsid w:val="000D16F6"/>
    <w:rsid w:val="000D364D"/>
    <w:rsid w:val="000D418A"/>
    <w:rsid w:val="000D7D81"/>
    <w:rsid w:val="000E5E3E"/>
    <w:rsid w:val="000F1185"/>
    <w:rsid w:val="000F1D48"/>
    <w:rsid w:val="000F30DA"/>
    <w:rsid w:val="000F352C"/>
    <w:rsid w:val="000F4FFA"/>
    <w:rsid w:val="0010040F"/>
    <w:rsid w:val="00101B39"/>
    <w:rsid w:val="00102146"/>
    <w:rsid w:val="001023B4"/>
    <w:rsid w:val="00102DBB"/>
    <w:rsid w:val="00103779"/>
    <w:rsid w:val="00110DB6"/>
    <w:rsid w:val="00114238"/>
    <w:rsid w:val="00116515"/>
    <w:rsid w:val="00117794"/>
    <w:rsid w:val="00123F1E"/>
    <w:rsid w:val="001268DE"/>
    <w:rsid w:val="00126D78"/>
    <w:rsid w:val="00132EC3"/>
    <w:rsid w:val="00136ACF"/>
    <w:rsid w:val="00136DEA"/>
    <w:rsid w:val="001405D3"/>
    <w:rsid w:val="001456EC"/>
    <w:rsid w:val="00151099"/>
    <w:rsid w:val="0015309E"/>
    <w:rsid w:val="00153122"/>
    <w:rsid w:val="001535DF"/>
    <w:rsid w:val="0015375B"/>
    <w:rsid w:val="0015704D"/>
    <w:rsid w:val="0016101D"/>
    <w:rsid w:val="001646E5"/>
    <w:rsid w:val="0016614B"/>
    <w:rsid w:val="00173CB7"/>
    <w:rsid w:val="00175C76"/>
    <w:rsid w:val="00182711"/>
    <w:rsid w:val="0018486B"/>
    <w:rsid w:val="00185BC9"/>
    <w:rsid w:val="00187AF2"/>
    <w:rsid w:val="0019221C"/>
    <w:rsid w:val="001A4D3E"/>
    <w:rsid w:val="001A769E"/>
    <w:rsid w:val="001A788D"/>
    <w:rsid w:val="001B092F"/>
    <w:rsid w:val="001B1219"/>
    <w:rsid w:val="001B6A6B"/>
    <w:rsid w:val="001B6F71"/>
    <w:rsid w:val="001C114C"/>
    <w:rsid w:val="001C53AB"/>
    <w:rsid w:val="001C5722"/>
    <w:rsid w:val="001D27F6"/>
    <w:rsid w:val="001D2C9E"/>
    <w:rsid w:val="001D37BF"/>
    <w:rsid w:val="001E407D"/>
    <w:rsid w:val="001E66AA"/>
    <w:rsid w:val="001E6C54"/>
    <w:rsid w:val="001E7940"/>
    <w:rsid w:val="001F2411"/>
    <w:rsid w:val="001F3438"/>
    <w:rsid w:val="00202A81"/>
    <w:rsid w:val="0020367C"/>
    <w:rsid w:val="0021169E"/>
    <w:rsid w:val="00216FEA"/>
    <w:rsid w:val="002228E0"/>
    <w:rsid w:val="0022295C"/>
    <w:rsid w:val="0022375B"/>
    <w:rsid w:val="0023173F"/>
    <w:rsid w:val="00234F22"/>
    <w:rsid w:val="00241E90"/>
    <w:rsid w:val="00242331"/>
    <w:rsid w:val="00242F76"/>
    <w:rsid w:val="002430C6"/>
    <w:rsid w:val="002460AC"/>
    <w:rsid w:val="00247938"/>
    <w:rsid w:val="00247D75"/>
    <w:rsid w:val="002515C6"/>
    <w:rsid w:val="00260789"/>
    <w:rsid w:val="002620C8"/>
    <w:rsid w:val="00262130"/>
    <w:rsid w:val="002623D1"/>
    <w:rsid w:val="00266D2A"/>
    <w:rsid w:val="00276876"/>
    <w:rsid w:val="0028035B"/>
    <w:rsid w:val="00290B80"/>
    <w:rsid w:val="002B0881"/>
    <w:rsid w:val="002B6C1F"/>
    <w:rsid w:val="002C0210"/>
    <w:rsid w:val="002C4CC8"/>
    <w:rsid w:val="002C5260"/>
    <w:rsid w:val="002C5D6D"/>
    <w:rsid w:val="002C6B72"/>
    <w:rsid w:val="002D0094"/>
    <w:rsid w:val="002D4325"/>
    <w:rsid w:val="002D55BD"/>
    <w:rsid w:val="002D6F0E"/>
    <w:rsid w:val="002D7AF4"/>
    <w:rsid w:val="002E0C8A"/>
    <w:rsid w:val="002E6B7D"/>
    <w:rsid w:val="002E6C73"/>
    <w:rsid w:val="002E7891"/>
    <w:rsid w:val="002F24A7"/>
    <w:rsid w:val="002F25FF"/>
    <w:rsid w:val="00301D32"/>
    <w:rsid w:val="00303973"/>
    <w:rsid w:val="00304B44"/>
    <w:rsid w:val="00307002"/>
    <w:rsid w:val="00307551"/>
    <w:rsid w:val="0030755A"/>
    <w:rsid w:val="00311180"/>
    <w:rsid w:val="00311368"/>
    <w:rsid w:val="00311BF7"/>
    <w:rsid w:val="00312DC1"/>
    <w:rsid w:val="00317367"/>
    <w:rsid w:val="0032071F"/>
    <w:rsid w:val="003225D6"/>
    <w:rsid w:val="00323245"/>
    <w:rsid w:val="0032611E"/>
    <w:rsid w:val="00326D95"/>
    <w:rsid w:val="00327C20"/>
    <w:rsid w:val="0034024A"/>
    <w:rsid w:val="00344668"/>
    <w:rsid w:val="00344E9D"/>
    <w:rsid w:val="00355E03"/>
    <w:rsid w:val="00355ECF"/>
    <w:rsid w:val="0036029E"/>
    <w:rsid w:val="00361343"/>
    <w:rsid w:val="0036349B"/>
    <w:rsid w:val="00363AF2"/>
    <w:rsid w:val="00365CC0"/>
    <w:rsid w:val="00374295"/>
    <w:rsid w:val="003770C3"/>
    <w:rsid w:val="00380C5D"/>
    <w:rsid w:val="00380C94"/>
    <w:rsid w:val="00380FB5"/>
    <w:rsid w:val="0038480E"/>
    <w:rsid w:val="00384E78"/>
    <w:rsid w:val="00397BAA"/>
    <w:rsid w:val="003A0BBA"/>
    <w:rsid w:val="003A2B24"/>
    <w:rsid w:val="003A5582"/>
    <w:rsid w:val="003B0D12"/>
    <w:rsid w:val="003B296E"/>
    <w:rsid w:val="003B3464"/>
    <w:rsid w:val="003B65C1"/>
    <w:rsid w:val="003B7C61"/>
    <w:rsid w:val="003C2B08"/>
    <w:rsid w:val="003C543D"/>
    <w:rsid w:val="003C7D13"/>
    <w:rsid w:val="003D0EA7"/>
    <w:rsid w:val="003D1E4A"/>
    <w:rsid w:val="003D49B8"/>
    <w:rsid w:val="003D4B4B"/>
    <w:rsid w:val="003E1053"/>
    <w:rsid w:val="003E1339"/>
    <w:rsid w:val="003E301E"/>
    <w:rsid w:val="003E4BA3"/>
    <w:rsid w:val="003E4D14"/>
    <w:rsid w:val="003E61C7"/>
    <w:rsid w:val="003E6C59"/>
    <w:rsid w:val="003F137F"/>
    <w:rsid w:val="003F1538"/>
    <w:rsid w:val="003F722D"/>
    <w:rsid w:val="004020BC"/>
    <w:rsid w:val="00402447"/>
    <w:rsid w:val="00403FD4"/>
    <w:rsid w:val="00406805"/>
    <w:rsid w:val="00406C07"/>
    <w:rsid w:val="00415CDF"/>
    <w:rsid w:val="004261A4"/>
    <w:rsid w:val="004268FF"/>
    <w:rsid w:val="00430B3B"/>
    <w:rsid w:val="004310BC"/>
    <w:rsid w:val="00435DC6"/>
    <w:rsid w:val="0043655B"/>
    <w:rsid w:val="0043684D"/>
    <w:rsid w:val="00442CA5"/>
    <w:rsid w:val="00447764"/>
    <w:rsid w:val="00456192"/>
    <w:rsid w:val="00465313"/>
    <w:rsid w:val="00467DD4"/>
    <w:rsid w:val="0047066D"/>
    <w:rsid w:val="00475262"/>
    <w:rsid w:val="00476DB3"/>
    <w:rsid w:val="00477C11"/>
    <w:rsid w:val="004822F5"/>
    <w:rsid w:val="00490F3A"/>
    <w:rsid w:val="00494A53"/>
    <w:rsid w:val="004950EA"/>
    <w:rsid w:val="00496698"/>
    <w:rsid w:val="00496973"/>
    <w:rsid w:val="0049737C"/>
    <w:rsid w:val="004A3215"/>
    <w:rsid w:val="004A364F"/>
    <w:rsid w:val="004A6010"/>
    <w:rsid w:val="004A6FD7"/>
    <w:rsid w:val="004B44D3"/>
    <w:rsid w:val="004B49B8"/>
    <w:rsid w:val="004C14C1"/>
    <w:rsid w:val="004C5216"/>
    <w:rsid w:val="004C582F"/>
    <w:rsid w:val="004D0B21"/>
    <w:rsid w:val="004D5227"/>
    <w:rsid w:val="004D6067"/>
    <w:rsid w:val="004E2797"/>
    <w:rsid w:val="004E3B3C"/>
    <w:rsid w:val="004E4A94"/>
    <w:rsid w:val="004F056A"/>
    <w:rsid w:val="004F086C"/>
    <w:rsid w:val="004F1B5C"/>
    <w:rsid w:val="004F6455"/>
    <w:rsid w:val="004F7747"/>
    <w:rsid w:val="00503385"/>
    <w:rsid w:val="00503E4C"/>
    <w:rsid w:val="00506DC0"/>
    <w:rsid w:val="005102A9"/>
    <w:rsid w:val="005116DB"/>
    <w:rsid w:val="00517F67"/>
    <w:rsid w:val="00520221"/>
    <w:rsid w:val="00530A1D"/>
    <w:rsid w:val="00530B75"/>
    <w:rsid w:val="00532FD9"/>
    <w:rsid w:val="00537671"/>
    <w:rsid w:val="005378EE"/>
    <w:rsid w:val="00540F3C"/>
    <w:rsid w:val="005460E1"/>
    <w:rsid w:val="00551C2E"/>
    <w:rsid w:val="0055212D"/>
    <w:rsid w:val="00552827"/>
    <w:rsid w:val="00553B5E"/>
    <w:rsid w:val="00553D42"/>
    <w:rsid w:val="00560E70"/>
    <w:rsid w:val="0057031E"/>
    <w:rsid w:val="00570EF3"/>
    <w:rsid w:val="00572FCD"/>
    <w:rsid w:val="00575AC6"/>
    <w:rsid w:val="00576B6B"/>
    <w:rsid w:val="00577A23"/>
    <w:rsid w:val="00577BA4"/>
    <w:rsid w:val="00585847"/>
    <w:rsid w:val="00586335"/>
    <w:rsid w:val="00591B97"/>
    <w:rsid w:val="00592786"/>
    <w:rsid w:val="005A0D1A"/>
    <w:rsid w:val="005A3B49"/>
    <w:rsid w:val="005A61C4"/>
    <w:rsid w:val="005B1D4B"/>
    <w:rsid w:val="005B3384"/>
    <w:rsid w:val="005B730E"/>
    <w:rsid w:val="005C0438"/>
    <w:rsid w:val="005C359B"/>
    <w:rsid w:val="005C4F74"/>
    <w:rsid w:val="005D03AF"/>
    <w:rsid w:val="005D240E"/>
    <w:rsid w:val="005D46CA"/>
    <w:rsid w:val="005D6466"/>
    <w:rsid w:val="005E3610"/>
    <w:rsid w:val="005E4071"/>
    <w:rsid w:val="005E6D3B"/>
    <w:rsid w:val="005F3964"/>
    <w:rsid w:val="005F4AA1"/>
    <w:rsid w:val="005F4FF4"/>
    <w:rsid w:val="005F58CA"/>
    <w:rsid w:val="00600800"/>
    <w:rsid w:val="006042C0"/>
    <w:rsid w:val="00606AB0"/>
    <w:rsid w:val="006072F9"/>
    <w:rsid w:val="00610344"/>
    <w:rsid w:val="00613AC7"/>
    <w:rsid w:val="0061446B"/>
    <w:rsid w:val="00614AE1"/>
    <w:rsid w:val="00617B5E"/>
    <w:rsid w:val="00617BB9"/>
    <w:rsid w:val="006265B4"/>
    <w:rsid w:val="00630B53"/>
    <w:rsid w:val="006323A7"/>
    <w:rsid w:val="006337EA"/>
    <w:rsid w:val="006371D5"/>
    <w:rsid w:val="00641785"/>
    <w:rsid w:val="00642296"/>
    <w:rsid w:val="00642438"/>
    <w:rsid w:val="0064559A"/>
    <w:rsid w:val="0065067F"/>
    <w:rsid w:val="006540C2"/>
    <w:rsid w:val="00661F19"/>
    <w:rsid w:val="006635D5"/>
    <w:rsid w:val="006648A8"/>
    <w:rsid w:val="00667630"/>
    <w:rsid w:val="00671885"/>
    <w:rsid w:val="006738DA"/>
    <w:rsid w:val="0067463E"/>
    <w:rsid w:val="00677F6D"/>
    <w:rsid w:val="00683589"/>
    <w:rsid w:val="00687E94"/>
    <w:rsid w:val="00697C0A"/>
    <w:rsid w:val="006A0AB9"/>
    <w:rsid w:val="006A26A0"/>
    <w:rsid w:val="006A53CB"/>
    <w:rsid w:val="006A59AF"/>
    <w:rsid w:val="006A62E5"/>
    <w:rsid w:val="006B23B6"/>
    <w:rsid w:val="006B3343"/>
    <w:rsid w:val="006B3926"/>
    <w:rsid w:val="006B3A44"/>
    <w:rsid w:val="006B48B2"/>
    <w:rsid w:val="006B54F5"/>
    <w:rsid w:val="006B747A"/>
    <w:rsid w:val="006B77B2"/>
    <w:rsid w:val="006C52B6"/>
    <w:rsid w:val="006C55FF"/>
    <w:rsid w:val="006C66C8"/>
    <w:rsid w:val="006C761D"/>
    <w:rsid w:val="006D032F"/>
    <w:rsid w:val="006D1150"/>
    <w:rsid w:val="006D3FA6"/>
    <w:rsid w:val="006D425E"/>
    <w:rsid w:val="006D4AE6"/>
    <w:rsid w:val="006D53EB"/>
    <w:rsid w:val="006D76AA"/>
    <w:rsid w:val="006D7A70"/>
    <w:rsid w:val="006E35A7"/>
    <w:rsid w:val="006E3BD3"/>
    <w:rsid w:val="006F04C5"/>
    <w:rsid w:val="006F1EE1"/>
    <w:rsid w:val="006F2DEE"/>
    <w:rsid w:val="006F40CF"/>
    <w:rsid w:val="006F6249"/>
    <w:rsid w:val="006F7E61"/>
    <w:rsid w:val="00700F24"/>
    <w:rsid w:val="0070250F"/>
    <w:rsid w:val="0070252C"/>
    <w:rsid w:val="00704D8F"/>
    <w:rsid w:val="0070752E"/>
    <w:rsid w:val="00714180"/>
    <w:rsid w:val="0072107F"/>
    <w:rsid w:val="00731187"/>
    <w:rsid w:val="00737909"/>
    <w:rsid w:val="007404E8"/>
    <w:rsid w:val="00750CFF"/>
    <w:rsid w:val="00751C59"/>
    <w:rsid w:val="00752B28"/>
    <w:rsid w:val="007541BF"/>
    <w:rsid w:val="00756153"/>
    <w:rsid w:val="00762C22"/>
    <w:rsid w:val="00771E71"/>
    <w:rsid w:val="00775E1C"/>
    <w:rsid w:val="0077753F"/>
    <w:rsid w:val="00781622"/>
    <w:rsid w:val="00784A97"/>
    <w:rsid w:val="007976D7"/>
    <w:rsid w:val="007A0A05"/>
    <w:rsid w:val="007A2563"/>
    <w:rsid w:val="007A527D"/>
    <w:rsid w:val="007A664F"/>
    <w:rsid w:val="007A6824"/>
    <w:rsid w:val="007A6C59"/>
    <w:rsid w:val="007A7299"/>
    <w:rsid w:val="007B128A"/>
    <w:rsid w:val="007B6F80"/>
    <w:rsid w:val="007B77CC"/>
    <w:rsid w:val="007C1BDD"/>
    <w:rsid w:val="007C4210"/>
    <w:rsid w:val="007C61FC"/>
    <w:rsid w:val="007E1441"/>
    <w:rsid w:val="007E5142"/>
    <w:rsid w:val="007E74A3"/>
    <w:rsid w:val="007F0299"/>
    <w:rsid w:val="007F2392"/>
    <w:rsid w:val="007F5964"/>
    <w:rsid w:val="0080086A"/>
    <w:rsid w:val="0080594D"/>
    <w:rsid w:val="00811144"/>
    <w:rsid w:val="00815111"/>
    <w:rsid w:val="008156E1"/>
    <w:rsid w:val="00823410"/>
    <w:rsid w:val="008246DE"/>
    <w:rsid w:val="008313D7"/>
    <w:rsid w:val="00831606"/>
    <w:rsid w:val="0083283A"/>
    <w:rsid w:val="008334C7"/>
    <w:rsid w:val="00833717"/>
    <w:rsid w:val="00835D67"/>
    <w:rsid w:val="008422EC"/>
    <w:rsid w:val="00843270"/>
    <w:rsid w:val="00851F00"/>
    <w:rsid w:val="00852CFA"/>
    <w:rsid w:val="008530CF"/>
    <w:rsid w:val="00856C9F"/>
    <w:rsid w:val="00864660"/>
    <w:rsid w:val="00864B61"/>
    <w:rsid w:val="008706E5"/>
    <w:rsid w:val="00872918"/>
    <w:rsid w:val="00874D29"/>
    <w:rsid w:val="008777D8"/>
    <w:rsid w:val="00883C01"/>
    <w:rsid w:val="0088511B"/>
    <w:rsid w:val="00885C50"/>
    <w:rsid w:val="0088780C"/>
    <w:rsid w:val="0089084E"/>
    <w:rsid w:val="00891EA2"/>
    <w:rsid w:val="008A3582"/>
    <w:rsid w:val="008A4084"/>
    <w:rsid w:val="008A482B"/>
    <w:rsid w:val="008B0777"/>
    <w:rsid w:val="008B180C"/>
    <w:rsid w:val="008B2A88"/>
    <w:rsid w:val="008B4D59"/>
    <w:rsid w:val="008C2FBA"/>
    <w:rsid w:val="008D120C"/>
    <w:rsid w:val="008D2AA9"/>
    <w:rsid w:val="008D7C5A"/>
    <w:rsid w:val="008E137D"/>
    <w:rsid w:val="008E3762"/>
    <w:rsid w:val="008E3A77"/>
    <w:rsid w:val="008E42EB"/>
    <w:rsid w:val="008E641D"/>
    <w:rsid w:val="008F0771"/>
    <w:rsid w:val="008F22B0"/>
    <w:rsid w:val="008F31AE"/>
    <w:rsid w:val="008F49B8"/>
    <w:rsid w:val="008F7366"/>
    <w:rsid w:val="00900441"/>
    <w:rsid w:val="00901258"/>
    <w:rsid w:val="00901D88"/>
    <w:rsid w:val="00904BBF"/>
    <w:rsid w:val="0090541F"/>
    <w:rsid w:val="009064B6"/>
    <w:rsid w:val="00906936"/>
    <w:rsid w:val="00906B25"/>
    <w:rsid w:val="00906CD5"/>
    <w:rsid w:val="00906DFE"/>
    <w:rsid w:val="00906E18"/>
    <w:rsid w:val="00917FDF"/>
    <w:rsid w:val="00922115"/>
    <w:rsid w:val="009253FB"/>
    <w:rsid w:val="00930798"/>
    <w:rsid w:val="00932698"/>
    <w:rsid w:val="00945062"/>
    <w:rsid w:val="00951F6B"/>
    <w:rsid w:val="009564DD"/>
    <w:rsid w:val="009764B8"/>
    <w:rsid w:val="009779AF"/>
    <w:rsid w:val="00977E29"/>
    <w:rsid w:val="009870E2"/>
    <w:rsid w:val="00992DBA"/>
    <w:rsid w:val="0099309B"/>
    <w:rsid w:val="00997391"/>
    <w:rsid w:val="009A0E35"/>
    <w:rsid w:val="009A2281"/>
    <w:rsid w:val="009A22A3"/>
    <w:rsid w:val="009A64F7"/>
    <w:rsid w:val="009A6DDF"/>
    <w:rsid w:val="009B20BF"/>
    <w:rsid w:val="009B47FF"/>
    <w:rsid w:val="009B691D"/>
    <w:rsid w:val="009C236C"/>
    <w:rsid w:val="009C27C5"/>
    <w:rsid w:val="009D08E3"/>
    <w:rsid w:val="009D5966"/>
    <w:rsid w:val="009D5989"/>
    <w:rsid w:val="009D68AC"/>
    <w:rsid w:val="009D73AE"/>
    <w:rsid w:val="009E08FE"/>
    <w:rsid w:val="009E255B"/>
    <w:rsid w:val="009E6694"/>
    <w:rsid w:val="009E7B84"/>
    <w:rsid w:val="009F7E62"/>
    <w:rsid w:val="009F7F54"/>
    <w:rsid w:val="00A00F40"/>
    <w:rsid w:val="00A02854"/>
    <w:rsid w:val="00A02AC9"/>
    <w:rsid w:val="00A03AD5"/>
    <w:rsid w:val="00A06BA3"/>
    <w:rsid w:val="00A10252"/>
    <w:rsid w:val="00A134A3"/>
    <w:rsid w:val="00A17115"/>
    <w:rsid w:val="00A20FEF"/>
    <w:rsid w:val="00A2476B"/>
    <w:rsid w:val="00A27933"/>
    <w:rsid w:val="00A328A7"/>
    <w:rsid w:val="00A3426F"/>
    <w:rsid w:val="00A430A9"/>
    <w:rsid w:val="00A521A4"/>
    <w:rsid w:val="00A543F0"/>
    <w:rsid w:val="00A54B45"/>
    <w:rsid w:val="00A55EDC"/>
    <w:rsid w:val="00A63E0C"/>
    <w:rsid w:val="00A64F4F"/>
    <w:rsid w:val="00A66A2C"/>
    <w:rsid w:val="00A66F95"/>
    <w:rsid w:val="00A73771"/>
    <w:rsid w:val="00A7554B"/>
    <w:rsid w:val="00A7710E"/>
    <w:rsid w:val="00A81A3E"/>
    <w:rsid w:val="00A836BF"/>
    <w:rsid w:val="00A83CF2"/>
    <w:rsid w:val="00A84BED"/>
    <w:rsid w:val="00A84F24"/>
    <w:rsid w:val="00A8606A"/>
    <w:rsid w:val="00A92560"/>
    <w:rsid w:val="00A94829"/>
    <w:rsid w:val="00A9605B"/>
    <w:rsid w:val="00A96848"/>
    <w:rsid w:val="00AA0B2C"/>
    <w:rsid w:val="00AA1509"/>
    <w:rsid w:val="00AA43BC"/>
    <w:rsid w:val="00AA46FC"/>
    <w:rsid w:val="00AA57C4"/>
    <w:rsid w:val="00AB46BC"/>
    <w:rsid w:val="00AB74B3"/>
    <w:rsid w:val="00AC21DA"/>
    <w:rsid w:val="00AD1F9C"/>
    <w:rsid w:val="00AD2FAD"/>
    <w:rsid w:val="00AD3391"/>
    <w:rsid w:val="00AE03D2"/>
    <w:rsid w:val="00B0091A"/>
    <w:rsid w:val="00B01790"/>
    <w:rsid w:val="00B02B33"/>
    <w:rsid w:val="00B03FB2"/>
    <w:rsid w:val="00B04F0A"/>
    <w:rsid w:val="00B05842"/>
    <w:rsid w:val="00B16F3B"/>
    <w:rsid w:val="00B178DA"/>
    <w:rsid w:val="00B20451"/>
    <w:rsid w:val="00B211F0"/>
    <w:rsid w:val="00B223FA"/>
    <w:rsid w:val="00B245C1"/>
    <w:rsid w:val="00B30C25"/>
    <w:rsid w:val="00B33444"/>
    <w:rsid w:val="00B33A79"/>
    <w:rsid w:val="00B355F6"/>
    <w:rsid w:val="00B41AED"/>
    <w:rsid w:val="00B472EC"/>
    <w:rsid w:val="00B47700"/>
    <w:rsid w:val="00B6161A"/>
    <w:rsid w:val="00B61DD2"/>
    <w:rsid w:val="00B634F7"/>
    <w:rsid w:val="00B71A45"/>
    <w:rsid w:val="00B7380F"/>
    <w:rsid w:val="00B73964"/>
    <w:rsid w:val="00B75CD2"/>
    <w:rsid w:val="00B81A54"/>
    <w:rsid w:val="00B83F6D"/>
    <w:rsid w:val="00B87E19"/>
    <w:rsid w:val="00B931AD"/>
    <w:rsid w:val="00B96D31"/>
    <w:rsid w:val="00BA0D3E"/>
    <w:rsid w:val="00BA2E47"/>
    <w:rsid w:val="00BA44FA"/>
    <w:rsid w:val="00BA4FF2"/>
    <w:rsid w:val="00BB751F"/>
    <w:rsid w:val="00BC1119"/>
    <w:rsid w:val="00BC2CAD"/>
    <w:rsid w:val="00BC2F14"/>
    <w:rsid w:val="00BD0A32"/>
    <w:rsid w:val="00BD23F0"/>
    <w:rsid w:val="00BD5A7B"/>
    <w:rsid w:val="00BD6187"/>
    <w:rsid w:val="00BE2BBF"/>
    <w:rsid w:val="00BE307A"/>
    <w:rsid w:val="00BE4B96"/>
    <w:rsid w:val="00BE4F3C"/>
    <w:rsid w:val="00BE5787"/>
    <w:rsid w:val="00BE5FE1"/>
    <w:rsid w:val="00BE757A"/>
    <w:rsid w:val="00BF409F"/>
    <w:rsid w:val="00C01D4E"/>
    <w:rsid w:val="00C032CA"/>
    <w:rsid w:val="00C05095"/>
    <w:rsid w:val="00C10E13"/>
    <w:rsid w:val="00C114C6"/>
    <w:rsid w:val="00C13E3C"/>
    <w:rsid w:val="00C17A28"/>
    <w:rsid w:val="00C23269"/>
    <w:rsid w:val="00C236C7"/>
    <w:rsid w:val="00C24AD4"/>
    <w:rsid w:val="00C32C99"/>
    <w:rsid w:val="00C41D89"/>
    <w:rsid w:val="00C434A1"/>
    <w:rsid w:val="00C46E0F"/>
    <w:rsid w:val="00C510E4"/>
    <w:rsid w:val="00C5163A"/>
    <w:rsid w:val="00C529BE"/>
    <w:rsid w:val="00C55360"/>
    <w:rsid w:val="00C60775"/>
    <w:rsid w:val="00C62247"/>
    <w:rsid w:val="00C634EF"/>
    <w:rsid w:val="00C72923"/>
    <w:rsid w:val="00C7390B"/>
    <w:rsid w:val="00C765F2"/>
    <w:rsid w:val="00C805AB"/>
    <w:rsid w:val="00C82B27"/>
    <w:rsid w:val="00C849ED"/>
    <w:rsid w:val="00C87496"/>
    <w:rsid w:val="00C90954"/>
    <w:rsid w:val="00C91645"/>
    <w:rsid w:val="00C91F99"/>
    <w:rsid w:val="00C93843"/>
    <w:rsid w:val="00C9410F"/>
    <w:rsid w:val="00C97357"/>
    <w:rsid w:val="00CA44F0"/>
    <w:rsid w:val="00CA5DA5"/>
    <w:rsid w:val="00CA7E82"/>
    <w:rsid w:val="00CB06BD"/>
    <w:rsid w:val="00CC3745"/>
    <w:rsid w:val="00CD25BB"/>
    <w:rsid w:val="00CD2C3E"/>
    <w:rsid w:val="00CD356E"/>
    <w:rsid w:val="00CD7D30"/>
    <w:rsid w:val="00CE0203"/>
    <w:rsid w:val="00CE3807"/>
    <w:rsid w:val="00CE4AEF"/>
    <w:rsid w:val="00CF13FB"/>
    <w:rsid w:val="00CF56A9"/>
    <w:rsid w:val="00CF7055"/>
    <w:rsid w:val="00D03AB1"/>
    <w:rsid w:val="00D07EF9"/>
    <w:rsid w:val="00D124AE"/>
    <w:rsid w:val="00D1383C"/>
    <w:rsid w:val="00D140A5"/>
    <w:rsid w:val="00D14F27"/>
    <w:rsid w:val="00D23F4D"/>
    <w:rsid w:val="00D34500"/>
    <w:rsid w:val="00D35C4C"/>
    <w:rsid w:val="00D362B8"/>
    <w:rsid w:val="00D44781"/>
    <w:rsid w:val="00D45115"/>
    <w:rsid w:val="00D45486"/>
    <w:rsid w:val="00D46A44"/>
    <w:rsid w:val="00D47EE2"/>
    <w:rsid w:val="00D52E19"/>
    <w:rsid w:val="00D54542"/>
    <w:rsid w:val="00D5562E"/>
    <w:rsid w:val="00D564E2"/>
    <w:rsid w:val="00D56BC0"/>
    <w:rsid w:val="00D63301"/>
    <w:rsid w:val="00D64333"/>
    <w:rsid w:val="00D74F14"/>
    <w:rsid w:val="00D7759B"/>
    <w:rsid w:val="00D80E1E"/>
    <w:rsid w:val="00D82DE4"/>
    <w:rsid w:val="00D95BD9"/>
    <w:rsid w:val="00D96B6A"/>
    <w:rsid w:val="00DA0161"/>
    <w:rsid w:val="00DA1470"/>
    <w:rsid w:val="00DA2169"/>
    <w:rsid w:val="00DB1FB8"/>
    <w:rsid w:val="00DC5882"/>
    <w:rsid w:val="00DC786C"/>
    <w:rsid w:val="00DD1023"/>
    <w:rsid w:val="00DD609B"/>
    <w:rsid w:val="00DD654E"/>
    <w:rsid w:val="00DF0063"/>
    <w:rsid w:val="00DF2ADC"/>
    <w:rsid w:val="00DF55D0"/>
    <w:rsid w:val="00E03EF7"/>
    <w:rsid w:val="00E05420"/>
    <w:rsid w:val="00E06D1C"/>
    <w:rsid w:val="00E12E81"/>
    <w:rsid w:val="00E159AA"/>
    <w:rsid w:val="00E17CEB"/>
    <w:rsid w:val="00E22EEB"/>
    <w:rsid w:val="00E24C62"/>
    <w:rsid w:val="00E271BD"/>
    <w:rsid w:val="00E32EBF"/>
    <w:rsid w:val="00E40CCF"/>
    <w:rsid w:val="00E44B16"/>
    <w:rsid w:val="00E502E8"/>
    <w:rsid w:val="00E52612"/>
    <w:rsid w:val="00E63830"/>
    <w:rsid w:val="00E66BCE"/>
    <w:rsid w:val="00E67C7E"/>
    <w:rsid w:val="00E71BE1"/>
    <w:rsid w:val="00E77867"/>
    <w:rsid w:val="00E814B1"/>
    <w:rsid w:val="00E82070"/>
    <w:rsid w:val="00E82904"/>
    <w:rsid w:val="00E83095"/>
    <w:rsid w:val="00E839EF"/>
    <w:rsid w:val="00E87402"/>
    <w:rsid w:val="00E92E1F"/>
    <w:rsid w:val="00EA4F3C"/>
    <w:rsid w:val="00EA692D"/>
    <w:rsid w:val="00EB28C7"/>
    <w:rsid w:val="00EB3322"/>
    <w:rsid w:val="00EB724D"/>
    <w:rsid w:val="00EC02F4"/>
    <w:rsid w:val="00EC505B"/>
    <w:rsid w:val="00EC601F"/>
    <w:rsid w:val="00EC6265"/>
    <w:rsid w:val="00ED7722"/>
    <w:rsid w:val="00EE1476"/>
    <w:rsid w:val="00EE496F"/>
    <w:rsid w:val="00EE5596"/>
    <w:rsid w:val="00EF1B39"/>
    <w:rsid w:val="00EF4EE0"/>
    <w:rsid w:val="00EF7F61"/>
    <w:rsid w:val="00F00CC4"/>
    <w:rsid w:val="00F06176"/>
    <w:rsid w:val="00F13606"/>
    <w:rsid w:val="00F136B0"/>
    <w:rsid w:val="00F15C5B"/>
    <w:rsid w:val="00F20139"/>
    <w:rsid w:val="00F2069D"/>
    <w:rsid w:val="00F22030"/>
    <w:rsid w:val="00F23FC6"/>
    <w:rsid w:val="00F240D5"/>
    <w:rsid w:val="00F250CF"/>
    <w:rsid w:val="00F3159F"/>
    <w:rsid w:val="00F45C05"/>
    <w:rsid w:val="00F46ABD"/>
    <w:rsid w:val="00F47CA4"/>
    <w:rsid w:val="00F6063A"/>
    <w:rsid w:val="00F618FC"/>
    <w:rsid w:val="00F630EE"/>
    <w:rsid w:val="00F6418B"/>
    <w:rsid w:val="00F64C10"/>
    <w:rsid w:val="00F65CB4"/>
    <w:rsid w:val="00F674A6"/>
    <w:rsid w:val="00F7054E"/>
    <w:rsid w:val="00F7210E"/>
    <w:rsid w:val="00F733FC"/>
    <w:rsid w:val="00F77FB7"/>
    <w:rsid w:val="00F830A4"/>
    <w:rsid w:val="00F84C47"/>
    <w:rsid w:val="00F8641E"/>
    <w:rsid w:val="00F86ADE"/>
    <w:rsid w:val="00F9317B"/>
    <w:rsid w:val="00F95853"/>
    <w:rsid w:val="00FA2352"/>
    <w:rsid w:val="00FB0DEF"/>
    <w:rsid w:val="00FB2526"/>
    <w:rsid w:val="00FB2856"/>
    <w:rsid w:val="00FB30B7"/>
    <w:rsid w:val="00FB56AD"/>
    <w:rsid w:val="00FC057E"/>
    <w:rsid w:val="00FC1762"/>
    <w:rsid w:val="00FC1D01"/>
    <w:rsid w:val="00FC4486"/>
    <w:rsid w:val="00FC538C"/>
    <w:rsid w:val="00FC6288"/>
    <w:rsid w:val="00FD0A0B"/>
    <w:rsid w:val="00FD2507"/>
    <w:rsid w:val="00FD4060"/>
    <w:rsid w:val="00FD4A11"/>
    <w:rsid w:val="00FD79F0"/>
    <w:rsid w:val="00FD7C45"/>
    <w:rsid w:val="00FE42FF"/>
    <w:rsid w:val="00FE6C9D"/>
    <w:rsid w:val="00FF15FE"/>
    <w:rsid w:val="00FF3F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627BCFE7"/>
  <w15:docId w15:val="{80600E68-27B1-42FC-9342-605BC2C2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96E"/>
  </w:style>
  <w:style w:type="paragraph" w:styleId="Heading1">
    <w:name w:val="heading 1"/>
    <w:aliases w:val="h1"/>
    <w:basedOn w:val="Normal"/>
    <w:next w:val="00BodyText1"/>
    <w:link w:val="Heading1Char"/>
    <w:qFormat/>
    <w:rsid w:val="00B245C1"/>
    <w:pPr>
      <w:keepLines/>
      <w:numPr>
        <w:numId w:val="16"/>
      </w:numPr>
      <w:spacing w:line="480" w:lineRule="auto"/>
      <w:jc w:val="center"/>
      <w:outlineLvl w:val="0"/>
    </w:pPr>
    <w:rPr>
      <w:rFonts w:eastAsiaTheme="majorEastAsia" w:cs="Times New Roman"/>
      <w:bCs/>
      <w:caps/>
      <w:color w:val="000000"/>
      <w:szCs w:val="28"/>
    </w:rPr>
  </w:style>
  <w:style w:type="paragraph" w:styleId="Heading2">
    <w:name w:val="heading 2"/>
    <w:aliases w:val="h2"/>
    <w:basedOn w:val="Normal"/>
    <w:next w:val="00BodyText1"/>
    <w:link w:val="Heading2Char"/>
    <w:unhideWhenUsed/>
    <w:qFormat/>
    <w:rsid w:val="00B245C1"/>
    <w:pPr>
      <w:numPr>
        <w:ilvl w:val="1"/>
        <w:numId w:val="16"/>
      </w:numPr>
      <w:spacing w:after="240"/>
      <w:ind w:firstLine="720"/>
      <w:jc w:val="both"/>
      <w:outlineLvl w:val="1"/>
    </w:pPr>
    <w:rPr>
      <w:rFonts w:eastAsiaTheme="majorEastAsia" w:cs="Times New Roman"/>
      <w:bCs/>
      <w:color w:val="000000"/>
      <w:szCs w:val="26"/>
      <w:u w:val="single"/>
    </w:rPr>
  </w:style>
  <w:style w:type="paragraph" w:styleId="Heading3">
    <w:name w:val="heading 3"/>
    <w:aliases w:val="h3"/>
    <w:basedOn w:val="Normal"/>
    <w:next w:val="00BodyText1"/>
    <w:link w:val="Heading3Char"/>
    <w:unhideWhenUsed/>
    <w:qFormat/>
    <w:rsid w:val="00775E1C"/>
    <w:pPr>
      <w:numPr>
        <w:ilvl w:val="2"/>
        <w:numId w:val="16"/>
      </w:numPr>
      <w:spacing w:after="240"/>
      <w:jc w:val="both"/>
      <w:outlineLvl w:val="2"/>
    </w:pPr>
    <w:rPr>
      <w:rFonts w:eastAsiaTheme="majorEastAsia" w:cs="Times New Roman"/>
      <w:bCs/>
      <w:color w:val="000000"/>
    </w:rPr>
  </w:style>
  <w:style w:type="paragraph" w:styleId="Heading4">
    <w:name w:val="heading 4"/>
    <w:aliases w:val="h4"/>
    <w:basedOn w:val="Normal"/>
    <w:next w:val="00BodyText1"/>
    <w:link w:val="Heading4Char"/>
    <w:unhideWhenUsed/>
    <w:qFormat/>
    <w:rsid w:val="00775E1C"/>
    <w:pPr>
      <w:numPr>
        <w:ilvl w:val="3"/>
        <w:numId w:val="16"/>
      </w:numPr>
      <w:spacing w:after="240"/>
      <w:jc w:val="both"/>
      <w:outlineLvl w:val="3"/>
    </w:pPr>
    <w:rPr>
      <w:rFonts w:eastAsiaTheme="majorEastAsia" w:cs="Times New Roman"/>
      <w:bCs/>
      <w:iCs/>
      <w:color w:val="000000"/>
    </w:rPr>
  </w:style>
  <w:style w:type="paragraph" w:styleId="Heading5">
    <w:name w:val="heading 5"/>
    <w:basedOn w:val="Normal"/>
    <w:next w:val="00BodyText1"/>
    <w:link w:val="Heading5Char"/>
    <w:unhideWhenUsed/>
    <w:qFormat/>
    <w:rsid w:val="00B245C1"/>
    <w:pPr>
      <w:numPr>
        <w:ilvl w:val="4"/>
        <w:numId w:val="16"/>
      </w:numPr>
      <w:spacing w:after="240"/>
      <w:outlineLvl w:val="4"/>
    </w:pPr>
    <w:rPr>
      <w:rFonts w:eastAsiaTheme="majorEastAsia" w:cs="Times New Roman"/>
      <w:color w:val="000000"/>
    </w:rPr>
  </w:style>
  <w:style w:type="paragraph" w:styleId="Heading6">
    <w:name w:val="heading 6"/>
    <w:basedOn w:val="Normal"/>
    <w:next w:val="00BodyText1"/>
    <w:link w:val="Heading6Char"/>
    <w:unhideWhenUsed/>
    <w:qFormat/>
    <w:rsid w:val="00B245C1"/>
    <w:pPr>
      <w:numPr>
        <w:ilvl w:val="5"/>
        <w:numId w:val="16"/>
      </w:numPr>
      <w:spacing w:after="240"/>
      <w:outlineLvl w:val="5"/>
    </w:pPr>
    <w:rPr>
      <w:rFonts w:eastAsiaTheme="majorEastAsia" w:cs="Times New Roman"/>
      <w:iCs/>
      <w:color w:val="000000"/>
    </w:rPr>
  </w:style>
  <w:style w:type="paragraph" w:styleId="Heading7">
    <w:name w:val="heading 7"/>
    <w:aliases w:val="h7"/>
    <w:basedOn w:val="Normal"/>
    <w:next w:val="00BodyText1"/>
    <w:link w:val="Heading7Char"/>
    <w:unhideWhenUsed/>
    <w:qFormat/>
    <w:rsid w:val="00B245C1"/>
    <w:pPr>
      <w:numPr>
        <w:ilvl w:val="6"/>
        <w:numId w:val="16"/>
      </w:numPr>
      <w:spacing w:after="240"/>
      <w:outlineLvl w:val="6"/>
    </w:pPr>
    <w:rPr>
      <w:rFonts w:eastAsiaTheme="majorEastAsia" w:cs="Times New Roman"/>
      <w:iCs/>
      <w:color w:val="000000"/>
    </w:rPr>
  </w:style>
  <w:style w:type="paragraph" w:styleId="Heading8">
    <w:name w:val="heading 8"/>
    <w:aliases w:val="h8"/>
    <w:basedOn w:val="Normal"/>
    <w:next w:val="00BodyText1"/>
    <w:link w:val="Heading8Char"/>
    <w:unhideWhenUsed/>
    <w:qFormat/>
    <w:rsid w:val="00B245C1"/>
    <w:pPr>
      <w:numPr>
        <w:ilvl w:val="7"/>
        <w:numId w:val="16"/>
      </w:numPr>
      <w:spacing w:after="240"/>
      <w:outlineLvl w:val="7"/>
    </w:pPr>
    <w:rPr>
      <w:rFonts w:eastAsiaTheme="majorEastAsia" w:cs="Times New Roman"/>
      <w:color w:val="000000"/>
      <w:szCs w:val="20"/>
    </w:rPr>
  </w:style>
  <w:style w:type="paragraph" w:styleId="Heading9">
    <w:name w:val="heading 9"/>
    <w:aliases w:val="h9"/>
    <w:basedOn w:val="Normal"/>
    <w:next w:val="00BodyText1"/>
    <w:link w:val="Heading9Char"/>
    <w:unhideWhenUsed/>
    <w:qFormat/>
    <w:rsid w:val="00B245C1"/>
    <w:pPr>
      <w:numPr>
        <w:ilvl w:val="8"/>
        <w:numId w:val="16"/>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B245C1"/>
    <w:rPr>
      <w:rFonts w:eastAsiaTheme="majorEastAsia" w:cs="Times New Roman"/>
      <w:bCs/>
      <w:caps/>
      <w:color w:val="000000"/>
      <w:szCs w:val="28"/>
    </w:rPr>
  </w:style>
  <w:style w:type="character" w:customStyle="1" w:styleId="Heading2Char">
    <w:name w:val="Heading 2 Char"/>
    <w:aliases w:val="h2 Char"/>
    <w:basedOn w:val="DefaultParagraphFont"/>
    <w:link w:val="Heading2"/>
    <w:rsid w:val="00B245C1"/>
    <w:rPr>
      <w:rFonts w:eastAsiaTheme="majorEastAsia" w:cs="Times New Roman"/>
      <w:bCs/>
      <w:color w:val="000000"/>
      <w:szCs w:val="26"/>
      <w:u w:val="single"/>
    </w:rPr>
  </w:style>
  <w:style w:type="character" w:customStyle="1" w:styleId="Heading3Char">
    <w:name w:val="Heading 3 Char"/>
    <w:aliases w:val="h3 Char"/>
    <w:basedOn w:val="DefaultParagraphFont"/>
    <w:link w:val="Heading3"/>
    <w:rsid w:val="00775E1C"/>
    <w:rPr>
      <w:rFonts w:eastAsiaTheme="majorEastAsia" w:cs="Times New Roman"/>
      <w:bCs/>
      <w:color w:val="000000"/>
    </w:rPr>
  </w:style>
  <w:style w:type="character" w:customStyle="1" w:styleId="Heading4Char">
    <w:name w:val="Heading 4 Char"/>
    <w:aliases w:val="h4 Char"/>
    <w:basedOn w:val="DefaultParagraphFont"/>
    <w:link w:val="Heading4"/>
    <w:rsid w:val="00775E1C"/>
    <w:rPr>
      <w:rFonts w:eastAsiaTheme="majorEastAsia" w:cs="Times New Roman"/>
      <w:bCs/>
      <w:iCs/>
      <w:color w:val="000000"/>
    </w:rPr>
  </w:style>
  <w:style w:type="character" w:customStyle="1" w:styleId="Heading5Char">
    <w:name w:val="Heading 5 Char"/>
    <w:basedOn w:val="DefaultParagraphFont"/>
    <w:link w:val="Heading5"/>
    <w:uiPriority w:val="9"/>
    <w:rsid w:val="00B245C1"/>
    <w:rPr>
      <w:rFonts w:eastAsiaTheme="majorEastAsia" w:cs="Times New Roman"/>
      <w:color w:val="000000"/>
    </w:rPr>
  </w:style>
  <w:style w:type="character" w:customStyle="1" w:styleId="Heading6Char">
    <w:name w:val="Heading 6 Char"/>
    <w:basedOn w:val="DefaultParagraphFont"/>
    <w:link w:val="Heading6"/>
    <w:rsid w:val="00B245C1"/>
    <w:rPr>
      <w:rFonts w:eastAsiaTheme="majorEastAsia" w:cs="Times New Roman"/>
      <w:iCs/>
      <w:color w:val="000000"/>
    </w:rPr>
  </w:style>
  <w:style w:type="character" w:customStyle="1" w:styleId="Heading7Char">
    <w:name w:val="Heading 7 Char"/>
    <w:aliases w:val="h7 Char"/>
    <w:basedOn w:val="DefaultParagraphFont"/>
    <w:link w:val="Heading7"/>
    <w:rsid w:val="00B245C1"/>
    <w:rPr>
      <w:rFonts w:eastAsiaTheme="majorEastAsia" w:cs="Times New Roman"/>
      <w:iCs/>
      <w:color w:val="000000"/>
    </w:rPr>
  </w:style>
  <w:style w:type="character" w:customStyle="1" w:styleId="Heading8Char">
    <w:name w:val="Heading 8 Char"/>
    <w:aliases w:val="h8 Char"/>
    <w:basedOn w:val="DefaultParagraphFont"/>
    <w:link w:val="Heading8"/>
    <w:rsid w:val="00B245C1"/>
    <w:rPr>
      <w:rFonts w:eastAsiaTheme="majorEastAsia" w:cs="Times New Roman"/>
      <w:color w:val="000000"/>
      <w:szCs w:val="20"/>
    </w:rPr>
  </w:style>
  <w:style w:type="character" w:customStyle="1" w:styleId="Heading9Char">
    <w:name w:val="Heading 9 Char"/>
    <w:aliases w:val="h9 Char"/>
    <w:basedOn w:val="DefaultParagraphFont"/>
    <w:link w:val="Heading9"/>
    <w:rsid w:val="00B245C1"/>
    <w:rPr>
      <w:rFonts w:eastAsiaTheme="majorEastAsia" w:cs="Times New Roman"/>
      <w:iCs/>
      <w:color w:val="000000"/>
      <w:szCs w:val="20"/>
    </w:rPr>
  </w:style>
  <w:style w:type="paragraph" w:styleId="BodyText">
    <w:name w:val="Body Text"/>
    <w:basedOn w:val="Normal"/>
    <w:link w:val="BodyTextChar"/>
    <w:uiPriority w:val="99"/>
    <w:semiHidden/>
    <w:unhideWhenUsed/>
    <w:rsid w:val="00F136B0"/>
    <w:pPr>
      <w:spacing w:after="120"/>
    </w:pPr>
  </w:style>
  <w:style w:type="character" w:customStyle="1" w:styleId="BodyTextChar">
    <w:name w:val="Body Text Char"/>
    <w:basedOn w:val="DefaultParagraphFont"/>
    <w:link w:val="BodyText"/>
    <w:uiPriority w:val="99"/>
    <w:semiHidden/>
    <w:rsid w:val="00F136B0"/>
  </w:style>
  <w:style w:type="paragraph" w:customStyle="1" w:styleId="00BlockInd5">
    <w:name w:val="00 Block Ind .5"/>
    <w:basedOn w:val="Normal"/>
    <w:qFormat/>
    <w:rsid w:val="00F136B0"/>
    <w:pPr>
      <w:spacing w:after="240"/>
      <w:ind w:left="720" w:right="720"/>
    </w:pPr>
  </w:style>
  <w:style w:type="paragraph" w:styleId="Header">
    <w:name w:val="header"/>
    <w:aliases w:val="h"/>
    <w:basedOn w:val="Normal"/>
    <w:link w:val="HeaderChar"/>
    <w:uiPriority w:val="99"/>
    <w:unhideWhenUsed/>
    <w:rsid w:val="007A2563"/>
    <w:pPr>
      <w:tabs>
        <w:tab w:val="center" w:pos="4680"/>
        <w:tab w:val="right" w:pos="9360"/>
      </w:tabs>
    </w:pPr>
  </w:style>
  <w:style w:type="paragraph" w:customStyle="1" w:styleId="00BlockInd1">
    <w:name w:val="00 Block Ind 1"/>
    <w:basedOn w:val="Normal"/>
    <w:qFormat/>
    <w:rsid w:val="00F136B0"/>
    <w:pPr>
      <w:spacing w:after="240"/>
      <w:ind w:left="1440" w:right="1440"/>
    </w:pPr>
  </w:style>
  <w:style w:type="paragraph" w:customStyle="1" w:styleId="00BodyText5">
    <w:name w:val="00 Body Text .5"/>
    <w:basedOn w:val="Normal"/>
    <w:link w:val="00BodyText5Char"/>
    <w:qFormat/>
    <w:rsid w:val="0022295C"/>
    <w:pPr>
      <w:spacing w:after="240"/>
      <w:ind w:firstLine="720"/>
      <w:jc w:val="both"/>
    </w:pPr>
  </w:style>
  <w:style w:type="paragraph" w:customStyle="1" w:styleId="00BodyText1">
    <w:name w:val="00 Body Text 1"/>
    <w:basedOn w:val="Normal"/>
    <w:qFormat/>
    <w:rsid w:val="00F136B0"/>
    <w:pPr>
      <w:spacing w:after="240"/>
      <w:ind w:firstLine="1440"/>
    </w:pPr>
  </w:style>
  <w:style w:type="paragraph" w:customStyle="1" w:styleId="00BodyText15">
    <w:name w:val="00 Body Text 1.5"/>
    <w:basedOn w:val="Normal"/>
    <w:qFormat/>
    <w:rsid w:val="00F136B0"/>
    <w:pPr>
      <w:spacing w:line="360" w:lineRule="auto"/>
      <w:ind w:firstLine="1440"/>
    </w:pPr>
  </w:style>
  <w:style w:type="paragraph" w:customStyle="1" w:styleId="00BodyTextDbl">
    <w:name w:val="00 Body Text Dbl"/>
    <w:basedOn w:val="Normal"/>
    <w:qFormat/>
    <w:rsid w:val="00F136B0"/>
    <w:pPr>
      <w:spacing w:line="480" w:lineRule="auto"/>
      <w:ind w:firstLine="1440"/>
    </w:pPr>
  </w:style>
  <w:style w:type="paragraph" w:customStyle="1" w:styleId="00BulletList">
    <w:name w:val="00 Bullet List"/>
    <w:basedOn w:val="Normal"/>
    <w:qFormat/>
    <w:rsid w:val="00EC6265"/>
    <w:pPr>
      <w:numPr>
        <w:numId w:val="12"/>
      </w:numPr>
      <w:spacing w:after="240"/>
    </w:pPr>
  </w:style>
  <w:style w:type="paragraph" w:customStyle="1" w:styleId="00Center">
    <w:name w:val="00 Center"/>
    <w:basedOn w:val="Normal"/>
    <w:qFormat/>
    <w:rsid w:val="00F136B0"/>
    <w:pPr>
      <w:keepNext/>
      <w:spacing w:after="240"/>
      <w:jc w:val="center"/>
    </w:pPr>
  </w:style>
  <w:style w:type="paragraph" w:customStyle="1" w:styleId="00Double">
    <w:name w:val="00 Double"/>
    <w:basedOn w:val="Normal"/>
    <w:qFormat/>
    <w:rsid w:val="00F136B0"/>
    <w:pPr>
      <w:spacing w:line="480" w:lineRule="auto"/>
    </w:pPr>
  </w:style>
  <w:style w:type="paragraph" w:customStyle="1" w:styleId="00HangingIndent">
    <w:name w:val="00 Hanging Indent"/>
    <w:basedOn w:val="Normal"/>
    <w:qFormat/>
    <w:rsid w:val="00F136B0"/>
    <w:pPr>
      <w:spacing w:after="240"/>
      <w:ind w:left="2880" w:hanging="2160"/>
    </w:pPr>
  </w:style>
  <w:style w:type="paragraph" w:customStyle="1" w:styleId="00JBodyText1">
    <w:name w:val="00 J Body Text 1"/>
    <w:basedOn w:val="Normal"/>
    <w:qFormat/>
    <w:rsid w:val="00F136B0"/>
    <w:pPr>
      <w:spacing w:after="240"/>
      <w:ind w:firstLine="1440"/>
      <w:jc w:val="both"/>
    </w:pPr>
  </w:style>
  <w:style w:type="paragraph" w:customStyle="1" w:styleId="00LeftIndent5">
    <w:name w:val="00 Left Indent .5"/>
    <w:basedOn w:val="Normal"/>
    <w:qFormat/>
    <w:rsid w:val="00F136B0"/>
    <w:pPr>
      <w:spacing w:after="240"/>
      <w:ind w:left="720"/>
    </w:pPr>
  </w:style>
  <w:style w:type="paragraph" w:customStyle="1" w:styleId="00LeftIndent10">
    <w:name w:val="00 Left Indent 1.0"/>
    <w:basedOn w:val="Normal"/>
    <w:qFormat/>
    <w:rsid w:val="00F136B0"/>
    <w:pPr>
      <w:spacing w:after="240"/>
      <w:ind w:left="1440"/>
    </w:pPr>
  </w:style>
  <w:style w:type="paragraph" w:customStyle="1" w:styleId="00LeftIndent15">
    <w:name w:val="00 Left Indent 1.5"/>
    <w:basedOn w:val="Normal"/>
    <w:qFormat/>
    <w:rsid w:val="00F136B0"/>
    <w:pPr>
      <w:spacing w:after="240"/>
      <w:ind w:left="2160"/>
    </w:pPr>
  </w:style>
  <w:style w:type="paragraph" w:customStyle="1" w:styleId="00Normal">
    <w:name w:val="00 Normal"/>
    <w:basedOn w:val="Normal"/>
    <w:qFormat/>
    <w:rsid w:val="00F136B0"/>
    <w:pPr>
      <w:spacing w:after="240"/>
    </w:pPr>
  </w:style>
  <w:style w:type="paragraph" w:customStyle="1" w:styleId="00NumberList">
    <w:name w:val="00 Number List"/>
    <w:basedOn w:val="Normal"/>
    <w:qFormat/>
    <w:rsid w:val="00EC6265"/>
    <w:pPr>
      <w:numPr>
        <w:numId w:val="13"/>
      </w:numPr>
      <w:spacing w:after="240"/>
    </w:pPr>
  </w:style>
  <w:style w:type="paragraph" w:customStyle="1" w:styleId="00PlainText">
    <w:name w:val="00 Plain Text"/>
    <w:basedOn w:val="Normal"/>
    <w:qFormat/>
    <w:rsid w:val="00F136B0"/>
  </w:style>
  <w:style w:type="paragraph" w:customStyle="1" w:styleId="00TitleC">
    <w:name w:val="00 Title C"/>
    <w:basedOn w:val="Normal"/>
    <w:qFormat/>
    <w:rsid w:val="00F136B0"/>
    <w:pPr>
      <w:keepNext/>
      <w:spacing w:after="240"/>
      <w:jc w:val="center"/>
    </w:pPr>
    <w:rPr>
      <w:b/>
    </w:rPr>
  </w:style>
  <w:style w:type="paragraph" w:customStyle="1" w:styleId="00TitleL">
    <w:name w:val="00 Title L"/>
    <w:basedOn w:val="Normal"/>
    <w:qFormat/>
    <w:rsid w:val="00F136B0"/>
    <w:pPr>
      <w:keepNext/>
      <w:spacing w:after="240"/>
    </w:pPr>
    <w:rPr>
      <w:b/>
    </w:rPr>
  </w:style>
  <w:style w:type="character" w:customStyle="1" w:styleId="DocID">
    <w:name w:val="DocID"/>
    <w:basedOn w:val="DefaultParagraphFont"/>
    <w:rsid w:val="00F136B0"/>
    <w:rPr>
      <w:rFonts w:ascii="Arial" w:hAnsi="Arial"/>
      <w:sz w:val="16"/>
    </w:rPr>
  </w:style>
  <w:style w:type="paragraph" w:styleId="EndnoteText">
    <w:name w:val="endnote text"/>
    <w:basedOn w:val="Normal"/>
    <w:link w:val="EndnoteTextChar"/>
    <w:semiHidden/>
    <w:unhideWhenUsed/>
    <w:rsid w:val="00F136B0"/>
    <w:pPr>
      <w:spacing w:after="240"/>
      <w:ind w:left="720" w:hanging="720"/>
    </w:pPr>
    <w:rPr>
      <w:szCs w:val="20"/>
    </w:rPr>
  </w:style>
  <w:style w:type="character" w:customStyle="1" w:styleId="EndnoteTextChar">
    <w:name w:val="Endnote Text Char"/>
    <w:basedOn w:val="DefaultParagraphFont"/>
    <w:link w:val="EndnoteText"/>
    <w:uiPriority w:val="99"/>
    <w:semiHidden/>
    <w:rsid w:val="00F136B0"/>
    <w:rPr>
      <w:szCs w:val="20"/>
    </w:rPr>
  </w:style>
  <w:style w:type="paragraph" w:customStyle="1" w:styleId="EndnoteTextmore">
    <w:name w:val="Endnote Text more"/>
    <w:basedOn w:val="Normal"/>
    <w:link w:val="EndnoteTextmoreChar"/>
    <w:semiHidden/>
    <w:qFormat/>
    <w:rsid w:val="00F136B0"/>
    <w:pPr>
      <w:spacing w:after="240"/>
      <w:ind w:left="720"/>
    </w:pPr>
  </w:style>
  <w:style w:type="character" w:customStyle="1" w:styleId="EndnoteTextmoreChar">
    <w:name w:val="Endnote Text more Char"/>
    <w:basedOn w:val="DefaultParagraphFont"/>
    <w:link w:val="EndnoteTextmore"/>
    <w:semiHidden/>
    <w:rsid w:val="008B0777"/>
  </w:style>
  <w:style w:type="paragraph" w:styleId="Signature">
    <w:name w:val="Signature"/>
    <w:aliases w:val="00 Signature Right"/>
    <w:basedOn w:val="Normal"/>
    <w:link w:val="SignatureChar"/>
    <w:qFormat/>
    <w:rsid w:val="003B296E"/>
    <w:pPr>
      <w:tabs>
        <w:tab w:val="right" w:pos="9360"/>
      </w:tabs>
      <w:suppressAutoHyphens/>
      <w:ind w:left="4680"/>
      <w:jc w:val="both"/>
    </w:pPr>
    <w:rPr>
      <w:color w:val="000000" w:themeColor="text1"/>
      <w:kern w:val="2"/>
      <w14:ligatures w14:val="standardContextual"/>
    </w:rPr>
  </w:style>
  <w:style w:type="character" w:customStyle="1" w:styleId="SignatureChar">
    <w:name w:val="Signature Char"/>
    <w:aliases w:val="00 Signature Right Char"/>
    <w:basedOn w:val="DefaultParagraphFont"/>
    <w:link w:val="Signature"/>
    <w:rsid w:val="003B296E"/>
    <w:rPr>
      <w:color w:val="000000" w:themeColor="text1"/>
      <w:kern w:val="2"/>
      <w14:ligatures w14:val="standardContextual"/>
    </w:rPr>
  </w:style>
  <w:style w:type="paragraph" w:styleId="TOC1">
    <w:name w:val="toc 1"/>
    <w:basedOn w:val="Normal"/>
    <w:next w:val="Normal"/>
    <w:autoRedefine/>
    <w:uiPriority w:val="39"/>
    <w:unhideWhenUsed/>
    <w:rsid w:val="009D68AC"/>
    <w:pPr>
      <w:tabs>
        <w:tab w:val="right" w:leader="dot" w:pos="9346"/>
      </w:tabs>
      <w:spacing w:before="240" w:after="240"/>
      <w:jc w:val="center"/>
    </w:pPr>
    <w:rPr>
      <w:caps/>
    </w:rPr>
  </w:style>
  <w:style w:type="paragraph" w:styleId="TOC2">
    <w:name w:val="toc 2"/>
    <w:basedOn w:val="Normal"/>
    <w:next w:val="Normal"/>
    <w:autoRedefine/>
    <w:uiPriority w:val="39"/>
    <w:unhideWhenUsed/>
    <w:rsid w:val="00FD7C45"/>
    <w:pPr>
      <w:tabs>
        <w:tab w:val="left" w:pos="1440"/>
        <w:tab w:val="right" w:leader="dot" w:pos="9360"/>
      </w:tabs>
      <w:ind w:left="2160" w:hanging="2160"/>
    </w:pPr>
  </w:style>
  <w:style w:type="paragraph" w:styleId="TOC3">
    <w:name w:val="toc 3"/>
    <w:basedOn w:val="Normal"/>
    <w:next w:val="Normal"/>
    <w:autoRedefine/>
    <w:uiPriority w:val="39"/>
    <w:semiHidden/>
    <w:unhideWhenUsed/>
    <w:rsid w:val="00F136B0"/>
    <w:pPr>
      <w:tabs>
        <w:tab w:val="right" w:leader="dot" w:pos="9346"/>
      </w:tabs>
      <w:ind w:left="2160" w:right="720" w:hanging="720"/>
    </w:pPr>
  </w:style>
  <w:style w:type="paragraph" w:styleId="TOC4">
    <w:name w:val="toc 4"/>
    <w:basedOn w:val="Normal"/>
    <w:next w:val="Normal"/>
    <w:autoRedefine/>
    <w:uiPriority w:val="39"/>
    <w:semiHidden/>
    <w:unhideWhenUsed/>
    <w:rsid w:val="00F136B0"/>
    <w:pPr>
      <w:tabs>
        <w:tab w:val="right" w:leader="dot" w:pos="9346"/>
      </w:tabs>
      <w:ind w:left="2880" w:right="720" w:hanging="720"/>
    </w:pPr>
  </w:style>
  <w:style w:type="paragraph" w:styleId="TOC5">
    <w:name w:val="toc 5"/>
    <w:basedOn w:val="Normal"/>
    <w:next w:val="Normal"/>
    <w:autoRedefine/>
    <w:uiPriority w:val="39"/>
    <w:semiHidden/>
    <w:unhideWhenUsed/>
    <w:rsid w:val="00F136B0"/>
    <w:pPr>
      <w:tabs>
        <w:tab w:val="right" w:leader="dot" w:pos="9346"/>
      </w:tabs>
      <w:ind w:left="3600" w:right="720" w:hanging="720"/>
    </w:pPr>
  </w:style>
  <w:style w:type="paragraph" w:styleId="TOC6">
    <w:name w:val="toc 6"/>
    <w:basedOn w:val="Normal"/>
    <w:next w:val="Normal"/>
    <w:autoRedefine/>
    <w:uiPriority w:val="39"/>
    <w:semiHidden/>
    <w:unhideWhenUsed/>
    <w:rsid w:val="00F136B0"/>
    <w:pPr>
      <w:tabs>
        <w:tab w:val="right" w:leader="dot" w:pos="9346"/>
      </w:tabs>
      <w:ind w:left="4320" w:right="720" w:hanging="720"/>
    </w:pPr>
  </w:style>
  <w:style w:type="paragraph" w:styleId="TOC7">
    <w:name w:val="toc 7"/>
    <w:basedOn w:val="Normal"/>
    <w:next w:val="Normal"/>
    <w:autoRedefine/>
    <w:uiPriority w:val="39"/>
    <w:semiHidden/>
    <w:unhideWhenUsed/>
    <w:rsid w:val="00F136B0"/>
    <w:pPr>
      <w:tabs>
        <w:tab w:val="right" w:leader="dot" w:pos="9346"/>
      </w:tabs>
      <w:ind w:left="5040" w:right="720" w:hanging="720"/>
    </w:pPr>
  </w:style>
  <w:style w:type="paragraph" w:styleId="TOC8">
    <w:name w:val="toc 8"/>
    <w:basedOn w:val="Normal"/>
    <w:next w:val="Normal"/>
    <w:autoRedefine/>
    <w:uiPriority w:val="39"/>
    <w:semiHidden/>
    <w:unhideWhenUsed/>
    <w:rsid w:val="00F136B0"/>
    <w:pPr>
      <w:tabs>
        <w:tab w:val="right" w:leader="dot" w:pos="9346"/>
      </w:tabs>
      <w:ind w:left="5760" w:right="720" w:hanging="720"/>
    </w:pPr>
  </w:style>
  <w:style w:type="paragraph" w:styleId="TOC9">
    <w:name w:val="toc 9"/>
    <w:basedOn w:val="Normal"/>
    <w:next w:val="Normal"/>
    <w:autoRedefine/>
    <w:uiPriority w:val="39"/>
    <w:semiHidden/>
    <w:unhideWhenUsed/>
    <w:rsid w:val="00F136B0"/>
    <w:pPr>
      <w:tabs>
        <w:tab w:val="right" w:leader="dot" w:pos="9346"/>
      </w:tabs>
      <w:ind w:left="6480" w:right="720" w:hanging="720"/>
    </w:pPr>
  </w:style>
  <w:style w:type="paragraph" w:styleId="TOCHeading">
    <w:name w:val="TOC Heading"/>
    <w:basedOn w:val="Normal"/>
    <w:next w:val="Normal"/>
    <w:uiPriority w:val="39"/>
    <w:semiHidden/>
    <w:qFormat/>
    <w:rsid w:val="00F136B0"/>
    <w:pPr>
      <w:keepNext/>
      <w:jc w:val="center"/>
    </w:pPr>
    <w:rPr>
      <w:rFonts w:cstheme="majorBidi"/>
      <w:b/>
    </w:rPr>
  </w:style>
  <w:style w:type="paragraph" w:customStyle="1" w:styleId="TOCPage">
    <w:name w:val="TOC Page"/>
    <w:basedOn w:val="Normal"/>
    <w:uiPriority w:val="99"/>
    <w:qFormat/>
    <w:rsid w:val="00F136B0"/>
    <w:pPr>
      <w:spacing w:after="240"/>
      <w:jc w:val="right"/>
    </w:pPr>
    <w:rPr>
      <w:b/>
    </w:rPr>
  </w:style>
  <w:style w:type="paragraph" w:styleId="BlockText">
    <w:name w:val="Block Text"/>
    <w:basedOn w:val="Normal"/>
    <w:uiPriority w:val="99"/>
    <w:semiHidden/>
    <w:unhideWhenUsed/>
    <w:rsid w:val="00F136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136B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F136B0"/>
    <w:rPr>
      <w:rFonts w:eastAsiaTheme="majorEastAsia" w:cstheme="majorBidi"/>
      <w:sz w:val="20"/>
      <w:szCs w:val="20"/>
    </w:rPr>
  </w:style>
  <w:style w:type="paragraph" w:styleId="Index1">
    <w:name w:val="index 1"/>
    <w:basedOn w:val="Normal"/>
    <w:next w:val="Normal"/>
    <w:autoRedefine/>
    <w:uiPriority w:val="99"/>
    <w:semiHidden/>
    <w:unhideWhenUsed/>
    <w:rsid w:val="00F136B0"/>
    <w:pPr>
      <w:ind w:left="240" w:hanging="240"/>
    </w:pPr>
  </w:style>
  <w:style w:type="paragraph" w:styleId="IndexHeading">
    <w:name w:val="index heading"/>
    <w:basedOn w:val="Normal"/>
    <w:next w:val="Index1"/>
    <w:uiPriority w:val="99"/>
    <w:semiHidden/>
    <w:unhideWhenUsed/>
    <w:rsid w:val="00F136B0"/>
    <w:rPr>
      <w:rFonts w:eastAsiaTheme="majorEastAsia" w:cstheme="majorBidi"/>
      <w:b/>
      <w:bCs/>
    </w:rPr>
  </w:style>
  <w:style w:type="table" w:styleId="MediumGrid2">
    <w:name w:val="Medium Grid 2"/>
    <w:basedOn w:val="TableNormal"/>
    <w:uiPriority w:val="68"/>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F136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136B0"/>
    <w:rPr>
      <w:rFonts w:eastAsiaTheme="majorEastAsia" w:cstheme="majorBidi"/>
      <w:shd w:val="pct20" w:color="auto" w:fill="auto"/>
    </w:rPr>
  </w:style>
  <w:style w:type="paragraph" w:styleId="Subtitle">
    <w:name w:val="Subtitle"/>
    <w:basedOn w:val="Normal"/>
    <w:next w:val="Normal"/>
    <w:link w:val="SubtitleChar"/>
    <w:uiPriority w:val="11"/>
    <w:semiHidden/>
    <w:qFormat/>
    <w:rsid w:val="00F136B0"/>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8B0777"/>
    <w:rPr>
      <w:rFonts w:eastAsiaTheme="majorEastAsia" w:cstheme="majorBidi"/>
      <w:i/>
      <w:iCs/>
      <w:color w:val="4F81BD" w:themeColor="accent1"/>
      <w:spacing w:val="15"/>
    </w:rPr>
  </w:style>
  <w:style w:type="paragraph" w:styleId="Title">
    <w:name w:val="Title"/>
    <w:basedOn w:val="Normal"/>
    <w:next w:val="Normal"/>
    <w:link w:val="TitleChar"/>
    <w:uiPriority w:val="10"/>
    <w:semiHidden/>
    <w:qFormat/>
    <w:rsid w:val="00F136B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8B0777"/>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136B0"/>
    <w:pPr>
      <w:spacing w:before="120"/>
    </w:pPr>
    <w:rPr>
      <w:rFonts w:eastAsiaTheme="majorEastAsia" w:cstheme="majorBidi"/>
      <w:b/>
      <w:bCs/>
    </w:rPr>
  </w:style>
  <w:style w:type="character" w:customStyle="1" w:styleId="HeaderChar">
    <w:name w:val="Header Char"/>
    <w:aliases w:val="h Char"/>
    <w:basedOn w:val="DefaultParagraphFont"/>
    <w:link w:val="Header"/>
    <w:uiPriority w:val="99"/>
    <w:rsid w:val="007A2563"/>
  </w:style>
  <w:style w:type="paragraph" w:styleId="Footer">
    <w:name w:val="footer"/>
    <w:basedOn w:val="Normal"/>
    <w:link w:val="FooterChar"/>
    <w:uiPriority w:val="99"/>
    <w:unhideWhenUsed/>
    <w:rsid w:val="007A2563"/>
    <w:pPr>
      <w:tabs>
        <w:tab w:val="center" w:pos="4680"/>
        <w:tab w:val="right" w:pos="9360"/>
      </w:tabs>
    </w:pPr>
  </w:style>
  <w:style w:type="character" w:customStyle="1" w:styleId="FooterChar">
    <w:name w:val="Footer Char"/>
    <w:basedOn w:val="DefaultParagraphFont"/>
    <w:link w:val="Footer"/>
    <w:uiPriority w:val="99"/>
    <w:rsid w:val="007A2563"/>
  </w:style>
  <w:style w:type="character" w:styleId="PageNumber">
    <w:name w:val="page number"/>
    <w:basedOn w:val="DefaultParagraphFont"/>
    <w:rsid w:val="007A2563"/>
  </w:style>
  <w:style w:type="paragraph" w:customStyle="1" w:styleId="FootnoteTextMore">
    <w:name w:val="Footnote Text More"/>
    <w:basedOn w:val="Normal"/>
    <w:semiHidden/>
    <w:rsid w:val="008E3762"/>
    <w:pPr>
      <w:spacing w:after="240" w:line="240" w:lineRule="exact"/>
      <w:ind w:left="720"/>
    </w:pPr>
    <w:rPr>
      <w:rFonts w:eastAsia="Times New Roman" w:cs="Times New Roman"/>
    </w:rPr>
  </w:style>
  <w:style w:type="paragraph" w:styleId="FootnoteText">
    <w:name w:val="footnote text"/>
    <w:basedOn w:val="Normal"/>
    <w:link w:val="FootnoteTextChar"/>
    <w:uiPriority w:val="99"/>
    <w:semiHidden/>
    <w:unhideWhenUsed/>
    <w:rsid w:val="008E3762"/>
    <w:pPr>
      <w:spacing w:after="240"/>
      <w:ind w:left="720" w:hanging="720"/>
    </w:pPr>
    <w:rPr>
      <w:szCs w:val="20"/>
    </w:rPr>
  </w:style>
  <w:style w:type="character" w:customStyle="1" w:styleId="FootnoteTextChar">
    <w:name w:val="Footnote Text Char"/>
    <w:basedOn w:val="DefaultParagraphFont"/>
    <w:link w:val="FootnoteText"/>
    <w:uiPriority w:val="99"/>
    <w:semiHidden/>
    <w:rsid w:val="008E3762"/>
    <w:rPr>
      <w:szCs w:val="20"/>
    </w:rPr>
  </w:style>
  <w:style w:type="character" w:customStyle="1" w:styleId="DOCID0">
    <w:name w:val="DOCID"/>
    <w:basedOn w:val="DefaultParagraphFont"/>
    <w:uiPriority w:val="99"/>
    <w:rsid w:val="0038480E"/>
    <w:rPr>
      <w:rFonts w:ascii="Arial" w:hAnsi="Arial" w:cs="Arial"/>
      <w:sz w:val="16"/>
      <w:szCs w:val="16"/>
    </w:rPr>
  </w:style>
  <w:style w:type="paragraph" w:customStyle="1" w:styleId="HeadingBody1">
    <w:name w:val="HeadingBody 1"/>
    <w:basedOn w:val="BodyText"/>
    <w:next w:val="00BodyText1"/>
    <w:link w:val="HeadingBody1Char"/>
    <w:rsid w:val="00B245C1"/>
    <w:pPr>
      <w:spacing w:after="0" w:line="480" w:lineRule="auto"/>
      <w:jc w:val="center"/>
    </w:pPr>
    <w:rPr>
      <w:rFonts w:eastAsiaTheme="majorEastAsia" w:cs="Times New Roman"/>
      <w:szCs w:val="26"/>
    </w:rPr>
  </w:style>
  <w:style w:type="character" w:customStyle="1" w:styleId="HeadingBody1Char">
    <w:name w:val="HeadingBody 1 Char"/>
    <w:basedOn w:val="Heading2Char"/>
    <w:link w:val="HeadingBody1"/>
    <w:rsid w:val="00B245C1"/>
    <w:rPr>
      <w:rFonts w:eastAsiaTheme="majorEastAsia" w:cs="Times New Roman"/>
      <w:bCs w:val="0"/>
      <w:color w:val="000000"/>
      <w:szCs w:val="26"/>
      <w:u w:val="single"/>
    </w:rPr>
  </w:style>
  <w:style w:type="paragraph" w:customStyle="1" w:styleId="HeadingBody2">
    <w:name w:val="HeadingBody 2"/>
    <w:basedOn w:val="BodyText"/>
    <w:next w:val="00BodyText1"/>
    <w:link w:val="HeadingBody2Char"/>
    <w:rsid w:val="00B245C1"/>
    <w:pPr>
      <w:spacing w:after="240"/>
      <w:ind w:firstLine="720"/>
      <w:jc w:val="both"/>
    </w:pPr>
    <w:rPr>
      <w:rFonts w:eastAsiaTheme="majorEastAsia" w:cs="Times New Roman"/>
      <w:szCs w:val="26"/>
    </w:rPr>
  </w:style>
  <w:style w:type="character" w:customStyle="1" w:styleId="HeadingBody2Char">
    <w:name w:val="HeadingBody 2 Char"/>
    <w:basedOn w:val="Heading2Char"/>
    <w:link w:val="HeadingBody2"/>
    <w:rsid w:val="00B245C1"/>
    <w:rPr>
      <w:rFonts w:eastAsiaTheme="majorEastAsia" w:cs="Times New Roman"/>
      <w:bCs w:val="0"/>
      <w:color w:val="000000"/>
      <w:szCs w:val="26"/>
      <w:u w:val="single"/>
    </w:rPr>
  </w:style>
  <w:style w:type="paragraph" w:customStyle="1" w:styleId="HeadingBody3">
    <w:name w:val="HeadingBody 3"/>
    <w:basedOn w:val="BodyText"/>
    <w:next w:val="00BodyText1"/>
    <w:link w:val="HeadingBody3Char"/>
    <w:rsid w:val="00B245C1"/>
    <w:pPr>
      <w:spacing w:after="240"/>
      <w:ind w:left="720" w:firstLine="720"/>
    </w:pPr>
    <w:rPr>
      <w:rFonts w:eastAsiaTheme="majorEastAsia" w:cs="Times New Roman"/>
      <w:szCs w:val="26"/>
    </w:rPr>
  </w:style>
  <w:style w:type="character" w:customStyle="1" w:styleId="HeadingBody3Char">
    <w:name w:val="HeadingBody 3 Char"/>
    <w:basedOn w:val="Heading2Char"/>
    <w:link w:val="HeadingBody3"/>
    <w:rsid w:val="00B245C1"/>
    <w:rPr>
      <w:rFonts w:eastAsiaTheme="majorEastAsia" w:cs="Times New Roman"/>
      <w:bCs w:val="0"/>
      <w:color w:val="000000"/>
      <w:szCs w:val="26"/>
      <w:u w:val="single"/>
    </w:rPr>
  </w:style>
  <w:style w:type="paragraph" w:customStyle="1" w:styleId="HeadingBody4">
    <w:name w:val="HeadingBody 4"/>
    <w:basedOn w:val="BodyText"/>
    <w:next w:val="00BodyText1"/>
    <w:link w:val="HeadingBody4Char"/>
    <w:rsid w:val="00B245C1"/>
    <w:pPr>
      <w:spacing w:after="240"/>
      <w:ind w:left="1440" w:firstLine="720"/>
    </w:pPr>
    <w:rPr>
      <w:rFonts w:eastAsiaTheme="majorEastAsia" w:cs="Times New Roman"/>
      <w:szCs w:val="26"/>
    </w:rPr>
  </w:style>
  <w:style w:type="character" w:customStyle="1" w:styleId="HeadingBody4Char">
    <w:name w:val="HeadingBody 4 Char"/>
    <w:basedOn w:val="Heading2Char"/>
    <w:link w:val="HeadingBody4"/>
    <w:rsid w:val="00B245C1"/>
    <w:rPr>
      <w:rFonts w:eastAsiaTheme="majorEastAsia" w:cs="Times New Roman"/>
      <w:bCs w:val="0"/>
      <w:color w:val="000000"/>
      <w:szCs w:val="26"/>
      <w:u w:val="single"/>
    </w:rPr>
  </w:style>
  <w:style w:type="paragraph" w:customStyle="1" w:styleId="HeadingBody5">
    <w:name w:val="HeadingBody 5"/>
    <w:basedOn w:val="BodyText"/>
    <w:next w:val="00BodyText1"/>
    <w:link w:val="HeadingBody5Char"/>
    <w:rsid w:val="00B245C1"/>
    <w:pPr>
      <w:spacing w:after="240"/>
      <w:ind w:left="2160" w:firstLine="720"/>
    </w:pPr>
    <w:rPr>
      <w:rFonts w:eastAsiaTheme="majorEastAsia" w:cs="Times New Roman"/>
      <w:szCs w:val="26"/>
    </w:rPr>
  </w:style>
  <w:style w:type="character" w:customStyle="1" w:styleId="HeadingBody5Char">
    <w:name w:val="HeadingBody 5 Char"/>
    <w:basedOn w:val="Heading2Char"/>
    <w:link w:val="HeadingBody5"/>
    <w:rsid w:val="00B245C1"/>
    <w:rPr>
      <w:rFonts w:eastAsiaTheme="majorEastAsia" w:cs="Times New Roman"/>
      <w:bCs w:val="0"/>
      <w:color w:val="000000"/>
      <w:szCs w:val="26"/>
      <w:u w:val="single"/>
    </w:rPr>
  </w:style>
  <w:style w:type="paragraph" w:customStyle="1" w:styleId="HeadingBody6">
    <w:name w:val="HeadingBody 6"/>
    <w:basedOn w:val="BodyText"/>
    <w:next w:val="00BodyText1"/>
    <w:link w:val="HeadingBody6Char"/>
    <w:rsid w:val="00B245C1"/>
    <w:pPr>
      <w:spacing w:after="240"/>
      <w:ind w:left="2880" w:firstLine="720"/>
    </w:pPr>
    <w:rPr>
      <w:rFonts w:eastAsiaTheme="majorEastAsia" w:cs="Times New Roman"/>
      <w:szCs w:val="26"/>
    </w:rPr>
  </w:style>
  <w:style w:type="character" w:customStyle="1" w:styleId="HeadingBody6Char">
    <w:name w:val="HeadingBody 6 Char"/>
    <w:basedOn w:val="Heading2Char"/>
    <w:link w:val="HeadingBody6"/>
    <w:rsid w:val="00B245C1"/>
    <w:rPr>
      <w:rFonts w:eastAsiaTheme="majorEastAsia" w:cs="Times New Roman"/>
      <w:bCs w:val="0"/>
      <w:color w:val="000000"/>
      <w:szCs w:val="26"/>
      <w:u w:val="single"/>
    </w:rPr>
  </w:style>
  <w:style w:type="paragraph" w:customStyle="1" w:styleId="HeadingBody7">
    <w:name w:val="HeadingBody 7"/>
    <w:basedOn w:val="BodyText"/>
    <w:next w:val="00BodyText1"/>
    <w:link w:val="HeadingBody7Char"/>
    <w:rsid w:val="00B245C1"/>
    <w:pPr>
      <w:spacing w:after="240"/>
      <w:ind w:left="3600" w:firstLine="720"/>
    </w:pPr>
    <w:rPr>
      <w:rFonts w:eastAsiaTheme="majorEastAsia" w:cs="Times New Roman"/>
      <w:szCs w:val="26"/>
    </w:rPr>
  </w:style>
  <w:style w:type="character" w:customStyle="1" w:styleId="HeadingBody7Char">
    <w:name w:val="HeadingBody 7 Char"/>
    <w:basedOn w:val="Heading2Char"/>
    <w:link w:val="HeadingBody7"/>
    <w:rsid w:val="00B245C1"/>
    <w:rPr>
      <w:rFonts w:eastAsiaTheme="majorEastAsia" w:cs="Times New Roman"/>
      <w:bCs w:val="0"/>
      <w:color w:val="000000"/>
      <w:szCs w:val="26"/>
      <w:u w:val="single"/>
    </w:rPr>
  </w:style>
  <w:style w:type="paragraph" w:customStyle="1" w:styleId="HeadingBody8">
    <w:name w:val="HeadingBody 8"/>
    <w:basedOn w:val="BodyText"/>
    <w:next w:val="00BodyText1"/>
    <w:link w:val="HeadingBody8Char"/>
    <w:rsid w:val="00B245C1"/>
    <w:pPr>
      <w:spacing w:after="240"/>
      <w:ind w:left="4320" w:firstLine="720"/>
    </w:pPr>
    <w:rPr>
      <w:rFonts w:eastAsiaTheme="majorEastAsia" w:cs="Times New Roman"/>
      <w:szCs w:val="26"/>
    </w:rPr>
  </w:style>
  <w:style w:type="character" w:customStyle="1" w:styleId="HeadingBody8Char">
    <w:name w:val="HeadingBody 8 Char"/>
    <w:basedOn w:val="Heading2Char"/>
    <w:link w:val="HeadingBody8"/>
    <w:rsid w:val="00B245C1"/>
    <w:rPr>
      <w:rFonts w:eastAsiaTheme="majorEastAsia" w:cs="Times New Roman"/>
      <w:bCs w:val="0"/>
      <w:color w:val="000000"/>
      <w:szCs w:val="26"/>
      <w:u w:val="single"/>
    </w:rPr>
  </w:style>
  <w:style w:type="paragraph" w:customStyle="1" w:styleId="HeadingBody9">
    <w:name w:val="HeadingBody 9"/>
    <w:basedOn w:val="BodyText"/>
    <w:next w:val="00BodyText1"/>
    <w:link w:val="HeadingBody9Char"/>
    <w:rsid w:val="00B245C1"/>
    <w:pPr>
      <w:spacing w:after="240"/>
      <w:ind w:left="5040" w:firstLine="720"/>
    </w:pPr>
    <w:rPr>
      <w:rFonts w:eastAsiaTheme="majorEastAsia" w:cs="Times New Roman"/>
      <w:szCs w:val="26"/>
    </w:rPr>
  </w:style>
  <w:style w:type="character" w:customStyle="1" w:styleId="HeadingBody9Char">
    <w:name w:val="HeadingBody 9 Char"/>
    <w:basedOn w:val="Heading2Char"/>
    <w:link w:val="HeadingBody9"/>
    <w:rsid w:val="00B245C1"/>
    <w:rPr>
      <w:rFonts w:eastAsiaTheme="majorEastAsia" w:cs="Times New Roman"/>
      <w:bCs w:val="0"/>
      <w:color w:val="000000"/>
      <w:szCs w:val="26"/>
      <w:u w:val="single"/>
    </w:rPr>
  </w:style>
  <w:style w:type="paragraph" w:customStyle="1" w:styleId="BodyText5">
    <w:name w:val="* Body Text .5"/>
    <w:basedOn w:val="Normal"/>
    <w:link w:val="BodyText5Char"/>
    <w:rsid w:val="00901D88"/>
    <w:pPr>
      <w:spacing w:after="240"/>
      <w:ind w:firstLine="720"/>
      <w:jc w:val="both"/>
    </w:pPr>
    <w:rPr>
      <w:rFonts w:eastAsia="Times New Roman" w:cs="Times New Roman"/>
    </w:rPr>
  </w:style>
  <w:style w:type="paragraph" w:customStyle="1" w:styleId="DefaultParagraphFontParaChar">
    <w:name w:val="Default Paragraph Font Para Char"/>
    <w:basedOn w:val="Normal"/>
    <w:rsid w:val="00307002"/>
    <w:pPr>
      <w:spacing w:after="160" w:line="240" w:lineRule="exact"/>
      <w:jc w:val="both"/>
    </w:pPr>
    <w:rPr>
      <w:rFonts w:ascii="Verdana" w:eastAsia="Times New Roman" w:hAnsi="Verdana" w:cs="Times New Roman"/>
      <w:sz w:val="20"/>
      <w:szCs w:val="20"/>
    </w:rPr>
  </w:style>
  <w:style w:type="paragraph" w:customStyle="1" w:styleId="Heading3Body">
    <w:name w:val="Heading 3 Body"/>
    <w:basedOn w:val="Normal"/>
    <w:next w:val="Heading3"/>
    <w:rsid w:val="00B61DD2"/>
    <w:pPr>
      <w:tabs>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eastAsia="Times New Roman" w:cs="Times New Roman"/>
    </w:rPr>
  </w:style>
  <w:style w:type="character" w:customStyle="1" w:styleId="BodyText5Char">
    <w:name w:val="* Body Text .5 Char"/>
    <w:link w:val="BodyText5"/>
    <w:rsid w:val="000C6042"/>
    <w:rPr>
      <w:rFonts w:eastAsia="Times New Roman" w:cs="Times New Roman"/>
    </w:rPr>
  </w:style>
  <w:style w:type="paragraph" w:customStyle="1" w:styleId="HeadingBody19">
    <w:name w:val="HeadingBody 19"/>
    <w:basedOn w:val="BodyText"/>
    <w:next w:val="Normal"/>
    <w:rsid w:val="00D44781"/>
    <w:pPr>
      <w:tabs>
        <w:tab w:val="num" w:pos="1800"/>
      </w:tabs>
      <w:spacing w:after="240"/>
      <w:ind w:firstLine="720"/>
      <w:jc w:val="both"/>
      <w:outlineLvl w:val="1"/>
    </w:pPr>
    <w:rPr>
      <w:rFonts w:eastAsia="Times New Roman" w:cs="Times New Roman"/>
    </w:rPr>
  </w:style>
  <w:style w:type="paragraph" w:styleId="BalloonText">
    <w:name w:val="Balloon Text"/>
    <w:basedOn w:val="Normal"/>
    <w:link w:val="BalloonTextChar"/>
    <w:uiPriority w:val="99"/>
    <w:semiHidden/>
    <w:unhideWhenUsed/>
    <w:rsid w:val="00B33A79"/>
    <w:rPr>
      <w:rFonts w:ascii="Tahoma" w:hAnsi="Tahoma" w:cs="Tahoma"/>
      <w:sz w:val="16"/>
      <w:szCs w:val="16"/>
    </w:rPr>
  </w:style>
  <w:style w:type="character" w:customStyle="1" w:styleId="BalloonTextChar">
    <w:name w:val="Balloon Text Char"/>
    <w:basedOn w:val="DefaultParagraphFont"/>
    <w:link w:val="BalloonText"/>
    <w:uiPriority w:val="99"/>
    <w:semiHidden/>
    <w:rsid w:val="00B33A79"/>
    <w:rPr>
      <w:rFonts w:ascii="Tahoma" w:hAnsi="Tahoma" w:cs="Tahoma"/>
      <w:sz w:val="16"/>
      <w:szCs w:val="16"/>
    </w:rPr>
  </w:style>
  <w:style w:type="table" w:styleId="TableGrid">
    <w:name w:val="Table Grid"/>
    <w:basedOn w:val="TableNormal"/>
    <w:rsid w:val="006B747A"/>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A0D1A"/>
  </w:style>
  <w:style w:type="paragraph" w:styleId="BodyText2">
    <w:name w:val="Body Text 2"/>
    <w:basedOn w:val="Normal"/>
    <w:link w:val="BodyText2Char"/>
    <w:uiPriority w:val="99"/>
    <w:semiHidden/>
    <w:unhideWhenUsed/>
    <w:rsid w:val="005A0D1A"/>
    <w:pPr>
      <w:spacing w:after="120" w:line="480" w:lineRule="auto"/>
    </w:pPr>
  </w:style>
  <w:style w:type="character" w:customStyle="1" w:styleId="BodyText2Char">
    <w:name w:val="Body Text 2 Char"/>
    <w:basedOn w:val="DefaultParagraphFont"/>
    <w:link w:val="BodyText2"/>
    <w:uiPriority w:val="99"/>
    <w:semiHidden/>
    <w:rsid w:val="005A0D1A"/>
  </w:style>
  <w:style w:type="paragraph" w:styleId="BodyText3">
    <w:name w:val="Body Text 3"/>
    <w:basedOn w:val="Normal"/>
    <w:link w:val="BodyText3Char"/>
    <w:uiPriority w:val="99"/>
    <w:semiHidden/>
    <w:unhideWhenUsed/>
    <w:rsid w:val="005A0D1A"/>
    <w:pPr>
      <w:spacing w:after="120"/>
    </w:pPr>
    <w:rPr>
      <w:sz w:val="16"/>
      <w:szCs w:val="16"/>
    </w:rPr>
  </w:style>
  <w:style w:type="character" w:customStyle="1" w:styleId="BodyText3Char">
    <w:name w:val="Body Text 3 Char"/>
    <w:basedOn w:val="DefaultParagraphFont"/>
    <w:link w:val="BodyText3"/>
    <w:uiPriority w:val="99"/>
    <w:semiHidden/>
    <w:rsid w:val="005A0D1A"/>
    <w:rPr>
      <w:sz w:val="16"/>
      <w:szCs w:val="16"/>
    </w:rPr>
  </w:style>
  <w:style w:type="paragraph" w:styleId="BodyTextFirstIndent">
    <w:name w:val="Body Text First Indent"/>
    <w:basedOn w:val="BodyText"/>
    <w:link w:val="BodyTextFirstIndentChar"/>
    <w:uiPriority w:val="99"/>
    <w:semiHidden/>
    <w:unhideWhenUsed/>
    <w:rsid w:val="005A0D1A"/>
    <w:pPr>
      <w:spacing w:after="0"/>
      <w:ind w:firstLine="360"/>
    </w:pPr>
  </w:style>
  <w:style w:type="character" w:customStyle="1" w:styleId="BodyTextFirstIndentChar">
    <w:name w:val="Body Text First Indent Char"/>
    <w:basedOn w:val="BodyTextChar"/>
    <w:link w:val="BodyTextFirstIndent"/>
    <w:uiPriority w:val="99"/>
    <w:semiHidden/>
    <w:rsid w:val="005A0D1A"/>
  </w:style>
  <w:style w:type="paragraph" w:styleId="BodyTextIndent">
    <w:name w:val="Body Text Indent"/>
    <w:basedOn w:val="Normal"/>
    <w:link w:val="BodyTextIndentChar"/>
    <w:uiPriority w:val="99"/>
    <w:semiHidden/>
    <w:unhideWhenUsed/>
    <w:rsid w:val="005A0D1A"/>
    <w:pPr>
      <w:spacing w:after="120"/>
      <w:ind w:left="360"/>
    </w:pPr>
  </w:style>
  <w:style w:type="character" w:customStyle="1" w:styleId="BodyTextIndentChar">
    <w:name w:val="Body Text Indent Char"/>
    <w:basedOn w:val="DefaultParagraphFont"/>
    <w:link w:val="BodyTextIndent"/>
    <w:uiPriority w:val="99"/>
    <w:semiHidden/>
    <w:rsid w:val="005A0D1A"/>
  </w:style>
  <w:style w:type="paragraph" w:styleId="BodyTextFirstIndent2">
    <w:name w:val="Body Text First Indent 2"/>
    <w:basedOn w:val="BodyTextIndent"/>
    <w:link w:val="BodyTextFirstIndent2Char"/>
    <w:uiPriority w:val="99"/>
    <w:semiHidden/>
    <w:unhideWhenUsed/>
    <w:rsid w:val="005A0D1A"/>
    <w:pPr>
      <w:spacing w:after="0"/>
      <w:ind w:firstLine="360"/>
    </w:pPr>
  </w:style>
  <w:style w:type="character" w:customStyle="1" w:styleId="BodyTextFirstIndent2Char">
    <w:name w:val="Body Text First Indent 2 Char"/>
    <w:basedOn w:val="BodyTextIndentChar"/>
    <w:link w:val="BodyTextFirstIndent2"/>
    <w:uiPriority w:val="99"/>
    <w:semiHidden/>
    <w:rsid w:val="005A0D1A"/>
  </w:style>
  <w:style w:type="paragraph" w:styleId="BodyTextIndent2">
    <w:name w:val="Body Text Indent 2"/>
    <w:basedOn w:val="Normal"/>
    <w:link w:val="BodyTextIndent2Char"/>
    <w:uiPriority w:val="99"/>
    <w:semiHidden/>
    <w:unhideWhenUsed/>
    <w:rsid w:val="005A0D1A"/>
    <w:pPr>
      <w:spacing w:after="120" w:line="480" w:lineRule="auto"/>
      <w:ind w:left="360"/>
    </w:pPr>
  </w:style>
  <w:style w:type="character" w:customStyle="1" w:styleId="BodyTextIndent2Char">
    <w:name w:val="Body Text Indent 2 Char"/>
    <w:basedOn w:val="DefaultParagraphFont"/>
    <w:link w:val="BodyTextIndent2"/>
    <w:uiPriority w:val="99"/>
    <w:semiHidden/>
    <w:rsid w:val="005A0D1A"/>
  </w:style>
  <w:style w:type="paragraph" w:styleId="BodyTextIndent3">
    <w:name w:val="Body Text Indent 3"/>
    <w:basedOn w:val="Normal"/>
    <w:link w:val="BodyTextIndent3Char"/>
    <w:uiPriority w:val="99"/>
    <w:semiHidden/>
    <w:unhideWhenUsed/>
    <w:rsid w:val="005A0D1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A0D1A"/>
    <w:rPr>
      <w:sz w:val="16"/>
      <w:szCs w:val="16"/>
    </w:rPr>
  </w:style>
  <w:style w:type="paragraph" w:styleId="Caption">
    <w:name w:val="caption"/>
    <w:basedOn w:val="Normal"/>
    <w:next w:val="Normal"/>
    <w:uiPriority w:val="35"/>
    <w:semiHidden/>
    <w:unhideWhenUsed/>
    <w:qFormat/>
    <w:rsid w:val="005A0D1A"/>
    <w:pPr>
      <w:spacing w:after="200"/>
    </w:pPr>
    <w:rPr>
      <w:b/>
      <w:bCs/>
      <w:color w:val="4F81BD" w:themeColor="accent1"/>
      <w:sz w:val="18"/>
      <w:szCs w:val="18"/>
    </w:rPr>
  </w:style>
  <w:style w:type="paragraph" w:styleId="Closing">
    <w:name w:val="Closing"/>
    <w:basedOn w:val="Normal"/>
    <w:link w:val="ClosingChar"/>
    <w:uiPriority w:val="99"/>
    <w:semiHidden/>
    <w:unhideWhenUsed/>
    <w:rsid w:val="005A0D1A"/>
    <w:pPr>
      <w:ind w:left="4320"/>
    </w:pPr>
  </w:style>
  <w:style w:type="character" w:customStyle="1" w:styleId="ClosingChar">
    <w:name w:val="Closing Char"/>
    <w:basedOn w:val="DefaultParagraphFont"/>
    <w:link w:val="Closing"/>
    <w:uiPriority w:val="99"/>
    <w:semiHidden/>
    <w:rsid w:val="005A0D1A"/>
  </w:style>
  <w:style w:type="paragraph" w:styleId="CommentText">
    <w:name w:val="annotation text"/>
    <w:basedOn w:val="Normal"/>
    <w:link w:val="CommentTextChar"/>
    <w:unhideWhenUsed/>
    <w:rsid w:val="005A0D1A"/>
    <w:rPr>
      <w:sz w:val="20"/>
      <w:szCs w:val="20"/>
    </w:rPr>
  </w:style>
  <w:style w:type="character" w:customStyle="1" w:styleId="CommentTextChar">
    <w:name w:val="Comment Text Char"/>
    <w:basedOn w:val="DefaultParagraphFont"/>
    <w:link w:val="CommentText"/>
    <w:rsid w:val="005A0D1A"/>
    <w:rPr>
      <w:sz w:val="20"/>
      <w:szCs w:val="20"/>
    </w:rPr>
  </w:style>
  <w:style w:type="paragraph" w:styleId="CommentSubject">
    <w:name w:val="annotation subject"/>
    <w:basedOn w:val="CommentText"/>
    <w:next w:val="CommentText"/>
    <w:link w:val="CommentSubjectChar"/>
    <w:uiPriority w:val="99"/>
    <w:semiHidden/>
    <w:unhideWhenUsed/>
    <w:rsid w:val="005A0D1A"/>
    <w:rPr>
      <w:b/>
      <w:bCs/>
    </w:rPr>
  </w:style>
  <w:style w:type="character" w:customStyle="1" w:styleId="CommentSubjectChar">
    <w:name w:val="Comment Subject Char"/>
    <w:basedOn w:val="CommentTextChar"/>
    <w:link w:val="CommentSubject"/>
    <w:uiPriority w:val="99"/>
    <w:semiHidden/>
    <w:rsid w:val="005A0D1A"/>
    <w:rPr>
      <w:b/>
      <w:bCs/>
      <w:sz w:val="20"/>
      <w:szCs w:val="20"/>
    </w:rPr>
  </w:style>
  <w:style w:type="paragraph" w:styleId="Date">
    <w:name w:val="Date"/>
    <w:basedOn w:val="Normal"/>
    <w:next w:val="Normal"/>
    <w:link w:val="DateChar"/>
    <w:uiPriority w:val="99"/>
    <w:semiHidden/>
    <w:unhideWhenUsed/>
    <w:rsid w:val="005A0D1A"/>
  </w:style>
  <w:style w:type="character" w:customStyle="1" w:styleId="DateChar">
    <w:name w:val="Date Char"/>
    <w:basedOn w:val="DefaultParagraphFont"/>
    <w:link w:val="Date"/>
    <w:uiPriority w:val="99"/>
    <w:semiHidden/>
    <w:rsid w:val="005A0D1A"/>
  </w:style>
  <w:style w:type="paragraph" w:styleId="DocumentMap">
    <w:name w:val="Document Map"/>
    <w:basedOn w:val="Normal"/>
    <w:link w:val="DocumentMapChar"/>
    <w:uiPriority w:val="99"/>
    <w:semiHidden/>
    <w:unhideWhenUsed/>
    <w:rsid w:val="005A0D1A"/>
    <w:rPr>
      <w:rFonts w:ascii="Tahoma" w:hAnsi="Tahoma" w:cs="Tahoma"/>
      <w:sz w:val="16"/>
      <w:szCs w:val="16"/>
    </w:rPr>
  </w:style>
  <w:style w:type="character" w:customStyle="1" w:styleId="DocumentMapChar">
    <w:name w:val="Document Map Char"/>
    <w:basedOn w:val="DefaultParagraphFont"/>
    <w:link w:val="DocumentMap"/>
    <w:uiPriority w:val="99"/>
    <w:semiHidden/>
    <w:rsid w:val="005A0D1A"/>
    <w:rPr>
      <w:rFonts w:ascii="Tahoma" w:hAnsi="Tahoma" w:cs="Tahoma"/>
      <w:sz w:val="16"/>
      <w:szCs w:val="16"/>
    </w:rPr>
  </w:style>
  <w:style w:type="paragraph" w:styleId="E-mailSignature">
    <w:name w:val="E-mail Signature"/>
    <w:basedOn w:val="Normal"/>
    <w:link w:val="E-mailSignatureChar"/>
    <w:uiPriority w:val="99"/>
    <w:semiHidden/>
    <w:unhideWhenUsed/>
    <w:rsid w:val="005A0D1A"/>
  </w:style>
  <w:style w:type="character" w:customStyle="1" w:styleId="E-mailSignatureChar">
    <w:name w:val="E-mail Signature Char"/>
    <w:basedOn w:val="DefaultParagraphFont"/>
    <w:link w:val="E-mailSignature"/>
    <w:uiPriority w:val="99"/>
    <w:semiHidden/>
    <w:rsid w:val="005A0D1A"/>
  </w:style>
  <w:style w:type="paragraph" w:styleId="HTMLAddress">
    <w:name w:val="HTML Address"/>
    <w:basedOn w:val="Normal"/>
    <w:link w:val="HTMLAddressChar"/>
    <w:uiPriority w:val="99"/>
    <w:semiHidden/>
    <w:unhideWhenUsed/>
    <w:rsid w:val="005A0D1A"/>
    <w:rPr>
      <w:i/>
      <w:iCs/>
    </w:rPr>
  </w:style>
  <w:style w:type="character" w:customStyle="1" w:styleId="HTMLAddressChar">
    <w:name w:val="HTML Address Char"/>
    <w:basedOn w:val="DefaultParagraphFont"/>
    <w:link w:val="HTMLAddress"/>
    <w:uiPriority w:val="99"/>
    <w:semiHidden/>
    <w:rsid w:val="005A0D1A"/>
    <w:rPr>
      <w:i/>
      <w:iCs/>
    </w:rPr>
  </w:style>
  <w:style w:type="paragraph" w:styleId="HTMLPreformatted">
    <w:name w:val="HTML Preformatted"/>
    <w:basedOn w:val="Normal"/>
    <w:link w:val="HTMLPreformattedChar"/>
    <w:uiPriority w:val="99"/>
    <w:semiHidden/>
    <w:unhideWhenUsed/>
    <w:rsid w:val="005A0D1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A0D1A"/>
    <w:rPr>
      <w:rFonts w:ascii="Consolas" w:hAnsi="Consolas" w:cs="Consolas"/>
      <w:sz w:val="20"/>
      <w:szCs w:val="20"/>
    </w:rPr>
  </w:style>
  <w:style w:type="paragraph" w:styleId="Index2">
    <w:name w:val="index 2"/>
    <w:basedOn w:val="Normal"/>
    <w:next w:val="Normal"/>
    <w:autoRedefine/>
    <w:uiPriority w:val="99"/>
    <w:semiHidden/>
    <w:unhideWhenUsed/>
    <w:rsid w:val="005A0D1A"/>
    <w:pPr>
      <w:ind w:left="480" w:hanging="240"/>
    </w:pPr>
  </w:style>
  <w:style w:type="paragraph" w:styleId="Index3">
    <w:name w:val="index 3"/>
    <w:basedOn w:val="Normal"/>
    <w:next w:val="Normal"/>
    <w:autoRedefine/>
    <w:uiPriority w:val="99"/>
    <w:semiHidden/>
    <w:unhideWhenUsed/>
    <w:rsid w:val="005A0D1A"/>
    <w:pPr>
      <w:ind w:left="720" w:hanging="240"/>
    </w:pPr>
  </w:style>
  <w:style w:type="paragraph" w:styleId="Index4">
    <w:name w:val="index 4"/>
    <w:basedOn w:val="Normal"/>
    <w:next w:val="Normal"/>
    <w:autoRedefine/>
    <w:uiPriority w:val="99"/>
    <w:semiHidden/>
    <w:unhideWhenUsed/>
    <w:rsid w:val="005A0D1A"/>
    <w:pPr>
      <w:ind w:left="960" w:hanging="240"/>
    </w:pPr>
  </w:style>
  <w:style w:type="paragraph" w:styleId="Index5">
    <w:name w:val="index 5"/>
    <w:basedOn w:val="Normal"/>
    <w:next w:val="Normal"/>
    <w:autoRedefine/>
    <w:uiPriority w:val="99"/>
    <w:semiHidden/>
    <w:unhideWhenUsed/>
    <w:rsid w:val="005A0D1A"/>
    <w:pPr>
      <w:ind w:left="1200" w:hanging="240"/>
    </w:pPr>
  </w:style>
  <w:style w:type="paragraph" w:styleId="Index6">
    <w:name w:val="index 6"/>
    <w:basedOn w:val="Normal"/>
    <w:next w:val="Normal"/>
    <w:autoRedefine/>
    <w:uiPriority w:val="99"/>
    <w:semiHidden/>
    <w:unhideWhenUsed/>
    <w:rsid w:val="005A0D1A"/>
    <w:pPr>
      <w:ind w:left="1440" w:hanging="240"/>
    </w:pPr>
  </w:style>
  <w:style w:type="paragraph" w:styleId="Index7">
    <w:name w:val="index 7"/>
    <w:basedOn w:val="Normal"/>
    <w:next w:val="Normal"/>
    <w:autoRedefine/>
    <w:uiPriority w:val="99"/>
    <w:semiHidden/>
    <w:unhideWhenUsed/>
    <w:rsid w:val="005A0D1A"/>
    <w:pPr>
      <w:ind w:left="1680" w:hanging="240"/>
    </w:pPr>
  </w:style>
  <w:style w:type="paragraph" w:styleId="Index8">
    <w:name w:val="index 8"/>
    <w:basedOn w:val="Normal"/>
    <w:next w:val="Normal"/>
    <w:autoRedefine/>
    <w:uiPriority w:val="99"/>
    <w:semiHidden/>
    <w:unhideWhenUsed/>
    <w:rsid w:val="005A0D1A"/>
    <w:pPr>
      <w:ind w:left="1920" w:hanging="240"/>
    </w:pPr>
  </w:style>
  <w:style w:type="paragraph" w:styleId="Index9">
    <w:name w:val="index 9"/>
    <w:basedOn w:val="Normal"/>
    <w:next w:val="Normal"/>
    <w:autoRedefine/>
    <w:uiPriority w:val="99"/>
    <w:semiHidden/>
    <w:unhideWhenUsed/>
    <w:rsid w:val="005A0D1A"/>
    <w:pPr>
      <w:ind w:left="2160" w:hanging="240"/>
    </w:pPr>
  </w:style>
  <w:style w:type="paragraph" w:styleId="IntenseQuote">
    <w:name w:val="Intense Quote"/>
    <w:basedOn w:val="Normal"/>
    <w:next w:val="Normal"/>
    <w:link w:val="IntenseQuoteChar"/>
    <w:uiPriority w:val="30"/>
    <w:rsid w:val="005A0D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0D1A"/>
    <w:rPr>
      <w:b/>
      <w:bCs/>
      <w:i/>
      <w:iCs/>
      <w:color w:val="4F81BD" w:themeColor="accent1"/>
    </w:rPr>
  </w:style>
  <w:style w:type="paragraph" w:styleId="List">
    <w:name w:val="List"/>
    <w:basedOn w:val="Normal"/>
    <w:uiPriority w:val="99"/>
    <w:semiHidden/>
    <w:unhideWhenUsed/>
    <w:rsid w:val="005A0D1A"/>
    <w:pPr>
      <w:ind w:left="360" w:hanging="360"/>
      <w:contextualSpacing/>
    </w:pPr>
  </w:style>
  <w:style w:type="paragraph" w:styleId="List2">
    <w:name w:val="List 2"/>
    <w:basedOn w:val="Normal"/>
    <w:uiPriority w:val="99"/>
    <w:semiHidden/>
    <w:unhideWhenUsed/>
    <w:rsid w:val="005A0D1A"/>
    <w:pPr>
      <w:ind w:left="720" w:hanging="360"/>
      <w:contextualSpacing/>
    </w:pPr>
  </w:style>
  <w:style w:type="paragraph" w:styleId="List3">
    <w:name w:val="List 3"/>
    <w:basedOn w:val="Normal"/>
    <w:uiPriority w:val="99"/>
    <w:semiHidden/>
    <w:unhideWhenUsed/>
    <w:rsid w:val="005A0D1A"/>
    <w:pPr>
      <w:ind w:left="1080" w:hanging="360"/>
      <w:contextualSpacing/>
    </w:pPr>
  </w:style>
  <w:style w:type="paragraph" w:styleId="List4">
    <w:name w:val="List 4"/>
    <w:basedOn w:val="Normal"/>
    <w:uiPriority w:val="99"/>
    <w:semiHidden/>
    <w:unhideWhenUsed/>
    <w:rsid w:val="005A0D1A"/>
    <w:pPr>
      <w:ind w:left="1440" w:hanging="360"/>
      <w:contextualSpacing/>
    </w:pPr>
  </w:style>
  <w:style w:type="paragraph" w:styleId="List5">
    <w:name w:val="List 5"/>
    <w:basedOn w:val="Normal"/>
    <w:uiPriority w:val="99"/>
    <w:semiHidden/>
    <w:unhideWhenUsed/>
    <w:rsid w:val="005A0D1A"/>
    <w:pPr>
      <w:ind w:left="1800" w:hanging="360"/>
      <w:contextualSpacing/>
    </w:pPr>
  </w:style>
  <w:style w:type="paragraph" w:styleId="ListBullet">
    <w:name w:val="List Bullet"/>
    <w:basedOn w:val="Normal"/>
    <w:uiPriority w:val="99"/>
    <w:semiHidden/>
    <w:unhideWhenUsed/>
    <w:rsid w:val="005A0D1A"/>
    <w:pPr>
      <w:numPr>
        <w:numId w:val="2"/>
      </w:numPr>
      <w:contextualSpacing/>
    </w:pPr>
  </w:style>
  <w:style w:type="paragraph" w:styleId="ListBullet2">
    <w:name w:val="List Bullet 2"/>
    <w:basedOn w:val="Normal"/>
    <w:uiPriority w:val="99"/>
    <w:semiHidden/>
    <w:unhideWhenUsed/>
    <w:rsid w:val="005A0D1A"/>
    <w:pPr>
      <w:numPr>
        <w:numId w:val="3"/>
      </w:numPr>
      <w:contextualSpacing/>
    </w:pPr>
  </w:style>
  <w:style w:type="paragraph" w:styleId="ListBullet3">
    <w:name w:val="List Bullet 3"/>
    <w:basedOn w:val="Normal"/>
    <w:uiPriority w:val="99"/>
    <w:semiHidden/>
    <w:unhideWhenUsed/>
    <w:rsid w:val="005A0D1A"/>
    <w:pPr>
      <w:numPr>
        <w:numId w:val="4"/>
      </w:numPr>
      <w:contextualSpacing/>
    </w:pPr>
  </w:style>
  <w:style w:type="paragraph" w:styleId="ListBullet4">
    <w:name w:val="List Bullet 4"/>
    <w:basedOn w:val="Normal"/>
    <w:uiPriority w:val="99"/>
    <w:semiHidden/>
    <w:unhideWhenUsed/>
    <w:rsid w:val="005A0D1A"/>
    <w:pPr>
      <w:numPr>
        <w:numId w:val="5"/>
      </w:numPr>
      <w:contextualSpacing/>
    </w:pPr>
  </w:style>
  <w:style w:type="paragraph" w:styleId="ListBullet5">
    <w:name w:val="List Bullet 5"/>
    <w:basedOn w:val="Normal"/>
    <w:uiPriority w:val="99"/>
    <w:semiHidden/>
    <w:unhideWhenUsed/>
    <w:rsid w:val="005A0D1A"/>
    <w:pPr>
      <w:numPr>
        <w:numId w:val="6"/>
      </w:numPr>
      <w:contextualSpacing/>
    </w:pPr>
  </w:style>
  <w:style w:type="paragraph" w:styleId="ListContinue">
    <w:name w:val="List Continue"/>
    <w:basedOn w:val="Normal"/>
    <w:uiPriority w:val="99"/>
    <w:semiHidden/>
    <w:unhideWhenUsed/>
    <w:rsid w:val="005A0D1A"/>
    <w:pPr>
      <w:spacing w:after="120"/>
      <w:ind w:left="360"/>
      <w:contextualSpacing/>
    </w:pPr>
  </w:style>
  <w:style w:type="paragraph" w:styleId="ListContinue2">
    <w:name w:val="List Continue 2"/>
    <w:basedOn w:val="Normal"/>
    <w:uiPriority w:val="99"/>
    <w:semiHidden/>
    <w:unhideWhenUsed/>
    <w:rsid w:val="005A0D1A"/>
    <w:pPr>
      <w:spacing w:after="120"/>
      <w:ind w:left="720"/>
      <w:contextualSpacing/>
    </w:pPr>
  </w:style>
  <w:style w:type="paragraph" w:styleId="ListContinue3">
    <w:name w:val="List Continue 3"/>
    <w:basedOn w:val="Normal"/>
    <w:uiPriority w:val="99"/>
    <w:semiHidden/>
    <w:unhideWhenUsed/>
    <w:rsid w:val="005A0D1A"/>
    <w:pPr>
      <w:spacing w:after="120"/>
      <w:ind w:left="1080"/>
      <w:contextualSpacing/>
    </w:pPr>
  </w:style>
  <w:style w:type="paragraph" w:styleId="ListContinue4">
    <w:name w:val="List Continue 4"/>
    <w:basedOn w:val="Normal"/>
    <w:uiPriority w:val="99"/>
    <w:semiHidden/>
    <w:unhideWhenUsed/>
    <w:rsid w:val="005A0D1A"/>
    <w:pPr>
      <w:spacing w:after="120"/>
      <w:ind w:left="1440"/>
      <w:contextualSpacing/>
    </w:pPr>
  </w:style>
  <w:style w:type="paragraph" w:styleId="ListContinue5">
    <w:name w:val="List Continue 5"/>
    <w:basedOn w:val="Normal"/>
    <w:uiPriority w:val="99"/>
    <w:semiHidden/>
    <w:unhideWhenUsed/>
    <w:rsid w:val="005A0D1A"/>
    <w:pPr>
      <w:spacing w:after="120"/>
      <w:ind w:left="1800"/>
      <w:contextualSpacing/>
    </w:pPr>
  </w:style>
  <w:style w:type="paragraph" w:styleId="ListNumber">
    <w:name w:val="List Number"/>
    <w:basedOn w:val="Normal"/>
    <w:uiPriority w:val="99"/>
    <w:semiHidden/>
    <w:unhideWhenUsed/>
    <w:rsid w:val="005A0D1A"/>
    <w:pPr>
      <w:numPr>
        <w:numId w:val="7"/>
      </w:numPr>
      <w:contextualSpacing/>
    </w:pPr>
  </w:style>
  <w:style w:type="paragraph" w:styleId="ListNumber2">
    <w:name w:val="List Number 2"/>
    <w:basedOn w:val="Normal"/>
    <w:uiPriority w:val="99"/>
    <w:semiHidden/>
    <w:unhideWhenUsed/>
    <w:rsid w:val="005A0D1A"/>
    <w:pPr>
      <w:numPr>
        <w:numId w:val="8"/>
      </w:numPr>
      <w:contextualSpacing/>
    </w:pPr>
  </w:style>
  <w:style w:type="paragraph" w:styleId="ListNumber3">
    <w:name w:val="List Number 3"/>
    <w:basedOn w:val="Normal"/>
    <w:uiPriority w:val="99"/>
    <w:semiHidden/>
    <w:unhideWhenUsed/>
    <w:rsid w:val="005A0D1A"/>
    <w:pPr>
      <w:numPr>
        <w:numId w:val="9"/>
      </w:numPr>
      <w:contextualSpacing/>
    </w:pPr>
  </w:style>
  <w:style w:type="paragraph" w:styleId="ListNumber4">
    <w:name w:val="List Number 4"/>
    <w:basedOn w:val="Normal"/>
    <w:uiPriority w:val="99"/>
    <w:semiHidden/>
    <w:unhideWhenUsed/>
    <w:rsid w:val="005A0D1A"/>
    <w:pPr>
      <w:numPr>
        <w:numId w:val="10"/>
      </w:numPr>
      <w:contextualSpacing/>
    </w:pPr>
  </w:style>
  <w:style w:type="paragraph" w:styleId="ListNumber5">
    <w:name w:val="List Number 5"/>
    <w:basedOn w:val="Normal"/>
    <w:uiPriority w:val="99"/>
    <w:semiHidden/>
    <w:unhideWhenUsed/>
    <w:rsid w:val="005A0D1A"/>
    <w:pPr>
      <w:numPr>
        <w:numId w:val="11"/>
      </w:numPr>
      <w:contextualSpacing/>
    </w:pPr>
  </w:style>
  <w:style w:type="paragraph" w:styleId="ListParagraph">
    <w:name w:val="List Paragraph"/>
    <w:basedOn w:val="Normal"/>
    <w:uiPriority w:val="34"/>
    <w:qFormat/>
    <w:rsid w:val="005A0D1A"/>
    <w:pPr>
      <w:ind w:left="720"/>
      <w:contextualSpacing/>
    </w:pPr>
  </w:style>
  <w:style w:type="paragraph" w:styleId="MacroText">
    <w:name w:val="macro"/>
    <w:link w:val="MacroTextChar"/>
    <w:uiPriority w:val="99"/>
    <w:semiHidden/>
    <w:unhideWhenUsed/>
    <w:rsid w:val="005A0D1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5A0D1A"/>
    <w:rPr>
      <w:rFonts w:ascii="Consolas" w:hAnsi="Consolas" w:cs="Consolas"/>
      <w:sz w:val="20"/>
      <w:szCs w:val="20"/>
    </w:rPr>
  </w:style>
  <w:style w:type="paragraph" w:styleId="NoSpacing">
    <w:name w:val="No Spacing"/>
    <w:uiPriority w:val="1"/>
    <w:rsid w:val="005A0D1A"/>
  </w:style>
  <w:style w:type="paragraph" w:styleId="NormalWeb">
    <w:name w:val="Normal (Web)"/>
    <w:basedOn w:val="Normal"/>
    <w:uiPriority w:val="99"/>
    <w:semiHidden/>
    <w:unhideWhenUsed/>
    <w:rsid w:val="005A0D1A"/>
    <w:rPr>
      <w:rFonts w:cs="Times New Roman"/>
    </w:rPr>
  </w:style>
  <w:style w:type="paragraph" w:styleId="NormalIndent">
    <w:name w:val="Normal Indent"/>
    <w:basedOn w:val="Normal"/>
    <w:uiPriority w:val="99"/>
    <w:semiHidden/>
    <w:unhideWhenUsed/>
    <w:rsid w:val="005A0D1A"/>
    <w:pPr>
      <w:ind w:left="720"/>
    </w:pPr>
  </w:style>
  <w:style w:type="paragraph" w:styleId="NoteHeading">
    <w:name w:val="Note Heading"/>
    <w:basedOn w:val="Normal"/>
    <w:next w:val="Normal"/>
    <w:link w:val="NoteHeadingChar"/>
    <w:uiPriority w:val="99"/>
    <w:semiHidden/>
    <w:unhideWhenUsed/>
    <w:rsid w:val="005A0D1A"/>
  </w:style>
  <w:style w:type="character" w:customStyle="1" w:styleId="NoteHeadingChar">
    <w:name w:val="Note Heading Char"/>
    <w:basedOn w:val="DefaultParagraphFont"/>
    <w:link w:val="NoteHeading"/>
    <w:uiPriority w:val="99"/>
    <w:semiHidden/>
    <w:rsid w:val="005A0D1A"/>
  </w:style>
  <w:style w:type="paragraph" w:styleId="PlainText">
    <w:name w:val="Plain Text"/>
    <w:basedOn w:val="Normal"/>
    <w:link w:val="PlainTextChar"/>
    <w:uiPriority w:val="99"/>
    <w:semiHidden/>
    <w:unhideWhenUsed/>
    <w:rsid w:val="005A0D1A"/>
    <w:rPr>
      <w:rFonts w:ascii="Consolas" w:hAnsi="Consolas" w:cs="Consolas"/>
      <w:sz w:val="21"/>
      <w:szCs w:val="21"/>
    </w:rPr>
  </w:style>
  <w:style w:type="character" w:customStyle="1" w:styleId="PlainTextChar">
    <w:name w:val="Plain Text Char"/>
    <w:basedOn w:val="DefaultParagraphFont"/>
    <w:link w:val="PlainText"/>
    <w:uiPriority w:val="99"/>
    <w:semiHidden/>
    <w:rsid w:val="005A0D1A"/>
    <w:rPr>
      <w:rFonts w:ascii="Consolas" w:hAnsi="Consolas" w:cs="Consolas"/>
      <w:sz w:val="21"/>
      <w:szCs w:val="21"/>
    </w:rPr>
  </w:style>
  <w:style w:type="paragraph" w:styleId="Quote">
    <w:name w:val="Quote"/>
    <w:basedOn w:val="Normal"/>
    <w:next w:val="Normal"/>
    <w:link w:val="QuoteChar"/>
    <w:uiPriority w:val="29"/>
    <w:rsid w:val="005A0D1A"/>
    <w:rPr>
      <w:i/>
      <w:iCs/>
      <w:color w:val="000000" w:themeColor="text1"/>
    </w:rPr>
  </w:style>
  <w:style w:type="character" w:customStyle="1" w:styleId="QuoteChar">
    <w:name w:val="Quote Char"/>
    <w:basedOn w:val="DefaultParagraphFont"/>
    <w:link w:val="Quote"/>
    <w:uiPriority w:val="29"/>
    <w:rsid w:val="005A0D1A"/>
    <w:rPr>
      <w:i/>
      <w:iCs/>
      <w:color w:val="000000" w:themeColor="text1"/>
    </w:rPr>
  </w:style>
  <w:style w:type="paragraph" w:styleId="Salutation">
    <w:name w:val="Salutation"/>
    <w:basedOn w:val="Normal"/>
    <w:next w:val="Normal"/>
    <w:link w:val="SalutationChar"/>
    <w:uiPriority w:val="99"/>
    <w:semiHidden/>
    <w:unhideWhenUsed/>
    <w:rsid w:val="005A0D1A"/>
  </w:style>
  <w:style w:type="character" w:customStyle="1" w:styleId="SalutationChar">
    <w:name w:val="Salutation Char"/>
    <w:basedOn w:val="DefaultParagraphFont"/>
    <w:link w:val="Salutation"/>
    <w:uiPriority w:val="99"/>
    <w:semiHidden/>
    <w:rsid w:val="005A0D1A"/>
  </w:style>
  <w:style w:type="paragraph" w:styleId="TableofAuthorities">
    <w:name w:val="table of authorities"/>
    <w:basedOn w:val="Normal"/>
    <w:next w:val="Normal"/>
    <w:uiPriority w:val="99"/>
    <w:semiHidden/>
    <w:unhideWhenUsed/>
    <w:rsid w:val="005A0D1A"/>
    <w:pPr>
      <w:ind w:left="240" w:hanging="240"/>
    </w:pPr>
  </w:style>
  <w:style w:type="paragraph" w:styleId="TableofFigures">
    <w:name w:val="table of figures"/>
    <w:basedOn w:val="Normal"/>
    <w:next w:val="Normal"/>
    <w:uiPriority w:val="99"/>
    <w:semiHidden/>
    <w:unhideWhenUsed/>
    <w:rsid w:val="005A0D1A"/>
  </w:style>
  <w:style w:type="character" w:customStyle="1" w:styleId="00BodyText5Char">
    <w:name w:val="00 Body Text .5 Char"/>
    <w:link w:val="00BodyText5"/>
    <w:rsid w:val="00BF409F"/>
  </w:style>
  <w:style w:type="numbering" w:customStyle="1" w:styleId="Style1">
    <w:name w:val="Style1"/>
    <w:uiPriority w:val="99"/>
    <w:rsid w:val="00BF409F"/>
    <w:pPr>
      <w:numPr>
        <w:numId w:val="21"/>
      </w:numPr>
    </w:pPr>
  </w:style>
  <w:style w:type="paragraph" w:customStyle="1" w:styleId="TitleC">
    <w:name w:val="* Title C"/>
    <w:basedOn w:val="Normal"/>
    <w:rsid w:val="00815111"/>
    <w:pPr>
      <w:keepNext/>
      <w:spacing w:after="240"/>
      <w:jc w:val="center"/>
    </w:pPr>
    <w:rPr>
      <w:rFonts w:eastAsia="Times New Roman" w:cs="Times New Roman"/>
      <w:b/>
    </w:rPr>
  </w:style>
  <w:style w:type="character" w:styleId="CommentReference">
    <w:name w:val="annotation reference"/>
    <w:basedOn w:val="DefaultParagraphFont"/>
    <w:unhideWhenUsed/>
    <w:rsid w:val="00B634F7"/>
    <w:rPr>
      <w:sz w:val="16"/>
      <w:szCs w:val="16"/>
    </w:rPr>
  </w:style>
  <w:style w:type="paragraph" w:customStyle="1" w:styleId="00SignatureLEFT">
    <w:name w:val="00 Signature LEFT"/>
    <w:basedOn w:val="Normal"/>
    <w:link w:val="00SignatureLEFTChar"/>
    <w:qFormat/>
    <w:rsid w:val="00013B8F"/>
    <w:pPr>
      <w:tabs>
        <w:tab w:val="right" w:pos="4680"/>
      </w:tabs>
      <w:suppressAutoHyphens/>
      <w:ind w:right="4680"/>
      <w:jc w:val="both"/>
    </w:pPr>
    <w:rPr>
      <w:szCs w:val="20"/>
    </w:rPr>
  </w:style>
  <w:style w:type="character" w:customStyle="1" w:styleId="00SignatureLEFTChar">
    <w:name w:val="00 Signature LEFT Char"/>
    <w:basedOn w:val="DefaultParagraphFont"/>
    <w:link w:val="00SignatureLEFT"/>
    <w:rsid w:val="00013B8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40562">
      <w:bodyDiv w:val="1"/>
      <w:marLeft w:val="0"/>
      <w:marRight w:val="0"/>
      <w:marTop w:val="0"/>
      <w:marBottom w:val="0"/>
      <w:divBdr>
        <w:top w:val="none" w:sz="0" w:space="0" w:color="auto"/>
        <w:left w:val="none" w:sz="0" w:space="0" w:color="auto"/>
        <w:bottom w:val="none" w:sz="0" w:space="0" w:color="auto"/>
        <w:right w:val="none" w:sz="0" w:space="0" w:color="auto"/>
      </w:divBdr>
    </w:div>
    <w:div w:id="1768579926">
      <w:bodyDiv w:val="1"/>
      <w:marLeft w:val="0"/>
      <w:marRight w:val="0"/>
      <w:marTop w:val="0"/>
      <w:marBottom w:val="0"/>
      <w:divBdr>
        <w:top w:val="none" w:sz="0" w:space="0" w:color="auto"/>
        <w:left w:val="none" w:sz="0" w:space="0" w:color="auto"/>
        <w:bottom w:val="none" w:sz="0" w:space="0" w:color="auto"/>
        <w:right w:val="none" w:sz="0" w:space="0" w:color="auto"/>
      </w:divBdr>
    </w:div>
    <w:div w:id="1950580281">
      <w:bodyDiv w:val="1"/>
      <w:marLeft w:val="0"/>
      <w:marRight w:val="0"/>
      <w:marTop w:val="0"/>
      <w:marBottom w:val="0"/>
      <w:divBdr>
        <w:top w:val="none" w:sz="0" w:space="0" w:color="auto"/>
        <w:left w:val="none" w:sz="0" w:space="0" w:color="auto"/>
        <w:bottom w:val="none" w:sz="0" w:space="0" w:color="auto"/>
        <w:right w:val="none" w:sz="0" w:space="0" w:color="auto"/>
      </w:divBdr>
    </w:div>
    <w:div w:id="20598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allard%20Spahr%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4B900-9BA5-437C-884D-DF8E27F6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165</TotalTime>
  <Pages>24</Pages>
  <Words>6687</Words>
  <Characters>38122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Laury Tuttle</dc:creator>
  <cp:lastModifiedBy>Tracy, Rene (G&amp;B)</cp:lastModifiedBy>
  <cp:revision>30</cp:revision>
  <cp:lastPrinted>2017-07-06T16:12:00Z</cp:lastPrinted>
  <dcterms:created xsi:type="dcterms:W3CDTF">2025-08-18T18:03:00Z</dcterms:created>
  <dcterms:modified xsi:type="dcterms:W3CDTF">2025-10-03T18:54:00Z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Type">
    <vt:lpwstr>pcgBlank</vt:lpwstr>
  </op:property>
  <op:property fmtid="{D5CDD505-2E9C-101B-9397-08002B2CF9AE}" pid="3" name="DocID">
    <vt:lpwstr>DMWEST #9689868 v5</vt:lpwstr>
  </op:property>
  <op:property fmtid="{D5CDD505-2E9C-101B-9397-08002B2CF9AE}" pid="4" name="ndDocumentId">
    <vt:lpwstr>4935-9287-0240</vt:lpwstr>
  </op:property>
</op:Properties>
</file>