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Minutes" w:id="0"/>
    <w:bookmarkEnd w:id="0"/>
    <w:p>
      <w:pPr>
        <w:jc w:val="center"/>
      </w:pPr>
      <w:r>
        <w:drawing>
          <wp:inline xmlns:wp="http://schemas.openxmlformats.org/drawingml/2006/wordprocessingDrawing">
            <wp:extent cx="3219450" cy="1428750"/>
            <wp:docPr id="1" name="large" descr="" title=""/>
            <a:graphic xmlns:a="http://schemas.openxmlformats.org/drawingml/2006/main">
              <a:graphicData uri="http://schemas.openxmlformats.org/drawingml/2006/picture">
                <pic:pic xmlns:pic="http://schemas.openxmlformats.org/drawingml/2006/picture">
                  <pic:nvPicPr>
                    <pic:cNvPr id="0" name="large"/>
                    <pic:cNvPicPr/>
                  </pic:nvPicPr>
                  <pic:blipFill>
                    <a:blip xmlns:r="http://schemas.openxmlformats.org/officeDocument/2006/relationships" r:embed="rIdHtmlImg1"/>
                    <a:stretch>
                      <a:fillRect/>
                    </a:stretch>
                  </pic:blipFill>
                  <pic:spPr>
                    <a:xfrm>
                      <a:off x="0" y="0"/>
                      <a:ext cx="3219450" cy="1428750"/>
                    </a:xfrm>
                    <a:prstGeom prst="rect"/>
                  </pic:spPr>
                </pic:pic>
              </a:graphicData>
            </a:graphic>
          </wp:inline>
        </w:drawing>
      </w:r>
    </w:p>
    <w:p>
      <w:r>
        <w:rPr>
          <w:b w:val="false"/>
          <w:sz w:val="27"/>
          <w:szCs w:val="27"/>
        </w:rPr>
        <w:t xml:space="preserve"> </w:t>
      </w:r>
    </w:p>
    <w:p>
      <w:pPr>
        <w:pStyle w:val="Heading1"/>
        <w:jc w:val="center"/>
      </w:pPr>
      <w:r>
        <w:rPr>
          <w:b w:val="true"/>
          <w:sz w:val="34"/>
          <w:szCs w:val="34"/>
        </w:rPr>
        <w:t xml:space="preserve">Board of Education Work Session - Sep 23 2025 Minutes</w:t>
      </w:r>
    </w:p>
    <w:p>
      <w:pPr>
        <w:jc w:val="center"/>
      </w:pPr>
      <w:r>
        <w:rPr>
          <w:b w:val="false"/>
          <w:sz w:val="27"/>
          <w:szCs w:val="27"/>
        </w:rPr>
        <w:t xml:space="preserve">Tuesday, September 23, 2025, at 6:00 PM</w:t>
      </w:r>
    </w:p>
    <w:p>
      <w:pPr>
        <w:jc w:val="center"/>
      </w:pPr>
      <w:r>
        <w:rPr>
          <w:b w:val="false"/>
          <w:sz w:val="27"/>
          <w:szCs w:val="27"/>
        </w:rPr>
        <w:t xml:space="preserve">Tooele County School District 92 Lodestone Way Tooele, Utah 84074</w:t>
      </w:r>
    </w:p>
    <w:p>
      <w:pPr>
        <w:jc w:val="center"/>
      </w:pPr>
      <w:r>
        <w:rPr>
          <w:b w:val="false"/>
          <w:sz w:val="27"/>
          <w:szCs w:val="27"/>
        </w:rPr>
        <w:t xml:space="preserve"> </w:t>
      </w:r>
    </w:p>
    <w:p>
      <w:r>
        <w:rPr>
          <w:b w:val="false"/>
          <w:sz w:val="27"/>
          <w:szCs w:val="27"/>
        </w:rPr>
        <w:t xml:space="preserve"> </w:t>
      </w:r>
    </w:p>
    <w:p>
      <w:r>
        <w:rPr>
          <w:b w:val="false"/>
          <w:sz w:val="27"/>
          <w:szCs w:val="27"/>
        </w:rPr>
        <w:t xml:space="preserve">THESE MINUTES HAVE NOT YET BEEN FORMALLY APPROVED BY THE BOARD OF EDUCATION AND, UNTIL SUCH FORMAL APPROVAL, ARE SUBJECT TO CHANGE</w:t>
      </w:r>
    </w:p>
    <w:p>
      <w:r>
        <w:rPr>
          <w:b w:val="false"/>
          <w:sz w:val="27"/>
          <w:szCs w:val="27"/>
        </w:rPr>
        <w:t xml:space="preserve"> </w:t>
      </w:r>
    </w:p>
    <w:p>
      <w:r>
        <w:rPr>
          <w:b w:val="true"/>
          <w:sz w:val="27"/>
          <w:szCs w:val="27"/>
        </w:rPr>
        <w:t xml:space="preserve">Board members present: </w:t>
      </w:r>
      <w:r>
        <w:rPr>
          <w:b w:val="false"/>
          <w:sz w:val="27"/>
          <w:szCs w:val="27"/>
        </w:rPr>
        <w:t xml:space="preserve"> Scott Bryan, Robert Gowans, Melissa Rich, Emily Syphus, Todd Thompson, ValaRee Shields, Elizabeth Smith </w:t>
      </w:r>
    </w:p>
    <w:p>
      <w:r>
        <w:rPr>
          <w:b w:val="true"/>
          <w:sz w:val="27"/>
          <w:szCs w:val="27"/>
        </w:rPr>
        <w:t xml:space="preserve">Administration Present: </w:t>
      </w:r>
      <w:r>
        <w:rPr>
          <w:b w:val="false"/>
          <w:sz w:val="27"/>
          <w:szCs w:val="27"/>
        </w:rPr>
        <w:t xml:space="preserve"> Superintendent  Ernst,  Lark Reynolds, Dr. Jeff Hamm, Dr Cody Reutzel, Brad Hranicky, Dr. Sarah Jarnagin, Angie Gillette, Dustin Nelson, Jackie Gallegos, Heather Castagno, Ian Silva, Robert Curfew</w:t>
      </w:r>
    </w:p>
    <w:p>
      <w:pPr>
        <w:spacing w:line="20" w:lineRule="exact"/>
      </w:pPr>
    </w:p>
    <w:bookmarkStart w:name="TemplateTable-12" w:id="12"/>
    <w:bookmarkEnd w:id="12"/>
    <w:tbl>
      <w:tblPr>
        <w:tblW w:w="0" w:type="dxa"/>
        <w:tblLayout w:type="fixed"/>
      </w:tblPr>
      <w:tblGrid>
        <w:gridCol w:w="10800"/>
      </w:tblGrid>
      <w:tr>
        <w:trPr>
          <w:cantSplit w:val="off"/>
        </w:trPr>
        <w:tc>
          <w:tcPr>
            <w:tcW w:w="10800" w:type="dxa"/>
          </w:tcPr>
          <w:p>
            <w:pPr>
              <w:jc w:val="right"/>
            </w:pPr>
            <w:sdt>
              <w:sdtPr>
                <w:id w:val="-1"/>
                <w:placeholder/>
                <w:t/>
              </w:sdtPr>
              <w:sdtContent>
                <w:r>
                  <w:t>Page</w:t>
                </w:r>
              </w:sdtContent>
            </w:sdt>
          </w:p>
        </w:tc>
      </w:tr>
    </w:tbl>
    <w:bookmarkStart w:name="MinutesHeading31146" w:id="31146"/>
    <w:bookmarkEnd w:id="31146"/>
    <w:p>
      <w:pPr>
        <w:spacing w:line="100" w:lineRule="exact"/>
      </w:pPr>
    </w:p>
    <w:bookmarkStart w:name="TemplateTable-18" w:id="18"/>
    <w:bookmarkEnd w:id="18"/>
    <w:tbl>
      <w:tblPr>
        <w:tblW w:w="0" w:type="dxa"/>
        <w:tblLayout w:type="fixed"/>
      </w:tblPr>
      <w:tblGrid>
        <w:gridCol w:w="720"/>
        <w:gridCol w:w="8640"/>
        <w:gridCol w:w="1440"/>
      </w:tblGrid>
      <w:tr>
        <w:trPr>
          <w:cantSplit w:val="off"/>
        </w:trPr>
        <w:tc>
          <w:tcPr>
            <w:tcW w:w="720" w:type="dxa"/>
          </w:tcPr>
          <w:p>
            <w:r>
              <w:rPr>
                <w:b w:val="true"/>
              </w:rPr>
              <w:t>1.</w:t>
            </w:r>
          </w:p>
        </w:tc>
        <w:tc>
          <w:tcPr>
            <w:tcW w:w="8640" w:type="dxa"/>
          </w:tcPr>
          <w:p>
            <w:pPr>
              <w:pStyle w:val="Heading2"/>
            </w:pPr>
            <w:r>
              <w:rPr>
                <w:b w:val="true"/>
              </w:rPr>
              <w:t xml:space="preserve">Work Session 6 pm (A work session is intended to provide opportunities for board members to study issues in depth, gather and analyze information, and clarify situations and potential solutions. The Board will not make decision or take any action during a work session. While open to the public, these sessions are more informal than the regular board meeting.)</w:t>
            </w:r>
          </w:p>
          <w:p>
            <w:pPr>
              <w:spacing w:line="20" w:lineRule="exact"/>
            </w:pPr>
          </w:p>
        </w:tc>
        <w:tc>
          <w:tcPr>
            <w:tcW w:w="1440" w:type="dxa"/>
          </w:tcPr>
          <w:p/>
        </w:tc>
      </w:tr>
    </w:tbl>
    <w:bookmarkStart w:name="MinutesItem31150" w:id="31150"/>
    <w:bookmarkEnd w:id="31150"/>
    <w:p>
      <w:pPr>
        <w:spacing w:line="100" w:lineRule="exact"/>
      </w:pPr>
    </w:p>
    <w:bookmarkStart w:name="TemplateTable-24" w:id="24"/>
    <w:bookmarkEnd w:id="24"/>
    <w:tbl>
      <w:tblPr>
        <w:tblW w:w="0" w:type="dxa"/>
        <w:tblLayout w:type="fixed"/>
      </w:tblPr>
      <w:tblGrid>
        <w:gridCol w:w="1296"/>
        <w:gridCol w:w="864"/>
        <w:gridCol w:w="7200"/>
        <w:gridCol w:w="1440"/>
      </w:tblGrid>
      <w:tr>
        <w:trPr>
          <w:cantSplit w:val="off"/>
        </w:trPr>
        <w:tc>
          <w:tcPr>
            <w:tcW w:w="1296" w:type="dxa"/>
          </w:tcPr>
          <w:p/>
        </w:tc>
        <w:tc>
          <w:tcPr>
            <w:tcW w:w="864" w:type="dxa"/>
          </w:tcPr>
          <w:p>
            <w:r>
              <w:t>1.1</w:t>
            </w:r>
          </w:p>
        </w:tc>
        <w:tc>
          <w:tcPr>
            <w:tcW w:w="7200" w:type="dxa"/>
          </w:tcPr>
          <w:p>
            <w:pPr>
              <w:pStyle w:val="Heading3"/>
            </w:pPr>
            <w:r>
              <w:rPr>
                <w:b w:val="false"/>
              </w:rPr>
              <w:t xml:space="preserve">Welcome and Roll Call</w:t>
            </w:r>
          </w:p>
          <w:p>
            <w:pPr>
              <w:spacing w:after="120"/>
            </w:pPr>
            <w:r>
              <w:rPr>
                <w:b w:val="false"/>
                <w:sz w:val="27"/>
                <w:szCs w:val="27"/>
              </w:rPr>
              <w:t xml:space="preserve">President Rich  called the meeting to order at 6:00 pm. </w:t>
            </w:r>
          </w:p>
        </w:tc>
        <w:tc>
          <w:tcPr>
            <w:tcW w:w="1440" w:type="dxa"/>
          </w:tcPr>
          <w:p/>
        </w:tc>
      </w:tr>
    </w:tbl>
    <w:bookmarkStart w:name="MinutesItem31152" w:id="31152"/>
    <w:bookmarkEnd w:id="31152"/>
    <w:p>
      <w:pPr>
        <w:spacing w:line="100" w:lineRule="exact"/>
      </w:pPr>
    </w:p>
    <w:bookmarkStart w:name="TemplateTable-30" w:id="30"/>
    <w:bookmarkEnd w:id="30"/>
    <w:tbl>
      <w:tblPr>
        <w:tblW w:w="0" w:type="dxa"/>
        <w:tblLayout w:type="fixed"/>
      </w:tblPr>
      <w:tblGrid>
        <w:gridCol w:w="1296"/>
        <w:gridCol w:w="864"/>
        <w:gridCol w:w="7200"/>
        <w:gridCol w:w="1440"/>
      </w:tblGrid>
      <w:tr>
        <w:trPr>
          <w:cantSplit w:val="off"/>
        </w:trPr>
        <w:tc>
          <w:tcPr>
            <w:tcW w:w="1296" w:type="dxa"/>
          </w:tcPr>
          <w:p/>
        </w:tc>
        <w:tc>
          <w:tcPr>
            <w:tcW w:w="864" w:type="dxa"/>
          </w:tcPr>
          <w:p>
            <w:r>
              <w:t>1.2</w:t>
            </w:r>
          </w:p>
        </w:tc>
        <w:tc>
          <w:tcPr>
            <w:tcW w:w="7200" w:type="dxa"/>
          </w:tcPr>
          <w:p>
            <w:pPr>
              <w:pStyle w:val="Heading3"/>
            </w:pPr>
            <w:r>
              <w:rPr>
                <w:b w:val="false"/>
              </w:rPr>
              <w:t xml:space="preserve">10 Year Operations Report</w:t>
            </w:r>
          </w:p>
          <w:p>
            <w:pPr>
              <w:spacing w:after="120"/>
            </w:pPr>
            <w:r>
              <w:rPr>
                <w:b w:val="false"/>
                <w:sz w:val="27"/>
                <w:szCs w:val="27"/>
              </w:rPr>
              <w:t xml:space="preserve">Ian Silva, Operations Director, presented the 10-Year Needs Report to the Board of Education, outlining Tooele County School District’s long-term facility priorities and strategic planning efforts. His presentation was based on a comprehensive evaluation of the district’s buildings and infrastructure, incorporating data from the Facility Condition Index (FCI), RSMeans cost estimates, and state safety and security requirements. Mr. Silva addressed compliance with recent legislative mandates, including HB 84 (2024) and HB 40 (2025), which require upgrades to emergency communication systems, ballistic-rated glazing, and secure entryways. He emphasized that while these safety improvements are essential, they remain largely unfunded, presenting a significant financial challenge for the district.</w:t>
            </w:r>
          </w:p>
          <w:p>
            <w:pPr>
              <w:spacing w:after="120"/>
            </w:pPr>
            <w:r>
              <w:rPr>
                <w:b w:val="false"/>
                <w:sz w:val="27"/>
                <w:szCs w:val="27"/>
              </w:rPr>
              <w:t xml:space="preserve">Mr. Silva discussed the limitations of the current capital improvement budget, noting that although prioritization has improved, funding has not kept pace with facility needs. He introduced a list of future projects for consideration, including athletic field upgrades, teen centers, solar energy systems, and classroom modernization. He stressed the importance of continued investment to support safe, functional, and future-ready learning environments. Mr. Silva also explained a shift in approach from distributing resources equally across all schools to a more strategic, needs-based prioritization model, distinguishing between wants and needs.</w:t>
            </w:r>
          </w:p>
          <w:p>
            <w:pPr>
              <w:spacing w:after="120"/>
            </w:pPr>
            <w:r>
              <w:rPr>
                <w:b w:val="false"/>
                <w:sz w:val="27"/>
                <w:szCs w:val="27"/>
              </w:rPr>
              <w:t xml:space="preserve">Board members engaged in a detailed discussion following the presentation. Member Syphus expressed concern that delaying projects could lead to increased costs due to inflation. Member Bryan asked whether security-related items were included in the proposed projects, and Mr. Silva confirmed that many were, though funding remains a concern. President Rich inquired about the district’s capacity to execute these projects, and Mr. Silva clarified that most large-scale items would be contracted out. Member Bryan also questioned the difference between priority levels 1 and 2 on page 8 of the report, and Mr. Silva explained that the district is now carefully vetting projects to ensure alignment with actual needs.</w:t>
            </w:r>
          </w:p>
          <w:p>
            <w:pPr>
              <w:spacing w:after="120"/>
            </w:pPr>
            <w:r>
              <w:rPr>
                <w:b w:val="false"/>
                <w:sz w:val="27"/>
                <w:szCs w:val="27"/>
              </w:rPr>
              <w:t xml:space="preserve">Member Thompson emphasized the importance of scrutinizing each project, understanding the associated costs, and maintaining transparency. He requested that future presentations be delivered in a standardized report format. Mr. Silva reminded the board that systems such as HVAC units have defined useful lifespans and must be replaced accordingly. President Rich raised the possibility of using reserve funds to address urgent facility needs. Vice President Gowans asked Mr. Silva to elaborate on the district’s preventative maintenance strategy, and Member Thompson requested data from the three pilot schools before expanding initiatives district-wide.</w:t>
            </w:r>
          </w:p>
          <w:p>
            <w:pPr>
              <w:spacing w:after="120"/>
            </w:pPr>
            <w:r>
              <w:rPr>
                <w:b w:val="false"/>
                <w:sz w:val="27"/>
                <w:szCs w:val="27"/>
              </w:rPr>
              <w:t xml:space="preserve">The board also discussed the potential for a future bond initiative, concluding that success is unlikely within the next three years. Vice President Gowans recommended that staff develop a concrete list of priorities and accurate financials, including adjustments for the $40 million allocated to repay the MBA Bond. Member Bryan suggested that closing certain schools could reduce maintenance burdens, and President Rich proposed exploring the idea of moving the 6th grade into junior high schools.</w:t>
            </w:r>
          </w:p>
          <w:p>
            <w:pPr>
              <w:spacing w:after="120"/>
            </w:pPr>
            <w:r>
              <w:rPr>
                <w:b w:val="false"/>
                <w:sz w:val="27"/>
                <w:szCs w:val="27"/>
              </w:rPr>
              <w:t xml:space="preserve">In closing, Superintendent Mark Ernst recapped the board’s requests and confirmed that he will work closely with his executive team to gather the necessary information and develop a refined plan. Board members requested that any materials or recommendations be provided at least two weeks prior to the board meeting in which they will be discussed, to allow sufficient time for review and analysis. Member Thompson specifically asked for detailed breakdowns, including what was spent, what could have been spent, the rationale behind decisions, and how those choices may result in future savings. The board also expressed interest in reviewing Priority 1 items and identifying any Priority 2 items that may need to be elevated. Cost estimates for recommended actions and a final accounting of reserve funds will be included. The team will begin work immediately and aim to bring the information back to the board as soon as possible, targeting a December or January timeframe</w:t>
            </w:r>
          </w:p>
          <w:p>
            <w:pPr>
              <w:spacing w:after="120"/>
            </w:pPr>
            <w:hyperlink w:tooltip="ItemAttachment50850e7e-1356-47a1-b662-c9c4485451df" r:id="R7c42d0e6d20745d9">
              <w:r>
                <w:rPr>
                  <w:color w:val="5d7599"/>
                  <w:sz w:val="27"/>
                  <w:szCs w:val="27"/>
                  <w:u w:val="single"/>
                </w:rPr>
                <w:t>10 Year Needs Report.pdf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2"/>
                          <a:stretch>
                            <a:fillRect/>
                          </a:stretch>
                        </pic:blipFill>
                        <pic:spPr>
                          <a:xfrm>
                            <a:off x="0" y="0"/>
                            <a:ext cx="123825" cy="123825"/>
                          </a:xfrm>
                          <a:prstGeom prst="rect"/>
                        </pic:spPr>
                      </pic:pic>
                    </a:graphicData>
                  </a:graphic>
                </wp:inline>
              </w:drawing>
            </w:r>
            <w:r>
              <w:rPr>
                <w:b w:val="false"/>
                <w:sz w:val="27"/>
                <w:szCs w:val="27"/>
              </w:rPr>
              <w:t xml:space="preserve"> </w:t>
            </w:r>
          </w:p>
          <w:p>
            <w:pPr>
              <w:spacing w:after="120"/>
            </w:pPr>
            <w:r>
              <w:rPr>
                <w:b w:val="false"/>
                <w:sz w:val="27"/>
                <w:szCs w:val="27"/>
              </w:rPr>
              <w:t xml:space="preserve"> </w:t>
            </w:r>
          </w:p>
        </w:tc>
        <w:tc>
          <w:tcPr>
            <w:tcW w:w="1440" w:type="dxa"/>
          </w:tcPr>
          <w:p>
            <w:pPr>
              <w:jc w:val="right"/>
            </w:pPr>
            <w:sdt>
              <w:sdtPr>
                <w:id w:val="31152"/>
                <w:placeholder/>
                <w:t/>
              </w:sdtPr>
              <w:sdtContent>
                <w:r>
                  <w:rPr>
                    <w:sz w:val="27"/>
                    <w:szCs w:val="27"/>
                  </w:rPr>
                  <w:t># - #</w:t>
                </w:r>
              </w:sdtContent>
            </w:sdt>
          </w:p>
        </w:tc>
      </w:tr>
    </w:tbl>
    <w:bookmarkStart w:name="MinutesItem31154" w:id="31154"/>
    <w:bookmarkEnd w:id="31154"/>
    <w:p>
      <w:pPr>
        <w:spacing w:line="100" w:lineRule="exact"/>
      </w:pPr>
    </w:p>
    <w:bookmarkStart w:name="TemplateTable-36" w:id="36"/>
    <w:bookmarkEnd w:id="36"/>
    <w:tbl>
      <w:tblPr>
        <w:tblW w:w="0" w:type="dxa"/>
        <w:tblLayout w:type="fixed"/>
      </w:tblPr>
      <w:tblGrid>
        <w:gridCol w:w="1296"/>
        <w:gridCol w:w="864"/>
        <w:gridCol w:w="7200"/>
        <w:gridCol w:w="1440"/>
      </w:tblGrid>
      <w:tr>
        <w:trPr>
          <w:cantSplit w:val="off"/>
        </w:trPr>
        <w:tc>
          <w:tcPr>
            <w:tcW w:w="1296" w:type="dxa"/>
          </w:tcPr>
          <w:p/>
        </w:tc>
        <w:tc>
          <w:tcPr>
            <w:tcW w:w="864" w:type="dxa"/>
          </w:tcPr>
          <w:p>
            <w:r>
              <w:t>1.3</w:t>
            </w:r>
          </w:p>
        </w:tc>
        <w:tc>
          <w:tcPr>
            <w:tcW w:w="7200" w:type="dxa"/>
          </w:tcPr>
          <w:p>
            <w:pPr>
              <w:pStyle w:val="Heading3"/>
            </w:pPr>
            <w:r>
              <w:rPr>
                <w:b w:val="false"/>
              </w:rPr>
              <w:t xml:space="preserve">Safety and Compliance Director Report</w:t>
            </w:r>
          </w:p>
          <w:p>
            <w:pPr>
              <w:spacing w:after="120"/>
            </w:pPr>
            <w:r>
              <w:rPr>
                <w:b w:val="false"/>
                <w:sz w:val="27"/>
                <w:szCs w:val="27"/>
              </w:rPr>
              <w:t xml:space="preserve">Bob Curfew, Safety and Security Director, presented an overview of Tooele County School District’s strategic initiatives and compliance efforts aimed at enhancing safety and security across all schools. He emphasized a multi-faceted approach that integrates legislative compliance, evidence-based threat assessment protocols, infrastructure upgrades, and personnel training. A central focus of the presentation was the implementation of the Comprehensive School Threat Assessment Guidelines (CSTAG), developed by Dr. Dewey Cornell, which the district has identified as a strategic priority to improve early identification and response to potential threats.</w:t>
            </w:r>
          </w:p>
          <w:p>
            <w:pPr>
              <w:spacing w:after="120"/>
            </w:pPr>
            <w:r>
              <w:rPr>
                <w:b w:val="false"/>
                <w:sz w:val="27"/>
                <w:szCs w:val="27"/>
              </w:rPr>
              <w:t xml:space="preserve">Mr. Curfew also addressed the district’s compliance with House Bill 84, highlighting six key safety requirements: armed presence on campuses, wearable panic buttons for staff, first aid and bleed control kits in every classroom, interior door locks for all classrooms, window security film on ground-level windows, and comprehensive camera coverage at all school entrances. These measures are being prioritized to meet state mandates and improve overall school safety.</w:t>
            </w:r>
          </w:p>
          <w:p>
            <w:pPr>
              <w:spacing w:after="120"/>
            </w:pPr>
            <w:r>
              <w:rPr>
                <w:b w:val="false"/>
                <w:sz w:val="27"/>
                <w:szCs w:val="27"/>
              </w:rPr>
              <w:t xml:space="preserve">The district is also moving forward with the installation of the Raptor Visitor Management System in all schools by October 2025. This system allows visitors to check in either by scanning a government-issued ID or using a mobile app. Questions were raised about the app’s ability to stay current and updated, which will be reviewed as part of the implementation process.</w:t>
            </w:r>
          </w:p>
          <w:p>
            <w:pPr>
              <w:spacing w:after="120"/>
            </w:pPr>
            <w:r>
              <w:rPr>
                <w:b w:val="false"/>
                <w:sz w:val="27"/>
                <w:szCs w:val="27"/>
              </w:rPr>
              <w:t xml:space="preserve">Mr. Curfew provided an update on the Armed Guardian Program, noting that approximately 20% of applicants are not recommended as fit to carry. Those who pass the initial screening undergo extensive training with the Sheriff’s Office, including two full days of firearms training on the range and four hours of active assailant scenario training. He acknowledged challenges in recruiting participants and discussed the need for financial incentives to support and expand the program. Guardians are required to requalify annually to maintain their certification.</w:t>
            </w:r>
          </w:p>
          <w:p>
            <w:pPr>
              <w:spacing w:after="120"/>
            </w:pPr>
            <w:r>
              <w:rPr>
                <w:b w:val="false"/>
                <w:sz w:val="27"/>
                <w:szCs w:val="27"/>
              </w:rPr>
              <w:t xml:space="preserve">In closing, Mr. Curfew recommended that the Board consider financing the initiative with a focus on meeting the 2030 deadline first, as legislative requirements for initiatives with later deadlines may be subject to change before those dates arrive.</w:t>
            </w:r>
          </w:p>
          <w:p>
            <w:pPr>
              <w:spacing w:after="120"/>
            </w:pPr>
            <w:hyperlink w:tooltip="ItemAttachmenta72a062a-aa05-4d0e-9bfd-7e7fe2a86896" r:id="Rf89c2a2461294f8e">
              <w:r>
                <w:rPr>
                  <w:color w:val="5d7599"/>
                  <w:sz w:val="27"/>
                  <w:szCs w:val="27"/>
                  <w:u w:val="single"/>
                </w:rPr>
                <w:t>Safety and Security Board Report 2025.pdf</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3"/>
                          <a:stretch>
                            <a:fillRect/>
                          </a:stretch>
                        </pic:blipFill>
                        <pic:spPr>
                          <a:xfrm>
                            <a:off x="0" y="0"/>
                            <a:ext cx="123825" cy="123825"/>
                          </a:xfrm>
                          <a:prstGeom prst="rect"/>
                        </pic:spPr>
                      </pic:pic>
                    </a:graphicData>
                  </a:graphic>
                </wp:inline>
              </w:drawing>
            </w:r>
            <w:r>
              <w:rPr>
                <w:b w:val="false"/>
                <w:sz w:val="27"/>
                <w:szCs w:val="27"/>
              </w:rPr>
              <w:t xml:space="preserve"> </w:t>
            </w:r>
          </w:p>
          <w:p>
            <w:pPr>
              <w:spacing w:after="120"/>
            </w:pPr>
            <w:r>
              <w:rPr>
                <w:b w:val="false"/>
                <w:sz w:val="27"/>
                <w:szCs w:val="27"/>
              </w:rPr>
              <w:t xml:space="preserve"> </w:t>
            </w:r>
          </w:p>
        </w:tc>
        <w:tc>
          <w:tcPr>
            <w:tcW w:w="1440" w:type="dxa"/>
          </w:tcPr>
          <w:p>
            <w:pPr>
              <w:jc w:val="right"/>
            </w:pPr>
            <w:sdt>
              <w:sdtPr>
                <w:id w:val="31154"/>
                <w:placeholder/>
                <w:t/>
              </w:sdtPr>
              <w:sdtContent>
                <w:r>
                  <w:rPr>
                    <w:sz w:val="27"/>
                    <w:szCs w:val="27"/>
                  </w:rPr>
                  <w:t># - #</w:t>
                </w:r>
              </w:sdtContent>
            </w:sdt>
          </w:p>
        </w:tc>
      </w:tr>
    </w:tbl>
    <w:bookmarkStart w:name="MinutesHeading31148" w:id="31148"/>
    <w:bookmarkEnd w:id="31148"/>
    <w:p>
      <w:pPr>
        <w:spacing w:line="100" w:lineRule="exact"/>
      </w:pPr>
    </w:p>
    <w:bookmarkStart w:name="TemplateTable-42" w:id="42"/>
    <w:bookmarkEnd w:id="42"/>
    <w:tbl>
      <w:tblPr>
        <w:tblW w:w="0" w:type="dxa"/>
        <w:tblLayout w:type="fixed"/>
      </w:tblPr>
      <w:tblGrid>
        <w:gridCol w:w="720"/>
        <w:gridCol w:w="8640"/>
        <w:gridCol w:w="1440"/>
      </w:tblGrid>
      <w:tr>
        <w:trPr>
          <w:cantSplit w:val="off"/>
        </w:trPr>
        <w:tc>
          <w:tcPr>
            <w:tcW w:w="720" w:type="dxa"/>
          </w:tcPr>
          <w:p>
            <w:r>
              <w:rPr>
                <w:b w:val="true"/>
              </w:rPr>
              <w:t>2.</w:t>
            </w:r>
          </w:p>
        </w:tc>
        <w:tc>
          <w:tcPr>
            <w:tcW w:w="8640" w:type="dxa"/>
          </w:tcPr>
          <w:p>
            <w:pPr>
              <w:pStyle w:val="Heading2"/>
            </w:pPr>
            <w:r>
              <w:rPr>
                <w:b w:val="true"/>
              </w:rPr>
              <w:t xml:space="preserve">Adjourn (10 pm Curfew)</w:t>
            </w:r>
          </w:p>
          <w:p>
            <w:pPr>
              <w:spacing w:line="20" w:lineRule="exact"/>
            </w:pPr>
          </w:p>
        </w:tc>
        <w:tc>
          <w:tcPr>
            <w:tcW w:w="1440" w:type="dxa"/>
          </w:tcPr>
          <w:p/>
        </w:tc>
      </w:tr>
    </w:tbl>
    <w:bookmarkStart w:name="MinutesItem31156" w:id="31156"/>
    <w:bookmarkEnd w:id="31156"/>
    <w:p>
      <w:pPr>
        <w:spacing w:line="100" w:lineRule="exact"/>
      </w:pPr>
    </w:p>
    <w:bookmarkStart w:name="TemplateTable-48" w:id="48"/>
    <w:bookmarkEnd w:id="48"/>
    <w:tbl>
      <w:tblPr>
        <w:tblW w:w="0" w:type="dxa"/>
        <w:tblLayout w:type="fixed"/>
      </w:tblPr>
      <w:tblGrid>
        <w:gridCol w:w="1296"/>
        <w:gridCol w:w="864"/>
        <w:gridCol w:w="7200"/>
        <w:gridCol w:w="1440"/>
      </w:tblGrid>
      <w:tr>
        <w:trPr>
          <w:cantSplit w:val="off"/>
        </w:trPr>
        <w:tc>
          <w:tcPr>
            <w:tcW w:w="1296" w:type="dxa"/>
          </w:tcPr>
          <w:p/>
        </w:tc>
        <w:tc>
          <w:tcPr>
            <w:tcW w:w="864" w:type="dxa"/>
          </w:tcPr>
          <w:p>
            <w:r>
              <w:t>2.1</w:t>
            </w:r>
          </w:p>
        </w:tc>
        <w:tc>
          <w:tcPr>
            <w:tcW w:w="7200" w:type="dxa"/>
          </w:tcPr>
          <w:p>
            <w:pPr>
              <w:pStyle w:val="Heading3"/>
            </w:pPr>
            <w:r>
              <w:rPr>
                <w:b w:val="false"/>
              </w:rPr>
              <w:t xml:space="preserve">Adjournment at 8:25 pm.  </w:t>
            </w:r>
          </w:p>
        </w:tc>
        <w:tc>
          <w:tcPr>
            <w:tcW w:w="1440" w:type="dxa"/>
          </w:tcPr>
          <w:p/>
        </w:tc>
      </w:tr>
    </w:tbl>
    <w:bookmarkStart w:name="Resolution31158" w:id="31158"/>
    <w:bookmarkEnd w:id="31158"/>
    <w:bookmarkStart w:name="TemplateTable-53" w:id="53"/>
    <w:bookmarkEnd w:id="53"/>
    <w:tbl>
      <w:tblPr>
        <w:tblW w:w="0" w:type="dxa"/>
        <w:tblLayout w:type="fixed"/>
      </w:tblPr>
      <w:tblGrid>
        <w:gridCol w:w="1296"/>
        <w:gridCol w:w="864"/>
        <w:gridCol w:w="7200"/>
        <w:gridCol w:w="1440"/>
      </w:tblGrid>
      <w:tr>
        <w:trPr>
          <w:cantSplit w:val="off"/>
        </w:trPr>
        <w:tc>
          <w:tcPr>
            <w:tcW w:w="1296" w:type="dxa"/>
          </w:tcPr>
          <w:p/>
        </w:tc>
        <w:tc>
          <w:tcPr>
            <w:tcW w:w="864" w:type="dxa"/>
          </w:tcPr>
          <w:p/>
        </w:tc>
        <w:tc>
          <w:tcPr>
            <w:tcW w:w="7200" w:type="dxa"/>
          </w:tcPr>
          <w:p>
            <w:r>
              <w:rPr>
                <w:b w:val="false"/>
              </w:rPr>
              <w:t xml:space="preserve">Adjourn</w:t>
            </w:r>
          </w:p>
          <w:p/>
          <w:p>
            <w:r>
              <w:rPr>
                <w:i w:val="true"/>
              </w:rPr>
              <w:t>Moved by:</w:t>
            </w:r>
            <w:r>
              <w:t xml:space="preserve"> Scott Bryan</w:t>
            </w:r>
          </w:p>
          <w:p>
            <w:r>
              <w:rPr>
                <w:i w:val="true"/>
              </w:rPr>
              <w:t>Seconded by:</w:t>
            </w:r>
            <w:r>
              <w:t xml:space="preserve"> Robert Gowans</w:t>
            </w:r>
          </w:p>
          <w:p/>
          <w:bookmarkStart w:name="TemplateTable-5" w:id="5"/>
          <w:bookmarkEnd w:id="5"/>
          <w:tbl>
            <w:tblPr>
              <w:tblW w:w="0" w:type="dxa"/>
              <w:tblLayout w:type="fixed"/>
            </w:tblPr>
            <w:tblGrid>
              <w:gridCol w:w="1440"/>
              <w:gridCol w:w="5472"/>
            </w:tblGrid>
            <w:tr>
              <w:trPr>
                <w:cantSplit w:val="off"/>
              </w:trPr>
              <w:tc>
                <w:tcPr>
                  <w:tcW w:w="1440" w:type="dxa"/>
                </w:tcPr>
                <w:p>
                  <w:r>
                    <w:rPr>
                      <w:b w:val="true"/>
                    </w:rPr>
                    <w:t>Yea</w:t>
                  </w:r>
                </w:p>
              </w:tc>
              <w:tc>
                <w:tcPr>
                  <w:tcW w:w="5472" w:type="dxa"/>
                </w:tcPr>
                <w:p>
                  <w:r>
                    <w:t>Melissa Rich, Robert Gowans, ValaRee Shields, Elizabeth Smith, Emily Syphus, Todd Thompson, and Scott Bryan</w:t>
                  </w:r>
                </w:p>
              </w:tc>
            </w:tr>
          </w:tbl>
          <w:p>
            <w:pPr>
              <w:jc w:val="right"/>
            </w:pPr>
            <w:r>
              <w:rPr>
                <w:b w:val="true"/>
              </w:rPr>
              <w:t>Motion Carries 7-0</w:t>
            </w:r>
          </w:p>
          <w:p>
            <w:pPr>
              <w:spacing w:line="20" w:lineRule="exact"/>
            </w:pPr>
          </w:p>
        </w:tc>
        <w:tc>
          <w:tcPr>
            <w:tcW w:w="1440" w:type="dxa"/>
          </w:tcPr>
          <w:p/>
        </w:tc>
      </w:tr>
    </w:tbl>
    <w:p/>
    <w:sectPr>
      <w:headerReference w:type="default" r:id="Rea5d8a9ccde94d3e"/>
      <w:headerReference w:type="even" r:id="Rd5e6f9dedcf3445b"/>
      <w:headerReference w:type="first" r:id="R41c111e784dd4502"/>
      <w:pgMar w:top="720" w:right="720" w:bottom="720" w:left="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2.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3.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compat>
    <w:compatSetting w:name="compatibilityMode" w:uri="http://schemas.microsoft.com/office/word" w:val="16"/>
  </w:compat>
</w:settings>
</file>

<file path=word/styles.xml><?xml version="1.0" encoding="utf-8"?>
<w:styles xmlns:r="http://schemas.openxmlformats.org/officeDocument/2006/relationships" xmlns:w="http://schemas.openxmlformats.org/wordprocessingml/2006/main">
  <w:docDefaults>
    <w:rPrDefault>
      <w:rPr>
        <w:rFonts w:ascii="Source Sans Pro" w:hAnsi="Source Sans Pro" w:cs="Source Sans Pro"/>
        <w:sz w:val="27"/>
        <w:szCs w:val="27"/>
        <w:lang w:val="en-US" w:eastAsia="en-US" w:bidi="en-US"/>
      </w:rPr>
    </w:rPrDefault>
    <w:pPrDefault>
      <w:pPr>
        <w:spacing w:before="20" w:after="6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name w:val="heading 2"/>
    <w:rPr>
      <w:b/>
      <w:rFonts w:ascii="Source Sans Pro"/>
      <w:sz w:val="27"/>
    </w:rPr>
  </w:style>
  <w:style w:type="paragraph" w:styleId="Heading3">
    <w:name w:val="heading 3"/>
    <w:rPr>
      <w:b/>
      <w:rFonts w:ascii="Source Sans Pro"/>
      <w:sz w:val="27"/>
    </w:rPr>
  </w:style>
  <w:style w:type="paragraph" w:styleId="Heading1">
    <w:name w:val="heading 1"/>
    <w:rPr>
      <w:rFonts w:ascii="Source Sans Pro"/>
      <w:sz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HtmlImg1" /><Relationship Type="http://schemas.openxmlformats.org/officeDocument/2006/relationships/hyperlink" Target="http://tooele-schools.community.highbond.com/document/50850e7e-1356-47a1-b662-c9c4485451df" TargetMode="External" Id="R7c42d0e6d20745d9" /><Relationship Type="http://schemas.openxmlformats.org/officeDocument/2006/relationships/image" Target="/media/image.emf" Id="rIdHtmlImg2" /><Relationship Type="http://schemas.openxmlformats.org/officeDocument/2006/relationships/hyperlink" Target="http://tooele-schools.community.highbond.com/document/a72a062a-aa05-4d0e-9bfd-7e7fe2a86896" TargetMode="External" Id="Rf89c2a2461294f8e" /><Relationship Type="http://schemas.openxmlformats.org/officeDocument/2006/relationships/image" Target="/media/image2.emf" Id="rIdHtmlImg3" /><Relationship Type="http://schemas.openxmlformats.org/officeDocument/2006/relationships/header" Target="/word/header1.xml" Id="R41c111e784dd4502" /><Relationship Type="http://schemas.openxmlformats.org/officeDocument/2006/relationships/header" Target="/word/header2.xml" Id="Rd5e6f9dedcf3445b" /><Relationship Type="http://schemas.openxmlformats.org/officeDocument/2006/relationships/header" Target="/word/header3.xml" Id="Rea5d8a9ccde94d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iCompass-Open-Document</keywords>
  <dc:description/>
  <lastModifiedBy/>
  <revision>1</revision>
  <dcterms:created xsi:type="dcterms:W3CDTF">2009-12-03T19:00:00.0000000Z</dcterms:created>
  <dcterms:modified xsi:type="dcterms:W3CDTF">2009-12-03T19:00:00.0000000Z</dcterms:modified>
  <category> iCompass-Open-Document</category>
</coreProperties>
</file>