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994" w14:textId="240AE56E" w:rsidR="00DC7763" w:rsidRPr="00D9061C" w:rsidRDefault="003E7C92" w:rsidP="00DC7763">
      <w:pPr>
        <w:spacing w:after="0"/>
        <w:jc w:val="center"/>
        <w:rPr>
          <w:rFonts w:ascii="Times New Roman" w:hAnsi="Times New Roman" w:cs="Times New Roman"/>
          <w:b/>
        </w:rPr>
      </w:pPr>
      <w:r>
        <w:rPr>
          <w:rFonts w:ascii="Times New Roman" w:hAnsi="Times New Roman" w:cs="Times New Roman"/>
          <w:b/>
        </w:rPr>
        <w:t>Approved</w:t>
      </w:r>
      <w:r w:rsidR="00DC7763" w:rsidRPr="00D9061C">
        <w:rPr>
          <w:rFonts w:ascii="Times New Roman" w:hAnsi="Times New Roman" w:cs="Times New Roman"/>
          <w:b/>
        </w:rPr>
        <w:t xml:space="preserve"> Minutes</w:t>
      </w:r>
    </w:p>
    <w:p w14:paraId="72D5FA21" w14:textId="4BF8689F" w:rsidR="00DC7763" w:rsidRPr="00D9061C" w:rsidRDefault="00152A94" w:rsidP="00DC7763">
      <w:pPr>
        <w:spacing w:after="0" w:line="240" w:lineRule="auto"/>
        <w:jc w:val="center"/>
        <w:rPr>
          <w:rFonts w:ascii="Times New Roman" w:hAnsi="Times New Roman" w:cs="Times New Roman"/>
          <w:b/>
        </w:rPr>
      </w:pPr>
      <w:r w:rsidRPr="00D9061C">
        <w:rPr>
          <w:rFonts w:ascii="Times New Roman" w:hAnsi="Times New Roman" w:cs="Times New Roman"/>
          <w:b/>
        </w:rPr>
        <w:t>State Finance Review Commission</w:t>
      </w:r>
    </w:p>
    <w:p w14:paraId="15E9BC40" w14:textId="377650C5" w:rsidR="00DC7763" w:rsidRPr="00D9061C" w:rsidRDefault="00936AFA" w:rsidP="00DC7763">
      <w:pPr>
        <w:spacing w:after="0" w:line="240" w:lineRule="auto"/>
        <w:jc w:val="center"/>
        <w:rPr>
          <w:rFonts w:ascii="Times New Roman" w:hAnsi="Times New Roman" w:cs="Times New Roman"/>
          <w:b/>
        </w:rPr>
      </w:pPr>
      <w:r>
        <w:rPr>
          <w:rFonts w:ascii="Times New Roman" w:hAnsi="Times New Roman" w:cs="Times New Roman"/>
          <w:b/>
        </w:rPr>
        <w:t>Monday</w:t>
      </w:r>
      <w:r w:rsidR="00DC7763" w:rsidRPr="00D9061C">
        <w:rPr>
          <w:rFonts w:ascii="Times New Roman" w:hAnsi="Times New Roman" w:cs="Times New Roman"/>
          <w:b/>
        </w:rPr>
        <w:t xml:space="preserve">, </w:t>
      </w:r>
      <w:r>
        <w:rPr>
          <w:rFonts w:ascii="Times New Roman" w:hAnsi="Times New Roman" w:cs="Times New Roman"/>
          <w:b/>
        </w:rPr>
        <w:t>May</w:t>
      </w:r>
      <w:r w:rsidR="00EF3242" w:rsidRPr="00D9061C">
        <w:rPr>
          <w:rFonts w:ascii="Times New Roman" w:hAnsi="Times New Roman" w:cs="Times New Roman"/>
          <w:b/>
        </w:rPr>
        <w:t xml:space="preserve"> </w:t>
      </w:r>
      <w:r>
        <w:rPr>
          <w:rFonts w:ascii="Times New Roman" w:hAnsi="Times New Roman" w:cs="Times New Roman"/>
          <w:b/>
        </w:rPr>
        <w:t>12</w:t>
      </w:r>
      <w:r w:rsidR="005F54B1" w:rsidRPr="00D9061C">
        <w:rPr>
          <w:rFonts w:ascii="Times New Roman" w:hAnsi="Times New Roman" w:cs="Times New Roman"/>
          <w:b/>
        </w:rPr>
        <w:t>,</w:t>
      </w:r>
      <w:r w:rsidR="00DC7763" w:rsidRPr="00D9061C">
        <w:rPr>
          <w:rFonts w:ascii="Times New Roman" w:hAnsi="Times New Roman" w:cs="Times New Roman"/>
          <w:b/>
        </w:rPr>
        <w:t xml:space="preserve"> 202</w:t>
      </w:r>
      <w:r w:rsidR="00DB3501" w:rsidRPr="00D9061C">
        <w:rPr>
          <w:rFonts w:ascii="Times New Roman" w:hAnsi="Times New Roman" w:cs="Times New Roman"/>
          <w:b/>
        </w:rPr>
        <w:t>5</w:t>
      </w:r>
    </w:p>
    <w:p w14:paraId="42E7AB42" w14:textId="77777777" w:rsidR="00DC7763" w:rsidRPr="00D9061C" w:rsidRDefault="00DC7763" w:rsidP="00DC7763">
      <w:pPr>
        <w:spacing w:after="0" w:line="240" w:lineRule="auto"/>
        <w:jc w:val="center"/>
        <w:rPr>
          <w:rFonts w:ascii="Times New Roman" w:hAnsi="Times New Roman" w:cs="Times New Roman"/>
          <w:b/>
        </w:rPr>
      </w:pPr>
      <w:r w:rsidRPr="00D9061C">
        <w:rPr>
          <w:rFonts w:ascii="Times New Roman" w:hAnsi="Times New Roman" w:cs="Times New Roman"/>
          <w:b/>
        </w:rPr>
        <w:t>Office of State Treasurer, C170 State Capitol Complex and</w:t>
      </w:r>
    </w:p>
    <w:p w14:paraId="4CA1CBCE" w14:textId="77777777" w:rsidR="00DC7763" w:rsidRPr="00D9061C" w:rsidRDefault="00DC7763" w:rsidP="00DC7763">
      <w:pPr>
        <w:spacing w:after="0" w:line="240" w:lineRule="auto"/>
        <w:jc w:val="center"/>
        <w:rPr>
          <w:rFonts w:ascii="Times New Roman" w:hAnsi="Times New Roman" w:cs="Times New Roman"/>
          <w:b/>
        </w:rPr>
      </w:pPr>
      <w:r w:rsidRPr="00D9061C">
        <w:rPr>
          <w:rFonts w:ascii="Times New Roman" w:hAnsi="Times New Roman" w:cs="Times New Roman"/>
          <w:b/>
        </w:rPr>
        <w:t>Electronic Meeting via Zoom</w:t>
      </w:r>
    </w:p>
    <w:p w14:paraId="76148CF4" w14:textId="77777777" w:rsidR="00DC7763" w:rsidRPr="00D9061C" w:rsidRDefault="00DC7763" w:rsidP="00DC7763">
      <w:pPr>
        <w:spacing w:after="0" w:line="240" w:lineRule="auto"/>
        <w:jc w:val="center"/>
        <w:rPr>
          <w:rFonts w:ascii="Times New Roman" w:hAnsi="Times New Roman" w:cs="Times New Roman"/>
        </w:rPr>
      </w:pPr>
    </w:p>
    <w:p w14:paraId="0D7054CB" w14:textId="3D39462E" w:rsidR="00DC7763" w:rsidRPr="009277E4" w:rsidRDefault="00DC7763" w:rsidP="00DC7763">
      <w:pPr>
        <w:spacing w:after="0" w:line="240" w:lineRule="auto"/>
        <w:rPr>
          <w:rFonts w:ascii="Times New Roman" w:hAnsi="Times New Roman" w:cs="Times New Roman"/>
        </w:rPr>
      </w:pPr>
      <w:r w:rsidRPr="00D9061C">
        <w:rPr>
          <w:rFonts w:ascii="Times New Roman" w:hAnsi="Times New Roman" w:cs="Times New Roman"/>
        </w:rPr>
        <w:t xml:space="preserve">Members of the </w:t>
      </w:r>
      <w:r w:rsidR="00152A94" w:rsidRPr="009277E4">
        <w:rPr>
          <w:rFonts w:ascii="Times New Roman" w:hAnsi="Times New Roman" w:cs="Times New Roman"/>
        </w:rPr>
        <w:t>Commission</w:t>
      </w:r>
      <w:r w:rsidRPr="009277E4">
        <w:rPr>
          <w:rFonts w:ascii="Times New Roman" w:hAnsi="Times New Roman" w:cs="Times New Roman"/>
        </w:rPr>
        <w:t xml:space="preserve"> Present:</w:t>
      </w:r>
    </w:p>
    <w:p w14:paraId="4746BFD5" w14:textId="04D3D647" w:rsidR="00152A94" w:rsidRPr="009277E4" w:rsidRDefault="00DC7763" w:rsidP="00DC7763">
      <w:pPr>
        <w:spacing w:after="0" w:line="240" w:lineRule="auto"/>
        <w:rPr>
          <w:rFonts w:ascii="Times New Roman" w:hAnsi="Times New Roman" w:cs="Times New Roman"/>
        </w:rPr>
      </w:pPr>
      <w:r w:rsidRPr="009277E4">
        <w:rPr>
          <w:rFonts w:ascii="Times New Roman" w:hAnsi="Times New Roman" w:cs="Times New Roman"/>
        </w:rPr>
        <w:tab/>
        <w:t xml:space="preserve">Marlo M. Oaks (Utah State Treasurer, Chair) </w:t>
      </w:r>
    </w:p>
    <w:p w14:paraId="4DD01904" w14:textId="799296DF" w:rsidR="00D71556" w:rsidRPr="009277E4" w:rsidRDefault="00D71556" w:rsidP="00DC7763">
      <w:pPr>
        <w:spacing w:after="0" w:line="240" w:lineRule="auto"/>
        <w:rPr>
          <w:rFonts w:ascii="Times New Roman" w:hAnsi="Times New Roman" w:cs="Times New Roman"/>
        </w:rPr>
      </w:pPr>
      <w:r w:rsidRPr="009277E4">
        <w:rPr>
          <w:rFonts w:ascii="Times New Roman" w:hAnsi="Times New Roman" w:cs="Times New Roman"/>
        </w:rPr>
        <w:tab/>
      </w:r>
      <w:r w:rsidR="00DB3501" w:rsidRPr="009277E4">
        <w:rPr>
          <w:rFonts w:ascii="Times New Roman" w:hAnsi="Times New Roman" w:cs="Times New Roman"/>
        </w:rPr>
        <w:t>Tina Cannon</w:t>
      </w:r>
      <w:r w:rsidRPr="009277E4">
        <w:rPr>
          <w:rFonts w:ascii="Times New Roman" w:hAnsi="Times New Roman" w:cs="Times New Roman"/>
        </w:rPr>
        <w:t xml:space="preserve"> (Utah State Auditor)</w:t>
      </w:r>
    </w:p>
    <w:p w14:paraId="0A58734F" w14:textId="17280A68" w:rsidR="00DC7763" w:rsidRPr="009277E4" w:rsidRDefault="00152A94" w:rsidP="00DC7763">
      <w:pPr>
        <w:spacing w:after="0" w:line="240" w:lineRule="auto"/>
        <w:rPr>
          <w:rFonts w:ascii="Times New Roman" w:hAnsi="Times New Roman" w:cs="Times New Roman"/>
        </w:rPr>
      </w:pPr>
      <w:r w:rsidRPr="009277E4">
        <w:rPr>
          <w:rFonts w:ascii="Times New Roman" w:hAnsi="Times New Roman" w:cs="Times New Roman"/>
        </w:rPr>
        <w:tab/>
      </w:r>
      <w:r w:rsidR="005A1182" w:rsidRPr="009277E4">
        <w:rPr>
          <w:rFonts w:ascii="Times New Roman" w:hAnsi="Times New Roman" w:cs="Times New Roman"/>
        </w:rPr>
        <w:t>Robbi Foxxe</w:t>
      </w:r>
      <w:r w:rsidR="00DC7763" w:rsidRPr="009277E4">
        <w:rPr>
          <w:rFonts w:ascii="Times New Roman" w:hAnsi="Times New Roman" w:cs="Times New Roman"/>
        </w:rPr>
        <w:t xml:space="preserve"> (Governor’s Office of Planning and Budget</w:t>
      </w:r>
      <w:r w:rsidR="005A1182" w:rsidRPr="009277E4">
        <w:rPr>
          <w:rFonts w:ascii="Times New Roman" w:hAnsi="Times New Roman" w:cs="Times New Roman"/>
        </w:rPr>
        <w:t>-designee</w:t>
      </w:r>
      <w:r w:rsidR="00DC7763" w:rsidRPr="009277E4">
        <w:rPr>
          <w:rFonts w:ascii="Times New Roman" w:hAnsi="Times New Roman" w:cs="Times New Roman"/>
        </w:rPr>
        <w:t>)</w:t>
      </w:r>
      <w:r w:rsidR="006E7B9C" w:rsidRPr="009277E4">
        <w:rPr>
          <w:rFonts w:ascii="Times New Roman" w:hAnsi="Times New Roman" w:cs="Times New Roman"/>
        </w:rPr>
        <w:t xml:space="preserve"> </w:t>
      </w:r>
    </w:p>
    <w:p w14:paraId="4983D9E3" w14:textId="145D223F" w:rsidR="001F6685" w:rsidRPr="009277E4" w:rsidRDefault="001F6685" w:rsidP="00DC7763">
      <w:pPr>
        <w:spacing w:after="0" w:line="240" w:lineRule="auto"/>
        <w:rPr>
          <w:rFonts w:ascii="Times New Roman" w:hAnsi="Times New Roman" w:cs="Times New Roman"/>
        </w:rPr>
      </w:pPr>
      <w:r w:rsidRPr="009277E4">
        <w:rPr>
          <w:rFonts w:ascii="Times New Roman" w:hAnsi="Times New Roman" w:cs="Times New Roman"/>
        </w:rPr>
        <w:tab/>
        <w:t>Van Christensen (Director of Finance</w:t>
      </w:r>
      <w:r w:rsidR="006E7B9C" w:rsidRPr="009277E4">
        <w:rPr>
          <w:rFonts w:ascii="Times New Roman" w:hAnsi="Times New Roman" w:cs="Times New Roman"/>
        </w:rPr>
        <w:t>)</w:t>
      </w:r>
      <w:r w:rsidR="00DB3501" w:rsidRPr="009277E4">
        <w:rPr>
          <w:rFonts w:ascii="Times New Roman" w:hAnsi="Times New Roman" w:cs="Times New Roman"/>
        </w:rPr>
        <w:t xml:space="preserve"> </w:t>
      </w:r>
    </w:p>
    <w:p w14:paraId="53F785EE" w14:textId="59D9DA65" w:rsidR="0068195A" w:rsidRPr="009277E4" w:rsidRDefault="0068195A" w:rsidP="0068195A">
      <w:pPr>
        <w:spacing w:after="0" w:line="240" w:lineRule="auto"/>
        <w:ind w:firstLine="720"/>
        <w:rPr>
          <w:rFonts w:ascii="Times New Roman" w:hAnsi="Times New Roman" w:cs="Times New Roman"/>
        </w:rPr>
      </w:pPr>
      <w:r w:rsidRPr="009277E4">
        <w:rPr>
          <w:rFonts w:ascii="Times New Roman" w:hAnsi="Times New Roman" w:cs="Times New Roman"/>
        </w:rPr>
        <w:t>Blake Wade (Governor’s Office designee from Gilmore &amp; Bell) – Zoom</w:t>
      </w:r>
    </w:p>
    <w:p w14:paraId="1B92026E" w14:textId="17E0DD97" w:rsidR="001F6685" w:rsidRPr="009277E4" w:rsidRDefault="00DC7763" w:rsidP="00AC0DD9">
      <w:pPr>
        <w:spacing w:after="0" w:line="240" w:lineRule="auto"/>
        <w:rPr>
          <w:rFonts w:ascii="Times New Roman" w:hAnsi="Times New Roman" w:cs="Times New Roman"/>
        </w:rPr>
      </w:pPr>
      <w:r w:rsidRPr="009277E4">
        <w:rPr>
          <w:rFonts w:ascii="Times New Roman" w:hAnsi="Times New Roman" w:cs="Times New Roman"/>
        </w:rPr>
        <w:tab/>
      </w:r>
      <w:r w:rsidR="001F6685" w:rsidRPr="009277E4">
        <w:rPr>
          <w:rFonts w:ascii="Times New Roman" w:hAnsi="Times New Roman" w:cs="Times New Roman"/>
        </w:rPr>
        <w:t>Cleon Butterfield (Governor’s Office designee)</w:t>
      </w:r>
    </w:p>
    <w:p w14:paraId="68330568" w14:textId="7B4BF046" w:rsidR="00E4129D" w:rsidRPr="009277E4" w:rsidRDefault="00CB2F82" w:rsidP="00AC0DD9">
      <w:pPr>
        <w:spacing w:after="0" w:line="240" w:lineRule="auto"/>
        <w:rPr>
          <w:rFonts w:ascii="Times New Roman" w:hAnsi="Times New Roman" w:cs="Times New Roman"/>
        </w:rPr>
      </w:pPr>
      <w:r w:rsidRPr="009277E4">
        <w:rPr>
          <w:rFonts w:ascii="Times New Roman" w:hAnsi="Times New Roman" w:cs="Times New Roman"/>
        </w:rPr>
        <w:tab/>
      </w:r>
      <w:r w:rsidR="00AC0DD9" w:rsidRPr="009277E4">
        <w:rPr>
          <w:rFonts w:ascii="Times New Roman" w:hAnsi="Times New Roman" w:cs="Times New Roman"/>
        </w:rPr>
        <w:t>Perri Babalis</w:t>
      </w:r>
      <w:r w:rsidR="00E4129D" w:rsidRPr="009277E4">
        <w:rPr>
          <w:rFonts w:ascii="Times New Roman" w:hAnsi="Times New Roman" w:cs="Times New Roman"/>
        </w:rPr>
        <w:t xml:space="preserve"> (Attorney General Office-designee) </w:t>
      </w:r>
      <w:r w:rsidR="00936AFA" w:rsidRPr="009277E4">
        <w:rPr>
          <w:rFonts w:ascii="Times New Roman" w:hAnsi="Times New Roman" w:cs="Times New Roman"/>
        </w:rPr>
        <w:t xml:space="preserve">– Zoom </w:t>
      </w:r>
    </w:p>
    <w:p w14:paraId="40559502" w14:textId="41F97DBE" w:rsidR="00936AFA" w:rsidRPr="009277E4" w:rsidRDefault="00936AFA" w:rsidP="00936AFA">
      <w:pPr>
        <w:spacing w:after="0" w:line="240" w:lineRule="auto"/>
        <w:ind w:firstLine="720"/>
        <w:rPr>
          <w:rFonts w:ascii="Times New Roman" w:hAnsi="Times New Roman" w:cs="Times New Roman"/>
        </w:rPr>
      </w:pPr>
      <w:r w:rsidRPr="009277E4">
        <w:rPr>
          <w:rFonts w:ascii="Times New Roman" w:hAnsi="Times New Roman" w:cs="Times New Roman"/>
        </w:rPr>
        <w:t>Jonathan Ward (Zions Public Finance)</w:t>
      </w:r>
    </w:p>
    <w:p w14:paraId="64D7BB14" w14:textId="2E425667" w:rsidR="00A603B8" w:rsidRPr="009277E4" w:rsidRDefault="00A603B8" w:rsidP="00DC7763">
      <w:pPr>
        <w:spacing w:after="0" w:line="240" w:lineRule="auto"/>
        <w:rPr>
          <w:rFonts w:ascii="Times New Roman" w:hAnsi="Times New Roman" w:cs="Times New Roman"/>
        </w:rPr>
      </w:pPr>
      <w:r w:rsidRPr="009277E4">
        <w:rPr>
          <w:rFonts w:ascii="Times New Roman" w:hAnsi="Times New Roman" w:cs="Times New Roman"/>
        </w:rPr>
        <w:tab/>
      </w:r>
    </w:p>
    <w:p w14:paraId="3C3CBD92" w14:textId="587AF58C" w:rsidR="00DC7763" w:rsidRPr="009277E4" w:rsidRDefault="00DC7763" w:rsidP="00DC7763">
      <w:pPr>
        <w:spacing w:after="0" w:line="240" w:lineRule="auto"/>
        <w:rPr>
          <w:rFonts w:ascii="Times New Roman" w:hAnsi="Times New Roman" w:cs="Times New Roman"/>
        </w:rPr>
      </w:pPr>
      <w:r w:rsidRPr="009277E4">
        <w:rPr>
          <w:rFonts w:ascii="Times New Roman" w:hAnsi="Times New Roman" w:cs="Times New Roman"/>
        </w:rPr>
        <w:t>Others Present:</w:t>
      </w:r>
    </w:p>
    <w:p w14:paraId="01416F45" w14:textId="271EFAAE" w:rsidR="00DC7763" w:rsidRPr="009277E4" w:rsidRDefault="00DC7763" w:rsidP="00DC7763">
      <w:pPr>
        <w:spacing w:after="0" w:line="240" w:lineRule="auto"/>
        <w:rPr>
          <w:rFonts w:ascii="Times New Roman" w:hAnsi="Times New Roman" w:cs="Times New Roman"/>
        </w:rPr>
      </w:pPr>
      <w:r w:rsidRPr="009277E4">
        <w:rPr>
          <w:rFonts w:ascii="Times New Roman" w:hAnsi="Times New Roman" w:cs="Times New Roman"/>
        </w:rPr>
        <w:tab/>
        <w:t>Kirt Slaugh (Office of State Treasurer)</w:t>
      </w:r>
    </w:p>
    <w:p w14:paraId="273F2691" w14:textId="56654833" w:rsidR="00820535" w:rsidRPr="009277E4" w:rsidRDefault="001908ED" w:rsidP="001908ED">
      <w:pPr>
        <w:spacing w:after="0" w:line="240" w:lineRule="auto"/>
        <w:rPr>
          <w:rFonts w:ascii="Times New Roman" w:hAnsi="Times New Roman" w:cs="Times New Roman"/>
        </w:rPr>
      </w:pPr>
      <w:r w:rsidRPr="009277E4">
        <w:rPr>
          <w:rFonts w:ascii="Times New Roman" w:hAnsi="Times New Roman" w:cs="Times New Roman"/>
        </w:rPr>
        <w:tab/>
      </w:r>
      <w:r w:rsidR="00A603B8" w:rsidRPr="009277E4">
        <w:rPr>
          <w:rFonts w:ascii="Times New Roman" w:hAnsi="Times New Roman" w:cs="Times New Roman"/>
        </w:rPr>
        <w:t xml:space="preserve">Diana Artica (Office of State Treasurer) </w:t>
      </w:r>
    </w:p>
    <w:p w14:paraId="2D375740" w14:textId="487CB39A" w:rsidR="005A1182" w:rsidRPr="009277E4" w:rsidRDefault="005A1182" w:rsidP="005A1182">
      <w:pPr>
        <w:spacing w:after="0" w:line="240" w:lineRule="auto"/>
        <w:rPr>
          <w:rFonts w:ascii="Times New Roman" w:hAnsi="Times New Roman" w:cs="Times New Roman"/>
        </w:rPr>
      </w:pPr>
      <w:r w:rsidRPr="009277E4">
        <w:rPr>
          <w:rFonts w:ascii="Times New Roman" w:hAnsi="Times New Roman" w:cs="Times New Roman"/>
        </w:rPr>
        <w:tab/>
        <w:t>Brian Baker (Zions Public Finance)</w:t>
      </w:r>
    </w:p>
    <w:p w14:paraId="55EB185E" w14:textId="77777777" w:rsidR="00EA4EDB" w:rsidRPr="009277E4" w:rsidRDefault="00EA4EDB" w:rsidP="00EA4EDB">
      <w:pPr>
        <w:spacing w:after="0" w:line="240" w:lineRule="auto"/>
        <w:ind w:firstLine="720"/>
        <w:rPr>
          <w:rFonts w:ascii="Times New Roman" w:hAnsi="Times New Roman" w:cs="Times New Roman"/>
        </w:rPr>
      </w:pPr>
      <w:r w:rsidRPr="009277E4">
        <w:rPr>
          <w:rFonts w:ascii="Times New Roman" w:hAnsi="Times New Roman" w:cs="Times New Roman"/>
        </w:rPr>
        <w:t>Alex Burton (Zions Public Finance)</w:t>
      </w:r>
    </w:p>
    <w:p w14:paraId="4BB1E40B" w14:textId="3F18A36C" w:rsidR="006E7B9C" w:rsidRPr="009277E4" w:rsidRDefault="006E7B9C" w:rsidP="001908ED">
      <w:pPr>
        <w:spacing w:after="0" w:line="240" w:lineRule="auto"/>
        <w:rPr>
          <w:rFonts w:ascii="Times New Roman" w:hAnsi="Times New Roman" w:cs="Times New Roman"/>
        </w:rPr>
      </w:pPr>
      <w:r w:rsidRPr="009277E4">
        <w:rPr>
          <w:rFonts w:ascii="Times New Roman" w:hAnsi="Times New Roman" w:cs="Times New Roman"/>
        </w:rPr>
        <w:tab/>
      </w:r>
      <w:r w:rsidR="000636DC" w:rsidRPr="009277E4">
        <w:rPr>
          <w:rFonts w:ascii="Times New Roman" w:hAnsi="Times New Roman" w:cs="Times New Roman"/>
        </w:rPr>
        <w:t>Brook McCarrick</w:t>
      </w:r>
      <w:r w:rsidRPr="009277E4">
        <w:rPr>
          <w:rFonts w:ascii="Times New Roman" w:hAnsi="Times New Roman" w:cs="Times New Roman"/>
        </w:rPr>
        <w:t xml:space="preserve"> (Attorney General Office Assigned to SFRC) – Zoom</w:t>
      </w:r>
    </w:p>
    <w:p w14:paraId="105BD533" w14:textId="3B2A603A" w:rsidR="00DB3501" w:rsidRPr="009277E4" w:rsidRDefault="00DB3501" w:rsidP="000636DC">
      <w:pPr>
        <w:spacing w:after="0" w:line="240" w:lineRule="auto"/>
        <w:rPr>
          <w:rFonts w:ascii="Times New Roman" w:hAnsi="Times New Roman" w:cs="Times New Roman"/>
        </w:rPr>
      </w:pPr>
      <w:r w:rsidRPr="009277E4">
        <w:rPr>
          <w:rFonts w:ascii="Times New Roman" w:hAnsi="Times New Roman" w:cs="Times New Roman"/>
        </w:rPr>
        <w:tab/>
        <w:t>Randy Larsen (Gilmore &amp; Bell)</w:t>
      </w:r>
    </w:p>
    <w:p w14:paraId="63BA53FB" w14:textId="7B7069EF" w:rsidR="0068195A" w:rsidRDefault="0068195A" w:rsidP="0068195A">
      <w:pPr>
        <w:spacing w:after="0" w:line="240" w:lineRule="auto"/>
        <w:ind w:firstLine="720"/>
        <w:rPr>
          <w:rFonts w:ascii="Times New Roman" w:hAnsi="Times New Roman" w:cs="Times New Roman"/>
        </w:rPr>
      </w:pPr>
      <w:r w:rsidRPr="009277E4">
        <w:rPr>
          <w:rFonts w:ascii="Times New Roman" w:hAnsi="Times New Roman" w:cs="Times New Roman"/>
        </w:rPr>
        <w:t>Aaron Waite (Attorney General Office) – Zoom</w:t>
      </w:r>
    </w:p>
    <w:p w14:paraId="515266A1" w14:textId="58EFD8C0"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Seth Oveson (State Auditor’s Office) </w:t>
      </w:r>
    </w:p>
    <w:p w14:paraId="3B0C5AA1" w14:textId="2843025C"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Carlton Christensen (UTA) </w:t>
      </w:r>
    </w:p>
    <w:p w14:paraId="7757B56C" w14:textId="77C43DD2"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Jay Fox (UTA)</w:t>
      </w:r>
    </w:p>
    <w:p w14:paraId="76F4B863" w14:textId="406AE17A"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David Wilkins (Attorney General Office)</w:t>
      </w:r>
    </w:p>
    <w:p w14:paraId="4387369B" w14:textId="04DEA4B8"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Ariane Gibson (UIPA)</w:t>
      </w:r>
    </w:p>
    <w:p w14:paraId="7FC1D14F" w14:textId="68D4A188"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Jordan Hales (Spanish Fork City)</w:t>
      </w:r>
    </w:p>
    <w:p w14:paraId="2EB9D75F" w14:textId="19B2E7E0"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Seth Perrins (Spanish Fork City)</w:t>
      </w:r>
    </w:p>
    <w:p w14:paraId="70CBF2FB" w14:textId="416B33B7"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Brian Reeves (UTA)</w:t>
      </w:r>
    </w:p>
    <w:p w14:paraId="5B51E273" w14:textId="44AF188B"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Vi Miller (UTA) – Zoom </w:t>
      </w:r>
    </w:p>
    <w:p w14:paraId="79E69C82" w14:textId="62B4EB5C"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Ryan Poulsen – Zoom </w:t>
      </w:r>
    </w:p>
    <w:p w14:paraId="427937DB" w14:textId="248B2441"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Sam Eder – Zoom </w:t>
      </w:r>
    </w:p>
    <w:p w14:paraId="66BB75BF" w14:textId="0DA4B948"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Scott Wolford (UIPA) – Zoom </w:t>
      </w:r>
    </w:p>
    <w:p w14:paraId="5882160B" w14:textId="370365D7"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 xml:space="preserve">Ben Hart </w:t>
      </w:r>
      <w:r w:rsidR="00A75D63">
        <w:rPr>
          <w:rFonts w:ascii="Times New Roman" w:hAnsi="Times New Roman" w:cs="Times New Roman"/>
        </w:rPr>
        <w:t xml:space="preserve">(UIPA) </w:t>
      </w:r>
      <w:r>
        <w:rPr>
          <w:rFonts w:ascii="Times New Roman" w:hAnsi="Times New Roman" w:cs="Times New Roman"/>
        </w:rPr>
        <w:t xml:space="preserve">– Zoom </w:t>
      </w:r>
    </w:p>
    <w:p w14:paraId="49CC566C" w14:textId="1A8CE42E" w:rsidR="00EA4EDB" w:rsidRDefault="00EA4EDB" w:rsidP="00EA4EDB">
      <w:pPr>
        <w:spacing w:after="0" w:line="240" w:lineRule="auto"/>
        <w:ind w:firstLine="720"/>
        <w:rPr>
          <w:rFonts w:ascii="Times New Roman" w:hAnsi="Times New Roman" w:cs="Times New Roman"/>
        </w:rPr>
      </w:pPr>
      <w:r>
        <w:rPr>
          <w:rFonts w:ascii="Times New Roman" w:hAnsi="Times New Roman" w:cs="Times New Roman"/>
        </w:rPr>
        <w:t>Dave Anderson</w:t>
      </w:r>
      <w:r w:rsidR="006660CC">
        <w:rPr>
          <w:rFonts w:ascii="Times New Roman" w:hAnsi="Times New Roman" w:cs="Times New Roman"/>
        </w:rPr>
        <w:t xml:space="preserve"> (Spanish Fork City)</w:t>
      </w:r>
      <w:r>
        <w:rPr>
          <w:rFonts w:ascii="Times New Roman" w:hAnsi="Times New Roman" w:cs="Times New Roman"/>
        </w:rPr>
        <w:t xml:space="preserve"> – Zoom </w:t>
      </w:r>
    </w:p>
    <w:p w14:paraId="53AC3642" w14:textId="22814493" w:rsidR="00EA4EDB" w:rsidRPr="00EA4EDB" w:rsidRDefault="00EA4EDB" w:rsidP="00EA4EDB">
      <w:pPr>
        <w:spacing w:after="0" w:line="240" w:lineRule="auto"/>
        <w:ind w:firstLine="720"/>
      </w:pPr>
      <w:r>
        <w:rPr>
          <w:rFonts w:ascii="Times New Roman" w:hAnsi="Times New Roman" w:cs="Times New Roman"/>
        </w:rPr>
        <w:t>Jenna Draper (UIPA)</w:t>
      </w:r>
      <w:r>
        <w:t xml:space="preserve"> – Zoom </w:t>
      </w:r>
    </w:p>
    <w:p w14:paraId="5843D042" w14:textId="77777777" w:rsidR="008D5E68" w:rsidRPr="00D9061C" w:rsidRDefault="008D5E68" w:rsidP="00DB3501">
      <w:pPr>
        <w:spacing w:after="0" w:line="240" w:lineRule="auto"/>
        <w:ind w:firstLine="720"/>
        <w:rPr>
          <w:rFonts w:ascii="Times New Roman" w:hAnsi="Times New Roman" w:cs="Times New Roman"/>
        </w:rPr>
      </w:pPr>
    </w:p>
    <w:p w14:paraId="0403DEF5" w14:textId="300834C6" w:rsidR="00DC7763" w:rsidRPr="00D9061C" w:rsidRDefault="00DC7763" w:rsidP="00DC7763">
      <w:pPr>
        <w:spacing w:after="0" w:line="240" w:lineRule="auto"/>
        <w:rPr>
          <w:rFonts w:ascii="Times New Roman" w:hAnsi="Times New Roman" w:cs="Times New Roman"/>
        </w:rPr>
      </w:pPr>
      <w:r w:rsidRPr="00D9061C">
        <w:rPr>
          <w:rFonts w:ascii="Times New Roman" w:hAnsi="Times New Roman" w:cs="Times New Roman"/>
        </w:rPr>
        <w:t>Meeting called t</w:t>
      </w:r>
      <w:r w:rsidR="001B714B" w:rsidRPr="00D9061C">
        <w:rPr>
          <w:rFonts w:ascii="Times New Roman" w:hAnsi="Times New Roman" w:cs="Times New Roman"/>
        </w:rPr>
        <w:t xml:space="preserve">o order by Treasurer Oaks at </w:t>
      </w:r>
      <w:r w:rsidR="009277E4">
        <w:rPr>
          <w:rFonts w:ascii="Times New Roman" w:hAnsi="Times New Roman" w:cs="Times New Roman"/>
        </w:rPr>
        <w:t>3:30 p</w:t>
      </w:r>
      <w:r w:rsidR="000321B9" w:rsidRPr="00D9061C">
        <w:rPr>
          <w:rFonts w:ascii="Times New Roman" w:hAnsi="Times New Roman" w:cs="Times New Roman"/>
        </w:rPr>
        <w:t>.m.</w:t>
      </w:r>
    </w:p>
    <w:p w14:paraId="62D5FE8C" w14:textId="3E2F344D" w:rsidR="00DC7763" w:rsidRPr="00D9061C" w:rsidRDefault="00DC7763" w:rsidP="00DC7763">
      <w:pPr>
        <w:spacing w:after="0" w:line="240" w:lineRule="auto"/>
        <w:rPr>
          <w:rFonts w:ascii="Times New Roman" w:hAnsi="Times New Roman" w:cs="Times New Roman"/>
        </w:rPr>
      </w:pPr>
    </w:p>
    <w:p w14:paraId="06D80EA6" w14:textId="77777777" w:rsidR="00EF1AE7" w:rsidRPr="00A75D63" w:rsidRDefault="00EF1AE7" w:rsidP="00EF1AE7">
      <w:pPr>
        <w:pStyle w:val="ListParagraph"/>
        <w:numPr>
          <w:ilvl w:val="0"/>
          <w:numId w:val="1"/>
        </w:numPr>
        <w:spacing w:after="0" w:line="240" w:lineRule="auto"/>
        <w:rPr>
          <w:rFonts w:ascii="Times New Roman" w:hAnsi="Times New Roman" w:cs="Times New Roman"/>
          <w:u w:val="single"/>
        </w:rPr>
      </w:pPr>
      <w:r w:rsidRPr="00D9061C">
        <w:rPr>
          <w:rFonts w:ascii="Times New Roman" w:hAnsi="Times New Roman" w:cs="Times New Roman"/>
          <w:u w:val="single"/>
        </w:rPr>
        <w:t xml:space="preserve">Prior Meeting </w:t>
      </w:r>
      <w:r w:rsidRPr="00A75D63">
        <w:rPr>
          <w:rFonts w:ascii="Times New Roman" w:hAnsi="Times New Roman" w:cs="Times New Roman"/>
          <w:u w:val="single"/>
        </w:rPr>
        <w:t>Minutes</w:t>
      </w:r>
    </w:p>
    <w:p w14:paraId="33F6318F" w14:textId="65146121" w:rsidR="00EF1AE7" w:rsidRPr="00A75D63" w:rsidRDefault="00EF1AE7" w:rsidP="00DC7763">
      <w:pPr>
        <w:spacing w:after="0" w:line="240" w:lineRule="auto"/>
        <w:rPr>
          <w:rFonts w:ascii="Times New Roman" w:hAnsi="Times New Roman" w:cs="Times New Roman"/>
        </w:rPr>
      </w:pPr>
    </w:p>
    <w:p w14:paraId="485C72BA" w14:textId="14F7AC1E" w:rsidR="00EF1AE7" w:rsidRDefault="00C77775" w:rsidP="00EF1AE7">
      <w:pPr>
        <w:spacing w:after="0" w:line="240" w:lineRule="auto"/>
        <w:jc w:val="both"/>
        <w:rPr>
          <w:rFonts w:ascii="Times New Roman" w:hAnsi="Times New Roman" w:cs="Times New Roman"/>
        </w:rPr>
      </w:pPr>
      <w:r w:rsidRPr="00A75D63">
        <w:rPr>
          <w:rFonts w:ascii="Times New Roman" w:hAnsi="Times New Roman" w:cs="Times New Roman"/>
        </w:rPr>
        <w:t xml:space="preserve">The meeting minutes from March </w:t>
      </w:r>
      <w:r w:rsidR="00632371" w:rsidRPr="00A75D63">
        <w:rPr>
          <w:rFonts w:ascii="Times New Roman" w:hAnsi="Times New Roman" w:cs="Times New Roman"/>
        </w:rPr>
        <w:t>28</w:t>
      </w:r>
      <w:r w:rsidRPr="00A75D63">
        <w:rPr>
          <w:rFonts w:ascii="Times New Roman" w:hAnsi="Times New Roman" w:cs="Times New Roman"/>
        </w:rPr>
        <w:t xml:space="preserve">, 2025, were presented for discussion and approval. </w:t>
      </w:r>
      <w:r w:rsidR="00A75D63" w:rsidRPr="00A75D63">
        <w:rPr>
          <w:rFonts w:ascii="Times New Roman" w:hAnsi="Times New Roman" w:cs="Times New Roman"/>
        </w:rPr>
        <w:t xml:space="preserve">Mr. Butterfield </w:t>
      </w:r>
      <w:r w:rsidRPr="00A75D63">
        <w:rPr>
          <w:rFonts w:ascii="Times New Roman" w:hAnsi="Times New Roman" w:cs="Times New Roman"/>
        </w:rPr>
        <w:t xml:space="preserve">moved to approve the minutes, and </w:t>
      </w:r>
      <w:r w:rsidR="00A75D63" w:rsidRPr="00A75D63">
        <w:rPr>
          <w:rFonts w:ascii="Times New Roman" w:hAnsi="Times New Roman" w:cs="Times New Roman"/>
        </w:rPr>
        <w:t>Auditor Cannon</w:t>
      </w:r>
      <w:r w:rsidRPr="00A75D63">
        <w:rPr>
          <w:rFonts w:ascii="Times New Roman" w:hAnsi="Times New Roman" w:cs="Times New Roman"/>
        </w:rPr>
        <w:t xml:space="preserve"> seconded the motion.</w:t>
      </w:r>
      <w:r w:rsidR="00A75D63" w:rsidRPr="00A75D63">
        <w:rPr>
          <w:rFonts w:ascii="Times New Roman" w:hAnsi="Times New Roman" w:cs="Times New Roman"/>
        </w:rPr>
        <w:t xml:space="preserve"> T</w:t>
      </w:r>
      <w:r w:rsidRPr="00A75D63">
        <w:rPr>
          <w:rFonts w:ascii="Times New Roman" w:hAnsi="Times New Roman" w:cs="Times New Roman"/>
        </w:rPr>
        <w:t xml:space="preserve">he motion </w:t>
      </w:r>
      <w:r w:rsidR="00A75D63" w:rsidRPr="00A75D63">
        <w:rPr>
          <w:rFonts w:ascii="Times New Roman" w:hAnsi="Times New Roman" w:cs="Times New Roman"/>
        </w:rPr>
        <w:t>passed</w:t>
      </w:r>
      <w:r w:rsidRPr="00A75D63">
        <w:rPr>
          <w:rFonts w:ascii="Times New Roman" w:hAnsi="Times New Roman" w:cs="Times New Roman"/>
        </w:rPr>
        <w:t xml:space="preserve"> unanimously, with all Commission members voting in favor.</w:t>
      </w:r>
    </w:p>
    <w:p w14:paraId="24E12A62" w14:textId="77777777" w:rsidR="00C77775" w:rsidRPr="0031762F" w:rsidRDefault="00C77775" w:rsidP="00EF1AE7">
      <w:pPr>
        <w:spacing w:after="0" w:line="240" w:lineRule="auto"/>
        <w:jc w:val="both"/>
        <w:rPr>
          <w:rFonts w:ascii="Times New Roman" w:hAnsi="Times New Roman" w:cs="Times New Roman"/>
        </w:rPr>
      </w:pPr>
    </w:p>
    <w:p w14:paraId="4DD66745" w14:textId="1E89CED6" w:rsidR="009959BA" w:rsidRPr="00A75D63" w:rsidRDefault="009959BA" w:rsidP="009959BA">
      <w:pPr>
        <w:pStyle w:val="ListParagraph"/>
        <w:numPr>
          <w:ilvl w:val="0"/>
          <w:numId w:val="1"/>
        </w:numPr>
        <w:spacing w:after="0" w:line="240" w:lineRule="auto"/>
        <w:jc w:val="both"/>
        <w:rPr>
          <w:rFonts w:ascii="Times New Roman" w:hAnsi="Times New Roman" w:cs="Times New Roman"/>
        </w:rPr>
      </w:pPr>
      <w:r w:rsidRPr="00A75D63">
        <w:rPr>
          <w:rFonts w:ascii="Times New Roman" w:hAnsi="Times New Roman" w:cs="Times New Roman"/>
          <w:u w:val="single"/>
        </w:rPr>
        <w:t>A resolution approving the issuance by the Utah Transit Authority of not more than $980,000,000 aggregate principal amount of Sales Tax Revenue and Refunding Bonds</w:t>
      </w:r>
    </w:p>
    <w:p w14:paraId="79ABA22E" w14:textId="77777777" w:rsidR="009959BA" w:rsidRDefault="009959BA" w:rsidP="009959BA">
      <w:pPr>
        <w:spacing w:after="0" w:line="240" w:lineRule="auto"/>
        <w:jc w:val="both"/>
        <w:rPr>
          <w:rFonts w:ascii="Times New Roman" w:hAnsi="Times New Roman" w:cs="Times New Roman"/>
        </w:rPr>
      </w:pPr>
    </w:p>
    <w:p w14:paraId="6377769A" w14:textId="6293720D" w:rsidR="00B217F9" w:rsidRPr="00B217F9"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Mr. Christensen provided a summary of UTA’s capital needs, noting that the agency has not issued new construction-related debt since 2019. Since then, UTA has improved its financial position through several debt restructuring efforts. He explained that UTA is now replacing its original 25-year-old Blue Line light rail vehicles, which lack level boarding.</w:t>
      </w:r>
      <w:r>
        <w:rPr>
          <w:rFonts w:ascii="Times New Roman" w:hAnsi="Times New Roman" w:cs="Times New Roman"/>
        </w:rPr>
        <w:t xml:space="preserve"> </w:t>
      </w:r>
    </w:p>
    <w:p w14:paraId="22BCBF45" w14:textId="5F034DA7" w:rsidR="00B217F9" w:rsidRPr="00B217F9"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lastRenderedPageBreak/>
        <w:t>Through a competitive procurement process, UTA selected Utah-based Stadler Rail</w:t>
      </w:r>
      <w:r>
        <w:rPr>
          <w:rFonts w:ascii="Times New Roman" w:hAnsi="Times New Roman" w:cs="Times New Roman"/>
        </w:rPr>
        <w:t xml:space="preserve"> </w:t>
      </w:r>
      <w:r w:rsidRPr="00B217F9">
        <w:rPr>
          <w:rFonts w:ascii="Times New Roman" w:hAnsi="Times New Roman" w:cs="Times New Roman"/>
        </w:rPr>
        <w:t>to build the new fleet</w:t>
      </w:r>
      <w:r w:rsidR="00F04613">
        <w:rPr>
          <w:rFonts w:ascii="Times New Roman" w:hAnsi="Times New Roman" w:cs="Times New Roman"/>
        </w:rPr>
        <w:t xml:space="preserve"> </w:t>
      </w:r>
      <w:r w:rsidRPr="00B217F9">
        <w:rPr>
          <w:rFonts w:ascii="Times New Roman" w:hAnsi="Times New Roman" w:cs="Times New Roman"/>
        </w:rPr>
        <w:t>marking Stadler’s first domestic light rail assembly project. The initial order includes 20 vehicles</w:t>
      </w:r>
      <w:r>
        <w:rPr>
          <w:rFonts w:ascii="Times New Roman" w:hAnsi="Times New Roman" w:cs="Times New Roman"/>
        </w:rPr>
        <w:t>,</w:t>
      </w:r>
      <w:r w:rsidRPr="00B217F9">
        <w:rPr>
          <w:rFonts w:ascii="Times New Roman" w:hAnsi="Times New Roman" w:cs="Times New Roman"/>
        </w:rPr>
        <w:t xml:space="preserve"> half of which will be funded by a secured federal grant. UTA plans to replace a total of 40 vehicles, but still needs to identify funding for the remaining units.</w:t>
      </w:r>
    </w:p>
    <w:p w14:paraId="3E027AE1" w14:textId="77777777" w:rsidR="00B217F9" w:rsidRPr="00B217F9" w:rsidRDefault="00B217F9" w:rsidP="00B217F9">
      <w:pPr>
        <w:spacing w:after="0" w:line="240" w:lineRule="auto"/>
        <w:jc w:val="both"/>
        <w:rPr>
          <w:rFonts w:ascii="Times New Roman" w:hAnsi="Times New Roman" w:cs="Times New Roman"/>
        </w:rPr>
      </w:pPr>
    </w:p>
    <w:p w14:paraId="0030E827" w14:textId="4B06D54E" w:rsidR="00B217F9" w:rsidRPr="00B217F9"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Mr. Christensen emphasized the five-year lead time for manufacturing, aligning the project with a 2030 deployment goal, just ahead of the current fleet’s retirement and in time for the 2034 Olympics.</w:t>
      </w:r>
    </w:p>
    <w:p w14:paraId="6F46CE8C" w14:textId="77777777" w:rsidR="00B217F9" w:rsidRPr="00B217F9" w:rsidRDefault="00B217F9" w:rsidP="00B217F9">
      <w:pPr>
        <w:spacing w:after="0" w:line="240" w:lineRule="auto"/>
        <w:jc w:val="both"/>
        <w:rPr>
          <w:rFonts w:ascii="Times New Roman" w:hAnsi="Times New Roman" w:cs="Times New Roman"/>
        </w:rPr>
      </w:pPr>
    </w:p>
    <w:p w14:paraId="4B7FE785" w14:textId="30FAD2DF" w:rsidR="002470E0"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He also referenced the need to reconstruct UTA’s Ogden maintenance facility, built in 1985, and confirmed that bond proceeds would fund both the vehicle replacement and facility upgrades. He concluded by underscoring that the overall financing package supports both operational improvements and long-term transit readiness.</w:t>
      </w:r>
    </w:p>
    <w:p w14:paraId="2178796C" w14:textId="77777777" w:rsidR="00B217F9" w:rsidRPr="002470E0" w:rsidRDefault="00B217F9" w:rsidP="00B217F9">
      <w:pPr>
        <w:spacing w:after="0" w:line="240" w:lineRule="auto"/>
        <w:jc w:val="both"/>
        <w:rPr>
          <w:rFonts w:ascii="Times New Roman" w:hAnsi="Times New Roman" w:cs="Times New Roman"/>
        </w:rPr>
      </w:pPr>
    </w:p>
    <w:p w14:paraId="69537DCA" w14:textId="77777777" w:rsidR="00B217F9" w:rsidRPr="00B217F9"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Mr. Reeves summarized the financing components of UTA’s proposal, noting that while the total bond authorization appears large, it is structured to cover all potential refunding scenarios, not actual anticipated issuances. The first phase includes a $128 million new issuance—UTA’s first since 2019—primarily to purchase 40 new light rail vehicles. These funds address aging fleet concerns and growing ridership demand.</w:t>
      </w:r>
    </w:p>
    <w:p w14:paraId="430DA97D" w14:textId="77777777" w:rsidR="00B217F9" w:rsidRPr="00B217F9" w:rsidRDefault="00B217F9" w:rsidP="00B217F9">
      <w:pPr>
        <w:spacing w:after="0" w:line="240" w:lineRule="auto"/>
        <w:jc w:val="both"/>
        <w:rPr>
          <w:rFonts w:ascii="Times New Roman" w:hAnsi="Times New Roman" w:cs="Times New Roman"/>
        </w:rPr>
      </w:pPr>
    </w:p>
    <w:p w14:paraId="7E2C0AF4" w14:textId="77777777" w:rsidR="00B217F9" w:rsidRPr="00B217F9"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The second phase involves a bond tender offer, targeting over $600 million in older taxable bonds. Reeves explained that many of these carry low interest rates and long call dates, making traditional refinancing impractical. Through the tender process, UTA offers a small premium to encourage early repayment, unlocking cost-saving opportunities.</w:t>
      </w:r>
    </w:p>
    <w:p w14:paraId="7AAD3E14" w14:textId="77777777" w:rsidR="00B217F9" w:rsidRPr="00B217F9" w:rsidRDefault="00B217F9" w:rsidP="00B217F9">
      <w:pPr>
        <w:spacing w:after="0" w:line="240" w:lineRule="auto"/>
        <w:jc w:val="both"/>
        <w:rPr>
          <w:rFonts w:ascii="Times New Roman" w:hAnsi="Times New Roman" w:cs="Times New Roman"/>
        </w:rPr>
      </w:pPr>
    </w:p>
    <w:p w14:paraId="633386D1" w14:textId="77777777" w:rsidR="00B217F9" w:rsidRPr="00B217F9"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The third phase, considered optional, would explore refunding certain existing bonds—both taxable and tax-exempt—if market conditions allow. While the savings potential is smaller, UTA remains attentive to favorable refinancing windows.</w:t>
      </w:r>
    </w:p>
    <w:p w14:paraId="4AC7DC03" w14:textId="77777777" w:rsidR="00B217F9" w:rsidRPr="00B217F9" w:rsidRDefault="00B217F9" w:rsidP="00B217F9">
      <w:pPr>
        <w:spacing w:after="0" w:line="240" w:lineRule="auto"/>
        <w:jc w:val="both"/>
        <w:rPr>
          <w:rFonts w:ascii="Times New Roman" w:hAnsi="Times New Roman" w:cs="Times New Roman"/>
        </w:rPr>
      </w:pPr>
    </w:p>
    <w:p w14:paraId="1317B9F7" w14:textId="5200A47C" w:rsidR="009619F3" w:rsidRDefault="00B217F9" w:rsidP="00B217F9">
      <w:pPr>
        <w:spacing w:after="0" w:line="240" w:lineRule="auto"/>
        <w:jc w:val="both"/>
        <w:rPr>
          <w:rFonts w:ascii="Times New Roman" w:hAnsi="Times New Roman" w:cs="Times New Roman"/>
        </w:rPr>
      </w:pPr>
      <w:r w:rsidRPr="00B217F9">
        <w:rPr>
          <w:rFonts w:ascii="Times New Roman" w:hAnsi="Times New Roman" w:cs="Times New Roman"/>
        </w:rPr>
        <w:t>Reeves emphasized that the new issuance is essential and will proceed, while the tender and refunding strategies will only move forward if they provide meaningful financial benefit to the agency.</w:t>
      </w:r>
    </w:p>
    <w:p w14:paraId="7DB30295" w14:textId="577710A7" w:rsidR="00B217F9" w:rsidRDefault="00B217F9" w:rsidP="00B217F9">
      <w:pPr>
        <w:spacing w:after="0" w:line="240" w:lineRule="auto"/>
        <w:jc w:val="both"/>
        <w:rPr>
          <w:rFonts w:ascii="Times New Roman" w:hAnsi="Times New Roman" w:cs="Times New Roman"/>
        </w:rPr>
      </w:pPr>
    </w:p>
    <w:p w14:paraId="6351DC07" w14:textId="278092DA" w:rsidR="008D45C9" w:rsidRPr="008D45C9" w:rsidRDefault="008D45C9" w:rsidP="008D45C9">
      <w:pPr>
        <w:spacing w:after="0" w:line="240" w:lineRule="auto"/>
        <w:jc w:val="both"/>
        <w:rPr>
          <w:rFonts w:ascii="Times New Roman" w:hAnsi="Times New Roman" w:cs="Times New Roman"/>
        </w:rPr>
      </w:pPr>
      <w:r w:rsidRPr="008D45C9">
        <w:rPr>
          <w:rFonts w:ascii="Times New Roman" w:hAnsi="Times New Roman" w:cs="Times New Roman"/>
        </w:rPr>
        <w:t xml:space="preserve">Mr. Baker provided an overview of UTA’s proposed financing strategy, beginning with the total authorization request. While the amount appears large, it includes the maximum theoretical refunding capacity—an amount unlikely to be reached. The first part of the request includes $128 million in new debt issuance, primarily to fund the procurement of new </w:t>
      </w:r>
      <w:r>
        <w:rPr>
          <w:rFonts w:ascii="Times New Roman" w:hAnsi="Times New Roman" w:cs="Times New Roman"/>
        </w:rPr>
        <w:t>l</w:t>
      </w:r>
      <w:r w:rsidRPr="008D45C9">
        <w:rPr>
          <w:rFonts w:ascii="Times New Roman" w:hAnsi="Times New Roman" w:cs="Times New Roman"/>
        </w:rPr>
        <w:t>ight rail vehicles. UTA has not issued new money debt since 2019, with the last significant issuance occurring in 2012.</w:t>
      </w:r>
    </w:p>
    <w:p w14:paraId="5672E231" w14:textId="77777777" w:rsidR="008D45C9" w:rsidRPr="008D45C9" w:rsidRDefault="008D45C9" w:rsidP="008D45C9">
      <w:pPr>
        <w:spacing w:after="0" w:line="240" w:lineRule="auto"/>
        <w:jc w:val="both"/>
        <w:rPr>
          <w:rFonts w:ascii="Times New Roman" w:hAnsi="Times New Roman" w:cs="Times New Roman"/>
        </w:rPr>
      </w:pPr>
    </w:p>
    <w:p w14:paraId="105C4FFD" w14:textId="1704B736" w:rsidR="008D45C9" w:rsidRPr="008D45C9" w:rsidRDefault="008D45C9" w:rsidP="008D45C9">
      <w:pPr>
        <w:spacing w:after="0" w:line="240" w:lineRule="auto"/>
        <w:jc w:val="both"/>
        <w:rPr>
          <w:rFonts w:ascii="Times New Roman" w:hAnsi="Times New Roman" w:cs="Times New Roman"/>
        </w:rPr>
      </w:pPr>
      <w:r w:rsidRPr="008D45C9">
        <w:rPr>
          <w:rFonts w:ascii="Times New Roman" w:hAnsi="Times New Roman" w:cs="Times New Roman"/>
        </w:rPr>
        <w:t xml:space="preserve">Mr. Baker referred to a chart showing UTA’s debt profile. It illustrated existing senior and subordinate debt in gray, the proposed financing in blue, and a future anticipated issuance of $84 million in orange. Encouragingly, the debt structure—excluding the new additions—resembles UTA’s 2012 profile. Since then, refinancing </w:t>
      </w:r>
      <w:r w:rsidR="009318B3" w:rsidRPr="008D45C9">
        <w:rPr>
          <w:rFonts w:ascii="Times New Roman" w:hAnsi="Times New Roman" w:cs="Times New Roman"/>
        </w:rPr>
        <w:t>has</w:t>
      </w:r>
      <w:r w:rsidRPr="008D45C9">
        <w:rPr>
          <w:rFonts w:ascii="Times New Roman" w:hAnsi="Times New Roman" w:cs="Times New Roman"/>
        </w:rPr>
        <w:t xml:space="preserve"> reduced expenses, and sales tax revenues pledged to debt have more than doubled, improving debt coverage ratios and capacity.</w:t>
      </w:r>
    </w:p>
    <w:p w14:paraId="40755CC0" w14:textId="77777777" w:rsidR="008D45C9" w:rsidRPr="008D45C9" w:rsidRDefault="008D45C9" w:rsidP="008D45C9">
      <w:pPr>
        <w:spacing w:after="0" w:line="240" w:lineRule="auto"/>
        <w:jc w:val="both"/>
        <w:rPr>
          <w:rFonts w:ascii="Times New Roman" w:hAnsi="Times New Roman" w:cs="Times New Roman"/>
        </w:rPr>
      </w:pPr>
    </w:p>
    <w:p w14:paraId="7174024C" w14:textId="78CDFDCF" w:rsidR="008D45C9" w:rsidRPr="008D45C9" w:rsidRDefault="008D45C9" w:rsidP="008D45C9">
      <w:pPr>
        <w:spacing w:after="0" w:line="240" w:lineRule="auto"/>
        <w:jc w:val="both"/>
        <w:rPr>
          <w:rFonts w:ascii="Times New Roman" w:hAnsi="Times New Roman" w:cs="Times New Roman"/>
        </w:rPr>
      </w:pPr>
      <w:r w:rsidRPr="008D45C9">
        <w:rPr>
          <w:rFonts w:ascii="Times New Roman" w:hAnsi="Times New Roman" w:cs="Times New Roman"/>
        </w:rPr>
        <w:t>He then explained UTA’s bond tendering process, where the agency invites bondholders to sell back bonds at a slight premium to market value. This process can unlock early refinancing opportunities, especially for non-callable or long-dated callable bonds. Mr. Baker noted a strong interest from investors, including a $100 million unsolicited inquiry, and estimated 30% participation</w:t>
      </w:r>
      <w:r>
        <w:rPr>
          <w:rFonts w:ascii="Times New Roman" w:hAnsi="Times New Roman" w:cs="Times New Roman"/>
        </w:rPr>
        <w:t xml:space="preserve"> </w:t>
      </w:r>
      <w:r w:rsidRPr="008D45C9">
        <w:rPr>
          <w:rFonts w:ascii="Times New Roman" w:hAnsi="Times New Roman" w:cs="Times New Roman"/>
        </w:rPr>
        <w:t>could generate substantial savings.</w:t>
      </w:r>
    </w:p>
    <w:p w14:paraId="0A890191" w14:textId="77777777" w:rsidR="008D45C9" w:rsidRPr="008D45C9" w:rsidRDefault="008D45C9" w:rsidP="008D45C9">
      <w:pPr>
        <w:spacing w:after="0" w:line="240" w:lineRule="auto"/>
        <w:jc w:val="both"/>
        <w:rPr>
          <w:rFonts w:ascii="Times New Roman" w:hAnsi="Times New Roman" w:cs="Times New Roman"/>
        </w:rPr>
      </w:pPr>
    </w:p>
    <w:p w14:paraId="0DC6C0B2" w14:textId="639820BD" w:rsidR="00B217F9" w:rsidRDefault="008D45C9" w:rsidP="008D45C9">
      <w:pPr>
        <w:spacing w:after="0" w:line="240" w:lineRule="auto"/>
        <w:jc w:val="both"/>
        <w:rPr>
          <w:rFonts w:ascii="Times New Roman" w:hAnsi="Times New Roman" w:cs="Times New Roman"/>
        </w:rPr>
      </w:pPr>
      <w:r w:rsidRPr="008D45C9">
        <w:rPr>
          <w:rFonts w:ascii="Times New Roman" w:hAnsi="Times New Roman" w:cs="Times New Roman"/>
        </w:rPr>
        <w:t>The total par amount requested</w:t>
      </w:r>
      <w:r>
        <w:rPr>
          <w:rFonts w:ascii="Times New Roman" w:hAnsi="Times New Roman" w:cs="Times New Roman"/>
        </w:rPr>
        <w:t xml:space="preserve"> </w:t>
      </w:r>
      <w:r w:rsidRPr="008D45C9">
        <w:rPr>
          <w:rFonts w:ascii="Times New Roman" w:hAnsi="Times New Roman" w:cs="Times New Roman"/>
        </w:rPr>
        <w:t>up to $975 million</w:t>
      </w:r>
      <w:r>
        <w:rPr>
          <w:rFonts w:ascii="Times New Roman" w:hAnsi="Times New Roman" w:cs="Times New Roman"/>
        </w:rPr>
        <w:t xml:space="preserve"> </w:t>
      </w:r>
      <w:r w:rsidRPr="008D45C9">
        <w:rPr>
          <w:rFonts w:ascii="Times New Roman" w:hAnsi="Times New Roman" w:cs="Times New Roman"/>
        </w:rPr>
        <w:t>covers all possible tender scenarios. However, bonds will only be repurchased when the savings are meaningful. Mr. Baker emphasized that while new capital issuance must proceed, UTA will only execute tenders or refundings if they prove economically viable. Market volatility will influence these decisions, but if conditions remain stable, UTA expects to move forward and potentially realize millions in cost savings.</w:t>
      </w:r>
    </w:p>
    <w:p w14:paraId="1D8C7554" w14:textId="7C8DA40B" w:rsidR="00B217F9" w:rsidRDefault="00B217F9" w:rsidP="00B217F9">
      <w:pPr>
        <w:spacing w:after="0" w:line="240" w:lineRule="auto"/>
        <w:jc w:val="both"/>
        <w:rPr>
          <w:rFonts w:ascii="Times New Roman" w:hAnsi="Times New Roman" w:cs="Times New Roman"/>
        </w:rPr>
      </w:pPr>
    </w:p>
    <w:p w14:paraId="7E950432" w14:textId="5EB097D8" w:rsidR="008D45C9" w:rsidRDefault="008D45C9" w:rsidP="008D45C9">
      <w:pPr>
        <w:spacing w:after="0" w:line="240" w:lineRule="auto"/>
        <w:jc w:val="both"/>
        <w:rPr>
          <w:rFonts w:ascii="Times New Roman" w:hAnsi="Times New Roman" w:cs="Times New Roman"/>
        </w:rPr>
      </w:pPr>
      <w:r>
        <w:rPr>
          <w:rFonts w:ascii="Times New Roman" w:hAnsi="Times New Roman" w:cs="Times New Roman"/>
        </w:rPr>
        <w:t xml:space="preserve">Mr. Wade made a motion to approve the issuance and sale by the Utah Transit Authority of its senior and/or subordinate sales tax revenue and refunding bonds in the aggregate principal amount of not to exceed </w:t>
      </w:r>
      <w:r>
        <w:rPr>
          <w:rFonts w:ascii="Times New Roman" w:hAnsi="Times New Roman" w:cs="Times New Roman"/>
        </w:rPr>
        <w:lastRenderedPageBreak/>
        <w:t xml:space="preserve">$973,000,000 by both traditional means and a potential tender offer. Mr. Butterfield </w:t>
      </w:r>
      <w:r w:rsidRPr="00A75D63">
        <w:rPr>
          <w:rFonts w:ascii="Times New Roman" w:hAnsi="Times New Roman" w:cs="Times New Roman"/>
        </w:rPr>
        <w:t>seconded the motion. The motion passed unanimously, with all Commission members voting in favor.</w:t>
      </w:r>
    </w:p>
    <w:p w14:paraId="60DB21EC" w14:textId="35CEEEEC" w:rsidR="008D45C9" w:rsidRDefault="008D45C9" w:rsidP="00B217F9">
      <w:pPr>
        <w:spacing w:after="0" w:line="240" w:lineRule="auto"/>
        <w:jc w:val="both"/>
        <w:rPr>
          <w:rFonts w:ascii="Times New Roman" w:hAnsi="Times New Roman" w:cs="Times New Roman"/>
        </w:rPr>
      </w:pPr>
    </w:p>
    <w:p w14:paraId="0E27B1DF" w14:textId="264CD5E1" w:rsidR="00973A5D" w:rsidRPr="00F04613" w:rsidRDefault="009959BA" w:rsidP="009959BA">
      <w:pPr>
        <w:pStyle w:val="ListParagraph"/>
        <w:numPr>
          <w:ilvl w:val="0"/>
          <w:numId w:val="1"/>
        </w:numPr>
        <w:spacing w:after="0" w:line="240" w:lineRule="auto"/>
        <w:jc w:val="both"/>
        <w:rPr>
          <w:rFonts w:ascii="Times New Roman" w:hAnsi="Times New Roman" w:cs="Times New Roman"/>
          <w:u w:val="single"/>
        </w:rPr>
      </w:pPr>
      <w:r w:rsidRPr="00F04613">
        <w:rPr>
          <w:rFonts w:ascii="Times New Roman" w:hAnsi="Times New Roman" w:cs="Times New Roman"/>
          <w:u w:val="single"/>
        </w:rPr>
        <w:t>Review and provide comments on the proposed issuance of approximately $100,000,000 in Tax Differential Bonds by the Board of Trustees of the VERK Industrial Regional Public Infrastructure District (PID)</w:t>
      </w:r>
    </w:p>
    <w:p w14:paraId="64C869FE" w14:textId="21281037" w:rsidR="009959BA" w:rsidRDefault="009959BA" w:rsidP="009959BA">
      <w:pPr>
        <w:pStyle w:val="ListParagraph"/>
        <w:spacing w:after="0" w:line="240" w:lineRule="auto"/>
        <w:ind w:left="360"/>
        <w:jc w:val="both"/>
        <w:rPr>
          <w:rFonts w:ascii="Times New Roman" w:hAnsi="Times New Roman" w:cs="Times New Roman"/>
          <w:u w:val="single"/>
        </w:rPr>
      </w:pPr>
    </w:p>
    <w:p w14:paraId="03DCBDA0"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Mr. Burton explained that the project is located in the northern and northwestern part of the community—an area long preserved for industrial growth. Spanning approximately 2,600 acres, it has been primed for development and could support at least 14 million square feet of new industrial facilities, in addition to utilizing existing spaces.</w:t>
      </w:r>
    </w:p>
    <w:p w14:paraId="46634F68" w14:textId="77777777" w:rsidR="00631BCA" w:rsidRPr="00631BCA" w:rsidRDefault="00631BCA" w:rsidP="00631BCA">
      <w:pPr>
        <w:spacing w:after="0" w:line="240" w:lineRule="auto"/>
        <w:jc w:val="both"/>
        <w:rPr>
          <w:rFonts w:ascii="Times New Roman" w:hAnsi="Times New Roman" w:cs="Times New Roman"/>
        </w:rPr>
      </w:pPr>
    </w:p>
    <w:p w14:paraId="6AEA3008"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A key feature of the area is the Spanish Fork Municipal Airport, which, while a valuable asset, creates challenges for utility infrastructure due to its location. Utility lines must be routed around the airport, increasing costs and complexity.</w:t>
      </w:r>
    </w:p>
    <w:p w14:paraId="35418849" w14:textId="77777777" w:rsidR="00631BCA" w:rsidRPr="00631BCA" w:rsidRDefault="00631BCA" w:rsidP="00631BCA">
      <w:pPr>
        <w:spacing w:after="0" w:line="240" w:lineRule="auto"/>
        <w:jc w:val="both"/>
        <w:rPr>
          <w:rFonts w:ascii="Times New Roman" w:hAnsi="Times New Roman" w:cs="Times New Roman"/>
        </w:rPr>
      </w:pPr>
    </w:p>
    <w:p w14:paraId="2E162938"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The area will benefit from a new freeway interchange—currently under construction and set to open next year—which, along with two existing interchanges and Highway 6, will provide excellent regional connectivity, including access to Colorado and southern Utah.</w:t>
      </w:r>
    </w:p>
    <w:p w14:paraId="233814E0" w14:textId="77777777" w:rsidR="00631BCA" w:rsidRPr="00631BCA" w:rsidRDefault="00631BCA" w:rsidP="00631BCA">
      <w:pPr>
        <w:spacing w:after="0" w:line="240" w:lineRule="auto"/>
        <w:jc w:val="both"/>
        <w:rPr>
          <w:rFonts w:ascii="Times New Roman" w:hAnsi="Times New Roman" w:cs="Times New Roman"/>
        </w:rPr>
      </w:pPr>
    </w:p>
    <w:p w14:paraId="39858C73"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Mr. Burton noted that current and planned infrastructure improvements supported by bond funding will attract new businesses and help retain existing ones. He highlighted two major industrial buildings already under development: a 500,000-square-foot facility under construction south of the airport and another recently completed distribution center.</w:t>
      </w:r>
    </w:p>
    <w:p w14:paraId="5369DEA9" w14:textId="77777777" w:rsidR="00631BCA" w:rsidRPr="00631BCA" w:rsidRDefault="00631BCA" w:rsidP="00631BCA">
      <w:pPr>
        <w:spacing w:after="0" w:line="240" w:lineRule="auto"/>
        <w:jc w:val="both"/>
        <w:rPr>
          <w:rFonts w:ascii="Times New Roman" w:hAnsi="Times New Roman" w:cs="Times New Roman"/>
        </w:rPr>
      </w:pPr>
    </w:p>
    <w:p w14:paraId="1F8FCCCB"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In May 2023, Spanish Fork partnered with the Utah Inland Port Authority to expand the scope of the project beyond the city’s original RDA vision. A Public Infrastructure District (PID) was created and began operating in March 2025 to support the effort.</w:t>
      </w:r>
    </w:p>
    <w:p w14:paraId="6AB04197" w14:textId="77777777" w:rsidR="00631BCA" w:rsidRPr="00631BCA" w:rsidRDefault="00631BCA" w:rsidP="00631BCA">
      <w:pPr>
        <w:spacing w:after="0" w:line="240" w:lineRule="auto"/>
        <w:jc w:val="both"/>
        <w:rPr>
          <w:rFonts w:ascii="Times New Roman" w:hAnsi="Times New Roman" w:cs="Times New Roman"/>
        </w:rPr>
      </w:pPr>
    </w:p>
    <w:p w14:paraId="1902D594" w14:textId="1FD44A56" w:rsid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Mr. Burton confirmed that agreements with major taxing entities, such as the school district and the county, were secured early in the process, preserving a 70% tax increment over 20 years. While smaller taxing entities were also approached, not all responded, and the transition to the Port partnership made some of those discussions unnecessary.</w:t>
      </w:r>
    </w:p>
    <w:p w14:paraId="2E348CF3" w14:textId="31101999" w:rsidR="00631BCA" w:rsidRDefault="00631BCA" w:rsidP="00631BCA">
      <w:pPr>
        <w:spacing w:after="0" w:line="240" w:lineRule="auto"/>
        <w:jc w:val="both"/>
        <w:rPr>
          <w:rFonts w:ascii="Times New Roman" w:hAnsi="Times New Roman" w:cs="Times New Roman"/>
        </w:rPr>
      </w:pPr>
    </w:p>
    <w:p w14:paraId="61439D54" w14:textId="4FB517EE"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 xml:space="preserve">Mr. Oveson </w:t>
      </w:r>
      <w:r w:rsidR="003E7C92">
        <w:rPr>
          <w:rFonts w:ascii="Times New Roman" w:hAnsi="Times New Roman" w:cs="Times New Roman"/>
        </w:rPr>
        <w:t xml:space="preserve">(representative of the Auditor’s Office) </w:t>
      </w:r>
      <w:r w:rsidRPr="00631BCA">
        <w:rPr>
          <w:rFonts w:ascii="Times New Roman" w:hAnsi="Times New Roman" w:cs="Times New Roman"/>
        </w:rPr>
        <w:t>raised concerns about the compliance status of the Public Infrastructure District (PID), specifically regarding its reporting obligations to the State Auditor. He confirmed that the PID's governing body is currently suspended due to noncompliance—most notably, failure to submit a required budget—and cannot legally spend any funds until the issue is resolved.</w:t>
      </w:r>
    </w:p>
    <w:p w14:paraId="79F7899C" w14:textId="77777777" w:rsidR="00631BCA" w:rsidRPr="00631BCA" w:rsidRDefault="00631BCA" w:rsidP="00631BCA">
      <w:pPr>
        <w:spacing w:after="0" w:line="240" w:lineRule="auto"/>
        <w:jc w:val="both"/>
        <w:rPr>
          <w:rFonts w:ascii="Times New Roman" w:hAnsi="Times New Roman" w:cs="Times New Roman"/>
        </w:rPr>
      </w:pPr>
    </w:p>
    <w:p w14:paraId="28672DAB" w14:textId="77777777"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He explained that his office, which oversees compliance for all local governments in the state, regularly encounters challenges with PIDs. As of that day, there were 121 such entities in the state’s system with missing contact information—making it impossible to send delinquency notices or communicate reporting requirements. Of those, approximately 111 to 114 are PIDs or FIDs, highlighting a systemic issue with how these entities are set up and managed.</w:t>
      </w:r>
    </w:p>
    <w:p w14:paraId="194FC6AD" w14:textId="77777777" w:rsidR="00631BCA" w:rsidRPr="00631BCA" w:rsidRDefault="00631BCA" w:rsidP="00631BCA">
      <w:pPr>
        <w:spacing w:after="0" w:line="240" w:lineRule="auto"/>
        <w:jc w:val="both"/>
        <w:rPr>
          <w:rFonts w:ascii="Times New Roman" w:hAnsi="Times New Roman" w:cs="Times New Roman"/>
        </w:rPr>
      </w:pPr>
    </w:p>
    <w:p w14:paraId="24858E40" w14:textId="7163F062" w:rsidR="00631BCA" w:rsidRP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 xml:space="preserve">Mr. Oveson </w:t>
      </w:r>
      <w:r w:rsidR="003E7C92">
        <w:rPr>
          <w:rFonts w:ascii="Times New Roman" w:hAnsi="Times New Roman" w:cs="Times New Roman"/>
        </w:rPr>
        <w:t xml:space="preserve">(representative of the Auditor’s Office) </w:t>
      </w:r>
      <w:r w:rsidRPr="00631BCA">
        <w:rPr>
          <w:rFonts w:ascii="Times New Roman" w:hAnsi="Times New Roman" w:cs="Times New Roman"/>
        </w:rPr>
        <w:t>noted that the VERK PID, in particular, is a prime example of this problem. With no contact information on file, his office has no way to reach someone responsible to resolve the suspension. He expressed frustration at the lack of follow-through during the creation of many PIDs, often resulting in a game of “telephone tag” between cities, developers, and state offices.</w:t>
      </w:r>
    </w:p>
    <w:p w14:paraId="32AEF7F4" w14:textId="77777777" w:rsidR="00631BCA" w:rsidRPr="00631BCA" w:rsidRDefault="00631BCA" w:rsidP="00631BCA">
      <w:pPr>
        <w:spacing w:after="0" w:line="240" w:lineRule="auto"/>
        <w:jc w:val="both"/>
        <w:rPr>
          <w:rFonts w:ascii="Times New Roman" w:hAnsi="Times New Roman" w:cs="Times New Roman"/>
        </w:rPr>
      </w:pPr>
    </w:p>
    <w:p w14:paraId="51B2DBD2" w14:textId="13168B06" w:rsid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He reminded the audience that the State Auditor’s Office oversees more than 1,800 entities statewide, and while they work to ensure compliance, the entities themselves must also take responsibility. Mr. Overson acknowledged that he's voiced concerns about PIDs before and reaffirmed that this ongoing lack of accountability is one of the most significant challenges facing his office.</w:t>
      </w:r>
    </w:p>
    <w:p w14:paraId="62E00E2A" w14:textId="488C48CF" w:rsidR="00631BCA" w:rsidRDefault="00631BCA" w:rsidP="00631BCA">
      <w:pPr>
        <w:spacing w:after="0" w:line="240" w:lineRule="auto"/>
        <w:jc w:val="both"/>
        <w:rPr>
          <w:rFonts w:ascii="Times New Roman" w:hAnsi="Times New Roman" w:cs="Times New Roman"/>
        </w:rPr>
      </w:pPr>
    </w:p>
    <w:p w14:paraId="48D20816" w14:textId="258757FC" w:rsidR="00631BCA" w:rsidRDefault="00631BCA" w:rsidP="00631BCA">
      <w:pPr>
        <w:spacing w:after="0" w:line="240" w:lineRule="auto"/>
        <w:jc w:val="both"/>
        <w:rPr>
          <w:rFonts w:ascii="Times New Roman" w:hAnsi="Times New Roman" w:cs="Times New Roman"/>
        </w:rPr>
      </w:pPr>
      <w:r w:rsidRPr="00631BCA">
        <w:rPr>
          <w:rFonts w:ascii="Times New Roman" w:hAnsi="Times New Roman" w:cs="Times New Roman"/>
        </w:rPr>
        <w:t>Mr. Lars</w:t>
      </w:r>
      <w:r w:rsidR="00950A42">
        <w:rPr>
          <w:rFonts w:ascii="Times New Roman" w:hAnsi="Times New Roman" w:cs="Times New Roman"/>
        </w:rPr>
        <w:t>e</w:t>
      </w:r>
      <w:r w:rsidRPr="00631BCA">
        <w:rPr>
          <w:rFonts w:ascii="Times New Roman" w:hAnsi="Times New Roman" w:cs="Times New Roman"/>
        </w:rPr>
        <w:t>n committed to working closely with the State Auditor’s Office to ensure all necessary contact information for the PID is promptly provided and properly recorded.</w:t>
      </w:r>
    </w:p>
    <w:p w14:paraId="484636BA" w14:textId="48AE58E8" w:rsidR="00631BCA" w:rsidRDefault="00631BCA" w:rsidP="00631BCA">
      <w:pPr>
        <w:spacing w:after="0" w:line="240" w:lineRule="auto"/>
        <w:jc w:val="both"/>
        <w:rPr>
          <w:rFonts w:ascii="Times New Roman" w:hAnsi="Times New Roman" w:cs="Times New Roman"/>
        </w:rPr>
      </w:pPr>
    </w:p>
    <w:p w14:paraId="16E80112" w14:textId="77777777" w:rsidR="000A7FEF" w:rsidRPr="000A7FEF" w:rsidRDefault="000A7FEF" w:rsidP="000A7FEF">
      <w:pPr>
        <w:spacing w:after="0" w:line="240" w:lineRule="auto"/>
        <w:jc w:val="both"/>
        <w:rPr>
          <w:rFonts w:ascii="Times New Roman" w:hAnsi="Times New Roman" w:cs="Times New Roman"/>
        </w:rPr>
      </w:pPr>
      <w:r w:rsidRPr="000A7FEF">
        <w:rPr>
          <w:rFonts w:ascii="Times New Roman" w:hAnsi="Times New Roman" w:cs="Times New Roman"/>
        </w:rPr>
        <w:t>Mr. Burton explained that a parameters resolution was recently adopted for up to $100 million in tax differential revenue bonds, with the first series expected to total around $65 million. The goal is to generate approximately $45–50 million in project construction funding through a 20-year amortized bond. The bonds will be secured by 64.75% of the tax differential revenues, based on a tax-sharing agreement between the Utah Inland Port Authority (UIPA) and Spanish Fork City. This figure reflects 92.5% of the 70% tax increment allocated to the BERC PID.</w:t>
      </w:r>
    </w:p>
    <w:p w14:paraId="5D7DE089" w14:textId="77777777" w:rsidR="000A7FEF" w:rsidRPr="000A7FEF" w:rsidRDefault="000A7FEF" w:rsidP="000A7FEF">
      <w:pPr>
        <w:spacing w:after="0" w:line="240" w:lineRule="auto"/>
        <w:jc w:val="both"/>
        <w:rPr>
          <w:rFonts w:ascii="Times New Roman" w:hAnsi="Times New Roman" w:cs="Times New Roman"/>
        </w:rPr>
      </w:pPr>
    </w:p>
    <w:p w14:paraId="411BCF2C" w14:textId="77777777" w:rsidR="000A7FEF" w:rsidRPr="000A7FEF" w:rsidRDefault="000A7FEF" w:rsidP="000A7FEF">
      <w:pPr>
        <w:spacing w:after="0" w:line="240" w:lineRule="auto"/>
        <w:jc w:val="both"/>
        <w:rPr>
          <w:rFonts w:ascii="Times New Roman" w:hAnsi="Times New Roman" w:cs="Times New Roman"/>
        </w:rPr>
      </w:pPr>
      <w:r w:rsidRPr="000A7FEF">
        <w:rPr>
          <w:rFonts w:ascii="Times New Roman" w:hAnsi="Times New Roman" w:cs="Times New Roman"/>
        </w:rPr>
        <w:t>The financing structure includes a fully funded $6 million debt service reserve and three years of capitalized interest. The first principal payment is expected in July 2028. Bonds are anticipated to be sold later this month, though timing may shift slightly.</w:t>
      </w:r>
    </w:p>
    <w:p w14:paraId="62E797EF" w14:textId="77777777" w:rsidR="000A7FEF" w:rsidRPr="000A7FEF" w:rsidRDefault="000A7FEF" w:rsidP="000A7FEF">
      <w:pPr>
        <w:spacing w:after="0" w:line="240" w:lineRule="auto"/>
        <w:jc w:val="both"/>
        <w:rPr>
          <w:rFonts w:ascii="Times New Roman" w:hAnsi="Times New Roman" w:cs="Times New Roman"/>
        </w:rPr>
      </w:pPr>
    </w:p>
    <w:p w14:paraId="69BC9A91" w14:textId="77777777" w:rsidR="000A7FEF" w:rsidRPr="000A7FEF" w:rsidRDefault="000A7FEF" w:rsidP="000A7FEF">
      <w:pPr>
        <w:spacing w:after="0" w:line="240" w:lineRule="auto"/>
        <w:jc w:val="both"/>
        <w:rPr>
          <w:rFonts w:ascii="Times New Roman" w:hAnsi="Times New Roman" w:cs="Times New Roman"/>
        </w:rPr>
      </w:pPr>
      <w:r w:rsidRPr="000A7FEF">
        <w:rPr>
          <w:rFonts w:ascii="Times New Roman" w:hAnsi="Times New Roman" w:cs="Times New Roman"/>
        </w:rPr>
        <w:t>Mr. Burton emphasized that the bonds are structured without administrative fault, placing repayment risk entirely on investors based on available tax increment revenues.</w:t>
      </w:r>
    </w:p>
    <w:p w14:paraId="0382985A" w14:textId="77777777" w:rsidR="000A7FEF" w:rsidRPr="000A7FEF" w:rsidRDefault="000A7FEF" w:rsidP="000A7FEF">
      <w:pPr>
        <w:spacing w:after="0" w:line="240" w:lineRule="auto"/>
        <w:jc w:val="both"/>
        <w:rPr>
          <w:rFonts w:ascii="Times New Roman" w:hAnsi="Times New Roman" w:cs="Times New Roman"/>
        </w:rPr>
      </w:pPr>
    </w:p>
    <w:p w14:paraId="6395A63A" w14:textId="6A92107D" w:rsidR="00631BCA" w:rsidRDefault="000A7FEF" w:rsidP="000A7FEF">
      <w:pPr>
        <w:spacing w:after="0" w:line="240" w:lineRule="auto"/>
        <w:jc w:val="both"/>
        <w:rPr>
          <w:rFonts w:ascii="Times New Roman" w:hAnsi="Times New Roman" w:cs="Times New Roman"/>
        </w:rPr>
      </w:pPr>
      <w:r w:rsidRPr="000A7FEF">
        <w:rPr>
          <w:rFonts w:ascii="Times New Roman" w:hAnsi="Times New Roman" w:cs="Times New Roman"/>
        </w:rPr>
        <w:t>He also highlighted the competitive selection of the financing team—most roles, including issuer’s counsel, municipal advisor, underwriter (DA Davidson), and trustee, were filled through formal RFP processes to ensure best practices and transparency.</w:t>
      </w:r>
    </w:p>
    <w:p w14:paraId="008F8C71" w14:textId="1E0B7649" w:rsidR="000A7FEF" w:rsidRDefault="000A7FEF" w:rsidP="000A7FEF">
      <w:pPr>
        <w:spacing w:after="0" w:line="240" w:lineRule="auto"/>
        <w:jc w:val="both"/>
        <w:rPr>
          <w:rFonts w:ascii="Times New Roman" w:hAnsi="Times New Roman" w:cs="Times New Roman"/>
        </w:rPr>
      </w:pPr>
    </w:p>
    <w:p w14:paraId="38C5A0F1" w14:textId="1DF93E30" w:rsidR="000A7FEF" w:rsidRDefault="000A7FEF" w:rsidP="000A7FEF">
      <w:pPr>
        <w:spacing w:after="0" w:line="240" w:lineRule="auto"/>
        <w:jc w:val="both"/>
        <w:rPr>
          <w:rFonts w:ascii="Times New Roman" w:hAnsi="Times New Roman" w:cs="Times New Roman"/>
        </w:rPr>
      </w:pPr>
      <w:r w:rsidRPr="000A7FEF">
        <w:rPr>
          <w:rFonts w:ascii="Times New Roman" w:hAnsi="Times New Roman" w:cs="Times New Roman"/>
        </w:rPr>
        <w:t>Treasurer Oaks asked for clarification on the bond terms, specifically confirming whether the 20-year amortization period included any extension provisions. He sought to verify that no extension beyond the stated term was planned.</w:t>
      </w:r>
      <w:r>
        <w:rPr>
          <w:rFonts w:ascii="Times New Roman" w:hAnsi="Times New Roman" w:cs="Times New Roman"/>
        </w:rPr>
        <w:t xml:space="preserve"> </w:t>
      </w:r>
      <w:r w:rsidRPr="000A7FEF">
        <w:rPr>
          <w:rFonts w:ascii="Times New Roman" w:hAnsi="Times New Roman" w:cs="Times New Roman"/>
        </w:rPr>
        <w:t>Mr. Burton confirmed that the bond is structured as a standard 20-year term with no extensions. He noted that current projections estimate an interest rate of approximately 6.50%. Based on the financial models run to date, he stated there is expected to be sufficient coverage to support a successful bond sale in the market.</w:t>
      </w:r>
      <w:r>
        <w:rPr>
          <w:rFonts w:ascii="Times New Roman" w:hAnsi="Times New Roman" w:cs="Times New Roman"/>
        </w:rPr>
        <w:t xml:space="preserve"> </w:t>
      </w:r>
      <w:r w:rsidRPr="000A7FEF">
        <w:rPr>
          <w:rFonts w:ascii="Times New Roman" w:hAnsi="Times New Roman" w:cs="Times New Roman"/>
        </w:rPr>
        <w:t>Mr. Burton stated that, in addition to the debt service reserve fund funded with bond proceeds, the financing plan includes the establishment of a surplus fund. This surplus fund will be built up gradually using available cash over time. He explained that this approach provides an added layer of financial security—essentially a "belt and suspenders" strategy—to help cover any potential shortfalls in tax differential revenues.</w:t>
      </w:r>
    </w:p>
    <w:p w14:paraId="7DD3892E" w14:textId="3742B06F" w:rsidR="000A7FEF" w:rsidRDefault="000A7FEF" w:rsidP="000A7FEF">
      <w:pPr>
        <w:spacing w:after="0" w:line="240" w:lineRule="auto"/>
        <w:jc w:val="both"/>
        <w:rPr>
          <w:rFonts w:ascii="Times New Roman" w:hAnsi="Times New Roman" w:cs="Times New Roman"/>
        </w:rPr>
      </w:pPr>
    </w:p>
    <w:p w14:paraId="14775C95" w14:textId="120A7560" w:rsidR="000A7FEF" w:rsidRDefault="000A7FEF" w:rsidP="000A7FEF">
      <w:pPr>
        <w:spacing w:after="0" w:line="240" w:lineRule="auto"/>
        <w:jc w:val="both"/>
        <w:rPr>
          <w:rFonts w:ascii="Times New Roman" w:hAnsi="Times New Roman" w:cs="Times New Roman"/>
        </w:rPr>
      </w:pPr>
      <w:r w:rsidRPr="000A7FEF">
        <w:rPr>
          <w:rFonts w:ascii="Times New Roman" w:hAnsi="Times New Roman" w:cs="Times New Roman"/>
        </w:rPr>
        <w:t>Mr. Lars</w:t>
      </w:r>
      <w:r w:rsidR="00950A42">
        <w:rPr>
          <w:rFonts w:ascii="Times New Roman" w:hAnsi="Times New Roman" w:cs="Times New Roman"/>
        </w:rPr>
        <w:t>e</w:t>
      </w:r>
      <w:r w:rsidRPr="000A7FEF">
        <w:rPr>
          <w:rFonts w:ascii="Times New Roman" w:hAnsi="Times New Roman" w:cs="Times New Roman"/>
        </w:rPr>
        <w:t>n explained to the Treasurer that tax increment financing (TIF) revenue will likely continue to arrive after the bond term begins, as each parcel within the project area is triggered for a 20-year TIF period upon coming online. He clarified that while the bond itself has a fixed term, there is effectively an extension in the form of staggered TIF activation across parcels. When referencing the discharge provision and express investor risk, Mr. Lars</w:t>
      </w:r>
      <w:r w:rsidR="00950A42">
        <w:rPr>
          <w:rFonts w:ascii="Times New Roman" w:hAnsi="Times New Roman" w:cs="Times New Roman"/>
        </w:rPr>
        <w:t>e</w:t>
      </w:r>
      <w:r w:rsidRPr="000A7FEF">
        <w:rPr>
          <w:rFonts w:ascii="Times New Roman" w:hAnsi="Times New Roman" w:cs="Times New Roman"/>
        </w:rPr>
        <w:t>n noted that it applies for the duration of the tax sharing agreement’s remaining term, aligning investor risk with the flow of available increment revenue.</w:t>
      </w:r>
    </w:p>
    <w:p w14:paraId="6A3EEB1B" w14:textId="0ACE52AA" w:rsidR="000A7FEF" w:rsidRDefault="000A7FEF" w:rsidP="000A7FEF">
      <w:pPr>
        <w:spacing w:after="0" w:line="240" w:lineRule="auto"/>
        <w:jc w:val="both"/>
        <w:rPr>
          <w:rFonts w:ascii="Times New Roman" w:hAnsi="Times New Roman" w:cs="Times New Roman"/>
        </w:rPr>
      </w:pPr>
    </w:p>
    <w:p w14:paraId="45B09445" w14:textId="223D4B27" w:rsidR="00950A42" w:rsidRPr="00950A42" w:rsidRDefault="00950A42" w:rsidP="00950A42">
      <w:pPr>
        <w:spacing w:after="0" w:line="240" w:lineRule="auto"/>
        <w:jc w:val="both"/>
        <w:rPr>
          <w:rFonts w:ascii="Times New Roman" w:hAnsi="Times New Roman" w:cs="Times New Roman"/>
        </w:rPr>
      </w:pPr>
      <w:r w:rsidRPr="00950A42">
        <w:rPr>
          <w:rFonts w:ascii="Times New Roman" w:hAnsi="Times New Roman" w:cs="Times New Roman"/>
        </w:rPr>
        <w:t xml:space="preserve">Mr. </w:t>
      </w:r>
      <w:r>
        <w:rPr>
          <w:rFonts w:ascii="Times New Roman" w:hAnsi="Times New Roman" w:cs="Times New Roman"/>
        </w:rPr>
        <w:t>Ward</w:t>
      </w:r>
      <w:r w:rsidRPr="00950A42">
        <w:rPr>
          <w:rFonts w:ascii="Times New Roman" w:hAnsi="Times New Roman" w:cs="Times New Roman"/>
        </w:rPr>
        <w:t xml:space="preserve"> noted that the Finance Review Commission is statutorily granted up to 45 days to provide comments or recommendations on any financing presented to the board. He stated that the parameters resolution was received approximately two weeks ago, meaning the review period is already underway.</w:t>
      </w:r>
    </w:p>
    <w:p w14:paraId="223500AC" w14:textId="77777777" w:rsidR="00950A42" w:rsidRPr="00950A42" w:rsidRDefault="00950A42" w:rsidP="00950A42">
      <w:pPr>
        <w:spacing w:after="0" w:line="240" w:lineRule="auto"/>
        <w:jc w:val="both"/>
        <w:rPr>
          <w:rFonts w:ascii="Times New Roman" w:hAnsi="Times New Roman" w:cs="Times New Roman"/>
        </w:rPr>
      </w:pPr>
    </w:p>
    <w:p w14:paraId="2845EDCB" w14:textId="5023EDF0" w:rsidR="000A7FEF" w:rsidRDefault="00950A42" w:rsidP="00950A42">
      <w:pPr>
        <w:spacing w:after="0" w:line="240" w:lineRule="auto"/>
        <w:jc w:val="both"/>
        <w:rPr>
          <w:rFonts w:ascii="Times New Roman" w:hAnsi="Times New Roman" w:cs="Times New Roman"/>
        </w:rPr>
      </w:pPr>
      <w:r w:rsidRPr="00950A42">
        <w:rPr>
          <w:rFonts w:ascii="Times New Roman" w:hAnsi="Times New Roman" w:cs="Times New Roman"/>
        </w:rPr>
        <w:t xml:space="preserve">Referencing Mr. Burton’s earlier comment that bond pricing could occur later this month or beyond—depending in part on the commission’s feedback—Mr. </w:t>
      </w:r>
      <w:r>
        <w:rPr>
          <w:rFonts w:ascii="Times New Roman" w:hAnsi="Times New Roman" w:cs="Times New Roman"/>
        </w:rPr>
        <w:t>Ward</w:t>
      </w:r>
      <w:r w:rsidRPr="00950A42">
        <w:rPr>
          <w:rFonts w:ascii="Times New Roman" w:hAnsi="Times New Roman" w:cs="Times New Roman"/>
        </w:rPr>
        <w:t xml:space="preserve"> encouraged the group to expedite any comments or recommendations. He suggested that, as in past practice, if no feedback is received by the end of the week, it should be considered as an indication of no objections. He recommended following the same approach for this financing, pending the commission’s agreement.</w:t>
      </w:r>
    </w:p>
    <w:p w14:paraId="17E08F34" w14:textId="77777777" w:rsidR="009959BA" w:rsidRDefault="009959BA" w:rsidP="009959BA">
      <w:pPr>
        <w:pStyle w:val="ListParagraph"/>
        <w:spacing w:after="0" w:line="240" w:lineRule="auto"/>
        <w:ind w:left="360"/>
        <w:jc w:val="both"/>
        <w:rPr>
          <w:rFonts w:ascii="Times New Roman" w:hAnsi="Times New Roman" w:cs="Times New Roman"/>
          <w:u w:val="single"/>
        </w:rPr>
      </w:pPr>
    </w:p>
    <w:p w14:paraId="79D12376" w14:textId="77777777" w:rsidR="009959BA" w:rsidRPr="00F04613" w:rsidRDefault="009959BA" w:rsidP="009959BA">
      <w:pPr>
        <w:pStyle w:val="ListParagraph"/>
        <w:numPr>
          <w:ilvl w:val="0"/>
          <w:numId w:val="1"/>
        </w:numPr>
        <w:spacing w:after="0" w:line="240" w:lineRule="auto"/>
        <w:jc w:val="both"/>
        <w:rPr>
          <w:rFonts w:ascii="Times New Roman" w:hAnsi="Times New Roman" w:cs="Times New Roman"/>
          <w:u w:val="single"/>
        </w:rPr>
      </w:pPr>
      <w:r w:rsidRPr="00F04613">
        <w:rPr>
          <w:rFonts w:ascii="Times New Roman" w:hAnsi="Times New Roman" w:cs="Times New Roman"/>
          <w:u w:val="single"/>
        </w:rPr>
        <w:t>Other Items of Business:</w:t>
      </w:r>
    </w:p>
    <w:p w14:paraId="71D0FEF0" w14:textId="77777777" w:rsidR="009959BA" w:rsidRPr="001C21DF" w:rsidRDefault="009959BA" w:rsidP="00973A5D">
      <w:pPr>
        <w:pStyle w:val="ListParagraph"/>
        <w:spacing w:after="0" w:line="240" w:lineRule="auto"/>
        <w:ind w:left="360"/>
        <w:jc w:val="both"/>
        <w:rPr>
          <w:rFonts w:ascii="Times New Roman" w:hAnsi="Times New Roman" w:cs="Times New Roman"/>
          <w:u w:val="single"/>
        </w:rPr>
      </w:pPr>
    </w:p>
    <w:p w14:paraId="7F42C6DA" w14:textId="66EB5E02" w:rsidR="000E60C1" w:rsidRDefault="000E60C1" w:rsidP="0031762F">
      <w:pPr>
        <w:spacing w:after="0" w:line="240" w:lineRule="auto"/>
        <w:rPr>
          <w:rFonts w:ascii="Times New Roman" w:hAnsi="Times New Roman" w:cs="Times New Roman"/>
        </w:rPr>
      </w:pPr>
      <w:r w:rsidRPr="000E60C1">
        <w:rPr>
          <w:rFonts w:ascii="Times New Roman" w:hAnsi="Times New Roman" w:cs="Times New Roman"/>
        </w:rPr>
        <w:t>There were no other items of business to discuss</w:t>
      </w:r>
      <w:r w:rsidR="0031762F">
        <w:rPr>
          <w:rFonts w:ascii="Times New Roman" w:hAnsi="Times New Roman" w:cs="Times New Roman"/>
        </w:rPr>
        <w:t>.</w:t>
      </w:r>
    </w:p>
    <w:p w14:paraId="5EFCC78D" w14:textId="77777777" w:rsidR="00B417CB" w:rsidRPr="001C21DF" w:rsidRDefault="00B417CB" w:rsidP="005C23F9">
      <w:pPr>
        <w:spacing w:after="0" w:line="240" w:lineRule="auto"/>
        <w:rPr>
          <w:rFonts w:ascii="Times New Roman" w:hAnsi="Times New Roman" w:cs="Times New Roman"/>
        </w:rPr>
      </w:pPr>
    </w:p>
    <w:p w14:paraId="3E97241C" w14:textId="52E77672" w:rsidR="000E3F8C" w:rsidRDefault="00F04613" w:rsidP="000E3F8C">
      <w:pPr>
        <w:spacing w:after="0" w:line="240" w:lineRule="auto"/>
        <w:jc w:val="both"/>
        <w:rPr>
          <w:rFonts w:ascii="Times New Roman" w:hAnsi="Times New Roman" w:cs="Times New Roman"/>
        </w:rPr>
      </w:pPr>
      <w:r>
        <w:rPr>
          <w:rFonts w:ascii="Times New Roman" w:hAnsi="Times New Roman" w:cs="Times New Roman"/>
        </w:rPr>
        <w:lastRenderedPageBreak/>
        <w:t xml:space="preserve">Mr. </w:t>
      </w:r>
      <w:r w:rsidRPr="009277E4">
        <w:rPr>
          <w:rFonts w:ascii="Times New Roman" w:hAnsi="Times New Roman" w:cs="Times New Roman"/>
        </w:rPr>
        <w:t xml:space="preserve">Christensen </w:t>
      </w:r>
      <w:r w:rsidR="000E3F8C" w:rsidRPr="001C21DF">
        <w:rPr>
          <w:rFonts w:ascii="Times New Roman" w:hAnsi="Times New Roman" w:cs="Times New Roman"/>
        </w:rPr>
        <w:t xml:space="preserve">made a motion to adjourn the meeting. </w:t>
      </w:r>
      <w:r w:rsidR="005646EB" w:rsidRPr="001C21DF">
        <w:rPr>
          <w:rFonts w:ascii="Times New Roman" w:hAnsi="Times New Roman" w:cs="Times New Roman"/>
        </w:rPr>
        <w:t xml:space="preserve">Mr. </w:t>
      </w:r>
      <w:r>
        <w:rPr>
          <w:rFonts w:ascii="Times New Roman" w:hAnsi="Times New Roman" w:cs="Times New Roman"/>
        </w:rPr>
        <w:t>Wade</w:t>
      </w:r>
      <w:r w:rsidR="000E3F8C" w:rsidRPr="001C21DF">
        <w:rPr>
          <w:rFonts w:ascii="Times New Roman" w:hAnsi="Times New Roman" w:cs="Times New Roman"/>
        </w:rPr>
        <w:t xml:space="preserve"> seconded the motion. The motion pa</w:t>
      </w:r>
      <w:r w:rsidR="000E3F8C">
        <w:rPr>
          <w:rFonts w:ascii="Times New Roman" w:hAnsi="Times New Roman" w:cs="Times New Roman"/>
        </w:rPr>
        <w:t>ssed unanimously.</w:t>
      </w:r>
    </w:p>
    <w:p w14:paraId="0F11FB95" w14:textId="77777777" w:rsidR="000E3F8C" w:rsidRDefault="000E3F8C" w:rsidP="006D5A6A">
      <w:pPr>
        <w:spacing w:after="0" w:line="240" w:lineRule="auto"/>
        <w:jc w:val="both"/>
        <w:rPr>
          <w:rFonts w:ascii="Times New Roman" w:hAnsi="Times New Roman" w:cs="Times New Roman"/>
          <w:b/>
        </w:rPr>
      </w:pPr>
    </w:p>
    <w:p w14:paraId="56CD506A" w14:textId="47512555" w:rsidR="0057783E" w:rsidRPr="006D5A6A" w:rsidRDefault="00DC7763" w:rsidP="006D5A6A">
      <w:pPr>
        <w:spacing w:after="0" w:line="240" w:lineRule="auto"/>
        <w:jc w:val="both"/>
        <w:rPr>
          <w:rFonts w:ascii="Times New Roman" w:hAnsi="Times New Roman" w:cs="Times New Roman"/>
        </w:rPr>
      </w:pPr>
      <w:r>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4F5452"/>
    <w:multiLevelType w:val="hybridMultilevel"/>
    <w:tmpl w:val="7FC63DF8"/>
    <w:lvl w:ilvl="0" w:tplc="5BBCAE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86D33"/>
    <w:multiLevelType w:val="hybridMultilevel"/>
    <w:tmpl w:val="946ECE88"/>
    <w:lvl w:ilvl="0" w:tplc="FBEC20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3CFA"/>
    <w:rsid w:val="000100A3"/>
    <w:rsid w:val="00023A17"/>
    <w:rsid w:val="000321B9"/>
    <w:rsid w:val="00034EB1"/>
    <w:rsid w:val="00035925"/>
    <w:rsid w:val="00037346"/>
    <w:rsid w:val="000420D6"/>
    <w:rsid w:val="00050919"/>
    <w:rsid w:val="00051BAC"/>
    <w:rsid w:val="00054C7E"/>
    <w:rsid w:val="00054DD2"/>
    <w:rsid w:val="0005599D"/>
    <w:rsid w:val="00063411"/>
    <w:rsid w:val="000636DC"/>
    <w:rsid w:val="00071114"/>
    <w:rsid w:val="000728F4"/>
    <w:rsid w:val="00074077"/>
    <w:rsid w:val="00074EC5"/>
    <w:rsid w:val="00083507"/>
    <w:rsid w:val="00085634"/>
    <w:rsid w:val="00092D89"/>
    <w:rsid w:val="000A11C3"/>
    <w:rsid w:val="000A7FEF"/>
    <w:rsid w:val="000B731B"/>
    <w:rsid w:val="000B7A11"/>
    <w:rsid w:val="000B7DCD"/>
    <w:rsid w:val="000C2E3E"/>
    <w:rsid w:val="000C5E32"/>
    <w:rsid w:val="000D171C"/>
    <w:rsid w:val="000D18A3"/>
    <w:rsid w:val="000E00D1"/>
    <w:rsid w:val="000E0B8A"/>
    <w:rsid w:val="000E21CC"/>
    <w:rsid w:val="000E3F8C"/>
    <w:rsid w:val="000E60C1"/>
    <w:rsid w:val="000F3301"/>
    <w:rsid w:val="000F768B"/>
    <w:rsid w:val="0010149A"/>
    <w:rsid w:val="00112EEA"/>
    <w:rsid w:val="001143F4"/>
    <w:rsid w:val="00123A8A"/>
    <w:rsid w:val="00126B95"/>
    <w:rsid w:val="00126F7F"/>
    <w:rsid w:val="00130B0F"/>
    <w:rsid w:val="0014224B"/>
    <w:rsid w:val="00151922"/>
    <w:rsid w:val="00152A94"/>
    <w:rsid w:val="00166CFB"/>
    <w:rsid w:val="00174BAD"/>
    <w:rsid w:val="00176836"/>
    <w:rsid w:val="00182E8C"/>
    <w:rsid w:val="001908ED"/>
    <w:rsid w:val="00191E88"/>
    <w:rsid w:val="001977F5"/>
    <w:rsid w:val="001A3E9D"/>
    <w:rsid w:val="001A504B"/>
    <w:rsid w:val="001B714B"/>
    <w:rsid w:val="001C06C3"/>
    <w:rsid w:val="001C21DF"/>
    <w:rsid w:val="001C33B2"/>
    <w:rsid w:val="001C7252"/>
    <w:rsid w:val="001C7613"/>
    <w:rsid w:val="001D458C"/>
    <w:rsid w:val="001D6678"/>
    <w:rsid w:val="001D6E33"/>
    <w:rsid w:val="001E12B2"/>
    <w:rsid w:val="001E1F91"/>
    <w:rsid w:val="001E26B6"/>
    <w:rsid w:val="001F2AE4"/>
    <w:rsid w:val="001F6685"/>
    <w:rsid w:val="00223BA6"/>
    <w:rsid w:val="00232554"/>
    <w:rsid w:val="00233537"/>
    <w:rsid w:val="00233BB6"/>
    <w:rsid w:val="002406E8"/>
    <w:rsid w:val="002470E0"/>
    <w:rsid w:val="00247661"/>
    <w:rsid w:val="0025337D"/>
    <w:rsid w:val="00263763"/>
    <w:rsid w:val="00263772"/>
    <w:rsid w:val="00264A79"/>
    <w:rsid w:val="00267F4D"/>
    <w:rsid w:val="00275ACB"/>
    <w:rsid w:val="00284393"/>
    <w:rsid w:val="00295CA1"/>
    <w:rsid w:val="002A31F4"/>
    <w:rsid w:val="002A44BA"/>
    <w:rsid w:val="002A4A24"/>
    <w:rsid w:val="002A4C4F"/>
    <w:rsid w:val="002B07D4"/>
    <w:rsid w:val="002B2715"/>
    <w:rsid w:val="002B7759"/>
    <w:rsid w:val="002D0923"/>
    <w:rsid w:val="002D5CF1"/>
    <w:rsid w:val="002D6BB4"/>
    <w:rsid w:val="002E7A5E"/>
    <w:rsid w:val="002F33BE"/>
    <w:rsid w:val="002F7348"/>
    <w:rsid w:val="003004FC"/>
    <w:rsid w:val="00303BA2"/>
    <w:rsid w:val="00316448"/>
    <w:rsid w:val="0031762F"/>
    <w:rsid w:val="00322855"/>
    <w:rsid w:val="00330EBF"/>
    <w:rsid w:val="00333616"/>
    <w:rsid w:val="003350DC"/>
    <w:rsid w:val="00337090"/>
    <w:rsid w:val="00337D18"/>
    <w:rsid w:val="00341DF7"/>
    <w:rsid w:val="00341E90"/>
    <w:rsid w:val="00342331"/>
    <w:rsid w:val="00351476"/>
    <w:rsid w:val="003536CF"/>
    <w:rsid w:val="00354BD6"/>
    <w:rsid w:val="003648BF"/>
    <w:rsid w:val="00364D51"/>
    <w:rsid w:val="00366DEB"/>
    <w:rsid w:val="0036737C"/>
    <w:rsid w:val="0037618F"/>
    <w:rsid w:val="00376A14"/>
    <w:rsid w:val="00377065"/>
    <w:rsid w:val="00391043"/>
    <w:rsid w:val="003A1FC8"/>
    <w:rsid w:val="003B2A98"/>
    <w:rsid w:val="003C1E48"/>
    <w:rsid w:val="003E6C02"/>
    <w:rsid w:val="003E7C92"/>
    <w:rsid w:val="003F1563"/>
    <w:rsid w:val="004023EF"/>
    <w:rsid w:val="00404769"/>
    <w:rsid w:val="00411986"/>
    <w:rsid w:val="00425155"/>
    <w:rsid w:val="00427700"/>
    <w:rsid w:val="00433388"/>
    <w:rsid w:val="004404F8"/>
    <w:rsid w:val="004511C9"/>
    <w:rsid w:val="004727BA"/>
    <w:rsid w:val="00480094"/>
    <w:rsid w:val="0048567C"/>
    <w:rsid w:val="0049341A"/>
    <w:rsid w:val="004A2D94"/>
    <w:rsid w:val="004A4518"/>
    <w:rsid w:val="004A7119"/>
    <w:rsid w:val="004A7171"/>
    <w:rsid w:val="004B4FAC"/>
    <w:rsid w:val="004C29FB"/>
    <w:rsid w:val="004C4CCF"/>
    <w:rsid w:val="004D2257"/>
    <w:rsid w:val="004D256F"/>
    <w:rsid w:val="004D751B"/>
    <w:rsid w:val="004E201A"/>
    <w:rsid w:val="004E2695"/>
    <w:rsid w:val="004E358C"/>
    <w:rsid w:val="004E5E55"/>
    <w:rsid w:val="004E608D"/>
    <w:rsid w:val="004F5A9E"/>
    <w:rsid w:val="004F7EEB"/>
    <w:rsid w:val="005008B9"/>
    <w:rsid w:val="00527436"/>
    <w:rsid w:val="005275FF"/>
    <w:rsid w:val="00543357"/>
    <w:rsid w:val="0054361B"/>
    <w:rsid w:val="005446A7"/>
    <w:rsid w:val="00544CBC"/>
    <w:rsid w:val="00553B0C"/>
    <w:rsid w:val="005578A0"/>
    <w:rsid w:val="005602C7"/>
    <w:rsid w:val="005603B2"/>
    <w:rsid w:val="00561968"/>
    <w:rsid w:val="00562118"/>
    <w:rsid w:val="00562929"/>
    <w:rsid w:val="005646EB"/>
    <w:rsid w:val="00574776"/>
    <w:rsid w:val="0057783E"/>
    <w:rsid w:val="0058098A"/>
    <w:rsid w:val="0058396D"/>
    <w:rsid w:val="0058514B"/>
    <w:rsid w:val="0058659A"/>
    <w:rsid w:val="00586B3E"/>
    <w:rsid w:val="00586FBE"/>
    <w:rsid w:val="0059027E"/>
    <w:rsid w:val="005913FE"/>
    <w:rsid w:val="0059244D"/>
    <w:rsid w:val="00594785"/>
    <w:rsid w:val="005A1182"/>
    <w:rsid w:val="005A5621"/>
    <w:rsid w:val="005C23F9"/>
    <w:rsid w:val="005C2DAD"/>
    <w:rsid w:val="005C4500"/>
    <w:rsid w:val="005C4D81"/>
    <w:rsid w:val="005C6F04"/>
    <w:rsid w:val="005D444C"/>
    <w:rsid w:val="005D709F"/>
    <w:rsid w:val="005D71E4"/>
    <w:rsid w:val="005D7311"/>
    <w:rsid w:val="005E2B7E"/>
    <w:rsid w:val="005F2D02"/>
    <w:rsid w:val="005F51CF"/>
    <w:rsid w:val="005F54B1"/>
    <w:rsid w:val="005F734C"/>
    <w:rsid w:val="00600F11"/>
    <w:rsid w:val="00605B42"/>
    <w:rsid w:val="00617B6D"/>
    <w:rsid w:val="00631BCA"/>
    <w:rsid w:val="00632371"/>
    <w:rsid w:val="00645C03"/>
    <w:rsid w:val="006518EA"/>
    <w:rsid w:val="00651FCE"/>
    <w:rsid w:val="006528CE"/>
    <w:rsid w:val="00660C0C"/>
    <w:rsid w:val="00662EAC"/>
    <w:rsid w:val="00664FC7"/>
    <w:rsid w:val="006660CC"/>
    <w:rsid w:val="00667A80"/>
    <w:rsid w:val="00670D99"/>
    <w:rsid w:val="0068195A"/>
    <w:rsid w:val="006823A5"/>
    <w:rsid w:val="00682D4B"/>
    <w:rsid w:val="00687EA8"/>
    <w:rsid w:val="006902EA"/>
    <w:rsid w:val="006A025F"/>
    <w:rsid w:val="006A2D51"/>
    <w:rsid w:val="006A6234"/>
    <w:rsid w:val="006B5479"/>
    <w:rsid w:val="006C16D1"/>
    <w:rsid w:val="006C4C62"/>
    <w:rsid w:val="006C686A"/>
    <w:rsid w:val="006D5A6A"/>
    <w:rsid w:val="006E0D54"/>
    <w:rsid w:val="006E55BF"/>
    <w:rsid w:val="006E6873"/>
    <w:rsid w:val="006E7B9C"/>
    <w:rsid w:val="006F15E0"/>
    <w:rsid w:val="006F366F"/>
    <w:rsid w:val="006F52C8"/>
    <w:rsid w:val="006F5DBE"/>
    <w:rsid w:val="006F67F9"/>
    <w:rsid w:val="006F7A05"/>
    <w:rsid w:val="007027C2"/>
    <w:rsid w:val="00703781"/>
    <w:rsid w:val="007164DF"/>
    <w:rsid w:val="00716C30"/>
    <w:rsid w:val="00717DE3"/>
    <w:rsid w:val="007208FD"/>
    <w:rsid w:val="007319BC"/>
    <w:rsid w:val="00733145"/>
    <w:rsid w:val="00737F50"/>
    <w:rsid w:val="007434E5"/>
    <w:rsid w:val="00752A0D"/>
    <w:rsid w:val="00752FED"/>
    <w:rsid w:val="00753765"/>
    <w:rsid w:val="0076708F"/>
    <w:rsid w:val="00772B9A"/>
    <w:rsid w:val="00773EE2"/>
    <w:rsid w:val="007743F7"/>
    <w:rsid w:val="00777709"/>
    <w:rsid w:val="007951B4"/>
    <w:rsid w:val="00797275"/>
    <w:rsid w:val="007B42EC"/>
    <w:rsid w:val="007B49C6"/>
    <w:rsid w:val="007B6CF3"/>
    <w:rsid w:val="007C6AB8"/>
    <w:rsid w:val="007D3CDB"/>
    <w:rsid w:val="007D4B75"/>
    <w:rsid w:val="007F39A2"/>
    <w:rsid w:val="007F5C66"/>
    <w:rsid w:val="007F7CDE"/>
    <w:rsid w:val="00806FD3"/>
    <w:rsid w:val="00814A4B"/>
    <w:rsid w:val="0081625B"/>
    <w:rsid w:val="00816B0F"/>
    <w:rsid w:val="0081785C"/>
    <w:rsid w:val="00820535"/>
    <w:rsid w:val="0082067E"/>
    <w:rsid w:val="00826223"/>
    <w:rsid w:val="008376BA"/>
    <w:rsid w:val="0085177D"/>
    <w:rsid w:val="00851DA2"/>
    <w:rsid w:val="00853C6D"/>
    <w:rsid w:val="00865EEB"/>
    <w:rsid w:val="0087139B"/>
    <w:rsid w:val="00875978"/>
    <w:rsid w:val="008928B8"/>
    <w:rsid w:val="008A4DC5"/>
    <w:rsid w:val="008B1C3B"/>
    <w:rsid w:val="008B3017"/>
    <w:rsid w:val="008B5866"/>
    <w:rsid w:val="008B5DDA"/>
    <w:rsid w:val="008D211F"/>
    <w:rsid w:val="008D45C9"/>
    <w:rsid w:val="008D5E68"/>
    <w:rsid w:val="008D759C"/>
    <w:rsid w:val="008E30B6"/>
    <w:rsid w:val="008E39BF"/>
    <w:rsid w:val="008E75A7"/>
    <w:rsid w:val="008F6898"/>
    <w:rsid w:val="009013A8"/>
    <w:rsid w:val="00901AB4"/>
    <w:rsid w:val="0090224A"/>
    <w:rsid w:val="009255D1"/>
    <w:rsid w:val="009277E4"/>
    <w:rsid w:val="00927E7C"/>
    <w:rsid w:val="009318B3"/>
    <w:rsid w:val="00936AFA"/>
    <w:rsid w:val="00937B32"/>
    <w:rsid w:val="00950A42"/>
    <w:rsid w:val="00950BC6"/>
    <w:rsid w:val="00951672"/>
    <w:rsid w:val="0095324A"/>
    <w:rsid w:val="009619F3"/>
    <w:rsid w:val="00965E97"/>
    <w:rsid w:val="00973A5D"/>
    <w:rsid w:val="009775D6"/>
    <w:rsid w:val="00977CDF"/>
    <w:rsid w:val="00984AD2"/>
    <w:rsid w:val="00994483"/>
    <w:rsid w:val="009955E9"/>
    <w:rsid w:val="009959BA"/>
    <w:rsid w:val="00995D3D"/>
    <w:rsid w:val="009A39D5"/>
    <w:rsid w:val="009A5542"/>
    <w:rsid w:val="009B7513"/>
    <w:rsid w:val="009D272A"/>
    <w:rsid w:val="00A12D92"/>
    <w:rsid w:val="00A319EE"/>
    <w:rsid w:val="00A31F5D"/>
    <w:rsid w:val="00A32AB0"/>
    <w:rsid w:val="00A40F3C"/>
    <w:rsid w:val="00A46E38"/>
    <w:rsid w:val="00A5400C"/>
    <w:rsid w:val="00A603B8"/>
    <w:rsid w:val="00A70EA4"/>
    <w:rsid w:val="00A75D63"/>
    <w:rsid w:val="00A8266D"/>
    <w:rsid w:val="00A87EC0"/>
    <w:rsid w:val="00A90BA3"/>
    <w:rsid w:val="00A95E13"/>
    <w:rsid w:val="00AA0353"/>
    <w:rsid w:val="00AA0EC5"/>
    <w:rsid w:val="00AA4C6D"/>
    <w:rsid w:val="00AB0CAC"/>
    <w:rsid w:val="00AB3B52"/>
    <w:rsid w:val="00AB42A1"/>
    <w:rsid w:val="00AB665A"/>
    <w:rsid w:val="00AB73FE"/>
    <w:rsid w:val="00AC0DD9"/>
    <w:rsid w:val="00AC1ED2"/>
    <w:rsid w:val="00AE6ACE"/>
    <w:rsid w:val="00AE7919"/>
    <w:rsid w:val="00AF094A"/>
    <w:rsid w:val="00AF6F79"/>
    <w:rsid w:val="00AF7383"/>
    <w:rsid w:val="00B03429"/>
    <w:rsid w:val="00B056E5"/>
    <w:rsid w:val="00B0732F"/>
    <w:rsid w:val="00B07C62"/>
    <w:rsid w:val="00B20516"/>
    <w:rsid w:val="00B217F9"/>
    <w:rsid w:val="00B278FA"/>
    <w:rsid w:val="00B36170"/>
    <w:rsid w:val="00B417CB"/>
    <w:rsid w:val="00B50D90"/>
    <w:rsid w:val="00B52C82"/>
    <w:rsid w:val="00B7033E"/>
    <w:rsid w:val="00B73D6A"/>
    <w:rsid w:val="00B826E5"/>
    <w:rsid w:val="00B86AF2"/>
    <w:rsid w:val="00BA1EA0"/>
    <w:rsid w:val="00BB0ECC"/>
    <w:rsid w:val="00BB5CAE"/>
    <w:rsid w:val="00BC154F"/>
    <w:rsid w:val="00BC1E2A"/>
    <w:rsid w:val="00BC47AA"/>
    <w:rsid w:val="00BC7910"/>
    <w:rsid w:val="00BC7DD2"/>
    <w:rsid w:val="00BC7DFA"/>
    <w:rsid w:val="00BD7514"/>
    <w:rsid w:val="00BE3664"/>
    <w:rsid w:val="00BE4538"/>
    <w:rsid w:val="00BE5484"/>
    <w:rsid w:val="00BE673A"/>
    <w:rsid w:val="00BE7039"/>
    <w:rsid w:val="00BF43FA"/>
    <w:rsid w:val="00BF6974"/>
    <w:rsid w:val="00C01CFB"/>
    <w:rsid w:val="00C01D64"/>
    <w:rsid w:val="00C02269"/>
    <w:rsid w:val="00C07B01"/>
    <w:rsid w:val="00C11374"/>
    <w:rsid w:val="00C15993"/>
    <w:rsid w:val="00C21D60"/>
    <w:rsid w:val="00C25097"/>
    <w:rsid w:val="00C32037"/>
    <w:rsid w:val="00C420E0"/>
    <w:rsid w:val="00C43EB2"/>
    <w:rsid w:val="00C50EE3"/>
    <w:rsid w:val="00C566B4"/>
    <w:rsid w:val="00C61ED0"/>
    <w:rsid w:val="00C65BBD"/>
    <w:rsid w:val="00C70536"/>
    <w:rsid w:val="00C73DED"/>
    <w:rsid w:val="00C7602F"/>
    <w:rsid w:val="00C7733B"/>
    <w:rsid w:val="00C77775"/>
    <w:rsid w:val="00C95406"/>
    <w:rsid w:val="00CA0FEA"/>
    <w:rsid w:val="00CB12B7"/>
    <w:rsid w:val="00CB1840"/>
    <w:rsid w:val="00CB1CE2"/>
    <w:rsid w:val="00CB2F82"/>
    <w:rsid w:val="00CB42E0"/>
    <w:rsid w:val="00CC4A5F"/>
    <w:rsid w:val="00CD0721"/>
    <w:rsid w:val="00CD24BB"/>
    <w:rsid w:val="00CF2334"/>
    <w:rsid w:val="00D04544"/>
    <w:rsid w:val="00D06CF1"/>
    <w:rsid w:val="00D10817"/>
    <w:rsid w:val="00D13DC6"/>
    <w:rsid w:val="00D330DE"/>
    <w:rsid w:val="00D37E1D"/>
    <w:rsid w:val="00D4293D"/>
    <w:rsid w:val="00D46FB1"/>
    <w:rsid w:val="00D55832"/>
    <w:rsid w:val="00D56C85"/>
    <w:rsid w:val="00D57DA3"/>
    <w:rsid w:val="00D62520"/>
    <w:rsid w:val="00D700A5"/>
    <w:rsid w:val="00D71556"/>
    <w:rsid w:val="00D76F7A"/>
    <w:rsid w:val="00D87870"/>
    <w:rsid w:val="00D87A86"/>
    <w:rsid w:val="00D9061C"/>
    <w:rsid w:val="00D91629"/>
    <w:rsid w:val="00D91FA5"/>
    <w:rsid w:val="00D97FCE"/>
    <w:rsid w:val="00DA4861"/>
    <w:rsid w:val="00DA7A56"/>
    <w:rsid w:val="00DB3501"/>
    <w:rsid w:val="00DB6615"/>
    <w:rsid w:val="00DC15A7"/>
    <w:rsid w:val="00DC24A6"/>
    <w:rsid w:val="00DC7763"/>
    <w:rsid w:val="00DD657B"/>
    <w:rsid w:val="00DE0B19"/>
    <w:rsid w:val="00DE3D46"/>
    <w:rsid w:val="00DE4110"/>
    <w:rsid w:val="00DE6976"/>
    <w:rsid w:val="00DF6672"/>
    <w:rsid w:val="00E0032E"/>
    <w:rsid w:val="00E02ECD"/>
    <w:rsid w:val="00E07E01"/>
    <w:rsid w:val="00E12E5F"/>
    <w:rsid w:val="00E20014"/>
    <w:rsid w:val="00E20DEB"/>
    <w:rsid w:val="00E23D09"/>
    <w:rsid w:val="00E349CE"/>
    <w:rsid w:val="00E3589A"/>
    <w:rsid w:val="00E35DE5"/>
    <w:rsid w:val="00E37BAA"/>
    <w:rsid w:val="00E4129D"/>
    <w:rsid w:val="00E41F89"/>
    <w:rsid w:val="00E42329"/>
    <w:rsid w:val="00E512C4"/>
    <w:rsid w:val="00E5181D"/>
    <w:rsid w:val="00E56ED1"/>
    <w:rsid w:val="00E66F19"/>
    <w:rsid w:val="00E7169E"/>
    <w:rsid w:val="00E82A0B"/>
    <w:rsid w:val="00E868C3"/>
    <w:rsid w:val="00EA4EDB"/>
    <w:rsid w:val="00EA5A05"/>
    <w:rsid w:val="00EA6415"/>
    <w:rsid w:val="00EB1C7C"/>
    <w:rsid w:val="00EB5039"/>
    <w:rsid w:val="00EB6F41"/>
    <w:rsid w:val="00EB7945"/>
    <w:rsid w:val="00EC06B8"/>
    <w:rsid w:val="00EC79AE"/>
    <w:rsid w:val="00ED5BB7"/>
    <w:rsid w:val="00ED67AC"/>
    <w:rsid w:val="00EE0FCD"/>
    <w:rsid w:val="00EE323A"/>
    <w:rsid w:val="00EE3CD1"/>
    <w:rsid w:val="00EE5998"/>
    <w:rsid w:val="00EF1AE7"/>
    <w:rsid w:val="00EF3242"/>
    <w:rsid w:val="00EF6E64"/>
    <w:rsid w:val="00EF7039"/>
    <w:rsid w:val="00EF7B2E"/>
    <w:rsid w:val="00F019E0"/>
    <w:rsid w:val="00F0263B"/>
    <w:rsid w:val="00F04613"/>
    <w:rsid w:val="00F13AF8"/>
    <w:rsid w:val="00F34CDF"/>
    <w:rsid w:val="00F408EE"/>
    <w:rsid w:val="00F443BB"/>
    <w:rsid w:val="00F46DC7"/>
    <w:rsid w:val="00F602A6"/>
    <w:rsid w:val="00F60D54"/>
    <w:rsid w:val="00F61681"/>
    <w:rsid w:val="00F6249B"/>
    <w:rsid w:val="00F627EA"/>
    <w:rsid w:val="00F65B47"/>
    <w:rsid w:val="00F6675F"/>
    <w:rsid w:val="00F73552"/>
    <w:rsid w:val="00F81E51"/>
    <w:rsid w:val="00F87A1D"/>
    <w:rsid w:val="00FA4E4C"/>
    <w:rsid w:val="00FB1B3E"/>
    <w:rsid w:val="00FB2C29"/>
    <w:rsid w:val="00FB3009"/>
    <w:rsid w:val="00FB3194"/>
    <w:rsid w:val="00FB3473"/>
    <w:rsid w:val="00FB7928"/>
    <w:rsid w:val="00FC1C3F"/>
    <w:rsid w:val="00FC2CDA"/>
    <w:rsid w:val="00FC6141"/>
    <w:rsid w:val="00FD6D9F"/>
    <w:rsid w:val="00FE2DCB"/>
    <w:rsid w:val="00FE4972"/>
    <w:rsid w:val="00FF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character" w:styleId="CommentReference">
    <w:name w:val="annotation reference"/>
    <w:basedOn w:val="DefaultParagraphFont"/>
    <w:uiPriority w:val="99"/>
    <w:semiHidden/>
    <w:unhideWhenUsed/>
    <w:rsid w:val="004511C9"/>
    <w:rPr>
      <w:sz w:val="16"/>
      <w:szCs w:val="16"/>
    </w:rPr>
  </w:style>
  <w:style w:type="paragraph" w:styleId="CommentText">
    <w:name w:val="annotation text"/>
    <w:basedOn w:val="Normal"/>
    <w:link w:val="CommentTextChar"/>
    <w:uiPriority w:val="99"/>
    <w:semiHidden/>
    <w:unhideWhenUsed/>
    <w:rsid w:val="004511C9"/>
    <w:pPr>
      <w:spacing w:line="240" w:lineRule="auto"/>
    </w:pPr>
    <w:rPr>
      <w:sz w:val="20"/>
      <w:szCs w:val="20"/>
    </w:rPr>
  </w:style>
  <w:style w:type="character" w:customStyle="1" w:styleId="CommentTextChar">
    <w:name w:val="Comment Text Char"/>
    <w:basedOn w:val="DefaultParagraphFont"/>
    <w:link w:val="CommentText"/>
    <w:uiPriority w:val="99"/>
    <w:semiHidden/>
    <w:rsid w:val="004511C9"/>
    <w:rPr>
      <w:sz w:val="20"/>
      <w:szCs w:val="20"/>
    </w:rPr>
  </w:style>
  <w:style w:type="paragraph" w:styleId="CommentSubject">
    <w:name w:val="annotation subject"/>
    <w:basedOn w:val="CommentText"/>
    <w:next w:val="CommentText"/>
    <w:link w:val="CommentSubjectChar"/>
    <w:uiPriority w:val="99"/>
    <w:semiHidden/>
    <w:unhideWhenUsed/>
    <w:rsid w:val="004511C9"/>
    <w:rPr>
      <w:b/>
      <w:bCs/>
    </w:rPr>
  </w:style>
  <w:style w:type="character" w:customStyle="1" w:styleId="CommentSubjectChar">
    <w:name w:val="Comment Subject Char"/>
    <w:basedOn w:val="CommentTextChar"/>
    <w:link w:val="CommentSubject"/>
    <w:uiPriority w:val="99"/>
    <w:semiHidden/>
    <w:rsid w:val="004511C9"/>
    <w:rPr>
      <w:b/>
      <w:bCs/>
      <w:sz w:val="20"/>
      <w:szCs w:val="20"/>
    </w:rPr>
  </w:style>
  <w:style w:type="paragraph" w:styleId="BalloonText">
    <w:name w:val="Balloon Text"/>
    <w:basedOn w:val="Normal"/>
    <w:link w:val="BalloonTextChar"/>
    <w:uiPriority w:val="99"/>
    <w:semiHidden/>
    <w:unhideWhenUsed/>
    <w:rsid w:val="0045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1C9"/>
    <w:rPr>
      <w:rFonts w:ascii="Segoe UI" w:hAnsi="Segoe UI" w:cs="Segoe UI"/>
      <w:sz w:val="18"/>
      <w:szCs w:val="18"/>
    </w:rPr>
  </w:style>
  <w:style w:type="paragraph" w:styleId="NormalWeb">
    <w:name w:val="Normal (Web)"/>
    <w:basedOn w:val="Normal"/>
    <w:uiPriority w:val="99"/>
    <w:semiHidden/>
    <w:unhideWhenUsed/>
    <w:rsid w:val="00CC4A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705683">
      <w:bodyDiv w:val="1"/>
      <w:marLeft w:val="0"/>
      <w:marRight w:val="0"/>
      <w:marTop w:val="0"/>
      <w:marBottom w:val="0"/>
      <w:divBdr>
        <w:top w:val="none" w:sz="0" w:space="0" w:color="auto"/>
        <w:left w:val="none" w:sz="0" w:space="0" w:color="auto"/>
        <w:bottom w:val="none" w:sz="0" w:space="0" w:color="auto"/>
        <w:right w:val="none" w:sz="0" w:space="0" w:color="auto"/>
      </w:divBdr>
      <w:divsChild>
        <w:div w:id="1075587698">
          <w:marLeft w:val="0"/>
          <w:marRight w:val="0"/>
          <w:marTop w:val="0"/>
          <w:marBottom w:val="0"/>
          <w:divBdr>
            <w:top w:val="none" w:sz="0" w:space="0" w:color="auto"/>
            <w:left w:val="none" w:sz="0" w:space="0" w:color="auto"/>
            <w:bottom w:val="none" w:sz="0" w:space="0" w:color="auto"/>
            <w:right w:val="none" w:sz="0" w:space="0" w:color="auto"/>
          </w:divBdr>
        </w:div>
      </w:divsChild>
    </w:div>
    <w:div w:id="1941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5</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9</cp:revision>
  <cp:lastPrinted>2025-09-18T15:31:00Z</cp:lastPrinted>
  <dcterms:created xsi:type="dcterms:W3CDTF">2025-06-12T19:42:00Z</dcterms:created>
  <dcterms:modified xsi:type="dcterms:W3CDTF">2025-09-18T20:48:00Z</dcterms:modified>
</cp:coreProperties>
</file>