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2CB7" w:rsidR="00743467" w:rsidP="00DD7112" w:rsidRDefault="00743467" w14:paraId="5191F8CF" w14:textId="053B04FC">
      <w:pPr>
        <w:tabs>
          <w:tab w:val="right" w:pos="10512"/>
        </w:tabs>
        <w:spacing w:line="180" w:lineRule="exact"/>
        <w:ind w:right="-14"/>
        <w:rPr>
          <w:rFonts w:ascii="Times" w:hAnsi="Times"/>
          <w:b/>
          <w:smallCaps/>
          <w:sz w:val="19"/>
        </w:rPr>
      </w:pPr>
      <w:r w:rsidRPr="00D52CB7">
        <w:rPr>
          <w:rFonts w:ascii="Times" w:hAnsi="Times"/>
          <w:b/>
          <w:smallCaps/>
          <w:sz w:val="19"/>
        </w:rPr>
        <w:t>New Issue</w:t>
      </w:r>
      <w:r w:rsidRPr="00D52CB7">
        <w:rPr>
          <w:rFonts w:ascii="Times" w:hAnsi="Times"/>
          <w:b/>
          <w:smallCaps/>
          <w:sz w:val="19"/>
        </w:rPr>
        <w:tab/>
      </w:r>
      <w:r w:rsidRPr="00D52CB7">
        <w:rPr>
          <w:rFonts w:ascii="Times" w:hAnsi="Times"/>
          <w:b/>
          <w:smallCaps/>
          <w:sz w:val="17"/>
          <w:szCs w:val="17"/>
        </w:rPr>
        <w:t>Ratings</w:t>
      </w:r>
      <w:r w:rsidRPr="00D52CB7">
        <w:rPr>
          <w:rFonts w:ascii="Times" w:hAnsi="Times"/>
          <w:b/>
          <w:sz w:val="17"/>
          <w:szCs w:val="17"/>
        </w:rPr>
        <w:t xml:space="preserve">: CSCE Program Rating: </w:t>
      </w:r>
      <w:r w:rsidRPr="00D52CB7" w:rsidR="00872C0A">
        <w:rPr>
          <w:rFonts w:ascii="Times" w:hAnsi="Times"/>
          <w:b/>
          <w:sz w:val="17"/>
          <w:szCs w:val="17"/>
        </w:rPr>
        <w:t>[S&amp;P]</w:t>
      </w:r>
      <w:r w:rsidRPr="00D52CB7">
        <w:rPr>
          <w:rFonts w:ascii="Times" w:hAnsi="Times"/>
          <w:b/>
          <w:sz w:val="17"/>
          <w:szCs w:val="17"/>
        </w:rPr>
        <w:t>: “</w:t>
      </w:r>
      <w:r w:rsidRPr="00D52CB7" w:rsidR="00872C0A">
        <w:rPr>
          <w:rFonts w:ascii="Times" w:hAnsi="Times"/>
          <w:b/>
          <w:sz w:val="17"/>
          <w:szCs w:val="17"/>
        </w:rPr>
        <w:t>___</w:t>
      </w:r>
      <w:r w:rsidRPr="00D52CB7">
        <w:rPr>
          <w:rFonts w:ascii="Times" w:hAnsi="Times"/>
          <w:b/>
          <w:sz w:val="17"/>
          <w:szCs w:val="17"/>
        </w:rPr>
        <w:t>”</w:t>
      </w:r>
    </w:p>
    <w:p w:rsidRPr="00D52CB7" w:rsidR="00743467" w:rsidP="00743467" w:rsidRDefault="00743467" w14:paraId="6802F025" w14:textId="0CA627AE">
      <w:pPr>
        <w:tabs>
          <w:tab w:val="right" w:pos="10512"/>
        </w:tabs>
        <w:spacing w:line="180" w:lineRule="exact"/>
        <w:ind w:right="-18"/>
        <w:rPr>
          <w:rFonts w:ascii="Times" w:hAnsi="Times"/>
          <w:b/>
          <w:smallCaps/>
          <w:sz w:val="19"/>
        </w:rPr>
      </w:pPr>
      <w:r w:rsidRPr="00D52CB7">
        <w:rPr>
          <w:rFonts w:ascii="Times" w:hAnsi="Times"/>
          <w:b/>
          <w:smallCaps/>
          <w:sz w:val="19"/>
        </w:rPr>
        <w:t>Full Book Entry</w:t>
      </w:r>
      <w:r w:rsidRPr="00D52CB7">
        <w:rPr>
          <w:rFonts w:ascii="Times" w:hAnsi="Times"/>
          <w:b/>
          <w:smallCaps/>
          <w:sz w:val="19"/>
        </w:rPr>
        <w:tab/>
      </w:r>
      <w:r w:rsidRPr="00D52CB7">
        <w:rPr>
          <w:rFonts w:ascii="Times" w:hAnsi="Times"/>
          <w:b/>
          <w:smallCaps/>
          <w:sz w:val="17"/>
          <w:szCs w:val="17"/>
        </w:rPr>
        <w:t>Underlying Rating</w:t>
      </w:r>
      <w:r w:rsidRPr="00D52CB7">
        <w:rPr>
          <w:rFonts w:ascii="Times" w:hAnsi="Times"/>
          <w:b/>
          <w:sz w:val="17"/>
          <w:szCs w:val="17"/>
        </w:rPr>
        <w:t xml:space="preserve">: </w:t>
      </w:r>
      <w:r w:rsidRPr="00D52CB7" w:rsidR="00872C0A">
        <w:rPr>
          <w:rFonts w:ascii="Times" w:hAnsi="Times"/>
          <w:b/>
          <w:sz w:val="17"/>
          <w:szCs w:val="17"/>
        </w:rPr>
        <w:t>[S&amp;P]</w:t>
      </w:r>
      <w:r w:rsidRPr="00D52CB7">
        <w:rPr>
          <w:rFonts w:ascii="Times" w:hAnsi="Times"/>
          <w:b/>
          <w:sz w:val="17"/>
          <w:szCs w:val="17"/>
        </w:rPr>
        <w:t xml:space="preserve"> “</w:t>
      </w:r>
      <w:r w:rsidRPr="00D52CB7" w:rsidR="00832DFB">
        <w:rPr>
          <w:rFonts w:ascii="Times" w:hAnsi="Times"/>
          <w:b/>
          <w:sz w:val="17"/>
          <w:szCs w:val="17"/>
        </w:rPr>
        <w:t>B</w:t>
      </w:r>
      <w:r w:rsidRPr="00D52CB7" w:rsidR="00872C0A">
        <w:rPr>
          <w:rFonts w:ascii="Times" w:hAnsi="Times"/>
          <w:b/>
          <w:sz w:val="17"/>
          <w:szCs w:val="17"/>
        </w:rPr>
        <w:t>B</w:t>
      </w:r>
      <w:r w:rsidRPr="00D52CB7">
        <w:rPr>
          <w:rFonts w:ascii="Times" w:hAnsi="Times"/>
          <w:b/>
          <w:sz w:val="17"/>
          <w:szCs w:val="17"/>
        </w:rPr>
        <w:t>”</w:t>
      </w:r>
    </w:p>
    <w:p w:rsidRPr="00D52CB7" w:rsidR="00743467" w:rsidP="00743467" w:rsidRDefault="00743467" w14:paraId="53C39834" w14:textId="33C34805">
      <w:pPr>
        <w:tabs>
          <w:tab w:val="right" w:pos="10512"/>
        </w:tabs>
        <w:spacing w:line="180" w:lineRule="exact"/>
        <w:ind w:right="-18"/>
        <w:rPr>
          <w:rFonts w:ascii="Times" w:hAnsi="Times"/>
          <w:b/>
          <w:sz w:val="19"/>
        </w:rPr>
      </w:pPr>
      <w:r w:rsidRPr="00D52CB7">
        <w:rPr>
          <w:rFonts w:ascii="Times" w:hAnsi="Times"/>
          <w:b/>
          <w:smallCaps/>
          <w:sz w:val="19"/>
        </w:rPr>
        <w:tab/>
      </w:r>
      <w:r w:rsidRPr="00D52CB7">
        <w:rPr>
          <w:rFonts w:ascii="Times" w:hAnsi="Times"/>
          <w:b/>
          <w:sz w:val="17"/>
          <w:szCs w:val="17"/>
        </w:rPr>
        <w:t>(See: “</w:t>
      </w:r>
      <w:r w:rsidRPr="00D52CB7">
        <w:rPr>
          <w:rFonts w:ascii="Times" w:hAnsi="Times"/>
          <w:b/>
          <w:smallCaps/>
          <w:sz w:val="17"/>
          <w:szCs w:val="17"/>
        </w:rPr>
        <w:t>Ratings</w:t>
      </w:r>
      <w:r w:rsidRPr="00D52CB7">
        <w:rPr>
          <w:rFonts w:ascii="Times" w:hAnsi="Times"/>
          <w:b/>
          <w:sz w:val="17"/>
          <w:szCs w:val="17"/>
        </w:rPr>
        <w:t>”)</w:t>
      </w:r>
    </w:p>
    <w:tbl>
      <w:tblPr>
        <w:tblStyle w:val="TableGrid"/>
        <w:tblpPr w:leftFromText="180" w:rightFromText="180" w:vertAnchor="text" w:horzAnchor="margin" w:tblpY="127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56"/>
        <w:gridCol w:w="5256"/>
      </w:tblGrid>
      <w:tr w:rsidRPr="00D52CB7" w:rsidR="005C2C17" w:rsidTr="005C2C17" w14:paraId="2C872FB1" w14:textId="77777777">
        <w:tc>
          <w:tcPr>
            <w:tcW w:w="5256" w:type="dxa"/>
          </w:tcPr>
          <w:p w:rsidRPr="00D52CB7" w:rsidR="005C2C17" w:rsidP="005C2C17" w:rsidRDefault="005C2C17" w14:paraId="3F50888F" w14:textId="26E53E5A">
            <w:pPr>
              <w:spacing w:before="120" w:line="180" w:lineRule="exact"/>
              <w:jc w:val="center"/>
              <w:rPr>
                <w:b/>
                <w:bCs/>
                <w:sz w:val="16"/>
                <w:szCs w:val="16"/>
              </w:rPr>
            </w:pPr>
            <w:r w:rsidRPr="00D52CB7">
              <w:rPr>
                <w:b/>
                <w:bCs/>
                <w:sz w:val="16"/>
                <w:szCs w:val="16"/>
              </w:rPr>
              <w:t>$________</w:t>
            </w:r>
            <w:r w:rsidRPr="00D52CB7">
              <w:rPr>
                <w:b/>
                <w:bCs/>
                <w:sz w:val="16"/>
                <w:szCs w:val="16"/>
              </w:rPr>
              <w:br/>
            </w:r>
            <w:r w:rsidRPr="00D52CB7">
              <w:rPr>
                <w:b/>
                <w:bCs/>
                <w:smallCaps/>
                <w:sz w:val="16"/>
                <w:szCs w:val="16"/>
              </w:rPr>
              <w:t>Utah Charter School Finance Authority</w:t>
            </w:r>
            <w:r w:rsidRPr="00D52CB7">
              <w:rPr>
                <w:b/>
                <w:bCs/>
                <w:sz w:val="16"/>
                <w:szCs w:val="16"/>
              </w:rPr>
              <w:br/>
              <w:t>Charter School Revenue Bonds</w:t>
            </w:r>
            <w:r w:rsidRPr="00D52CB7">
              <w:rPr>
                <w:b/>
                <w:bCs/>
                <w:sz w:val="16"/>
                <w:szCs w:val="16"/>
              </w:rPr>
              <w:br/>
              <w:t>(Esperanza Elementary)</w:t>
            </w:r>
            <w:r w:rsidRPr="00D52CB7">
              <w:rPr>
                <w:b/>
                <w:bCs/>
                <w:sz w:val="16"/>
                <w:szCs w:val="16"/>
              </w:rPr>
              <w:br/>
              <w:t>Series </w:t>
            </w:r>
            <w:r w:rsidRPr="00D52CB7" w:rsidR="00D50213">
              <w:rPr>
                <w:b/>
                <w:bCs/>
                <w:sz w:val="16"/>
                <w:szCs w:val="16"/>
              </w:rPr>
              <w:t>2025</w:t>
            </w:r>
          </w:p>
        </w:tc>
        <w:tc>
          <w:tcPr>
            <w:tcW w:w="5256" w:type="dxa"/>
          </w:tcPr>
          <w:p w:rsidRPr="00D52CB7" w:rsidR="005C2C17" w:rsidP="005C2C17" w:rsidRDefault="005C2C17" w14:paraId="0F9399FD" w14:textId="77777777">
            <w:pPr>
              <w:spacing w:before="120" w:line="180" w:lineRule="exact"/>
              <w:jc w:val="center"/>
              <w:rPr>
                <w:b/>
                <w:bCs/>
                <w:sz w:val="16"/>
                <w:szCs w:val="16"/>
              </w:rPr>
            </w:pPr>
            <w:r w:rsidRPr="00D52CB7">
              <w:rPr>
                <w:b/>
                <w:bCs/>
                <w:sz w:val="16"/>
                <w:szCs w:val="16"/>
              </w:rPr>
              <w:t>$____</w:t>
            </w:r>
            <w:r w:rsidRPr="00D52CB7">
              <w:rPr>
                <w:b/>
                <w:bCs/>
                <w:sz w:val="16"/>
                <w:szCs w:val="16"/>
              </w:rPr>
              <w:br/>
            </w:r>
            <w:r w:rsidRPr="00D52CB7">
              <w:rPr>
                <w:b/>
                <w:bCs/>
                <w:smallCaps/>
                <w:sz w:val="16"/>
                <w:szCs w:val="16"/>
              </w:rPr>
              <w:t>Utah Charter School Finance Authority</w:t>
            </w:r>
            <w:r w:rsidRPr="00D52CB7">
              <w:rPr>
                <w:b/>
                <w:bCs/>
                <w:sz w:val="16"/>
                <w:szCs w:val="16"/>
              </w:rPr>
              <w:br/>
              <w:t>Taxable Charter School Revenue Bonds</w:t>
            </w:r>
            <w:r w:rsidRPr="00D52CB7">
              <w:rPr>
                <w:b/>
                <w:bCs/>
                <w:sz w:val="16"/>
                <w:szCs w:val="16"/>
              </w:rPr>
              <w:br/>
              <w:t>(Esperanza Elementary)</w:t>
            </w:r>
            <w:r w:rsidRPr="00D52CB7">
              <w:rPr>
                <w:b/>
                <w:bCs/>
                <w:sz w:val="16"/>
                <w:szCs w:val="16"/>
              </w:rPr>
              <w:br/>
              <w:t>Series 2025B</w:t>
            </w:r>
          </w:p>
        </w:tc>
      </w:tr>
    </w:tbl>
    <w:p w:rsidRPr="00D52CB7" w:rsidR="005C2C17" w:rsidP="00C31933" w:rsidRDefault="00872C0A" w14:paraId="545C5C18" w14:textId="5501B9C0">
      <w:pPr>
        <w:pStyle w:val="ParaNORMAL"/>
        <w:tabs>
          <w:tab w:val="right" w:pos="10080"/>
          <w:tab w:val="right" w:pos="10512"/>
        </w:tabs>
        <w:spacing w:before="120" w:line="170" w:lineRule="exact"/>
        <w:ind w:right="-14"/>
        <w:rPr>
          <w:i/>
          <w:sz w:val="17"/>
          <w:szCs w:val="17"/>
        </w:rPr>
      </w:pPr>
      <w:r w:rsidRPr="00D52CB7">
        <w:rPr>
          <w:i/>
          <w:sz w:val="15"/>
          <w:szCs w:val="15"/>
        </w:rPr>
        <w:t xml:space="preserve">Subject to compliance by the Authority and the Charter School with certain covenants, in the opinion of Chapman and Cutler LLP, Bond Counsel to the Authority, under present law (i)  interest on the Series </w:t>
      </w:r>
      <w:r w:rsidRPr="00D52CB7" w:rsidR="00D50213">
        <w:rPr>
          <w:i/>
          <w:sz w:val="15"/>
          <w:szCs w:val="15"/>
        </w:rPr>
        <w:t>2025</w:t>
      </w:r>
      <w:r w:rsidRPr="00D52CB7" w:rsidR="00E27CE1">
        <w:rPr>
          <w:i/>
          <w:sz w:val="15"/>
          <w:szCs w:val="15"/>
        </w:rPr>
        <w:t>A</w:t>
      </w:r>
      <w:r w:rsidRPr="00D52CB7">
        <w:rPr>
          <w:i/>
          <w:sz w:val="15"/>
          <w:szCs w:val="15"/>
        </w:rPr>
        <w:t xml:space="preserve"> Bonds is excludable from gross income of the owners thereof for federal income tax purposes and is not included as an item of tax preference in computing the alternative minimum tax for individuals, and (ii) interest on the Series 2025B Bonds is includible in gross income of the owners thereof for federal income tax purposes.  I</w:t>
      </w:r>
      <w:r w:rsidRPr="00D52CB7">
        <w:rPr>
          <w:rFonts w:cs="Calibri"/>
          <w:i/>
          <w:iCs/>
          <w:color w:val="000000"/>
          <w:sz w:val="15"/>
          <w:szCs w:val="15"/>
        </w:rPr>
        <w:t xml:space="preserve">nterest on the Series </w:t>
      </w:r>
      <w:r w:rsidRPr="00D52CB7" w:rsidR="00D50213">
        <w:rPr>
          <w:rFonts w:cs="Calibri"/>
          <w:i/>
          <w:iCs/>
          <w:color w:val="000000"/>
          <w:sz w:val="15"/>
          <w:szCs w:val="15"/>
        </w:rPr>
        <w:t>2025</w:t>
      </w:r>
      <w:r w:rsidRPr="00D52CB7" w:rsidR="00E27CE1">
        <w:rPr>
          <w:rFonts w:cs="Calibri"/>
          <w:i/>
          <w:iCs/>
          <w:color w:val="000000"/>
          <w:sz w:val="15"/>
          <w:szCs w:val="15"/>
        </w:rPr>
        <w:t>A</w:t>
      </w:r>
      <w:r w:rsidRPr="00D52CB7">
        <w:rPr>
          <w:rFonts w:cs="Calibri"/>
          <w:i/>
          <w:iCs/>
          <w:color w:val="000000"/>
          <w:sz w:val="15"/>
          <w:szCs w:val="15"/>
        </w:rPr>
        <w:t xml:space="preserve"> Bonds may affect the corporate alternative minimum tax for certain corporations.</w:t>
      </w:r>
      <w:r w:rsidRPr="00D52CB7">
        <w:rPr>
          <w:i/>
          <w:iCs/>
          <w:sz w:val="15"/>
          <w:szCs w:val="15"/>
        </w:rPr>
        <w:t xml:space="preserve"> </w:t>
      </w:r>
      <w:r w:rsidRPr="00D52CB7">
        <w:rPr>
          <w:i/>
          <w:sz w:val="15"/>
          <w:szCs w:val="15"/>
        </w:rPr>
        <w:t xml:space="preserve"> In the opinion of Bond Counsel, under existing laws of the State of Utah, as presently enacted and construed, interest on the Series </w:t>
      </w:r>
      <w:r w:rsidRPr="00D52CB7" w:rsidR="00D50213">
        <w:rPr>
          <w:i/>
          <w:sz w:val="15"/>
          <w:szCs w:val="15"/>
        </w:rPr>
        <w:t>2025</w:t>
      </w:r>
      <w:r w:rsidRPr="00D52CB7" w:rsidR="00E27CE1">
        <w:rPr>
          <w:i/>
          <w:sz w:val="15"/>
          <w:szCs w:val="15"/>
        </w:rPr>
        <w:t>A</w:t>
      </w:r>
      <w:r w:rsidRPr="00D52CB7">
        <w:rPr>
          <w:i/>
          <w:sz w:val="15"/>
          <w:szCs w:val="15"/>
        </w:rPr>
        <w:t xml:space="preserve"> Bonds and the Series 2025B Bonds is exempt from taxes imposed by the Utah Individual Income Tax Act.  See “</w:t>
      </w:r>
      <w:r w:rsidRPr="00D52CB7">
        <w:rPr>
          <w:i/>
          <w:smallCaps/>
          <w:sz w:val="15"/>
          <w:szCs w:val="15"/>
        </w:rPr>
        <w:t>Tax Matters</w:t>
      </w:r>
      <w:r w:rsidRPr="00D52CB7">
        <w:rPr>
          <w:i/>
          <w:sz w:val="15"/>
          <w:szCs w:val="15"/>
        </w:rPr>
        <w:t>” herein for a more complete discussion</w:t>
      </w:r>
      <w:r w:rsidRPr="00D52CB7" w:rsidR="00743467">
        <w:rPr>
          <w:i/>
          <w:sz w:val="17"/>
          <w:szCs w:val="17"/>
        </w:rPr>
        <w:t>.</w:t>
      </w:r>
    </w:p>
    <w:p w:rsidRPr="00D52CB7" w:rsidR="00743467" w:rsidP="00743467" w:rsidRDefault="00743467" w14:paraId="14FF1F97" w14:textId="2F185AB3">
      <w:pPr>
        <w:pStyle w:val="ParaFLUSH"/>
        <w:tabs>
          <w:tab w:val="right" w:pos="10512"/>
        </w:tabs>
        <w:spacing w:before="120" w:line="170" w:lineRule="atLeast"/>
        <w:ind w:right="-14"/>
        <w:rPr>
          <w:b/>
          <w:sz w:val="17"/>
          <w:szCs w:val="17"/>
        </w:rPr>
      </w:pPr>
      <w:r w:rsidRPr="00D52CB7">
        <w:rPr>
          <w:b/>
          <w:sz w:val="17"/>
          <w:szCs w:val="17"/>
        </w:rPr>
        <w:t>Dated:  Date of Delivery</w:t>
      </w:r>
      <w:r w:rsidRPr="00D52CB7">
        <w:rPr>
          <w:b/>
          <w:sz w:val="17"/>
          <w:szCs w:val="17"/>
        </w:rPr>
        <w:tab/>
        <w:t>Due:  As shown on inside cover</w:t>
      </w:r>
    </w:p>
    <w:p w:rsidRPr="00D52CB7" w:rsidR="00743467" w:rsidP="00743467" w:rsidRDefault="00743467" w14:paraId="1A6BB1C9" w14:textId="4D807F10">
      <w:pPr>
        <w:pStyle w:val="ParaNORMAL"/>
        <w:tabs>
          <w:tab w:val="right" w:pos="10080"/>
          <w:tab w:val="right" w:pos="10512"/>
        </w:tabs>
        <w:spacing w:before="60" w:line="200" w:lineRule="exact"/>
        <w:ind w:right="-14"/>
        <w:rPr>
          <w:sz w:val="17"/>
          <w:szCs w:val="17"/>
        </w:rPr>
      </w:pPr>
      <w:r w:rsidRPr="00D52CB7">
        <w:rPr>
          <w:sz w:val="17"/>
          <w:szCs w:val="17"/>
        </w:rPr>
        <w:t xml:space="preserve">The Utah Charter School Finance Authority (the </w:t>
      </w:r>
      <w:r w:rsidRPr="00D52CB7">
        <w:rPr>
          <w:i/>
          <w:sz w:val="17"/>
          <w:szCs w:val="17"/>
        </w:rPr>
        <w:t>“Issuer”</w:t>
      </w:r>
      <w:r w:rsidRPr="00D52CB7">
        <w:rPr>
          <w:sz w:val="17"/>
          <w:szCs w:val="17"/>
        </w:rPr>
        <w:t xml:space="preserve">), a political subdivision duly organized and existing under the laws of the State of Utah (the </w:t>
      </w:r>
      <w:r w:rsidRPr="00D52CB7">
        <w:rPr>
          <w:i/>
          <w:sz w:val="17"/>
          <w:szCs w:val="17"/>
        </w:rPr>
        <w:t>“State”</w:t>
      </w:r>
      <w:r w:rsidRPr="00D52CB7">
        <w:rPr>
          <w:sz w:val="17"/>
          <w:szCs w:val="17"/>
        </w:rPr>
        <w:t>), is issuing its $</w:t>
      </w:r>
      <w:r w:rsidRPr="00D52CB7" w:rsidR="00437BFE">
        <w:rPr>
          <w:sz w:val="17"/>
          <w:szCs w:val="17"/>
        </w:rPr>
        <w:t>_________</w:t>
      </w:r>
      <w:r w:rsidRPr="00D52CB7">
        <w:rPr>
          <w:sz w:val="17"/>
          <w:szCs w:val="17"/>
        </w:rPr>
        <w:t xml:space="preserve"> Charter School Revenue Bonds </w:t>
      </w:r>
      <w:r w:rsidRPr="00D52CB7" w:rsidR="00A02DB5">
        <w:rPr>
          <w:sz w:val="17"/>
          <w:szCs w:val="17"/>
        </w:rPr>
        <w:t>(Esperanza Elementary)</w:t>
      </w:r>
      <w:r w:rsidRPr="00D52CB7">
        <w:rPr>
          <w:sz w:val="17"/>
          <w:szCs w:val="17"/>
        </w:rPr>
        <w:t xml:space="preserve">, Series </w:t>
      </w:r>
      <w:r w:rsidRPr="00D52CB7" w:rsidR="00D50213">
        <w:rPr>
          <w:sz w:val="17"/>
          <w:szCs w:val="17"/>
        </w:rPr>
        <w:t>2025</w:t>
      </w:r>
      <w:r w:rsidRPr="00D52CB7" w:rsidR="00A02DB5">
        <w:rPr>
          <w:sz w:val="17"/>
          <w:szCs w:val="17"/>
        </w:rPr>
        <w:t>A</w:t>
      </w:r>
      <w:r w:rsidRPr="00D52CB7">
        <w:rPr>
          <w:sz w:val="17"/>
          <w:szCs w:val="17"/>
        </w:rPr>
        <w:t xml:space="preserve"> (the </w:t>
      </w:r>
      <w:r w:rsidRPr="00D52CB7">
        <w:rPr>
          <w:i/>
          <w:sz w:val="17"/>
          <w:szCs w:val="17"/>
        </w:rPr>
        <w:t>“</w:t>
      </w:r>
      <w:r w:rsidRPr="00D52CB7" w:rsidR="00B935C1">
        <w:rPr>
          <w:i/>
          <w:sz w:val="17"/>
          <w:szCs w:val="17"/>
        </w:rPr>
        <w:t xml:space="preserve">Series </w:t>
      </w:r>
      <w:r w:rsidRPr="00D52CB7" w:rsidR="00D50213">
        <w:rPr>
          <w:i/>
          <w:sz w:val="17"/>
          <w:szCs w:val="17"/>
        </w:rPr>
        <w:t>2025</w:t>
      </w:r>
      <w:r w:rsidRPr="00D52CB7" w:rsidR="00A02DB5">
        <w:rPr>
          <w:i/>
          <w:sz w:val="17"/>
          <w:szCs w:val="17"/>
        </w:rPr>
        <w:t>A</w:t>
      </w:r>
      <w:r w:rsidRPr="00D52CB7" w:rsidR="00B935C1">
        <w:rPr>
          <w:i/>
          <w:sz w:val="17"/>
          <w:szCs w:val="17"/>
        </w:rPr>
        <w:t xml:space="preserve"> Bond</w:t>
      </w:r>
      <w:r w:rsidRPr="00D52CB7">
        <w:rPr>
          <w:i/>
          <w:sz w:val="17"/>
          <w:szCs w:val="17"/>
        </w:rPr>
        <w:t>s”</w:t>
      </w:r>
      <w:r w:rsidRPr="00D52CB7">
        <w:rPr>
          <w:sz w:val="17"/>
          <w:szCs w:val="17"/>
        </w:rPr>
        <w:t>)</w:t>
      </w:r>
      <w:r w:rsidRPr="00D52CB7" w:rsidR="00C377B9">
        <w:rPr>
          <w:sz w:val="17"/>
          <w:szCs w:val="17"/>
        </w:rPr>
        <w:t xml:space="preserve"> and $_________ Taxable Charter School Revenue Bonds (Esperanza Elementary), Series 2025B (the </w:t>
      </w:r>
      <w:r w:rsidRPr="00D52CB7" w:rsidR="00C377B9">
        <w:rPr>
          <w:i/>
          <w:sz w:val="17"/>
          <w:szCs w:val="17"/>
        </w:rPr>
        <w:t xml:space="preserve">“Series 2025B Bonds” </w:t>
      </w:r>
      <w:r w:rsidRPr="00D52CB7" w:rsidR="00C377B9">
        <w:rPr>
          <w:iCs/>
          <w:sz w:val="17"/>
          <w:szCs w:val="17"/>
        </w:rPr>
        <w:t xml:space="preserve">and, collectively with the Series 2025A Bonds, the </w:t>
      </w:r>
      <w:r w:rsidRPr="00D52CB7" w:rsidR="00C377B9">
        <w:rPr>
          <w:i/>
          <w:sz w:val="17"/>
          <w:szCs w:val="17"/>
        </w:rPr>
        <w:t>“Series 2025 Bonds”</w:t>
      </w:r>
      <w:r w:rsidRPr="00D52CB7" w:rsidR="00C377B9">
        <w:rPr>
          <w:sz w:val="17"/>
          <w:szCs w:val="17"/>
        </w:rPr>
        <w:t>)</w:t>
      </w:r>
      <w:r w:rsidRPr="00D52CB7">
        <w:rPr>
          <w:sz w:val="17"/>
          <w:szCs w:val="17"/>
        </w:rPr>
        <w:t xml:space="preserve">, pursuant to an Indenture of Trust, dated as of </w:t>
      </w:r>
      <w:r w:rsidR="00631E13">
        <w:rPr>
          <w:sz w:val="17"/>
          <w:szCs w:val="17"/>
        </w:rPr>
        <w:t>November 1, 2025</w:t>
      </w:r>
      <w:r w:rsidRPr="00D52CB7">
        <w:rPr>
          <w:sz w:val="17"/>
          <w:szCs w:val="17"/>
        </w:rPr>
        <w:t xml:space="preserve"> (the </w:t>
      </w:r>
      <w:r w:rsidRPr="00D52CB7">
        <w:rPr>
          <w:i/>
          <w:sz w:val="17"/>
          <w:szCs w:val="17"/>
        </w:rPr>
        <w:t>“Indenture”</w:t>
      </w:r>
      <w:r w:rsidRPr="00D52CB7">
        <w:rPr>
          <w:sz w:val="17"/>
          <w:szCs w:val="17"/>
        </w:rPr>
        <w:t xml:space="preserve">), between the Issuer and </w:t>
      </w:r>
      <w:r w:rsidRPr="00D52CB7" w:rsidR="00C377B9">
        <w:rPr>
          <w:sz w:val="17"/>
          <w:szCs w:val="17"/>
        </w:rPr>
        <w:t>Zions Bancorporation, National Association</w:t>
      </w:r>
      <w:r w:rsidRPr="00D52CB7">
        <w:rPr>
          <w:sz w:val="17"/>
          <w:szCs w:val="17"/>
        </w:rPr>
        <w:t xml:space="preserve">, as trustee (the </w:t>
      </w:r>
      <w:r w:rsidRPr="00D52CB7">
        <w:rPr>
          <w:i/>
          <w:sz w:val="17"/>
          <w:szCs w:val="17"/>
        </w:rPr>
        <w:t>“Trustee”</w:t>
      </w:r>
      <w:r w:rsidRPr="00D52CB7">
        <w:rPr>
          <w:sz w:val="17"/>
          <w:szCs w:val="17"/>
        </w:rPr>
        <w:t xml:space="preserve">).  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 xml:space="preserve">s will be dated their date of delivery and will mature as shown on the inside cover.  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 xml:space="preserve">s will bear interest payable on April 15 and October 15 of each year, commencing </w:t>
      </w:r>
      <w:r w:rsidRPr="00D52CB7" w:rsidR="00C377B9">
        <w:rPr>
          <w:sz w:val="17"/>
          <w:szCs w:val="17"/>
        </w:rPr>
        <w:t>_______</w:t>
      </w:r>
      <w:r w:rsidRPr="00D52CB7">
        <w:rPr>
          <w:sz w:val="17"/>
          <w:szCs w:val="17"/>
        </w:rPr>
        <w:t>, until maturity or earlier redemption.  Capitalized terms used herein and not otherwise defined, have the meanings set forth in “</w:t>
      </w:r>
      <w:r w:rsidRPr="00D52CB7">
        <w:rPr>
          <w:smallCaps/>
          <w:sz w:val="17"/>
          <w:szCs w:val="17"/>
        </w:rPr>
        <w:t>Appendix D—Forms of Bond Documents</w:t>
      </w:r>
      <w:r w:rsidRPr="00D52CB7">
        <w:rPr>
          <w:sz w:val="17"/>
          <w:szCs w:val="17"/>
        </w:rPr>
        <w:t>.”</w:t>
      </w:r>
    </w:p>
    <w:p w:rsidRPr="00D52CB7" w:rsidR="005C2FCF" w:rsidP="005C2FCF" w:rsidRDefault="00743467" w14:paraId="5D4E41CD" w14:textId="2996EA87">
      <w:pPr>
        <w:ind w:firstLine="720"/>
        <w:jc w:val="both"/>
      </w:pPr>
      <w:r w:rsidRPr="00D52CB7">
        <w:rPr>
          <w:sz w:val="17"/>
          <w:szCs w:val="17"/>
        </w:rPr>
        <w:t xml:space="preserve">Proceeds from the sale of 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 xml:space="preserve">s will be loaned by the Issuer to </w:t>
      </w:r>
      <w:r w:rsidRPr="00D52CB7" w:rsidR="00B85642">
        <w:rPr>
          <w:sz w:val="17"/>
          <w:szCs w:val="17"/>
        </w:rPr>
        <w:t xml:space="preserve">Generacion </w:t>
      </w:r>
      <w:proofErr w:type="spellStart"/>
      <w:r w:rsidRPr="00D52CB7" w:rsidR="00B85642">
        <w:rPr>
          <w:sz w:val="17"/>
          <w:szCs w:val="17"/>
        </w:rPr>
        <w:t>Floreciente</w:t>
      </w:r>
      <w:proofErr w:type="spellEnd"/>
      <w:r w:rsidRPr="00D52CB7" w:rsidR="00B85642">
        <w:rPr>
          <w:sz w:val="17"/>
          <w:szCs w:val="17"/>
        </w:rPr>
        <w:t xml:space="preserve"> dba Esperanza Elementary</w:t>
      </w:r>
      <w:r w:rsidRPr="00D52CB7">
        <w:rPr>
          <w:sz w:val="17"/>
          <w:szCs w:val="17"/>
        </w:rPr>
        <w:t xml:space="preserve">, a Utah nonprofit corporation (the </w:t>
      </w:r>
      <w:r w:rsidRPr="00D52CB7">
        <w:rPr>
          <w:i/>
          <w:sz w:val="17"/>
          <w:szCs w:val="17"/>
        </w:rPr>
        <w:t xml:space="preserve">“Charter School” </w:t>
      </w:r>
      <w:r w:rsidRPr="00D52CB7">
        <w:rPr>
          <w:sz w:val="17"/>
          <w:szCs w:val="17"/>
        </w:rPr>
        <w:t xml:space="preserve">or </w:t>
      </w:r>
      <w:r w:rsidRPr="00D52CB7">
        <w:rPr>
          <w:i/>
          <w:sz w:val="17"/>
          <w:szCs w:val="17"/>
        </w:rPr>
        <w:t>“Borrower”</w:t>
      </w:r>
      <w:r w:rsidRPr="00D52CB7">
        <w:rPr>
          <w:sz w:val="17"/>
          <w:szCs w:val="17"/>
        </w:rPr>
        <w:t xml:space="preserve">) pursuant to a Loan Agreement, dated as of </w:t>
      </w:r>
      <w:r w:rsidR="00631E13">
        <w:rPr>
          <w:sz w:val="17"/>
          <w:szCs w:val="17"/>
        </w:rPr>
        <w:t>November 1, 2025</w:t>
      </w:r>
      <w:r w:rsidRPr="00D52CB7">
        <w:rPr>
          <w:sz w:val="17"/>
          <w:szCs w:val="17"/>
        </w:rPr>
        <w:t xml:space="preserve">, between the Issuer and the Charter School (the </w:t>
      </w:r>
      <w:r w:rsidRPr="00D52CB7">
        <w:rPr>
          <w:i/>
          <w:sz w:val="17"/>
          <w:szCs w:val="17"/>
        </w:rPr>
        <w:t>“Loan Agreement”</w:t>
      </w:r>
      <w:r w:rsidRPr="00D52CB7">
        <w:rPr>
          <w:sz w:val="17"/>
          <w:szCs w:val="17"/>
        </w:rPr>
        <w:t xml:space="preserve">) for the </w:t>
      </w:r>
      <w:r w:rsidRPr="00D52CB7" w:rsidR="006154A2">
        <w:rPr>
          <w:sz w:val="17"/>
          <w:szCs w:val="17"/>
        </w:rPr>
        <w:t xml:space="preserve">purpose of </w:t>
      </w:r>
      <w:r w:rsidRPr="00D52CB7" w:rsidR="005C2FCF">
        <w:rPr>
          <w:sz w:val="16"/>
          <w:szCs w:val="16"/>
        </w:rPr>
        <w:t xml:space="preserve">(i) financing the costs of construction of an expansion (the </w:t>
      </w:r>
      <w:r w:rsidRPr="00D52CB7" w:rsidR="005C2FCF">
        <w:rPr>
          <w:i/>
          <w:iCs/>
          <w:sz w:val="16"/>
          <w:szCs w:val="16"/>
        </w:rPr>
        <w:t>“</w:t>
      </w:r>
      <w:r w:rsidRPr="00D52CB7" w:rsidR="00225CBA">
        <w:rPr>
          <w:i/>
          <w:iCs/>
          <w:sz w:val="16"/>
          <w:szCs w:val="16"/>
        </w:rPr>
        <w:t>Series 2025 Project</w:t>
      </w:r>
      <w:r w:rsidRPr="00D52CB7" w:rsidR="005C2FCF">
        <w:rPr>
          <w:i/>
          <w:iCs/>
          <w:sz w:val="16"/>
          <w:szCs w:val="16"/>
        </w:rPr>
        <w:t>”</w:t>
      </w:r>
      <w:r w:rsidRPr="00D52CB7" w:rsidR="005C2FCF">
        <w:rPr>
          <w:sz w:val="16"/>
          <w:szCs w:val="16"/>
        </w:rPr>
        <w:t>) to the Charter School’s existing charter school facilities located</w:t>
      </w:r>
      <w:r w:rsidRPr="00D52CB7" w:rsidR="007C37FE">
        <w:rPr>
          <w:sz w:val="16"/>
          <w:szCs w:val="16"/>
        </w:rPr>
        <w:t xml:space="preserve"> at the Charter School’s West Valley City Campus</w:t>
      </w:r>
      <w:r w:rsidRPr="00D52CB7" w:rsidR="005C2FCF">
        <w:rPr>
          <w:sz w:val="16"/>
          <w:szCs w:val="16"/>
        </w:rPr>
        <w:t xml:space="preserve"> at 4956 West 3500 South, West Valley City, Salt Lake County, Utah (the </w:t>
      </w:r>
      <w:r w:rsidRPr="00D52CB7" w:rsidR="005C2FCF">
        <w:rPr>
          <w:i/>
          <w:iCs/>
          <w:sz w:val="16"/>
          <w:szCs w:val="16"/>
        </w:rPr>
        <w:t xml:space="preserve">“Existing </w:t>
      </w:r>
      <w:r w:rsidRPr="00D52CB7" w:rsidR="0012390C">
        <w:rPr>
          <w:i/>
          <w:iCs/>
          <w:sz w:val="16"/>
          <w:szCs w:val="16"/>
        </w:rPr>
        <w:t>Facilities</w:t>
      </w:r>
      <w:r w:rsidRPr="00D52CB7" w:rsidR="005C2FCF">
        <w:rPr>
          <w:i/>
          <w:iCs/>
          <w:sz w:val="16"/>
          <w:szCs w:val="16"/>
        </w:rPr>
        <w:t>”</w:t>
      </w:r>
      <w:r w:rsidRPr="00D52CB7" w:rsidR="005C2FCF">
        <w:rPr>
          <w:sz w:val="16"/>
          <w:szCs w:val="16"/>
        </w:rPr>
        <w:t>), (ii) provide for capitalized interest, (iii) refund the Authority’s</w:t>
      </w:r>
      <w:r w:rsidRPr="00D52CB7" w:rsidR="0012390C">
        <w:rPr>
          <w:sz w:val="16"/>
          <w:szCs w:val="16"/>
        </w:rPr>
        <w:t xml:space="preserve"> outstanding</w:t>
      </w:r>
      <w:r w:rsidRPr="00D52CB7" w:rsidR="005C2FCF">
        <w:rPr>
          <w:sz w:val="16"/>
          <w:szCs w:val="16"/>
        </w:rPr>
        <w:t xml:space="preserve"> Charter School Revenue Bonds (Esperanza Elementary School Project</w:t>
      </w:r>
      <w:r w:rsidRPr="00D52CB7" w:rsidR="0012390C">
        <w:rPr>
          <w:sz w:val="16"/>
          <w:szCs w:val="16"/>
        </w:rPr>
        <w:t>)</w:t>
      </w:r>
      <w:r w:rsidRPr="00D52CB7" w:rsidR="005C2FCF">
        <w:rPr>
          <w:sz w:val="16"/>
          <w:szCs w:val="16"/>
        </w:rPr>
        <w:t>, Series 2018A</w:t>
      </w:r>
      <w:r w:rsidRPr="00D52CB7" w:rsidR="0012390C">
        <w:rPr>
          <w:sz w:val="16"/>
          <w:szCs w:val="16"/>
        </w:rPr>
        <w:t xml:space="preserve"> </w:t>
      </w:r>
      <w:r w:rsidRPr="00D52CB7" w:rsidR="005C2FCF">
        <w:rPr>
          <w:sz w:val="16"/>
          <w:szCs w:val="16"/>
        </w:rPr>
        <w:t xml:space="preserve">(the </w:t>
      </w:r>
      <w:r w:rsidRPr="00D52CB7" w:rsidR="005C2FCF">
        <w:rPr>
          <w:i/>
          <w:iCs/>
          <w:sz w:val="16"/>
          <w:szCs w:val="16"/>
        </w:rPr>
        <w:t>“Refunded Bonds”</w:t>
      </w:r>
      <w:r w:rsidRPr="00D52CB7" w:rsidR="005C2FCF">
        <w:rPr>
          <w:sz w:val="16"/>
          <w:szCs w:val="16"/>
        </w:rPr>
        <w:t>), (iv) fund a debt service reserve fund as set forth herein, and (v) pay certain issuance expenses.</w:t>
      </w:r>
    </w:p>
    <w:p w:rsidRPr="00D52CB7" w:rsidR="00743467" w:rsidP="00743467" w:rsidRDefault="00743467" w14:paraId="238B2305" w14:textId="47F844B8">
      <w:pPr>
        <w:pStyle w:val="ParaNORMAL"/>
        <w:tabs>
          <w:tab w:val="right" w:pos="10080"/>
          <w:tab w:val="right" w:pos="10512"/>
        </w:tabs>
        <w:spacing w:before="60" w:line="200" w:lineRule="exact"/>
        <w:ind w:right="-14"/>
        <w:rPr>
          <w:sz w:val="17"/>
          <w:szCs w:val="17"/>
        </w:rPr>
      </w:pPr>
      <w:r w:rsidRPr="00D52CB7">
        <w:rPr>
          <w:sz w:val="17"/>
          <w:szCs w:val="17"/>
        </w:rPr>
        <w:t xml:space="preserve">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s are subject to optional, mandatory sinking fund, and extraordinary redemption, as described herein.</w:t>
      </w:r>
    </w:p>
    <w:p w:rsidRPr="00D52CB7" w:rsidR="00743467" w:rsidP="00743467" w:rsidRDefault="00743467" w14:paraId="2BCB2FD7" w14:textId="639CE152">
      <w:pPr>
        <w:pStyle w:val="ParaNORMAL"/>
        <w:tabs>
          <w:tab w:val="right" w:pos="10080"/>
          <w:tab w:val="right" w:pos="10512"/>
        </w:tabs>
        <w:spacing w:before="60" w:line="200" w:lineRule="exact"/>
        <w:ind w:right="-14"/>
        <w:rPr>
          <w:sz w:val="17"/>
          <w:szCs w:val="17"/>
        </w:rPr>
      </w:pPr>
      <w:r w:rsidRPr="00D52CB7">
        <w:rPr>
          <w:sz w:val="17"/>
          <w:szCs w:val="17"/>
        </w:rPr>
        <w:t xml:space="preserve">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s will be issued as fully-registered bonds in minimum denominations of $5,000 or any integral multiple</w:t>
      </w:r>
      <w:r w:rsidRPr="00D52CB7" w:rsidR="007C735B">
        <w:rPr>
          <w:sz w:val="17"/>
          <w:szCs w:val="17"/>
        </w:rPr>
        <w:t xml:space="preserve"> of $1,000 in excess</w:t>
      </w:r>
      <w:r w:rsidRPr="00D52CB7">
        <w:rPr>
          <w:sz w:val="17"/>
          <w:szCs w:val="17"/>
        </w:rPr>
        <w:t xml:space="preserve"> thereof.</w:t>
      </w:r>
    </w:p>
    <w:p w:rsidRPr="00D52CB7" w:rsidR="00743467" w:rsidP="00743467" w:rsidRDefault="00743467" w14:paraId="2CF70759" w14:textId="0F9886C3">
      <w:pPr>
        <w:pStyle w:val="ParaNORMAL"/>
        <w:tabs>
          <w:tab w:val="right" w:pos="10080"/>
          <w:tab w:val="right" w:pos="10512"/>
        </w:tabs>
        <w:spacing w:before="60" w:line="200" w:lineRule="exact"/>
        <w:ind w:right="-14"/>
        <w:rPr>
          <w:sz w:val="17"/>
          <w:szCs w:val="17"/>
        </w:rPr>
      </w:pPr>
      <w:r w:rsidRPr="00D52CB7">
        <w:rPr>
          <w:sz w:val="17"/>
          <w:szCs w:val="17"/>
        </w:rPr>
        <w:t xml:space="preserve">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s will be issued as registered bonds in book</w:t>
      </w:r>
      <w:r w:rsidRPr="00D52CB7">
        <w:rPr>
          <w:sz w:val="17"/>
          <w:szCs w:val="17"/>
        </w:rPr>
        <w:noBreakHyphen/>
        <w:t xml:space="preserve">entry-only form in the name of Cede &amp; Co., as nominee of The Depository Trust Company, New York, New York, which will act as securities depository for 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 xml:space="preserve">s.  Purchases of beneficial interests in 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s will be made in book</w:t>
      </w:r>
      <w:r w:rsidRPr="00D52CB7">
        <w:rPr>
          <w:sz w:val="17"/>
          <w:szCs w:val="17"/>
        </w:rPr>
        <w:noBreakHyphen/>
        <w:t xml:space="preserve">entry-only form and purchasers will not receive physical certificates representing the ownership interest in 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s purchased by them.  See “</w:t>
      </w:r>
      <w:r w:rsidRPr="00D52CB7">
        <w:rPr>
          <w:smallCaps/>
          <w:sz w:val="17"/>
          <w:szCs w:val="17"/>
        </w:rPr>
        <w:t xml:space="preserve">The </w:t>
      </w:r>
      <w:r w:rsidRPr="00D52CB7" w:rsidR="00B935C1">
        <w:rPr>
          <w:smallCaps/>
          <w:sz w:val="17"/>
          <w:szCs w:val="17"/>
        </w:rPr>
        <w:t xml:space="preserve">Series </w:t>
      </w:r>
      <w:r w:rsidRPr="00D52CB7" w:rsidR="00D50213">
        <w:rPr>
          <w:smallCaps/>
          <w:sz w:val="17"/>
          <w:szCs w:val="17"/>
        </w:rPr>
        <w:t>2025</w:t>
      </w:r>
      <w:r w:rsidRPr="00D52CB7" w:rsidR="00B935C1">
        <w:rPr>
          <w:smallCaps/>
          <w:sz w:val="17"/>
          <w:szCs w:val="17"/>
        </w:rPr>
        <w:t xml:space="preserve"> Bond</w:t>
      </w:r>
      <w:r w:rsidRPr="00D52CB7">
        <w:rPr>
          <w:smallCaps/>
          <w:sz w:val="17"/>
          <w:szCs w:val="17"/>
        </w:rPr>
        <w:t>s</w:t>
      </w:r>
      <w:r w:rsidRPr="00D52CB7">
        <w:rPr>
          <w:sz w:val="17"/>
          <w:szCs w:val="17"/>
        </w:rPr>
        <w:t>—Book</w:t>
      </w:r>
      <w:r w:rsidRPr="00D52CB7">
        <w:rPr>
          <w:sz w:val="17"/>
          <w:szCs w:val="17"/>
        </w:rPr>
        <w:noBreakHyphen/>
        <w:t>Entry</w:t>
      </w:r>
      <w:r w:rsidRPr="00D52CB7">
        <w:rPr>
          <w:sz w:val="17"/>
          <w:szCs w:val="17"/>
        </w:rPr>
        <w:noBreakHyphen/>
        <w:t xml:space="preserve">Only System.”  </w:t>
      </w:r>
    </w:p>
    <w:p w:rsidRPr="00D52CB7" w:rsidR="00743467" w:rsidP="00743467" w:rsidRDefault="00743467" w14:paraId="1BE1BCAC" w14:textId="67EE542B">
      <w:pPr>
        <w:pStyle w:val="ParaNORMAL"/>
        <w:tabs>
          <w:tab w:val="right" w:pos="10080"/>
          <w:tab w:val="right" w:pos="10512"/>
        </w:tabs>
        <w:spacing w:before="60" w:line="200" w:lineRule="exact"/>
        <w:ind w:right="-14"/>
        <w:rPr>
          <w:sz w:val="17"/>
          <w:szCs w:val="17"/>
        </w:rPr>
      </w:pPr>
      <w:r w:rsidRPr="00D52CB7">
        <w:rPr>
          <w:sz w:val="17"/>
          <w:szCs w:val="17"/>
        </w:rPr>
        <w:t xml:space="preserve">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 xml:space="preserve">s constitute limited obligations of the Issuer and, except to the extent payable from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 xml:space="preserve"> proceeds, investment income, certain funds held under the Indenture, and amounts that may be appropriated by the State of Utah pursuant to the</w:t>
      </w:r>
      <w:r w:rsidRPr="00D52CB7" w:rsidR="008C2C55">
        <w:rPr>
          <w:sz w:val="17"/>
          <w:szCs w:val="17"/>
        </w:rPr>
        <w:t xml:space="preserve"> Charter School</w:t>
      </w:r>
      <w:r w:rsidRPr="00D52CB7">
        <w:rPr>
          <w:sz w:val="17"/>
          <w:szCs w:val="17"/>
        </w:rPr>
        <w:t xml:space="preserve"> Act</w:t>
      </w:r>
      <w:r w:rsidRPr="00D52CB7" w:rsidR="008C2C55">
        <w:rPr>
          <w:sz w:val="17"/>
          <w:szCs w:val="17"/>
        </w:rPr>
        <w:t xml:space="preserve"> (defined below)</w:t>
      </w:r>
      <w:r w:rsidRPr="00D52CB7">
        <w:rPr>
          <w:sz w:val="17"/>
          <w:szCs w:val="17"/>
        </w:rPr>
        <w:t xml:space="preserve">, are payable solely from certain payments, revenues and other amounts derived by the Issuer pursuant to the Loan Agreement.  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 xml:space="preserve">s are secured solely by the Trust Estate, which is limited to (i) the rights and interests of the Issuer under the Loan Agreement (subject to the retention by the Issuer of the Issuer’s Unassigned Rights (as defined herein), (ii) the Facilities and the Issuer’s rights and interests in the Facilities; (iii) the Pledged Revenues and the Issuer’s rights and interests in the Pledged Revenues; (iv) the rights and interests of the Issuer and the Charter School under the Deed of Trust (defined below), and the promissory note payable to the Issuer and executed by the Charter School (the </w:t>
      </w:r>
      <w:r w:rsidRPr="00D52CB7">
        <w:rPr>
          <w:i/>
          <w:sz w:val="17"/>
          <w:szCs w:val="17"/>
        </w:rPr>
        <w:t>“Promissory Note”</w:t>
      </w:r>
      <w:r w:rsidRPr="00D52CB7">
        <w:rPr>
          <w:sz w:val="17"/>
          <w:szCs w:val="17"/>
        </w:rPr>
        <w:t>); and (v) all Funds (as defined in the Indenture) other than the Costs of Issuance Fund and the Rebate Fund.  Payments to be received by the Issuer from the Charter School will be the Issuer’s sole expected source of Pledged Revenues.</w:t>
      </w:r>
    </w:p>
    <w:p w:rsidRPr="00D52CB7" w:rsidR="00743467" w:rsidP="00743467" w:rsidRDefault="00743467" w14:paraId="3E0FD612" w14:textId="07FD21D9">
      <w:pPr>
        <w:pStyle w:val="ParaNORMAL"/>
        <w:tabs>
          <w:tab w:val="right" w:pos="10080"/>
          <w:tab w:val="right" w:pos="10512"/>
        </w:tabs>
        <w:spacing w:before="60" w:line="200" w:lineRule="exact"/>
        <w:ind w:right="-14"/>
        <w:rPr>
          <w:sz w:val="17"/>
          <w:szCs w:val="17"/>
        </w:rPr>
      </w:pPr>
      <w:r w:rsidRPr="00D52CB7">
        <w:rPr>
          <w:sz w:val="17"/>
          <w:szCs w:val="17"/>
        </w:rPr>
        <w:t xml:space="preserve">Pursuant to the Indenture, the Issuer has covenanted to request appropriations from the State Legislature under the Charter School Credit Enhancement Program.  The Issuer has covenanted to certify by December 1 of each year to the Governor of the State the amount, if any, required to restore amounts on deposit in the Debt Service Reserve Subaccount relating to 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 xml:space="preserve">s to the Debt Service Reserve Requirement relating to 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s.</w:t>
      </w:r>
    </w:p>
    <w:p w:rsidRPr="00D52CB7" w:rsidR="00743467" w:rsidP="00743467" w:rsidRDefault="00743467" w14:paraId="0094443D" w14:textId="3BF23AE3">
      <w:pPr>
        <w:pStyle w:val="ParaNORMAL"/>
        <w:tabs>
          <w:tab w:val="right" w:pos="10080"/>
          <w:tab w:val="right" w:pos="10512"/>
        </w:tabs>
        <w:spacing w:before="60" w:line="200" w:lineRule="exact"/>
        <w:ind w:right="-14"/>
        <w:rPr>
          <w:b/>
          <w:sz w:val="17"/>
          <w:szCs w:val="17"/>
        </w:rPr>
      </w:pPr>
      <w:r w:rsidRPr="00D52CB7">
        <w:rPr>
          <w:b/>
          <w:sz w:val="17"/>
          <w:szCs w:val="17"/>
        </w:rPr>
        <w:t xml:space="preserve">The </w:t>
      </w:r>
      <w:r w:rsidRPr="00D52CB7" w:rsidR="00B935C1">
        <w:rPr>
          <w:b/>
          <w:sz w:val="17"/>
          <w:szCs w:val="17"/>
        </w:rPr>
        <w:t xml:space="preserve">Series </w:t>
      </w:r>
      <w:r w:rsidRPr="00D52CB7" w:rsidR="00D50213">
        <w:rPr>
          <w:b/>
          <w:sz w:val="17"/>
          <w:szCs w:val="17"/>
        </w:rPr>
        <w:t>2025</w:t>
      </w:r>
      <w:r w:rsidRPr="00D52CB7" w:rsidR="00B935C1">
        <w:rPr>
          <w:b/>
          <w:sz w:val="17"/>
          <w:szCs w:val="17"/>
        </w:rPr>
        <w:t xml:space="preserve"> Bond</w:t>
      </w:r>
      <w:r w:rsidRPr="00D52CB7">
        <w:rPr>
          <w:b/>
          <w:sz w:val="17"/>
          <w:szCs w:val="17"/>
        </w:rPr>
        <w:t xml:space="preserve">s are limited obligations of the Issuer payable solely from the Trust Estate, do not give rise to a general obligation or liability of the Issuer or a charge against its general credit, and shall never constitute nor give rise to a pecuniary liability of the Issuer.  The </w:t>
      </w:r>
      <w:r w:rsidRPr="00D52CB7" w:rsidR="00B935C1">
        <w:rPr>
          <w:b/>
          <w:sz w:val="17"/>
          <w:szCs w:val="17"/>
        </w:rPr>
        <w:t xml:space="preserve">Series </w:t>
      </w:r>
      <w:r w:rsidRPr="00D52CB7" w:rsidR="00D50213">
        <w:rPr>
          <w:b/>
          <w:sz w:val="17"/>
          <w:szCs w:val="17"/>
        </w:rPr>
        <w:t>2025</w:t>
      </w:r>
      <w:r w:rsidRPr="00D52CB7" w:rsidR="00B935C1">
        <w:rPr>
          <w:b/>
          <w:sz w:val="17"/>
          <w:szCs w:val="17"/>
        </w:rPr>
        <w:t xml:space="preserve"> Bond</w:t>
      </w:r>
      <w:r w:rsidRPr="00D52CB7">
        <w:rPr>
          <w:b/>
          <w:sz w:val="17"/>
          <w:szCs w:val="17"/>
        </w:rPr>
        <w:t xml:space="preserve">s do not constitute a debt, liability or loan of credit or a pledge of the full faith and credit or taxing power of the State or of any political subdivision thereof. The issuance of the </w:t>
      </w:r>
      <w:r w:rsidRPr="00D52CB7" w:rsidR="00B935C1">
        <w:rPr>
          <w:b/>
          <w:sz w:val="17"/>
          <w:szCs w:val="17"/>
        </w:rPr>
        <w:t xml:space="preserve">Series </w:t>
      </w:r>
      <w:r w:rsidRPr="00D52CB7" w:rsidR="00D50213">
        <w:rPr>
          <w:b/>
          <w:sz w:val="17"/>
          <w:szCs w:val="17"/>
        </w:rPr>
        <w:t>2025</w:t>
      </w:r>
      <w:r w:rsidRPr="00D52CB7" w:rsidR="00B935C1">
        <w:rPr>
          <w:b/>
          <w:sz w:val="17"/>
          <w:szCs w:val="17"/>
        </w:rPr>
        <w:t xml:space="preserve"> Bond</w:t>
      </w:r>
      <w:r w:rsidRPr="00D52CB7">
        <w:rPr>
          <w:b/>
          <w:sz w:val="17"/>
          <w:szCs w:val="17"/>
        </w:rPr>
        <w:t xml:space="preserve">s shall not directly, indirectly, or contingently obligate the Issuer, the State or any agency, instrumentality or political subdivision thereof to levy any form of taxation or to make any appropriation for their payment.  All State Payments received by the Charter School pursuant to the Charter School Act are subject to annual appropriation.  The Charter School has no taxing power.  For more information, see “Security for the </w:t>
      </w:r>
      <w:r w:rsidRPr="00D52CB7" w:rsidR="00B935C1">
        <w:rPr>
          <w:b/>
          <w:sz w:val="17"/>
          <w:szCs w:val="17"/>
        </w:rPr>
        <w:t xml:space="preserve">Series </w:t>
      </w:r>
      <w:r w:rsidRPr="00D52CB7" w:rsidR="00D50213">
        <w:rPr>
          <w:b/>
          <w:sz w:val="17"/>
          <w:szCs w:val="17"/>
        </w:rPr>
        <w:t>2025</w:t>
      </w:r>
      <w:r w:rsidRPr="00D52CB7" w:rsidR="00B935C1">
        <w:rPr>
          <w:b/>
          <w:sz w:val="17"/>
          <w:szCs w:val="17"/>
        </w:rPr>
        <w:t xml:space="preserve"> Bond</w:t>
      </w:r>
      <w:r w:rsidRPr="00D52CB7">
        <w:rPr>
          <w:b/>
          <w:sz w:val="17"/>
          <w:szCs w:val="17"/>
        </w:rPr>
        <w:t>s” and “Risk Factors.”</w:t>
      </w:r>
    </w:p>
    <w:p w:rsidRPr="00D52CB7" w:rsidR="0005676F" w:rsidP="0005676F" w:rsidRDefault="0005676F" w14:paraId="6C527C95" w14:textId="50E4E203">
      <w:pPr>
        <w:pStyle w:val="ParaNORMAL"/>
        <w:tabs>
          <w:tab w:val="right" w:pos="10080"/>
          <w:tab w:val="right" w:pos="10512"/>
        </w:tabs>
        <w:spacing w:before="60" w:line="200" w:lineRule="exact"/>
        <w:ind w:right="-14"/>
        <w:rPr>
          <w:b/>
          <w:smallCaps/>
          <w:sz w:val="17"/>
          <w:szCs w:val="17"/>
        </w:rPr>
      </w:pPr>
      <w:r w:rsidRPr="00D52CB7">
        <w:rPr>
          <w:sz w:val="17"/>
          <w:szCs w:val="17"/>
        </w:rPr>
        <w:t xml:space="preserve">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 xml:space="preserve">s are offered when, as and if issued by the Issuer subject to the approval of legality and certain other matters by Chapman and Cutler LLP, as Bond Counsel to the Issuer.  Certain legal matters will be passed upon for the Issuer by its counsel, the Office of the Attorney General of the State of Utah and </w:t>
      </w:r>
      <w:r w:rsidRPr="00D52CB7" w:rsidR="0009070C">
        <w:rPr>
          <w:sz w:val="17"/>
          <w:szCs w:val="17"/>
        </w:rPr>
        <w:t>Gilmore &amp; Bell, P.C.</w:t>
      </w:r>
      <w:r w:rsidRPr="00D52CB7">
        <w:rPr>
          <w:sz w:val="17"/>
          <w:szCs w:val="17"/>
        </w:rPr>
        <w:t>; for the Charter School by Farnsworth Johnson PLLC</w:t>
      </w:r>
      <w:r w:rsidRPr="00D52CB7" w:rsidR="00244666">
        <w:rPr>
          <w:sz w:val="17"/>
          <w:szCs w:val="17"/>
        </w:rPr>
        <w:t>; and for the Underwriter by Gilmore &amp; Bell, P.C</w:t>
      </w:r>
      <w:r w:rsidRPr="00D52CB7">
        <w:rPr>
          <w:sz w:val="17"/>
          <w:szCs w:val="17"/>
        </w:rPr>
        <w:t xml:space="preserve">.  It is expected that delivery of the </w:t>
      </w:r>
      <w:r w:rsidRPr="00D52CB7" w:rsidR="00B935C1">
        <w:rPr>
          <w:sz w:val="17"/>
          <w:szCs w:val="17"/>
        </w:rPr>
        <w:t xml:space="preserve">Series </w:t>
      </w:r>
      <w:r w:rsidRPr="00D52CB7" w:rsidR="00D50213">
        <w:rPr>
          <w:sz w:val="17"/>
          <w:szCs w:val="17"/>
        </w:rPr>
        <w:t>2025</w:t>
      </w:r>
      <w:r w:rsidRPr="00D52CB7" w:rsidR="00B935C1">
        <w:rPr>
          <w:sz w:val="17"/>
          <w:szCs w:val="17"/>
        </w:rPr>
        <w:t xml:space="preserve"> Bond</w:t>
      </w:r>
      <w:r w:rsidRPr="00D52CB7">
        <w:rPr>
          <w:sz w:val="17"/>
          <w:szCs w:val="17"/>
        </w:rPr>
        <w:t xml:space="preserve">s will be available for delivery through the facilities of DTC on or about </w:t>
      </w:r>
      <w:r w:rsidRPr="00D52CB7" w:rsidR="00C31933">
        <w:rPr>
          <w:sz w:val="17"/>
          <w:szCs w:val="17"/>
        </w:rPr>
        <w:t>July __</w:t>
      </w:r>
      <w:r w:rsidRPr="00D52CB7">
        <w:rPr>
          <w:sz w:val="17"/>
          <w:szCs w:val="17"/>
        </w:rPr>
        <w:t xml:space="preserve">, </w:t>
      </w:r>
      <w:r w:rsidRPr="00D52CB7" w:rsidR="00D50213">
        <w:rPr>
          <w:sz w:val="17"/>
          <w:szCs w:val="17"/>
        </w:rPr>
        <w:t>2025</w:t>
      </w:r>
      <w:r w:rsidRPr="00D52CB7">
        <w:rPr>
          <w:sz w:val="17"/>
          <w:szCs w:val="17"/>
        </w:rPr>
        <w:t>.</w:t>
      </w:r>
    </w:p>
    <w:p w:rsidRPr="00D52CB7" w:rsidR="00913059" w:rsidP="00913059" w:rsidRDefault="00743467" w14:paraId="58BDA0DE" w14:textId="40EC3B83">
      <w:pPr>
        <w:pStyle w:val="CoverBTItalic8"/>
        <w:tabs>
          <w:tab w:val="right" w:pos="9900"/>
          <w:tab w:val="right" w:pos="10080"/>
          <w:tab w:val="right" w:pos="10512"/>
        </w:tabs>
        <w:spacing w:before="60" w:after="0" w:line="200" w:lineRule="exact"/>
        <w:ind w:right="-14"/>
        <w:rPr>
          <w:rFonts w:ascii="Times" w:hAnsi="Times"/>
          <w:i w:val="0"/>
          <w:sz w:val="17"/>
          <w:szCs w:val="17"/>
        </w:rPr>
      </w:pPr>
      <w:r w:rsidRPr="00D52CB7">
        <w:rPr>
          <w:rFonts w:ascii="Times" w:hAnsi="Times"/>
          <w:sz w:val="17"/>
          <w:szCs w:val="17"/>
        </w:rPr>
        <w:t>This cover page contains certain information for quick reference only.  It is not a summary of this issue.  Investors must read this entire Official Statement to obtain information essential to making an informed investment decision and should give particular attention to the material under the caption “</w:t>
      </w:r>
      <w:r w:rsidRPr="00D52CB7">
        <w:rPr>
          <w:rFonts w:ascii="Times" w:hAnsi="Times"/>
          <w:smallCaps/>
          <w:sz w:val="17"/>
          <w:szCs w:val="17"/>
        </w:rPr>
        <w:t>Risk Factors</w:t>
      </w:r>
      <w:r w:rsidRPr="00D52CB7">
        <w:rPr>
          <w:rFonts w:ascii="Times" w:hAnsi="Times"/>
          <w:sz w:val="17"/>
          <w:szCs w:val="17"/>
        </w:rPr>
        <w:t>.”</w:t>
      </w:r>
      <w:r w:rsidRPr="00D52CB7" w:rsidR="00913059">
        <w:rPr>
          <w:rFonts w:ascii="Times" w:hAnsi="Times"/>
          <w:i w:val="0"/>
          <w:sz w:val="17"/>
          <w:szCs w:val="17"/>
        </w:rPr>
        <w:t xml:space="preserve"> </w:t>
      </w:r>
    </w:p>
    <w:p w:rsidRPr="00D52CB7" w:rsidR="00D50213" w:rsidP="00A02DB5" w:rsidRDefault="00D50213" w14:paraId="552968B8" w14:textId="2EDCEA48">
      <w:pPr>
        <w:pStyle w:val="CoverBTItalic8"/>
        <w:tabs>
          <w:tab w:val="right" w:pos="9900"/>
          <w:tab w:val="right" w:pos="10080"/>
          <w:tab w:val="right" w:pos="10512"/>
        </w:tabs>
        <w:spacing w:before="60" w:after="0" w:line="200" w:lineRule="exact"/>
        <w:ind w:right="-14"/>
      </w:pPr>
      <w:r w:rsidRPr="00D52CB7">
        <w:rPr>
          <w:noProof/>
          <w:sz w:val="15"/>
          <w:szCs w:val="15"/>
        </w:rPr>
        <w:drawing>
          <wp:anchor distT="0" distB="0" distL="114300" distR="114300" simplePos="0" relativeHeight="251659264" behindDoc="0" locked="0" layoutInCell="1" allowOverlap="1" wp14:editId="10307900" wp14:anchorId="7ED5BE81">
            <wp:simplePos x="0" y="0"/>
            <wp:positionH relativeFrom="column">
              <wp:posOffset>2704289</wp:posOffset>
            </wp:positionH>
            <wp:positionV relativeFrom="paragraph">
              <wp:posOffset>292276</wp:posOffset>
            </wp:positionV>
            <wp:extent cx="965200" cy="502920"/>
            <wp:effectExtent l="0" t="0" r="0" b="5080"/>
            <wp:wrapTopAndBottom/>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a:stretch>
                      <a:fillRect/>
                    </a:stretch>
                  </pic:blipFill>
                  <pic:spPr>
                    <a:xfrm>
                      <a:off x="0" y="0"/>
                      <a:ext cx="965200" cy="502920"/>
                    </a:xfrm>
                    <a:prstGeom prst="rect">
                      <a:avLst/>
                    </a:prstGeom>
                  </pic:spPr>
                </pic:pic>
              </a:graphicData>
            </a:graphic>
            <wp14:sizeRelH relativeFrom="margin">
              <wp14:pctWidth>0</wp14:pctWidth>
            </wp14:sizeRelH>
            <wp14:sizeRelV relativeFrom="margin">
              <wp14:pctHeight>0</wp14:pctHeight>
            </wp14:sizeRelV>
          </wp:anchor>
        </w:drawing>
      </w:r>
      <w:r w:rsidRPr="00D52CB7" w:rsidR="00743467">
        <w:rPr>
          <w:rFonts w:ascii="Times" w:hAnsi="Times"/>
          <w:i w:val="0"/>
          <w:sz w:val="17"/>
          <w:szCs w:val="17"/>
        </w:rPr>
        <w:t xml:space="preserve">This Official Statement is dated </w:t>
      </w:r>
      <w:r w:rsidRPr="00D52CB7">
        <w:rPr>
          <w:rFonts w:ascii="Times" w:hAnsi="Times"/>
          <w:i w:val="0"/>
          <w:sz w:val="17"/>
          <w:szCs w:val="17"/>
        </w:rPr>
        <w:t>______</w:t>
      </w:r>
      <w:r w:rsidRPr="00D52CB7" w:rsidR="00743467">
        <w:rPr>
          <w:rFonts w:ascii="Times" w:hAnsi="Times"/>
          <w:i w:val="0"/>
          <w:sz w:val="17"/>
          <w:szCs w:val="17"/>
        </w:rPr>
        <w:t xml:space="preserve">, </w:t>
      </w:r>
      <w:r w:rsidRPr="00D52CB7">
        <w:rPr>
          <w:rFonts w:ascii="Times" w:hAnsi="Times"/>
          <w:i w:val="0"/>
          <w:sz w:val="17"/>
          <w:szCs w:val="17"/>
        </w:rPr>
        <w:t>2025</w:t>
      </w:r>
      <w:r w:rsidRPr="00D52CB7" w:rsidR="00743467">
        <w:rPr>
          <w:rFonts w:ascii="Times" w:hAnsi="Times"/>
          <w:i w:val="0"/>
          <w:sz w:val="17"/>
          <w:szCs w:val="17"/>
        </w:rPr>
        <w:t>, and the information contained herein speaks only as of such date.</w:t>
      </w:r>
    </w:p>
    <w:p w:rsidRPr="00D52CB7" w:rsidR="00743467" w:rsidP="00743467" w:rsidRDefault="00743467" w14:paraId="3385E7E6" w14:textId="77777777">
      <w:pPr>
        <w:pStyle w:val="ParaNORMAL"/>
        <w:tabs>
          <w:tab w:val="right" w:pos="10350"/>
        </w:tabs>
        <w:spacing w:before="80" w:line="180" w:lineRule="exact"/>
        <w:ind w:right="-475"/>
        <w:sectPr w:rsidRPr="00D52CB7" w:rsidR="00743467" w:rsidSect="002B65CB">
          <w:headerReference w:type="first" r:id="rId8"/>
          <w:footerReference w:type="first" r:id="rId9"/>
          <w:pgSz w:w="12240" w:h="15840"/>
          <w:pgMar w:top="432" w:right="864" w:bottom="576" w:left="864" w:header="288" w:footer="360" w:gutter="0"/>
          <w:pgNumType w:start="1"/>
          <w:cols w:space="720"/>
          <w:titlePg/>
          <w:docGrid w:linePitch="326"/>
        </w:sectPr>
      </w:pPr>
    </w:p>
    <w:p w:rsidRPr="00D52CB7" w:rsidR="00743467" w:rsidP="00743467" w:rsidRDefault="00743467" w14:paraId="331E3DD2" w14:textId="5C33E608">
      <w:pPr>
        <w:pStyle w:val="TitleCenterBold"/>
        <w:spacing w:before="0"/>
      </w:pPr>
      <w:r w:rsidRPr="00D52CB7">
        <w:lastRenderedPageBreak/>
        <w:t>Maturity Schedule</w:t>
      </w:r>
    </w:p>
    <w:p w:rsidRPr="00D52CB7" w:rsidR="00743467" w:rsidP="00630528" w:rsidRDefault="00743467" w14:paraId="2A365DE8" w14:textId="4116B02D">
      <w:pPr>
        <w:pStyle w:val="TitleCenterBold"/>
        <w:spacing w:before="200"/>
      </w:pPr>
      <w:r w:rsidRPr="00D52CB7">
        <w:t>Utah Charter School Finance Authority</w:t>
      </w:r>
    </w:p>
    <w:p w:rsidRPr="00D52CB7" w:rsidR="00743467" w:rsidP="00630528" w:rsidRDefault="00743467" w14:paraId="02BD651A" w14:textId="6E5BEABE">
      <w:pPr>
        <w:pStyle w:val="NormalCenterBold"/>
      </w:pPr>
    </w:p>
    <w:p w:rsidRPr="00D52CB7" w:rsidR="004158D4" w:rsidP="004158D4" w:rsidRDefault="004158D4" w14:paraId="59989DAE" w14:textId="453AD6FB">
      <w:pPr>
        <w:pStyle w:val="ParaNORMAL"/>
      </w:pPr>
    </w:p>
    <w:p w:rsidRPr="00D52CB7" w:rsidR="00743467" w:rsidP="00743467" w:rsidRDefault="00743467" w14:paraId="36DC456D" w14:textId="3CB8B9A4">
      <w:pPr>
        <w:pStyle w:val="ParaFLUSH"/>
        <w:spacing w:before="0" w:line="240" w:lineRule="exact"/>
        <w:jc w:val="center"/>
        <w:rPr>
          <w:b/>
          <w:smallCaps/>
          <w:sz w:val="22"/>
          <w:szCs w:val="22"/>
        </w:rPr>
      </w:pPr>
      <w:r w:rsidRPr="00D52CB7">
        <w:rPr>
          <w:b/>
          <w:smallCaps/>
          <w:sz w:val="22"/>
          <w:szCs w:val="22"/>
        </w:rPr>
        <w:t>$</w:t>
      </w:r>
      <w:r w:rsidRPr="00D52CB7" w:rsidR="00437BFE">
        <w:rPr>
          <w:b/>
          <w:smallCaps/>
          <w:sz w:val="22"/>
          <w:szCs w:val="22"/>
        </w:rPr>
        <w:t>_________</w:t>
      </w:r>
    </w:p>
    <w:p w:rsidRPr="00D52CB7" w:rsidR="00743467" w:rsidP="00743467" w:rsidRDefault="00743467" w14:paraId="3B603C2B" w14:textId="43A9AB45">
      <w:pPr>
        <w:pStyle w:val="ParaFLUSH"/>
        <w:spacing w:before="0" w:line="240" w:lineRule="exact"/>
        <w:jc w:val="center"/>
        <w:rPr>
          <w:b/>
          <w:smallCaps/>
          <w:sz w:val="22"/>
          <w:szCs w:val="22"/>
        </w:rPr>
      </w:pPr>
      <w:r w:rsidRPr="00D52CB7">
        <w:rPr>
          <w:b/>
          <w:smallCaps/>
          <w:sz w:val="22"/>
          <w:szCs w:val="22"/>
        </w:rPr>
        <w:t>Charter School Revenue Bonds</w:t>
      </w:r>
    </w:p>
    <w:p w:rsidRPr="00D52CB7" w:rsidR="005D30DD" w:rsidP="00743467" w:rsidRDefault="00A02DB5" w14:paraId="1C55CF95" w14:textId="2E1589C1">
      <w:pPr>
        <w:pStyle w:val="ParaFLUSH"/>
        <w:spacing w:before="0" w:line="240" w:lineRule="exact"/>
        <w:jc w:val="center"/>
        <w:rPr>
          <w:b/>
          <w:smallCaps/>
          <w:sz w:val="22"/>
          <w:szCs w:val="22"/>
        </w:rPr>
      </w:pPr>
      <w:r w:rsidRPr="00D52CB7">
        <w:rPr>
          <w:b/>
          <w:smallCaps/>
          <w:sz w:val="22"/>
          <w:szCs w:val="22"/>
        </w:rPr>
        <w:t>(Esperanza Elementary)</w:t>
      </w:r>
      <w:r w:rsidRPr="00D52CB7" w:rsidR="00743467">
        <w:rPr>
          <w:b/>
          <w:smallCaps/>
          <w:sz w:val="22"/>
          <w:szCs w:val="22"/>
        </w:rPr>
        <w:t>,</w:t>
      </w:r>
      <w:r w:rsidRPr="00D52CB7" w:rsidR="00630528">
        <w:rPr>
          <w:b/>
          <w:smallCaps/>
          <w:sz w:val="22"/>
          <w:szCs w:val="22"/>
        </w:rPr>
        <w:t xml:space="preserve"> </w:t>
      </w:r>
    </w:p>
    <w:p w:rsidRPr="00D52CB7" w:rsidR="00743467" w:rsidP="00743467" w:rsidRDefault="00743467" w14:paraId="3D4EB957" w14:textId="5EC0A48E">
      <w:pPr>
        <w:pStyle w:val="ParaFLUSH"/>
        <w:spacing w:before="0" w:line="240" w:lineRule="exact"/>
        <w:jc w:val="center"/>
        <w:rPr>
          <w:b/>
          <w:smallCaps/>
          <w:sz w:val="22"/>
          <w:szCs w:val="22"/>
        </w:rPr>
      </w:pPr>
      <w:r w:rsidRPr="00D52CB7">
        <w:rPr>
          <w:b/>
          <w:smallCaps/>
          <w:sz w:val="22"/>
          <w:szCs w:val="22"/>
        </w:rPr>
        <w:t xml:space="preserve">Series </w:t>
      </w:r>
      <w:r w:rsidRPr="00D52CB7" w:rsidR="00D50213">
        <w:rPr>
          <w:b/>
          <w:smallCaps/>
          <w:sz w:val="22"/>
          <w:szCs w:val="22"/>
        </w:rPr>
        <w:t>2025</w:t>
      </w:r>
      <w:r w:rsidRPr="00D52CB7" w:rsidR="007267D1">
        <w:rPr>
          <w:b/>
          <w:smallCaps/>
          <w:sz w:val="22"/>
          <w:szCs w:val="22"/>
        </w:rPr>
        <w:t>A</w:t>
      </w:r>
    </w:p>
    <w:p w:rsidRPr="00D52CB7" w:rsidR="00743467" w:rsidP="00743467" w:rsidRDefault="00743467" w14:paraId="148D143A" w14:textId="77777777">
      <w:pPr>
        <w:pStyle w:val="ParaFLUSH"/>
        <w:spacing w:before="0" w:line="260" w:lineRule="exact"/>
        <w:jc w:val="left"/>
        <w:rPr>
          <w:sz w:val="22"/>
          <w:szCs w:val="22"/>
        </w:rPr>
      </w:pPr>
    </w:p>
    <w:p w:rsidRPr="00D52CB7" w:rsidR="00AE3B6C" w:rsidP="00AE3B6C" w:rsidRDefault="00AE3B6C" w14:paraId="658B5E92" w14:textId="4BCC94FC">
      <w:pPr>
        <w:spacing w:before="240" w:line="240" w:lineRule="exact"/>
        <w:jc w:val="center"/>
        <w:rPr>
          <w:sz w:val="20"/>
          <w:szCs w:val="16"/>
        </w:rPr>
      </w:pPr>
      <w:r w:rsidRPr="00D52CB7">
        <w:rPr>
          <w:sz w:val="20"/>
          <w:szCs w:val="16"/>
        </w:rPr>
        <w:t>$_____  ___% [Term] Bond maturing October 15, ____, Yield: _____%, Price: _____% CUSIP</w:t>
      </w:r>
      <w:r w:rsidRPr="00D52CB7">
        <w:rPr>
          <w:rStyle w:val="FootnoteReference"/>
          <w:sz w:val="12"/>
          <w:szCs w:val="12"/>
        </w:rPr>
        <w:footnoteRef/>
      </w:r>
      <w:r w:rsidRPr="00D52CB7">
        <w:rPr>
          <w:sz w:val="20"/>
          <w:szCs w:val="16"/>
        </w:rPr>
        <w:t>: 91754T ___</w:t>
      </w:r>
    </w:p>
    <w:p w:rsidRPr="00D52CB7" w:rsidR="00AE3B6C" w:rsidP="00AE3B6C" w:rsidRDefault="00AE3B6C" w14:paraId="02CAAA62" w14:textId="1C5C7FC9">
      <w:pPr>
        <w:spacing w:before="240" w:line="240" w:lineRule="exact"/>
        <w:jc w:val="center"/>
        <w:rPr>
          <w:sz w:val="20"/>
          <w:szCs w:val="16"/>
        </w:rPr>
      </w:pPr>
      <w:r w:rsidRPr="00D52CB7">
        <w:rPr>
          <w:sz w:val="20"/>
          <w:szCs w:val="16"/>
        </w:rPr>
        <w:t>$_____  ___% [Term] Bond maturing October 15, ____, Yield: _____%, Price: _____% CUSIP</w:t>
      </w:r>
      <w:r w:rsidRPr="00D52CB7">
        <w:rPr>
          <w:rStyle w:val="FootnoteReference"/>
          <w:sz w:val="12"/>
          <w:szCs w:val="12"/>
        </w:rPr>
        <w:footnoteRef/>
      </w:r>
      <w:r w:rsidRPr="00D52CB7">
        <w:rPr>
          <w:sz w:val="20"/>
          <w:szCs w:val="16"/>
        </w:rPr>
        <w:t>: 91754T ___</w:t>
      </w:r>
    </w:p>
    <w:p w:rsidRPr="00D52CB7" w:rsidR="00AE3B6C" w:rsidP="00AE3B6C" w:rsidRDefault="00AE3B6C" w14:paraId="2C1DDFF5" w14:textId="239EF1C0">
      <w:pPr>
        <w:spacing w:before="240" w:line="240" w:lineRule="exact"/>
        <w:jc w:val="center"/>
        <w:rPr>
          <w:sz w:val="20"/>
          <w:szCs w:val="16"/>
        </w:rPr>
      </w:pPr>
      <w:r w:rsidRPr="00D52CB7">
        <w:rPr>
          <w:sz w:val="20"/>
          <w:szCs w:val="16"/>
        </w:rPr>
        <w:t>$_____  ___% [Term] Bond maturing October 15, ____, Yield: _____%, Price: _____% CUSIP</w:t>
      </w:r>
      <w:r w:rsidRPr="00D52CB7">
        <w:rPr>
          <w:rStyle w:val="FootnoteReference"/>
          <w:sz w:val="12"/>
          <w:szCs w:val="12"/>
        </w:rPr>
        <w:footnoteRef/>
      </w:r>
      <w:r w:rsidRPr="00D52CB7">
        <w:rPr>
          <w:sz w:val="20"/>
          <w:szCs w:val="16"/>
        </w:rPr>
        <w:t>: 91754T ___</w:t>
      </w:r>
    </w:p>
    <w:p w:rsidRPr="00D52CB7" w:rsidR="00AE3B6C" w:rsidP="00AE3B6C" w:rsidRDefault="00AE3B6C" w14:paraId="343E814D" w14:textId="23AD2147">
      <w:pPr>
        <w:spacing w:before="240" w:line="240" w:lineRule="exact"/>
        <w:jc w:val="center"/>
        <w:rPr>
          <w:sz w:val="20"/>
          <w:szCs w:val="16"/>
        </w:rPr>
      </w:pPr>
      <w:r w:rsidRPr="00D52CB7">
        <w:rPr>
          <w:sz w:val="20"/>
          <w:szCs w:val="16"/>
        </w:rPr>
        <w:t>$_____  ___% [Term] Bond maturing October 15, ____, Yield: _____%, Price: _____% CUSIP</w:t>
      </w:r>
      <w:r w:rsidRPr="00D52CB7">
        <w:rPr>
          <w:rStyle w:val="FootnoteReference"/>
          <w:sz w:val="12"/>
          <w:szCs w:val="12"/>
        </w:rPr>
        <w:footnoteRef/>
      </w:r>
      <w:r w:rsidRPr="00D52CB7">
        <w:rPr>
          <w:sz w:val="20"/>
          <w:szCs w:val="16"/>
        </w:rPr>
        <w:t>: 91754T ___</w:t>
      </w:r>
    </w:p>
    <w:p w:rsidRPr="00D52CB7" w:rsidR="00AE3B6C" w:rsidP="00AE3B6C" w:rsidRDefault="00AE3B6C" w14:paraId="2E3D5AA1" w14:textId="77777777">
      <w:pPr>
        <w:spacing w:before="240" w:line="240" w:lineRule="exact"/>
        <w:jc w:val="center"/>
        <w:rPr>
          <w:sz w:val="20"/>
          <w:szCs w:val="16"/>
        </w:rPr>
      </w:pPr>
    </w:p>
    <w:p w:rsidRPr="00D52CB7" w:rsidR="00655E57" w:rsidP="00BE232A" w:rsidRDefault="00655E57" w14:paraId="6E8DFC76" w14:textId="77777777">
      <w:pPr>
        <w:pStyle w:val="ParaFLUSH"/>
        <w:spacing w:before="120" w:line="260" w:lineRule="exact"/>
        <w:jc w:val="center"/>
        <w:rPr>
          <w:sz w:val="22"/>
          <w:szCs w:val="22"/>
        </w:rPr>
      </w:pPr>
    </w:p>
    <w:p w:rsidRPr="00D52CB7" w:rsidR="007267D1" w:rsidP="007267D1" w:rsidRDefault="007267D1" w14:paraId="69CF6118" w14:textId="77777777">
      <w:pPr>
        <w:pStyle w:val="ParaFLUSH"/>
        <w:spacing w:before="0" w:line="240" w:lineRule="exact"/>
        <w:jc w:val="center"/>
        <w:rPr>
          <w:b/>
          <w:smallCaps/>
          <w:sz w:val="22"/>
          <w:szCs w:val="22"/>
        </w:rPr>
      </w:pPr>
      <w:r w:rsidRPr="00D52CB7">
        <w:rPr>
          <w:b/>
          <w:smallCaps/>
          <w:sz w:val="22"/>
          <w:szCs w:val="22"/>
        </w:rPr>
        <w:t>$_________</w:t>
      </w:r>
    </w:p>
    <w:p w:rsidRPr="00D52CB7" w:rsidR="007267D1" w:rsidP="007267D1" w:rsidRDefault="007267D1" w14:paraId="53CCB7F3" w14:textId="7797CEAB">
      <w:pPr>
        <w:pStyle w:val="ParaFLUSH"/>
        <w:spacing w:before="0" w:line="240" w:lineRule="exact"/>
        <w:jc w:val="center"/>
        <w:rPr>
          <w:b/>
          <w:smallCaps/>
          <w:sz w:val="22"/>
          <w:szCs w:val="22"/>
        </w:rPr>
      </w:pPr>
      <w:r w:rsidRPr="00D52CB7">
        <w:rPr>
          <w:b/>
          <w:smallCaps/>
          <w:sz w:val="22"/>
          <w:szCs w:val="22"/>
        </w:rPr>
        <w:t>Taxable Charter School Revenue Bonds</w:t>
      </w:r>
    </w:p>
    <w:p w:rsidRPr="00D52CB7" w:rsidR="007267D1" w:rsidP="007267D1" w:rsidRDefault="007267D1" w14:paraId="6FB9C422" w14:textId="77777777">
      <w:pPr>
        <w:pStyle w:val="ParaFLUSH"/>
        <w:spacing w:before="0" w:line="240" w:lineRule="exact"/>
        <w:jc w:val="center"/>
        <w:rPr>
          <w:b/>
          <w:smallCaps/>
          <w:sz w:val="22"/>
          <w:szCs w:val="22"/>
        </w:rPr>
      </w:pPr>
      <w:r w:rsidRPr="00D52CB7">
        <w:rPr>
          <w:b/>
          <w:smallCaps/>
          <w:sz w:val="22"/>
          <w:szCs w:val="22"/>
        </w:rPr>
        <w:t xml:space="preserve">(Esperanza Elementary), </w:t>
      </w:r>
    </w:p>
    <w:p w:rsidRPr="00D52CB7" w:rsidR="007267D1" w:rsidP="007267D1" w:rsidRDefault="007267D1" w14:paraId="44A64AE8" w14:textId="15E073A1">
      <w:pPr>
        <w:pStyle w:val="ParaFLUSH"/>
        <w:spacing w:before="0" w:line="240" w:lineRule="exact"/>
        <w:jc w:val="center"/>
        <w:rPr>
          <w:b/>
          <w:smallCaps/>
          <w:sz w:val="22"/>
          <w:szCs w:val="22"/>
        </w:rPr>
      </w:pPr>
      <w:r w:rsidRPr="00D52CB7">
        <w:rPr>
          <w:b/>
          <w:smallCaps/>
          <w:sz w:val="22"/>
          <w:szCs w:val="22"/>
        </w:rPr>
        <w:t>Series 2025B</w:t>
      </w:r>
    </w:p>
    <w:p w:rsidRPr="00D52CB7" w:rsidR="00AE3B6C" w:rsidP="007267D1" w:rsidRDefault="00AE3B6C" w14:paraId="696EBBA9" w14:textId="77777777">
      <w:pPr>
        <w:pStyle w:val="ParaFLUSH"/>
        <w:spacing w:before="0" w:line="240" w:lineRule="exact"/>
        <w:jc w:val="center"/>
        <w:rPr>
          <w:b/>
          <w:smallCaps/>
          <w:sz w:val="22"/>
          <w:szCs w:val="22"/>
        </w:rPr>
      </w:pPr>
    </w:p>
    <w:p w:rsidRPr="00D52CB7" w:rsidR="00AE3B6C" w:rsidP="00AE3B6C" w:rsidRDefault="00AE3B6C" w14:paraId="71977146" w14:textId="43E2620E">
      <w:pPr>
        <w:spacing w:before="240" w:line="240" w:lineRule="exact"/>
        <w:jc w:val="center"/>
        <w:rPr>
          <w:sz w:val="20"/>
          <w:szCs w:val="16"/>
        </w:rPr>
      </w:pPr>
      <w:r w:rsidRPr="00D52CB7">
        <w:rPr>
          <w:sz w:val="20"/>
          <w:szCs w:val="16"/>
        </w:rPr>
        <w:t>$_____  ___% [Term] Bond maturing October 15, ____, Yield: _____%, Price: _____% CUSIP</w:t>
      </w:r>
      <w:r w:rsidRPr="00D52CB7">
        <w:rPr>
          <w:rStyle w:val="FootnoteReference"/>
          <w:sz w:val="12"/>
          <w:szCs w:val="12"/>
        </w:rPr>
        <w:footnoteRef/>
      </w:r>
      <w:r w:rsidRPr="00D52CB7">
        <w:rPr>
          <w:sz w:val="20"/>
          <w:szCs w:val="16"/>
        </w:rPr>
        <w:t>: 91754T ___</w:t>
      </w:r>
    </w:p>
    <w:p w:rsidRPr="00D52CB7" w:rsidR="00AE3B6C" w:rsidP="007267D1" w:rsidRDefault="00AE3B6C" w14:paraId="339B8DB0" w14:textId="77777777">
      <w:pPr>
        <w:pStyle w:val="ParaFLUSH"/>
        <w:spacing w:before="0" w:line="240" w:lineRule="exact"/>
        <w:jc w:val="center"/>
        <w:rPr>
          <w:b/>
          <w:smallCaps/>
          <w:sz w:val="22"/>
          <w:szCs w:val="22"/>
        </w:rPr>
      </w:pPr>
    </w:p>
    <w:p w:rsidRPr="00D52CB7" w:rsidR="004158D4" w:rsidP="00743467" w:rsidRDefault="004158D4" w14:paraId="5E985168" w14:textId="77777777">
      <w:pPr>
        <w:pStyle w:val="TitleCenterBold"/>
        <w:spacing w:before="0"/>
        <w:rPr>
          <w:szCs w:val="24"/>
        </w:rPr>
      </w:pPr>
    </w:p>
    <w:p w:rsidRPr="00D52CB7" w:rsidR="004158D4" w:rsidP="00743467" w:rsidRDefault="004158D4" w14:paraId="56DB9FF9" w14:textId="77777777">
      <w:pPr>
        <w:pStyle w:val="TitleCenterBold"/>
        <w:spacing w:before="0"/>
        <w:rPr>
          <w:szCs w:val="24"/>
        </w:rPr>
      </w:pPr>
    </w:p>
    <w:p w:rsidRPr="00D52CB7" w:rsidR="004158D4" w:rsidP="00743467" w:rsidRDefault="004158D4" w14:paraId="692C0E14" w14:textId="77777777">
      <w:pPr>
        <w:pStyle w:val="TitleCenterBold"/>
        <w:spacing w:before="0"/>
        <w:rPr>
          <w:szCs w:val="24"/>
        </w:rPr>
      </w:pPr>
    </w:p>
    <w:p w:rsidRPr="00D52CB7" w:rsidR="004158D4" w:rsidP="00743467" w:rsidRDefault="004158D4" w14:paraId="57574092" w14:textId="77777777">
      <w:pPr>
        <w:pStyle w:val="TitleCenterBold"/>
        <w:spacing w:before="0"/>
        <w:rPr>
          <w:szCs w:val="24"/>
        </w:rPr>
      </w:pPr>
    </w:p>
    <w:p w:rsidRPr="00D52CB7" w:rsidR="004158D4" w:rsidP="00743467" w:rsidRDefault="004158D4" w14:paraId="609E8811" w14:textId="77777777">
      <w:pPr>
        <w:pStyle w:val="TitleCenterBold"/>
        <w:spacing w:before="0"/>
        <w:rPr>
          <w:szCs w:val="24"/>
        </w:rPr>
      </w:pPr>
    </w:p>
    <w:p w:rsidRPr="00D52CB7" w:rsidR="004158D4" w:rsidP="00AB5068" w:rsidRDefault="004158D4" w14:paraId="19A14A7F" w14:textId="77777777">
      <w:pPr>
        <w:pStyle w:val="TitleCenterBold"/>
        <w:spacing w:before="0"/>
        <w:jc w:val="left"/>
        <w:rPr>
          <w:szCs w:val="24"/>
        </w:rPr>
      </w:pPr>
    </w:p>
    <w:p w:rsidRPr="00D52CB7" w:rsidR="004158D4" w:rsidP="004158D4" w:rsidRDefault="004158D4" w14:paraId="16D98548" w14:textId="77777777">
      <w:pPr>
        <w:pStyle w:val="TitleCenterBold"/>
        <w:spacing w:before="0"/>
        <w:jc w:val="left"/>
        <w:rPr>
          <w:szCs w:val="24"/>
        </w:rPr>
      </w:pPr>
    </w:p>
    <w:p w:rsidRPr="00D52CB7" w:rsidR="004158D4" w:rsidP="004158D4" w:rsidRDefault="004158D4" w14:paraId="012CB972" w14:textId="77777777">
      <w:pPr>
        <w:pStyle w:val="TitleCenterBold"/>
        <w:spacing w:before="0"/>
        <w:jc w:val="left"/>
        <w:rPr>
          <w:szCs w:val="24"/>
        </w:rPr>
      </w:pPr>
    </w:p>
    <w:p w:rsidRPr="00D52CB7" w:rsidR="004158D4" w:rsidP="00743467" w:rsidRDefault="004158D4" w14:paraId="5ABBAA79" w14:textId="77777777">
      <w:pPr>
        <w:pStyle w:val="TitleCenterBold"/>
        <w:spacing w:before="0"/>
        <w:rPr>
          <w:szCs w:val="24"/>
        </w:rPr>
      </w:pPr>
    </w:p>
    <w:p w:rsidRPr="00D52CB7" w:rsidR="004158D4" w:rsidP="00743467" w:rsidRDefault="004158D4" w14:paraId="2D99078B" w14:textId="77777777">
      <w:pPr>
        <w:pStyle w:val="TitleCenterBold"/>
        <w:spacing w:before="0"/>
        <w:rPr>
          <w:szCs w:val="24"/>
        </w:rPr>
      </w:pPr>
    </w:p>
    <w:p w:rsidRPr="00D52CB7" w:rsidR="004158D4" w:rsidP="00743467" w:rsidRDefault="004158D4" w14:paraId="75B7F2B5" w14:textId="77777777">
      <w:pPr>
        <w:pStyle w:val="TitleCenterBold"/>
        <w:spacing w:before="0"/>
        <w:rPr>
          <w:szCs w:val="24"/>
        </w:rPr>
      </w:pPr>
    </w:p>
    <w:p w:rsidRPr="00D52CB7" w:rsidR="00720D8A" w:rsidP="00AE3B6C" w:rsidRDefault="004158D4" w14:paraId="46BAF2F2" w14:textId="41BBB0EB">
      <w:pPr>
        <w:pStyle w:val="TitleCenterBold"/>
        <w:spacing w:before="0" w:line="220" w:lineRule="exact"/>
        <w:ind w:left="360" w:hanging="360"/>
        <w:jc w:val="both"/>
        <w:rPr>
          <w:sz w:val="18"/>
          <w:szCs w:val="18"/>
        </w:rPr>
      </w:pPr>
      <w:r w:rsidRPr="00D52CB7">
        <w:rPr>
          <w:sz w:val="18"/>
          <w:szCs w:val="18"/>
        </w:rPr>
        <w:t>____________________</w:t>
      </w:r>
    </w:p>
    <w:p w:rsidRPr="00D52CB7" w:rsidR="00AE3B6C" w:rsidP="00AE3B6C" w:rsidRDefault="00AE3B6C" w14:paraId="58040FF8" w14:textId="55F5871F">
      <w:pPr>
        <w:rPr>
          <w:sz w:val="16"/>
          <w:szCs w:val="16"/>
        </w:rPr>
        <w:sectPr w:rsidRPr="00D52CB7" w:rsidR="00AE3B6C" w:rsidSect="00B43694">
          <w:headerReference w:type="default" r:id="rId10"/>
          <w:footerReference w:type="default" r:id="rId11"/>
          <w:footerReference w:type="first" r:id="rId12"/>
          <w:pgSz w:w="12240" w:h="15840"/>
          <w:pgMar w:top="1440" w:right="1440" w:bottom="1440" w:left="1440" w:header="720" w:footer="720" w:gutter="0"/>
          <w:pgNumType w:fmt="lowerRoman" w:start="1"/>
          <w:cols w:space="720"/>
          <w:docGrid w:linePitch="326"/>
        </w:sectPr>
      </w:pPr>
      <w:r w:rsidRPr="00D52CB7">
        <w:rPr>
          <w:rStyle w:val="FootnoteReference"/>
          <w:sz w:val="12"/>
          <w:szCs w:val="12"/>
        </w:rPr>
        <w:footnoteRef/>
      </w:r>
      <w:r w:rsidRPr="00D52CB7">
        <w:rPr>
          <w:sz w:val="16"/>
          <w:szCs w:val="16"/>
        </w:rPr>
        <w:t xml:space="preserve"> The Issuer and Charter School take no responsibility for the accuracy of the CUSIP numbers, which are included solely for the convenience of owners of the Series 2025 Bonds.</w:t>
      </w:r>
    </w:p>
    <w:p w:rsidRPr="00D52CB7" w:rsidR="008A2A24" w:rsidP="008A2A24" w:rsidRDefault="008A2A24" w14:paraId="2C8492ED" w14:textId="77777777">
      <w:pPr>
        <w:spacing w:before="160"/>
        <w:jc w:val="center"/>
      </w:pPr>
      <w:r w:rsidRPr="00D52CB7">
        <w:rPr>
          <w:i/>
          <w:iCs/>
        </w:rPr>
        <w:lastRenderedPageBreak/>
        <w:t>Issuer</w:t>
      </w:r>
      <w:r w:rsidRPr="00D52CB7">
        <w:br/>
        <w:t>Utah Charter School Finance Issuer</w:t>
      </w:r>
      <w:r w:rsidRPr="00D52CB7">
        <w:br/>
        <w:t>Marlo Oaks, Chair</w:t>
      </w:r>
      <w:r w:rsidRPr="00D52CB7">
        <w:br/>
        <w:t>Sophia DiCaro, Vice</w:t>
      </w:r>
      <w:r w:rsidRPr="00D52CB7">
        <w:noBreakHyphen/>
        <w:t>Chair</w:t>
      </w:r>
      <w:r w:rsidRPr="00D52CB7">
        <w:br/>
        <w:t>Sam Urie, Secretary</w:t>
      </w:r>
    </w:p>
    <w:p w:rsidRPr="00D52CB7" w:rsidR="008A2A24" w:rsidP="008A2A24" w:rsidRDefault="008A2A24" w14:paraId="75055CD8" w14:textId="5DF32AB9">
      <w:pPr>
        <w:spacing w:before="160"/>
        <w:jc w:val="center"/>
      </w:pPr>
      <w:r w:rsidRPr="00D52CB7">
        <w:rPr>
          <w:i/>
          <w:iCs/>
        </w:rPr>
        <w:t>Municipal Advisor to the Issuer</w:t>
      </w:r>
      <w:r w:rsidRPr="00D52CB7">
        <w:rPr>
          <w:i/>
          <w:iCs/>
        </w:rPr>
        <w:br/>
      </w:r>
      <w:r w:rsidRPr="00D52CB7">
        <w:t>Zions Bank Public Finance, Inc.</w:t>
      </w:r>
      <w:r w:rsidRPr="00D52CB7">
        <w:br/>
        <w:t>Salt Lake City, Utah</w:t>
      </w:r>
    </w:p>
    <w:p w:rsidRPr="00D52CB7" w:rsidR="008A2A24" w:rsidP="008A2A24" w:rsidRDefault="008A2A24" w14:paraId="69C7C6FF" w14:textId="77777777">
      <w:pPr>
        <w:spacing w:before="160"/>
        <w:jc w:val="center"/>
      </w:pPr>
      <w:r w:rsidRPr="00D52CB7">
        <w:rPr>
          <w:i/>
          <w:iCs/>
        </w:rPr>
        <w:t>Bond and Disclosure Counsel to the Issuer</w:t>
      </w:r>
      <w:r w:rsidRPr="00D52CB7">
        <w:rPr>
          <w:i/>
          <w:iCs/>
        </w:rPr>
        <w:br/>
      </w:r>
      <w:r w:rsidRPr="00D52CB7">
        <w:t>Chapman and Cutler LLP</w:t>
      </w:r>
      <w:r w:rsidRPr="00D52CB7">
        <w:br/>
        <w:t>Salt Lake City, Utah</w:t>
      </w:r>
    </w:p>
    <w:p w:rsidRPr="00D52CB7" w:rsidR="008A2A24" w:rsidP="008A2A24" w:rsidRDefault="008A2A24" w14:paraId="302A207F" w14:textId="77777777">
      <w:pPr>
        <w:spacing w:before="160"/>
        <w:jc w:val="center"/>
      </w:pPr>
      <w:r w:rsidRPr="00D52CB7">
        <w:rPr>
          <w:i/>
          <w:iCs/>
        </w:rPr>
        <w:t>Issuer’s Counsel</w:t>
      </w:r>
      <w:r w:rsidRPr="00D52CB7">
        <w:rPr>
          <w:i/>
          <w:iCs/>
        </w:rPr>
        <w:br/>
      </w:r>
      <w:r w:rsidRPr="00D52CB7">
        <w:t>Attorney General of the State of Utah</w:t>
      </w:r>
      <w:r w:rsidRPr="00D52CB7">
        <w:br/>
        <w:t>Salt Lake City, Utah</w:t>
      </w:r>
    </w:p>
    <w:p w:rsidRPr="00D52CB7" w:rsidR="008A2A24" w:rsidP="008A2A24" w:rsidRDefault="008A2A24" w14:paraId="5B2D6547" w14:textId="77777777">
      <w:pPr>
        <w:spacing w:before="160"/>
        <w:jc w:val="center"/>
      </w:pPr>
      <w:r w:rsidRPr="00D52CB7">
        <w:t>Gilmore &amp; Bell, P.C.</w:t>
      </w:r>
    </w:p>
    <w:p w:rsidRPr="00D52CB7" w:rsidR="008A2A24" w:rsidP="008A2A24" w:rsidRDefault="008A2A24" w14:paraId="77933705" w14:textId="77777777">
      <w:pPr>
        <w:jc w:val="center"/>
      </w:pPr>
      <w:r w:rsidRPr="00D52CB7">
        <w:t>Salt Lake City, Utah</w:t>
      </w:r>
    </w:p>
    <w:p w:rsidRPr="00D52CB7" w:rsidR="008A2A24" w:rsidP="008A2A24" w:rsidRDefault="008A2A24" w14:paraId="65B2C009" w14:textId="77777777">
      <w:pPr>
        <w:spacing w:before="160"/>
        <w:jc w:val="center"/>
      </w:pPr>
      <w:r w:rsidRPr="00D52CB7">
        <w:rPr>
          <w:i/>
          <w:iCs/>
        </w:rPr>
        <w:t>Charter School Governing Board</w:t>
      </w:r>
      <w:r w:rsidRPr="00D52CB7">
        <w:rPr>
          <w:i/>
          <w:iCs/>
        </w:rPr>
        <w:br/>
      </w:r>
      <w:r w:rsidRPr="00D52CB7">
        <w:t>Becky Kemp, Chair</w:t>
      </w:r>
    </w:p>
    <w:p w:rsidRPr="00D52CB7" w:rsidR="008A2A24" w:rsidP="008A2A24" w:rsidRDefault="008A2A24" w14:paraId="157E17D4" w14:textId="77777777">
      <w:pPr>
        <w:jc w:val="center"/>
      </w:pPr>
      <w:r w:rsidRPr="00D52CB7">
        <w:t>Juan A. Freire, Vice Chair</w:t>
      </w:r>
      <w:r w:rsidRPr="00D52CB7">
        <w:br/>
        <w:t>Rosalea Ojeda, Board Member</w:t>
      </w:r>
      <w:r w:rsidRPr="00D52CB7">
        <w:br/>
        <w:t>Esai Lara, Board Member</w:t>
      </w:r>
      <w:r w:rsidRPr="00D52CB7">
        <w:br/>
        <w:t>Marty Banks, Board Member</w:t>
      </w:r>
      <w:r w:rsidRPr="00D52CB7">
        <w:br/>
        <w:t>________, Board Member</w:t>
      </w:r>
      <w:r w:rsidRPr="00D52CB7">
        <w:br/>
        <w:t>________, Board Member</w:t>
      </w:r>
    </w:p>
    <w:p w:rsidRPr="00D52CB7" w:rsidR="008A2A24" w:rsidP="008A2A24" w:rsidRDefault="008A2A24" w14:paraId="2164CB7A" w14:textId="77777777">
      <w:pPr>
        <w:spacing w:before="160"/>
        <w:jc w:val="center"/>
      </w:pPr>
      <w:r w:rsidRPr="00D52CB7">
        <w:rPr>
          <w:i/>
          <w:iCs/>
        </w:rPr>
        <w:t>Charter School Counsel</w:t>
      </w:r>
      <w:r w:rsidRPr="00D52CB7">
        <w:rPr>
          <w:i/>
          <w:iCs/>
        </w:rPr>
        <w:br/>
      </w:r>
      <w:r w:rsidRPr="00D52CB7">
        <w:t>Farnsworth Johnson PLLC</w:t>
      </w:r>
      <w:r w:rsidRPr="00D52CB7">
        <w:br/>
        <w:t>Provo, Utah</w:t>
      </w:r>
    </w:p>
    <w:p w:rsidRPr="00D52CB7" w:rsidR="008A2A24" w:rsidP="008A2A24" w:rsidRDefault="008A2A24" w14:paraId="32DEC849" w14:textId="77777777">
      <w:pPr>
        <w:spacing w:before="160"/>
        <w:jc w:val="center"/>
      </w:pPr>
      <w:r w:rsidRPr="00D52CB7">
        <w:rPr>
          <w:i/>
          <w:iCs/>
        </w:rPr>
        <w:t>Financial Advisor to the Charter School</w:t>
      </w:r>
      <w:r w:rsidRPr="00D52CB7">
        <w:rPr>
          <w:i/>
          <w:iCs/>
        </w:rPr>
        <w:br/>
      </w:r>
      <w:r w:rsidRPr="00D52CB7">
        <w:t>LRB Public Finance Advisors</w:t>
      </w:r>
      <w:r w:rsidRPr="00D52CB7">
        <w:br/>
        <w:t>Salt Lake City, Utah</w:t>
      </w:r>
    </w:p>
    <w:p w:rsidRPr="00D52CB7" w:rsidR="008A2A24" w:rsidP="008A2A24" w:rsidRDefault="008A2A24" w14:paraId="27B65E81" w14:textId="77777777">
      <w:pPr>
        <w:spacing w:before="160"/>
        <w:jc w:val="center"/>
      </w:pPr>
      <w:r w:rsidRPr="00D52CB7">
        <w:rPr>
          <w:i/>
          <w:iCs/>
        </w:rPr>
        <w:t>Underwriter</w:t>
      </w:r>
      <w:r w:rsidRPr="00D52CB7">
        <w:br/>
        <w:t>Herbert J. Sims &amp; Co., Inc.</w:t>
      </w:r>
      <w:r w:rsidRPr="00D52CB7">
        <w:br/>
        <w:t>Fairfield, Connecticut</w:t>
      </w:r>
    </w:p>
    <w:p w:rsidRPr="00D52CB7" w:rsidR="008A2A24" w:rsidP="008A2A24" w:rsidRDefault="008A2A24" w14:paraId="1A54475E" w14:textId="77777777">
      <w:pPr>
        <w:spacing w:before="160"/>
        <w:jc w:val="center"/>
      </w:pPr>
      <w:r w:rsidRPr="00D52CB7">
        <w:rPr>
          <w:i/>
          <w:iCs/>
        </w:rPr>
        <w:t>Underwriter’s Counsel</w:t>
      </w:r>
      <w:r w:rsidRPr="00D52CB7">
        <w:br/>
        <w:t>Gilmore &amp; Bell, P.C.</w:t>
      </w:r>
    </w:p>
    <w:p w:rsidRPr="00D52CB7" w:rsidR="008A2A24" w:rsidP="008A2A24" w:rsidRDefault="008A2A24" w14:paraId="2E42A615" w14:textId="77777777">
      <w:pPr>
        <w:jc w:val="center"/>
      </w:pPr>
      <w:r w:rsidRPr="00D52CB7">
        <w:t>Salt Lake City, Utah</w:t>
      </w:r>
    </w:p>
    <w:p w:rsidRPr="00D52CB7" w:rsidR="008A2A24" w:rsidP="008A2A24" w:rsidRDefault="008A2A24" w14:paraId="4DEA51AA" w14:textId="77777777">
      <w:pPr>
        <w:spacing w:before="160"/>
        <w:jc w:val="center"/>
      </w:pPr>
      <w:r w:rsidRPr="00D52CB7">
        <w:rPr>
          <w:i/>
          <w:iCs/>
        </w:rPr>
        <w:t>Trustee and Paying Agent</w:t>
      </w:r>
      <w:r w:rsidRPr="00D52CB7">
        <w:rPr>
          <w:i/>
          <w:iCs/>
        </w:rPr>
        <w:br/>
      </w:r>
      <w:r w:rsidRPr="00D52CB7">
        <w:t>Zions Bancorporation, National Association</w:t>
      </w:r>
      <w:r w:rsidRPr="00D52CB7">
        <w:br/>
        <w:t>Salt Lake City, Utah</w:t>
      </w:r>
    </w:p>
    <w:p w:rsidRPr="00D52CB7" w:rsidR="00743467" w:rsidP="00743467" w:rsidRDefault="00743467" w14:paraId="05BE6F99" w14:textId="77777777">
      <w:pPr>
        <w:keepNext/>
        <w:keepLines/>
        <w:spacing w:after="120"/>
        <w:rPr>
          <w:rFonts w:ascii="Times" w:hAnsi="Times"/>
        </w:rPr>
        <w:sectPr w:rsidRPr="00D52CB7" w:rsidR="00743467" w:rsidSect="00EF260D">
          <w:footerReference w:type="default" r:id="rId13"/>
          <w:pgSz w:w="12240" w:h="15840"/>
          <w:pgMar w:top="1008" w:right="1440" w:bottom="1440" w:left="1440" w:header="720" w:footer="720" w:gutter="0"/>
          <w:pgNumType w:fmt="lowerRoman" w:start="1"/>
          <w:cols w:space="720"/>
          <w:docGrid w:linePitch="326"/>
        </w:sectPr>
      </w:pPr>
    </w:p>
    <w:p w:rsidRPr="00D52CB7" w:rsidR="00743467" w:rsidP="00743467" w:rsidRDefault="00743467" w14:paraId="75CC055D" w14:textId="479240D3">
      <w:pPr>
        <w:pStyle w:val="ParaNORMAL"/>
        <w:rPr>
          <w:sz w:val="22"/>
          <w:szCs w:val="22"/>
        </w:rPr>
      </w:pPr>
      <w:r w:rsidRPr="00D52CB7">
        <w:rPr>
          <w:sz w:val="22"/>
          <w:szCs w:val="22"/>
        </w:rPr>
        <w:lastRenderedPageBreak/>
        <w:t xml:space="preserve">No person has been authorized by the Issuer, </w:t>
      </w:r>
      <w:r w:rsidRPr="00D52CB7" w:rsidR="00AF24AD">
        <w:rPr>
          <w:sz w:val="22"/>
          <w:szCs w:val="22"/>
        </w:rPr>
        <w:t>Herbert J. Sims &amp; Co. Inc.</w:t>
      </w:r>
      <w:r w:rsidRPr="00D52CB7" w:rsidR="00A95B7D">
        <w:rPr>
          <w:sz w:val="22"/>
          <w:szCs w:val="22"/>
        </w:rPr>
        <w:t xml:space="preserve"> (the </w:t>
      </w:r>
      <w:r w:rsidRPr="00D52CB7" w:rsidR="00A95B7D">
        <w:rPr>
          <w:i/>
          <w:iCs/>
          <w:sz w:val="22"/>
          <w:szCs w:val="22"/>
        </w:rPr>
        <w:t>“Underwriter”</w:t>
      </w:r>
      <w:r w:rsidRPr="00D52CB7" w:rsidR="00A95B7D">
        <w:rPr>
          <w:sz w:val="22"/>
          <w:szCs w:val="22"/>
        </w:rPr>
        <w:t>),</w:t>
      </w:r>
      <w:r w:rsidRPr="00D52CB7">
        <w:rPr>
          <w:sz w:val="22"/>
          <w:szCs w:val="22"/>
        </w:rPr>
        <w:t xml:space="preserve"> or the Charter School to give any information regarding the </w:t>
      </w:r>
      <w:r w:rsidRPr="00D52CB7" w:rsidR="00B935C1">
        <w:rPr>
          <w:sz w:val="22"/>
          <w:szCs w:val="22"/>
        </w:rPr>
        <w:t xml:space="preserve">Series </w:t>
      </w:r>
      <w:r w:rsidRPr="00D52CB7" w:rsidR="00D50213">
        <w:rPr>
          <w:sz w:val="22"/>
          <w:szCs w:val="22"/>
        </w:rPr>
        <w:t>2025</w:t>
      </w:r>
      <w:r w:rsidRPr="00D52CB7" w:rsidR="00B935C1">
        <w:rPr>
          <w:sz w:val="22"/>
          <w:szCs w:val="22"/>
        </w:rPr>
        <w:t xml:space="preserve"> Bond</w:t>
      </w:r>
      <w:r w:rsidRPr="00D52CB7">
        <w:rPr>
          <w:sz w:val="22"/>
          <w:szCs w:val="22"/>
        </w:rPr>
        <w:t>s, the Charter School, the Facilities, the offering contained herein and related matters or to make any representations other than those contained in this Official Statement, and if given or made, such other information or representations must not be relied upon as having been authorized by any of the foregoing.  This Official Statement does not constitute an offer to sell or the solicitation of an offer to buy in any state in which it is unlawful for any person to make such offer or solicitation.  The information contained in this Official Statement has been furnished by or on behalf of the Charter School and other sources which are believed to be reliable.  The information and expressions of opinion herein are subject to change without notice, and neither the delivery of this Official Statement nor any sale made hereunder shall, under any circumstances, create any implication that there has been no change in the affairs of the parties referred to above since the date hereof.</w:t>
      </w:r>
    </w:p>
    <w:p w:rsidRPr="00D52CB7" w:rsidR="00743467" w:rsidP="00743467" w:rsidRDefault="00743467" w14:paraId="2EF6B740" w14:textId="77777777">
      <w:pPr>
        <w:pStyle w:val="ParaNORMAL"/>
        <w:rPr>
          <w:sz w:val="22"/>
          <w:szCs w:val="22"/>
        </w:rPr>
      </w:pPr>
      <w:r w:rsidRPr="00D52CB7">
        <w:rPr>
          <w:sz w:val="22"/>
          <w:szCs w:val="22"/>
        </w:rPr>
        <w:t>The information and expressions of opinion herein are subject to change without notice, and neither the delivery of this Official Statement at any time nor any sale made hereunder creates any implication that the information herein is correct as of any time subsequent to its date.</w:t>
      </w:r>
    </w:p>
    <w:p w:rsidRPr="00D52CB7" w:rsidR="00743467" w:rsidP="00743467" w:rsidRDefault="00743467" w14:paraId="49E0CC78" w14:textId="77777777">
      <w:pPr>
        <w:pStyle w:val="ParaNORMAL"/>
        <w:rPr>
          <w:sz w:val="22"/>
          <w:szCs w:val="22"/>
        </w:rPr>
      </w:pPr>
      <w:r w:rsidRPr="00D52CB7">
        <w:rPr>
          <w:sz w:val="22"/>
          <w:szCs w:val="22"/>
        </w:rPr>
        <w:t>The Underwriter has reviewed the information in this Official Statement in accordance with, and as a part of, the Underwriter’s responsibilities to investors under the federal securities laws as applied to the facts and circumstances of this transaction, but the Underwriter does not guarantee the accuracy or completeness of such information.</w:t>
      </w:r>
    </w:p>
    <w:p w:rsidRPr="00D52CB7" w:rsidR="00743467" w:rsidP="00743467" w:rsidRDefault="00743467" w14:paraId="5010F69A" w14:textId="42583539">
      <w:pPr>
        <w:pStyle w:val="ParaNORMAL"/>
        <w:rPr>
          <w:sz w:val="22"/>
          <w:szCs w:val="22"/>
        </w:rPr>
      </w:pPr>
      <w:r w:rsidRPr="00D52CB7">
        <w:rPr>
          <w:sz w:val="22"/>
          <w:szCs w:val="22"/>
        </w:rPr>
        <w:t>The Issuer assumes no responsibility for this Official Statement, and neither the Issuer nor any of its members, agents, employees or representatives have reviewed this Official Statement or investigated the statements or representations contained herein, except for those statements relating to the Issuer set forth under the captions, “</w:t>
      </w:r>
      <w:r w:rsidRPr="00D52CB7">
        <w:rPr>
          <w:smallCaps/>
          <w:sz w:val="22"/>
          <w:szCs w:val="22"/>
        </w:rPr>
        <w:t>The Issuer</w:t>
      </w:r>
      <w:r w:rsidRPr="00D52CB7">
        <w:rPr>
          <w:sz w:val="22"/>
          <w:szCs w:val="22"/>
        </w:rPr>
        <w:t>” and “</w:t>
      </w:r>
      <w:r w:rsidRPr="00D52CB7">
        <w:rPr>
          <w:smallCaps/>
          <w:sz w:val="22"/>
          <w:szCs w:val="22"/>
        </w:rPr>
        <w:t>Legal Matters—</w:t>
      </w:r>
      <w:r w:rsidRPr="00D52CB7">
        <w:rPr>
          <w:sz w:val="22"/>
          <w:szCs w:val="22"/>
        </w:rPr>
        <w:t>Pending and Threatened Litigation–</w:t>
      </w:r>
      <w:r w:rsidRPr="00D52CB7">
        <w:rPr>
          <w:i/>
          <w:sz w:val="22"/>
          <w:szCs w:val="22"/>
        </w:rPr>
        <w:t>No Proceedings Against the Issuer</w:t>
      </w:r>
      <w:r w:rsidRPr="00D52CB7">
        <w:rPr>
          <w:sz w:val="22"/>
          <w:szCs w:val="22"/>
        </w:rPr>
        <w:t xml:space="preserve">.”  Except with respect to the information contained under such captions, neither the Issuer nor any of its members, agents, employees or representatives makes any representation as to the completeness, sufficiency and truthfulness of the statements set forth in this Official Statement.  Members of the governing body of the Issuer and any other person executing the </w:t>
      </w:r>
      <w:r w:rsidRPr="00D52CB7" w:rsidR="00B935C1">
        <w:rPr>
          <w:sz w:val="22"/>
          <w:szCs w:val="22"/>
        </w:rPr>
        <w:t xml:space="preserve">Series </w:t>
      </w:r>
      <w:r w:rsidRPr="00D52CB7" w:rsidR="00D50213">
        <w:rPr>
          <w:sz w:val="22"/>
          <w:szCs w:val="22"/>
        </w:rPr>
        <w:t>2025</w:t>
      </w:r>
      <w:r w:rsidRPr="00D52CB7" w:rsidR="00B935C1">
        <w:rPr>
          <w:sz w:val="22"/>
          <w:szCs w:val="22"/>
        </w:rPr>
        <w:t xml:space="preserve"> Bond</w:t>
      </w:r>
      <w:r w:rsidRPr="00D52CB7">
        <w:rPr>
          <w:sz w:val="22"/>
          <w:szCs w:val="22"/>
        </w:rPr>
        <w:t xml:space="preserve">s are not subject to personal liability by reason of the issuance of the </w:t>
      </w:r>
      <w:r w:rsidRPr="00D52CB7" w:rsidR="00B935C1">
        <w:rPr>
          <w:sz w:val="22"/>
          <w:szCs w:val="22"/>
        </w:rPr>
        <w:t xml:space="preserve">Series </w:t>
      </w:r>
      <w:r w:rsidRPr="00D52CB7" w:rsidR="00D50213">
        <w:rPr>
          <w:sz w:val="22"/>
          <w:szCs w:val="22"/>
        </w:rPr>
        <w:t>2025</w:t>
      </w:r>
      <w:r w:rsidRPr="00D52CB7" w:rsidR="00B935C1">
        <w:rPr>
          <w:sz w:val="22"/>
          <w:szCs w:val="22"/>
        </w:rPr>
        <w:t xml:space="preserve"> Bond</w:t>
      </w:r>
      <w:r w:rsidRPr="00D52CB7">
        <w:rPr>
          <w:sz w:val="22"/>
          <w:szCs w:val="22"/>
        </w:rPr>
        <w:t>s.</w:t>
      </w:r>
    </w:p>
    <w:p w:rsidRPr="00D52CB7" w:rsidR="00743467" w:rsidP="00743467" w:rsidRDefault="00743467" w14:paraId="35D15813" w14:textId="4F9481FF">
      <w:pPr>
        <w:pStyle w:val="ParaNORMAL"/>
        <w:rPr>
          <w:sz w:val="22"/>
          <w:szCs w:val="22"/>
        </w:rPr>
      </w:pPr>
      <w:r w:rsidRPr="00D52CB7">
        <w:rPr>
          <w:sz w:val="22"/>
          <w:szCs w:val="22"/>
        </w:rPr>
        <w:t xml:space="preserve">References in this Official Statement to Utah law, the Indenture, the Loan Agreement, the Deed of Trust, the </w:t>
      </w:r>
      <w:r w:rsidRPr="00D52CB7" w:rsidR="00244666">
        <w:rPr>
          <w:sz w:val="22"/>
          <w:szCs w:val="22"/>
        </w:rPr>
        <w:t>Continuing Disclosure Agreement</w:t>
      </w:r>
      <w:r w:rsidRPr="00D52CB7">
        <w:rPr>
          <w:sz w:val="22"/>
          <w:szCs w:val="22"/>
        </w:rPr>
        <w:t>, and other documents do not purport to be complete.  Potential investors should refer to such statutes and documents for full and complete details of their provisions.  Copies of such documents are included in the appendices to this Official Statement.</w:t>
      </w:r>
    </w:p>
    <w:p w:rsidRPr="00D52CB7" w:rsidR="00743467" w:rsidP="00743467" w:rsidRDefault="00743467" w14:paraId="3B2C9A7C" w14:textId="5D4D5E1F">
      <w:pPr>
        <w:pStyle w:val="ParaNORMAL"/>
        <w:rPr>
          <w:smallCaps/>
          <w:sz w:val="22"/>
          <w:szCs w:val="22"/>
        </w:rPr>
      </w:pPr>
      <w:r w:rsidRPr="00D52CB7">
        <w:rPr>
          <w:smallCaps/>
          <w:sz w:val="22"/>
          <w:szCs w:val="22"/>
        </w:rPr>
        <w:t xml:space="preserve">The </w:t>
      </w:r>
      <w:r w:rsidRPr="00D52CB7" w:rsidR="00B935C1">
        <w:rPr>
          <w:smallCaps/>
          <w:sz w:val="22"/>
          <w:szCs w:val="22"/>
        </w:rPr>
        <w:t xml:space="preserve">Series </w:t>
      </w:r>
      <w:r w:rsidRPr="00D52CB7" w:rsidR="00D50213">
        <w:rPr>
          <w:smallCaps/>
          <w:sz w:val="22"/>
          <w:szCs w:val="22"/>
        </w:rPr>
        <w:t>2025</w:t>
      </w:r>
      <w:r w:rsidRPr="00D52CB7" w:rsidR="00B935C1">
        <w:rPr>
          <w:smallCaps/>
          <w:sz w:val="22"/>
          <w:szCs w:val="22"/>
        </w:rPr>
        <w:t xml:space="preserve"> Bond</w:t>
      </w:r>
      <w:r w:rsidRPr="00D52CB7">
        <w:rPr>
          <w:smallCaps/>
          <w:sz w:val="22"/>
          <w:szCs w:val="22"/>
        </w:rPr>
        <w:t>s have not been registered under the Securities Act of 1933, as amended, and the Indenture has not been qualified under the Trust Indenture Act of 1939, as amended, in reliance upon exemptions contained in such acts.</w:t>
      </w:r>
    </w:p>
    <w:p w:rsidRPr="00D52CB7" w:rsidR="00743467" w:rsidP="00743467" w:rsidRDefault="00743467" w14:paraId="392F48C2" w14:textId="77777777">
      <w:pPr>
        <w:pStyle w:val="ParaNORMAL"/>
        <w:sectPr w:rsidRPr="00D52CB7" w:rsidR="00743467" w:rsidSect="00236E78">
          <w:footerReference w:type="default" r:id="rId14"/>
          <w:footerReference w:type="first" r:id="rId15"/>
          <w:pgSz w:w="12240" w:h="15840"/>
          <w:pgMar w:top="1440" w:right="1440" w:bottom="1440" w:left="1440" w:header="720" w:footer="720" w:gutter="0"/>
          <w:pgNumType w:fmt="lowerRoman"/>
          <w:cols w:space="720"/>
          <w:docGrid w:linePitch="326"/>
        </w:sectPr>
      </w:pPr>
    </w:p>
    <w:p w:rsidRPr="00D52CB7" w:rsidR="00743467" w:rsidP="00743467" w:rsidRDefault="00743467" w14:paraId="66071FC7" w14:textId="77777777">
      <w:pPr>
        <w:pStyle w:val="NormalCenterBold"/>
      </w:pPr>
      <w:r w:rsidRPr="00D52CB7">
        <w:lastRenderedPageBreak/>
        <w:t>Table of Contents</w:t>
      </w:r>
    </w:p>
    <w:p w:rsidRPr="00D52CB7" w:rsidR="00743467" w:rsidP="00743467" w:rsidRDefault="00743467" w14:paraId="3A5B0550" w14:textId="77777777">
      <w:pPr>
        <w:pStyle w:val="ParaFLUSH"/>
        <w:tabs>
          <w:tab w:val="center" w:pos="4680"/>
          <w:tab w:val="right" w:pos="9360"/>
          <w:tab w:val="right" w:pos="10800"/>
        </w:tabs>
        <w:spacing w:before="200" w:after="200"/>
        <w:rPr>
          <w:smallCaps/>
        </w:rPr>
      </w:pPr>
      <w:r w:rsidRPr="00D52CB7">
        <w:rPr>
          <w:smallCaps/>
        </w:rPr>
        <w:t>Section</w:t>
      </w:r>
      <w:r w:rsidRPr="00D52CB7">
        <w:rPr>
          <w:smallCaps/>
        </w:rPr>
        <w:tab/>
      </w:r>
      <w:r w:rsidRPr="00D52CB7">
        <w:rPr>
          <w:smallCaps/>
        </w:rPr>
        <w:tab/>
        <w:t>Page</w:t>
      </w:r>
    </w:p>
    <w:p w:rsidRPr="00D52CB7" w:rsidR="003E27DB" w:rsidRDefault="00743467" w14:paraId="546037DC" w14:textId="0906A79C">
      <w:pPr>
        <w:pStyle w:val="TOC1"/>
        <w:rPr>
          <w:rFonts w:asciiTheme="minorHAnsi" w:hAnsiTheme="minorHAnsi" w:eastAsiaTheme="minorEastAsia" w:cstheme="minorBidi"/>
          <w:smallCaps w:val="0"/>
          <w:kern w:val="2"/>
          <w:szCs w:val="24"/>
          <w14:ligatures w14:val="standardContextual"/>
        </w:rPr>
      </w:pPr>
      <w:r w:rsidRPr="00D52CB7">
        <w:fldChar w:fldCharType="begin"/>
      </w:r>
      <w:r w:rsidRPr="00D52CB7">
        <w:instrText xml:space="preserve"> TOC \f \w </w:instrText>
      </w:r>
      <w:r w:rsidRPr="00D52CB7">
        <w:fldChar w:fldCharType="separate"/>
      </w:r>
      <w:r w:rsidRPr="00D52CB7" w:rsidR="003E27DB">
        <w:t>Introduction</w:t>
      </w:r>
      <w:r w:rsidRPr="00D52CB7" w:rsidR="003E27DB">
        <w:tab/>
      </w:r>
      <w:r w:rsidRPr="00D52CB7" w:rsidR="003E27DB">
        <w:fldChar w:fldCharType="begin"/>
      </w:r>
      <w:r w:rsidRPr="00D52CB7" w:rsidR="003E27DB">
        <w:instrText xml:space="preserve"> PAGEREF _Toc195093824 \h </w:instrText>
      </w:r>
      <w:r w:rsidRPr="00D52CB7" w:rsidR="003E27DB">
        <w:fldChar w:fldCharType="separate"/>
      </w:r>
      <w:r w:rsidRPr="00D52CB7" w:rsidR="003E27DB">
        <w:t>1</w:t>
      </w:r>
      <w:r w:rsidRPr="00D52CB7" w:rsidR="003E27DB">
        <w:fldChar w:fldCharType="end"/>
      </w:r>
    </w:p>
    <w:p w:rsidRPr="00D52CB7" w:rsidR="003E27DB" w:rsidRDefault="003E27DB" w14:paraId="0A4BD7EE" w14:textId="5BE80951">
      <w:pPr>
        <w:pStyle w:val="TOC2"/>
        <w:rPr>
          <w:rFonts w:asciiTheme="minorHAnsi" w:hAnsiTheme="minorHAnsi" w:eastAsiaTheme="minorEastAsia" w:cstheme="minorBidi"/>
          <w:kern w:val="2"/>
          <w:szCs w:val="24"/>
          <w14:ligatures w14:val="standardContextual"/>
        </w:rPr>
      </w:pPr>
      <w:r w:rsidRPr="00D52CB7">
        <w:t>General</w:t>
      </w:r>
      <w:r w:rsidRPr="00D52CB7">
        <w:tab/>
      </w:r>
      <w:r w:rsidRPr="00D52CB7">
        <w:fldChar w:fldCharType="begin"/>
      </w:r>
      <w:r w:rsidRPr="00D52CB7">
        <w:instrText xml:space="preserve"> PAGEREF _Toc195093825 \h </w:instrText>
      </w:r>
      <w:r w:rsidRPr="00D52CB7">
        <w:fldChar w:fldCharType="separate"/>
      </w:r>
      <w:r w:rsidRPr="00D52CB7">
        <w:t>1</w:t>
      </w:r>
      <w:r w:rsidRPr="00D52CB7">
        <w:fldChar w:fldCharType="end"/>
      </w:r>
    </w:p>
    <w:p w:rsidRPr="00D52CB7" w:rsidR="003E27DB" w:rsidRDefault="003E27DB" w14:paraId="1AA7733F" w14:textId="0B8A3346">
      <w:pPr>
        <w:pStyle w:val="TOC2"/>
        <w:rPr>
          <w:rFonts w:asciiTheme="minorHAnsi" w:hAnsiTheme="minorHAnsi" w:eastAsiaTheme="minorEastAsia" w:cstheme="minorBidi"/>
          <w:kern w:val="2"/>
          <w:szCs w:val="24"/>
          <w14:ligatures w14:val="standardContextual"/>
        </w:rPr>
      </w:pPr>
      <w:r w:rsidRPr="00D52CB7">
        <w:t>Security for the Series 2025 Bonds</w:t>
      </w:r>
      <w:r w:rsidRPr="00D52CB7">
        <w:tab/>
      </w:r>
      <w:r w:rsidRPr="00D52CB7">
        <w:fldChar w:fldCharType="begin"/>
      </w:r>
      <w:r w:rsidRPr="00D52CB7">
        <w:instrText xml:space="preserve"> PAGEREF _Toc195093826 \h </w:instrText>
      </w:r>
      <w:r w:rsidRPr="00D52CB7">
        <w:fldChar w:fldCharType="separate"/>
      </w:r>
      <w:r w:rsidRPr="00D52CB7">
        <w:t>2</w:t>
      </w:r>
      <w:r w:rsidRPr="00D52CB7">
        <w:fldChar w:fldCharType="end"/>
      </w:r>
    </w:p>
    <w:p w:rsidRPr="00D52CB7" w:rsidR="003E27DB" w:rsidRDefault="003E27DB" w14:paraId="24FCEAB1" w14:textId="305F6BFF">
      <w:pPr>
        <w:pStyle w:val="TOC2"/>
        <w:rPr>
          <w:rFonts w:asciiTheme="minorHAnsi" w:hAnsiTheme="minorHAnsi" w:eastAsiaTheme="minorEastAsia" w:cstheme="minorBidi"/>
          <w:kern w:val="2"/>
          <w:szCs w:val="24"/>
          <w14:ligatures w14:val="standardContextual"/>
        </w:rPr>
      </w:pPr>
      <w:r w:rsidRPr="00D52CB7">
        <w:t>Debt Service Reserve Account</w:t>
      </w:r>
      <w:r w:rsidRPr="00D52CB7">
        <w:tab/>
      </w:r>
      <w:r w:rsidRPr="00D52CB7">
        <w:fldChar w:fldCharType="begin"/>
      </w:r>
      <w:r w:rsidRPr="00D52CB7">
        <w:instrText xml:space="preserve"> PAGEREF _Toc195093827 \h </w:instrText>
      </w:r>
      <w:r w:rsidRPr="00D52CB7">
        <w:fldChar w:fldCharType="separate"/>
      </w:r>
      <w:r w:rsidRPr="00D52CB7">
        <w:t>3</w:t>
      </w:r>
      <w:r w:rsidRPr="00D52CB7">
        <w:fldChar w:fldCharType="end"/>
      </w:r>
    </w:p>
    <w:p w:rsidRPr="00D52CB7" w:rsidR="003E27DB" w:rsidRDefault="003E27DB" w14:paraId="15C441A0" w14:textId="65682A5F">
      <w:pPr>
        <w:pStyle w:val="TOC2"/>
        <w:rPr>
          <w:rFonts w:asciiTheme="minorHAnsi" w:hAnsiTheme="minorHAnsi" w:eastAsiaTheme="minorEastAsia" w:cstheme="minorBidi"/>
          <w:kern w:val="2"/>
          <w:szCs w:val="24"/>
          <w14:ligatures w14:val="standardContextual"/>
        </w:rPr>
      </w:pPr>
      <w:r w:rsidRPr="00D52CB7">
        <w:t>Charter School Credit Enhancement Program</w:t>
      </w:r>
      <w:r w:rsidRPr="00D52CB7">
        <w:tab/>
      </w:r>
      <w:r w:rsidRPr="00D52CB7">
        <w:fldChar w:fldCharType="begin"/>
      </w:r>
      <w:r w:rsidRPr="00D52CB7">
        <w:instrText xml:space="preserve"> PAGEREF _Toc195093828 \h </w:instrText>
      </w:r>
      <w:r w:rsidRPr="00D52CB7">
        <w:fldChar w:fldCharType="separate"/>
      </w:r>
      <w:r w:rsidRPr="00D52CB7">
        <w:t>3</w:t>
      </w:r>
      <w:r w:rsidRPr="00D52CB7">
        <w:fldChar w:fldCharType="end"/>
      </w:r>
    </w:p>
    <w:p w:rsidRPr="00D52CB7" w:rsidR="003E27DB" w:rsidRDefault="003E27DB" w14:paraId="251648E1" w14:textId="25A23019">
      <w:pPr>
        <w:pStyle w:val="TOC2"/>
        <w:rPr>
          <w:rFonts w:asciiTheme="minorHAnsi" w:hAnsiTheme="minorHAnsi" w:eastAsiaTheme="minorEastAsia" w:cstheme="minorBidi"/>
          <w:kern w:val="2"/>
          <w:szCs w:val="24"/>
          <w14:ligatures w14:val="standardContextual"/>
        </w:rPr>
      </w:pPr>
      <w:r w:rsidRPr="00D52CB7">
        <w:t>Limitation on Indebtedness of the Charter School, Certain Financial Covenants</w:t>
      </w:r>
      <w:r w:rsidRPr="00D52CB7">
        <w:tab/>
      </w:r>
      <w:r w:rsidRPr="00D52CB7">
        <w:fldChar w:fldCharType="begin"/>
      </w:r>
      <w:r w:rsidRPr="00D52CB7">
        <w:instrText xml:space="preserve"> PAGEREF _Toc195093829 \h </w:instrText>
      </w:r>
      <w:r w:rsidRPr="00D52CB7">
        <w:fldChar w:fldCharType="separate"/>
      </w:r>
      <w:r w:rsidRPr="00D52CB7">
        <w:t>4</w:t>
      </w:r>
      <w:r w:rsidRPr="00D52CB7">
        <w:fldChar w:fldCharType="end"/>
      </w:r>
    </w:p>
    <w:p w:rsidRPr="00D52CB7" w:rsidR="003E27DB" w:rsidRDefault="003E27DB" w14:paraId="62F6AA97" w14:textId="3C9571D8">
      <w:pPr>
        <w:pStyle w:val="TOC2"/>
        <w:rPr>
          <w:rFonts w:asciiTheme="minorHAnsi" w:hAnsiTheme="minorHAnsi" w:eastAsiaTheme="minorEastAsia" w:cstheme="minorBidi"/>
          <w:kern w:val="2"/>
          <w:szCs w:val="24"/>
          <w14:ligatures w14:val="standardContextual"/>
        </w:rPr>
      </w:pPr>
      <w:r w:rsidRPr="00D52CB7">
        <w:t>Forward</w:t>
      </w:r>
      <w:r w:rsidRPr="00D52CB7">
        <w:noBreakHyphen/>
        <w:t>Looking Statements</w:t>
      </w:r>
      <w:r w:rsidRPr="00D52CB7">
        <w:tab/>
      </w:r>
      <w:r w:rsidRPr="00D52CB7">
        <w:fldChar w:fldCharType="begin"/>
      </w:r>
      <w:r w:rsidRPr="00D52CB7">
        <w:instrText xml:space="preserve"> PAGEREF _Toc195093830 \h </w:instrText>
      </w:r>
      <w:r w:rsidRPr="00D52CB7">
        <w:fldChar w:fldCharType="separate"/>
      </w:r>
      <w:r w:rsidRPr="00D52CB7">
        <w:t>4</w:t>
      </w:r>
      <w:r w:rsidRPr="00D52CB7">
        <w:fldChar w:fldCharType="end"/>
      </w:r>
    </w:p>
    <w:p w:rsidRPr="00D52CB7" w:rsidR="003E27DB" w:rsidRDefault="003E27DB" w14:paraId="2BFB4E4E" w14:textId="7C61FE2B">
      <w:pPr>
        <w:pStyle w:val="TOC2"/>
        <w:rPr>
          <w:rFonts w:asciiTheme="minorHAnsi" w:hAnsiTheme="minorHAnsi" w:eastAsiaTheme="minorEastAsia" w:cstheme="minorBidi"/>
          <w:kern w:val="2"/>
          <w:szCs w:val="24"/>
          <w14:ligatures w14:val="standardContextual"/>
        </w:rPr>
      </w:pPr>
      <w:r w:rsidRPr="00D52CB7">
        <w:t>Risk Factors</w:t>
      </w:r>
      <w:r w:rsidRPr="00D52CB7">
        <w:tab/>
      </w:r>
      <w:r w:rsidRPr="00D52CB7">
        <w:fldChar w:fldCharType="begin"/>
      </w:r>
      <w:r w:rsidRPr="00D52CB7">
        <w:instrText xml:space="preserve"> PAGEREF _Toc195093831 \h </w:instrText>
      </w:r>
      <w:r w:rsidRPr="00D52CB7">
        <w:fldChar w:fldCharType="separate"/>
      </w:r>
      <w:r w:rsidRPr="00D52CB7">
        <w:t>4</w:t>
      </w:r>
      <w:r w:rsidRPr="00D52CB7">
        <w:fldChar w:fldCharType="end"/>
      </w:r>
    </w:p>
    <w:p w:rsidRPr="00D52CB7" w:rsidR="003E27DB" w:rsidRDefault="003E27DB" w14:paraId="62F7CBF1" w14:textId="396E63E6">
      <w:pPr>
        <w:pStyle w:val="TOC2"/>
        <w:rPr>
          <w:rFonts w:asciiTheme="minorHAnsi" w:hAnsiTheme="minorHAnsi" w:eastAsiaTheme="minorEastAsia" w:cstheme="minorBidi"/>
          <w:kern w:val="2"/>
          <w:szCs w:val="24"/>
          <w14:ligatures w14:val="standardContextual"/>
        </w:rPr>
      </w:pPr>
      <w:r w:rsidRPr="00D52CB7">
        <w:t>Additional Information</w:t>
      </w:r>
      <w:r w:rsidRPr="00D52CB7">
        <w:tab/>
      </w:r>
      <w:r w:rsidRPr="00D52CB7">
        <w:fldChar w:fldCharType="begin"/>
      </w:r>
      <w:r w:rsidRPr="00D52CB7">
        <w:instrText xml:space="preserve"> PAGEREF _Toc195093832 \h </w:instrText>
      </w:r>
      <w:r w:rsidRPr="00D52CB7">
        <w:fldChar w:fldCharType="separate"/>
      </w:r>
      <w:r w:rsidRPr="00D52CB7">
        <w:t>4</w:t>
      </w:r>
      <w:r w:rsidRPr="00D52CB7">
        <w:fldChar w:fldCharType="end"/>
      </w:r>
    </w:p>
    <w:p w:rsidRPr="00D52CB7" w:rsidR="003E27DB" w:rsidRDefault="003E27DB" w14:paraId="5757D2F0" w14:textId="04BC48EF">
      <w:pPr>
        <w:pStyle w:val="TOC1"/>
        <w:rPr>
          <w:rFonts w:asciiTheme="minorHAnsi" w:hAnsiTheme="minorHAnsi" w:eastAsiaTheme="minorEastAsia" w:cstheme="minorBidi"/>
          <w:smallCaps w:val="0"/>
          <w:kern w:val="2"/>
          <w:szCs w:val="24"/>
          <w14:ligatures w14:val="standardContextual"/>
        </w:rPr>
      </w:pPr>
      <w:r w:rsidRPr="00D52CB7">
        <w:t>The Issuer</w:t>
      </w:r>
      <w:r w:rsidRPr="00D52CB7">
        <w:tab/>
      </w:r>
      <w:r w:rsidRPr="00D52CB7">
        <w:fldChar w:fldCharType="begin"/>
      </w:r>
      <w:r w:rsidRPr="00D52CB7">
        <w:instrText xml:space="preserve"> PAGEREF _Toc195093833 \h </w:instrText>
      </w:r>
      <w:r w:rsidRPr="00D52CB7">
        <w:fldChar w:fldCharType="separate"/>
      </w:r>
      <w:r w:rsidRPr="00D52CB7">
        <w:t>5</w:t>
      </w:r>
      <w:r w:rsidRPr="00D52CB7">
        <w:fldChar w:fldCharType="end"/>
      </w:r>
    </w:p>
    <w:p w:rsidRPr="00D52CB7" w:rsidR="003E27DB" w:rsidRDefault="003E27DB" w14:paraId="5F441ABA" w14:textId="15D1D5EC">
      <w:pPr>
        <w:pStyle w:val="TOC1"/>
        <w:rPr>
          <w:rFonts w:asciiTheme="minorHAnsi" w:hAnsiTheme="minorHAnsi" w:eastAsiaTheme="minorEastAsia" w:cstheme="minorBidi"/>
          <w:smallCaps w:val="0"/>
          <w:kern w:val="2"/>
          <w:szCs w:val="24"/>
          <w14:ligatures w14:val="standardContextual"/>
        </w:rPr>
      </w:pPr>
      <w:r w:rsidRPr="00D52CB7">
        <w:t>The Charter School</w:t>
      </w:r>
      <w:r w:rsidRPr="00D52CB7">
        <w:tab/>
      </w:r>
      <w:r w:rsidRPr="00D52CB7">
        <w:fldChar w:fldCharType="begin"/>
      </w:r>
      <w:r w:rsidRPr="00D52CB7">
        <w:instrText xml:space="preserve"> PAGEREF _Toc195093834 \h </w:instrText>
      </w:r>
      <w:r w:rsidRPr="00D52CB7">
        <w:fldChar w:fldCharType="separate"/>
      </w:r>
      <w:r w:rsidRPr="00D52CB7">
        <w:t>5</w:t>
      </w:r>
      <w:r w:rsidRPr="00D52CB7">
        <w:fldChar w:fldCharType="end"/>
      </w:r>
    </w:p>
    <w:p w:rsidRPr="00D52CB7" w:rsidR="003E27DB" w:rsidRDefault="003E27DB" w14:paraId="52C22DBB" w14:textId="02505036">
      <w:pPr>
        <w:pStyle w:val="TOC1"/>
        <w:rPr>
          <w:rFonts w:asciiTheme="minorHAnsi" w:hAnsiTheme="minorHAnsi" w:eastAsiaTheme="minorEastAsia" w:cstheme="minorBidi"/>
          <w:smallCaps w:val="0"/>
          <w:kern w:val="2"/>
          <w:szCs w:val="24"/>
          <w14:ligatures w14:val="standardContextual"/>
        </w:rPr>
      </w:pPr>
      <w:r w:rsidRPr="00D52CB7">
        <w:t>The Series 2025 Bonds</w:t>
      </w:r>
      <w:r w:rsidRPr="00D52CB7">
        <w:tab/>
      </w:r>
      <w:r w:rsidRPr="00D52CB7">
        <w:fldChar w:fldCharType="begin"/>
      </w:r>
      <w:r w:rsidRPr="00D52CB7">
        <w:instrText xml:space="preserve"> PAGEREF _Toc195093835 \h </w:instrText>
      </w:r>
      <w:r w:rsidRPr="00D52CB7">
        <w:fldChar w:fldCharType="separate"/>
      </w:r>
      <w:r w:rsidRPr="00D52CB7">
        <w:t>6</w:t>
      </w:r>
      <w:r w:rsidRPr="00D52CB7">
        <w:fldChar w:fldCharType="end"/>
      </w:r>
    </w:p>
    <w:p w:rsidRPr="00D52CB7" w:rsidR="003E27DB" w:rsidRDefault="003E27DB" w14:paraId="7E6148CE" w14:textId="652C0948">
      <w:pPr>
        <w:pStyle w:val="TOC2"/>
        <w:rPr>
          <w:rFonts w:asciiTheme="minorHAnsi" w:hAnsiTheme="minorHAnsi" w:eastAsiaTheme="minorEastAsia" w:cstheme="minorBidi"/>
          <w:kern w:val="2"/>
          <w:szCs w:val="24"/>
          <w14:ligatures w14:val="standardContextual"/>
        </w:rPr>
      </w:pPr>
      <w:r w:rsidRPr="00D52CB7">
        <w:t>General</w:t>
      </w:r>
      <w:r w:rsidRPr="00D52CB7">
        <w:tab/>
      </w:r>
      <w:r w:rsidRPr="00D52CB7">
        <w:fldChar w:fldCharType="begin"/>
      </w:r>
      <w:r w:rsidRPr="00D52CB7">
        <w:instrText xml:space="preserve"> PAGEREF _Toc195093836 \h </w:instrText>
      </w:r>
      <w:r w:rsidRPr="00D52CB7">
        <w:fldChar w:fldCharType="separate"/>
      </w:r>
      <w:r w:rsidRPr="00D52CB7">
        <w:t>6</w:t>
      </w:r>
      <w:r w:rsidRPr="00D52CB7">
        <w:fldChar w:fldCharType="end"/>
      </w:r>
    </w:p>
    <w:p w:rsidRPr="00D52CB7" w:rsidR="003E27DB" w:rsidRDefault="003E27DB" w14:paraId="7532F9EC" w14:textId="7806A418">
      <w:pPr>
        <w:pStyle w:val="TOC2"/>
        <w:rPr>
          <w:rFonts w:asciiTheme="minorHAnsi" w:hAnsiTheme="minorHAnsi" w:eastAsiaTheme="minorEastAsia" w:cstheme="minorBidi"/>
          <w:kern w:val="2"/>
          <w:szCs w:val="24"/>
          <w14:ligatures w14:val="standardContextual"/>
        </w:rPr>
      </w:pPr>
      <w:r w:rsidRPr="00D52CB7">
        <w:t>Redemption</w:t>
      </w:r>
      <w:r w:rsidRPr="00D52CB7">
        <w:tab/>
      </w:r>
      <w:r w:rsidRPr="00D52CB7">
        <w:fldChar w:fldCharType="begin"/>
      </w:r>
      <w:r w:rsidRPr="00D52CB7">
        <w:instrText xml:space="preserve"> PAGEREF _Toc195093837 \h </w:instrText>
      </w:r>
      <w:r w:rsidRPr="00D52CB7">
        <w:fldChar w:fldCharType="separate"/>
      </w:r>
      <w:r w:rsidRPr="00D52CB7">
        <w:t>7</w:t>
      </w:r>
      <w:r w:rsidRPr="00D52CB7">
        <w:fldChar w:fldCharType="end"/>
      </w:r>
    </w:p>
    <w:p w:rsidRPr="00D52CB7" w:rsidR="003E27DB" w:rsidRDefault="003E27DB" w14:paraId="3FAAD2F0" w14:textId="40DFD521">
      <w:pPr>
        <w:pStyle w:val="TOC2"/>
        <w:rPr>
          <w:rFonts w:asciiTheme="minorHAnsi" w:hAnsiTheme="minorHAnsi" w:eastAsiaTheme="minorEastAsia" w:cstheme="minorBidi"/>
          <w:kern w:val="2"/>
          <w:szCs w:val="24"/>
          <w14:ligatures w14:val="standardContextual"/>
        </w:rPr>
      </w:pPr>
      <w:r w:rsidRPr="00D52CB7">
        <w:t>Book-Entry-Only System</w:t>
      </w:r>
      <w:r w:rsidRPr="00D52CB7">
        <w:tab/>
      </w:r>
      <w:r w:rsidRPr="00D52CB7">
        <w:fldChar w:fldCharType="begin"/>
      </w:r>
      <w:r w:rsidRPr="00D52CB7">
        <w:instrText xml:space="preserve"> PAGEREF _Toc195093838 \h </w:instrText>
      </w:r>
      <w:r w:rsidRPr="00D52CB7">
        <w:fldChar w:fldCharType="separate"/>
      </w:r>
      <w:r w:rsidRPr="00D52CB7">
        <w:t>9</w:t>
      </w:r>
      <w:r w:rsidRPr="00D52CB7">
        <w:fldChar w:fldCharType="end"/>
      </w:r>
    </w:p>
    <w:p w:rsidRPr="00D52CB7" w:rsidR="003E27DB" w:rsidRDefault="003E27DB" w14:paraId="176B12F0" w14:textId="5AAD410A">
      <w:pPr>
        <w:pStyle w:val="TOC1"/>
        <w:rPr>
          <w:rFonts w:asciiTheme="minorHAnsi" w:hAnsiTheme="minorHAnsi" w:eastAsiaTheme="minorEastAsia" w:cstheme="minorBidi"/>
          <w:smallCaps w:val="0"/>
          <w:kern w:val="2"/>
          <w:szCs w:val="24"/>
          <w14:ligatures w14:val="standardContextual"/>
        </w:rPr>
      </w:pPr>
      <w:r w:rsidRPr="00D52CB7">
        <w:t>Security for the Series 2025 Bonds</w:t>
      </w:r>
      <w:r w:rsidRPr="00D52CB7">
        <w:tab/>
      </w:r>
      <w:r w:rsidRPr="00D52CB7">
        <w:fldChar w:fldCharType="begin"/>
      </w:r>
      <w:r w:rsidRPr="00D52CB7">
        <w:instrText xml:space="preserve"> PAGEREF _Toc195093839 \h </w:instrText>
      </w:r>
      <w:r w:rsidRPr="00D52CB7">
        <w:fldChar w:fldCharType="separate"/>
      </w:r>
      <w:r w:rsidRPr="00D52CB7">
        <w:t>12</w:t>
      </w:r>
      <w:r w:rsidRPr="00D52CB7">
        <w:fldChar w:fldCharType="end"/>
      </w:r>
    </w:p>
    <w:p w:rsidRPr="00D52CB7" w:rsidR="003E27DB" w:rsidRDefault="003E27DB" w14:paraId="01C23B30" w14:textId="67D2CE6D">
      <w:pPr>
        <w:pStyle w:val="TOC2"/>
        <w:rPr>
          <w:rFonts w:asciiTheme="minorHAnsi" w:hAnsiTheme="minorHAnsi" w:eastAsiaTheme="minorEastAsia" w:cstheme="minorBidi"/>
          <w:kern w:val="2"/>
          <w:szCs w:val="24"/>
          <w14:ligatures w14:val="standardContextual"/>
        </w:rPr>
      </w:pPr>
      <w:r w:rsidRPr="00D52CB7">
        <w:t>Indenture</w:t>
      </w:r>
      <w:r w:rsidRPr="00D52CB7">
        <w:tab/>
      </w:r>
      <w:r w:rsidRPr="00D52CB7">
        <w:fldChar w:fldCharType="begin"/>
      </w:r>
      <w:r w:rsidRPr="00D52CB7">
        <w:instrText xml:space="preserve"> PAGEREF _Toc195093840 \h </w:instrText>
      </w:r>
      <w:r w:rsidRPr="00D52CB7">
        <w:fldChar w:fldCharType="separate"/>
      </w:r>
      <w:r w:rsidRPr="00D52CB7">
        <w:t>12</w:t>
      </w:r>
      <w:r w:rsidRPr="00D52CB7">
        <w:fldChar w:fldCharType="end"/>
      </w:r>
    </w:p>
    <w:p w:rsidRPr="00D52CB7" w:rsidR="003E27DB" w:rsidRDefault="003E27DB" w14:paraId="1365442E" w14:textId="10E46A82">
      <w:pPr>
        <w:pStyle w:val="TOC3"/>
        <w:rPr>
          <w:rFonts w:asciiTheme="minorHAnsi" w:hAnsiTheme="minorHAnsi" w:eastAsiaTheme="minorEastAsia" w:cstheme="minorBidi"/>
          <w:kern w:val="2"/>
          <w:szCs w:val="24"/>
          <w14:ligatures w14:val="standardContextual"/>
        </w:rPr>
      </w:pPr>
      <w:r w:rsidRPr="00D52CB7">
        <w:t>Pledge of the Indenture</w:t>
      </w:r>
      <w:r w:rsidRPr="00D52CB7">
        <w:tab/>
      </w:r>
      <w:r w:rsidRPr="00D52CB7">
        <w:fldChar w:fldCharType="begin"/>
      </w:r>
      <w:r w:rsidRPr="00D52CB7">
        <w:instrText xml:space="preserve"> PAGEREF _Toc195093841 \h </w:instrText>
      </w:r>
      <w:r w:rsidRPr="00D52CB7">
        <w:fldChar w:fldCharType="separate"/>
      </w:r>
      <w:r w:rsidRPr="00D52CB7">
        <w:t>12</w:t>
      </w:r>
      <w:r w:rsidRPr="00D52CB7">
        <w:fldChar w:fldCharType="end"/>
      </w:r>
    </w:p>
    <w:p w:rsidRPr="00D52CB7" w:rsidR="003E27DB" w:rsidRDefault="003E27DB" w14:paraId="2EF564D7" w14:textId="1D39D499">
      <w:pPr>
        <w:pStyle w:val="TOC3"/>
        <w:rPr>
          <w:rFonts w:asciiTheme="minorHAnsi" w:hAnsiTheme="minorHAnsi" w:eastAsiaTheme="minorEastAsia" w:cstheme="minorBidi"/>
          <w:kern w:val="2"/>
          <w:szCs w:val="24"/>
          <w14:ligatures w14:val="standardContextual"/>
        </w:rPr>
      </w:pPr>
      <w:r w:rsidRPr="00D52CB7">
        <w:t>Flow of Funds</w:t>
      </w:r>
      <w:r w:rsidRPr="00D52CB7">
        <w:tab/>
      </w:r>
      <w:r w:rsidRPr="00D52CB7">
        <w:fldChar w:fldCharType="begin"/>
      </w:r>
      <w:r w:rsidRPr="00D52CB7">
        <w:instrText xml:space="preserve"> PAGEREF _Toc195093842 \h </w:instrText>
      </w:r>
      <w:r w:rsidRPr="00D52CB7">
        <w:fldChar w:fldCharType="separate"/>
      </w:r>
      <w:r w:rsidRPr="00D52CB7">
        <w:t>13</w:t>
      </w:r>
      <w:r w:rsidRPr="00D52CB7">
        <w:fldChar w:fldCharType="end"/>
      </w:r>
    </w:p>
    <w:p w:rsidRPr="00D52CB7" w:rsidR="003E27DB" w:rsidRDefault="003E27DB" w14:paraId="172A6B91" w14:textId="32685B8F">
      <w:pPr>
        <w:pStyle w:val="TOC3"/>
        <w:rPr>
          <w:rFonts w:asciiTheme="minorHAnsi" w:hAnsiTheme="minorHAnsi" w:eastAsiaTheme="minorEastAsia" w:cstheme="minorBidi"/>
          <w:kern w:val="2"/>
          <w:szCs w:val="24"/>
          <w14:ligatures w14:val="standardContextual"/>
        </w:rPr>
      </w:pPr>
      <w:r w:rsidRPr="00D52CB7">
        <w:t>Debt Service Reserve Account</w:t>
      </w:r>
      <w:r w:rsidRPr="00D52CB7">
        <w:tab/>
      </w:r>
      <w:r w:rsidRPr="00D52CB7">
        <w:fldChar w:fldCharType="begin"/>
      </w:r>
      <w:r w:rsidRPr="00D52CB7">
        <w:instrText xml:space="preserve"> PAGEREF _Toc195093843 \h </w:instrText>
      </w:r>
      <w:r w:rsidRPr="00D52CB7">
        <w:fldChar w:fldCharType="separate"/>
      </w:r>
      <w:r w:rsidRPr="00D52CB7">
        <w:t>14</w:t>
      </w:r>
      <w:r w:rsidRPr="00D52CB7">
        <w:fldChar w:fldCharType="end"/>
      </w:r>
    </w:p>
    <w:p w:rsidRPr="00D52CB7" w:rsidR="003E27DB" w:rsidRDefault="003E27DB" w14:paraId="516D5CE3" w14:textId="3DB564F5">
      <w:pPr>
        <w:pStyle w:val="TOC3"/>
        <w:rPr>
          <w:rFonts w:asciiTheme="minorHAnsi" w:hAnsiTheme="minorHAnsi" w:eastAsiaTheme="minorEastAsia" w:cstheme="minorBidi"/>
          <w:kern w:val="2"/>
          <w:szCs w:val="24"/>
          <w14:ligatures w14:val="standardContextual"/>
        </w:rPr>
      </w:pPr>
      <w:r w:rsidRPr="00D52CB7">
        <w:t>Repair and Replacement Fund</w:t>
      </w:r>
      <w:r w:rsidRPr="00D52CB7">
        <w:tab/>
      </w:r>
      <w:r w:rsidRPr="00D52CB7">
        <w:fldChar w:fldCharType="begin"/>
      </w:r>
      <w:r w:rsidRPr="00D52CB7">
        <w:instrText xml:space="preserve"> PAGEREF _Toc195093844 \h </w:instrText>
      </w:r>
      <w:r w:rsidRPr="00D52CB7">
        <w:fldChar w:fldCharType="separate"/>
      </w:r>
      <w:r w:rsidRPr="00D52CB7">
        <w:t>15</w:t>
      </w:r>
      <w:r w:rsidRPr="00D52CB7">
        <w:fldChar w:fldCharType="end"/>
      </w:r>
    </w:p>
    <w:p w:rsidRPr="00D52CB7" w:rsidR="003E27DB" w:rsidRDefault="003E27DB" w14:paraId="6B9147AE" w14:textId="094C34D7">
      <w:pPr>
        <w:pStyle w:val="TOC3"/>
        <w:rPr>
          <w:rFonts w:asciiTheme="minorHAnsi" w:hAnsiTheme="minorHAnsi" w:eastAsiaTheme="minorEastAsia" w:cstheme="minorBidi"/>
          <w:kern w:val="2"/>
          <w:szCs w:val="24"/>
          <w14:ligatures w14:val="standardContextual"/>
        </w:rPr>
      </w:pPr>
      <w:r w:rsidRPr="00D52CB7">
        <w:t>Additional Bonds</w:t>
      </w:r>
      <w:r w:rsidRPr="00D52CB7">
        <w:tab/>
      </w:r>
      <w:r w:rsidRPr="00D52CB7">
        <w:fldChar w:fldCharType="begin"/>
      </w:r>
      <w:r w:rsidRPr="00D52CB7">
        <w:instrText xml:space="preserve"> PAGEREF _Toc195093845 \h </w:instrText>
      </w:r>
      <w:r w:rsidRPr="00D52CB7">
        <w:fldChar w:fldCharType="separate"/>
      </w:r>
      <w:r w:rsidRPr="00D52CB7">
        <w:t>15</w:t>
      </w:r>
      <w:r w:rsidRPr="00D52CB7">
        <w:fldChar w:fldCharType="end"/>
      </w:r>
    </w:p>
    <w:p w:rsidRPr="00D52CB7" w:rsidR="003E27DB" w:rsidRDefault="003E27DB" w14:paraId="3F77C889" w14:textId="144888B2">
      <w:pPr>
        <w:pStyle w:val="TOC2"/>
        <w:rPr>
          <w:rFonts w:asciiTheme="minorHAnsi" w:hAnsiTheme="minorHAnsi" w:eastAsiaTheme="minorEastAsia" w:cstheme="minorBidi"/>
          <w:kern w:val="2"/>
          <w:szCs w:val="24"/>
          <w14:ligatures w14:val="standardContextual"/>
        </w:rPr>
      </w:pPr>
      <w:r w:rsidRPr="00D52CB7">
        <w:t>Loan Agreement</w:t>
      </w:r>
      <w:r w:rsidRPr="00D52CB7">
        <w:tab/>
      </w:r>
      <w:r w:rsidRPr="00D52CB7">
        <w:fldChar w:fldCharType="begin"/>
      </w:r>
      <w:r w:rsidRPr="00D52CB7">
        <w:instrText xml:space="preserve"> PAGEREF _Toc195093846 \h </w:instrText>
      </w:r>
      <w:r w:rsidRPr="00D52CB7">
        <w:fldChar w:fldCharType="separate"/>
      </w:r>
      <w:r w:rsidRPr="00D52CB7">
        <w:t>16</w:t>
      </w:r>
      <w:r w:rsidRPr="00D52CB7">
        <w:fldChar w:fldCharType="end"/>
      </w:r>
    </w:p>
    <w:p w:rsidRPr="00D52CB7" w:rsidR="003E27DB" w:rsidRDefault="003E27DB" w14:paraId="71550004" w14:textId="03395E6C">
      <w:pPr>
        <w:pStyle w:val="TOC3"/>
        <w:rPr>
          <w:rFonts w:asciiTheme="minorHAnsi" w:hAnsiTheme="minorHAnsi" w:eastAsiaTheme="minorEastAsia" w:cstheme="minorBidi"/>
          <w:kern w:val="2"/>
          <w:szCs w:val="24"/>
          <w14:ligatures w14:val="standardContextual"/>
        </w:rPr>
      </w:pPr>
      <w:r w:rsidRPr="00D52CB7">
        <w:t>General Obligation of the Charter School; Pledge of State Payments and Other Pledged Revenues</w:t>
      </w:r>
      <w:r w:rsidRPr="00D52CB7">
        <w:tab/>
      </w:r>
      <w:r w:rsidRPr="00D52CB7">
        <w:fldChar w:fldCharType="begin"/>
      </w:r>
      <w:r w:rsidRPr="00D52CB7">
        <w:instrText xml:space="preserve"> PAGEREF _Toc195093847 \h </w:instrText>
      </w:r>
      <w:r w:rsidRPr="00D52CB7">
        <w:fldChar w:fldCharType="separate"/>
      </w:r>
      <w:r w:rsidRPr="00D52CB7">
        <w:t>16</w:t>
      </w:r>
      <w:r w:rsidRPr="00D52CB7">
        <w:fldChar w:fldCharType="end"/>
      </w:r>
    </w:p>
    <w:p w:rsidRPr="00D52CB7" w:rsidR="003E27DB" w:rsidRDefault="003E27DB" w14:paraId="64EE87E5" w14:textId="60907383">
      <w:pPr>
        <w:pStyle w:val="TOC3"/>
        <w:rPr>
          <w:rFonts w:asciiTheme="minorHAnsi" w:hAnsiTheme="minorHAnsi" w:eastAsiaTheme="minorEastAsia" w:cstheme="minorBidi"/>
          <w:kern w:val="2"/>
          <w:szCs w:val="24"/>
          <w14:ligatures w14:val="standardContextual"/>
        </w:rPr>
      </w:pPr>
      <w:r w:rsidRPr="00D52CB7">
        <w:t>Limitations on Additional Indebtedness</w:t>
      </w:r>
      <w:r w:rsidRPr="00D52CB7">
        <w:tab/>
      </w:r>
      <w:r w:rsidRPr="00D52CB7">
        <w:fldChar w:fldCharType="begin"/>
      </w:r>
      <w:r w:rsidRPr="00D52CB7">
        <w:instrText xml:space="preserve"> PAGEREF _Toc195093848 \h </w:instrText>
      </w:r>
      <w:r w:rsidRPr="00D52CB7">
        <w:fldChar w:fldCharType="separate"/>
      </w:r>
      <w:r w:rsidRPr="00D52CB7">
        <w:t>17</w:t>
      </w:r>
      <w:r w:rsidRPr="00D52CB7">
        <w:fldChar w:fldCharType="end"/>
      </w:r>
    </w:p>
    <w:p w:rsidRPr="00D52CB7" w:rsidR="003E27DB" w:rsidRDefault="003E27DB" w14:paraId="2DE0525B" w14:textId="53EEC71C">
      <w:pPr>
        <w:pStyle w:val="TOC3"/>
        <w:rPr>
          <w:rFonts w:asciiTheme="minorHAnsi" w:hAnsiTheme="minorHAnsi" w:eastAsiaTheme="minorEastAsia" w:cstheme="minorBidi"/>
          <w:kern w:val="2"/>
          <w:szCs w:val="24"/>
          <w14:ligatures w14:val="standardContextual"/>
        </w:rPr>
      </w:pPr>
      <w:r w:rsidRPr="00D52CB7">
        <w:t>Covenant as to Cash on Hand</w:t>
      </w:r>
      <w:r w:rsidRPr="00D52CB7">
        <w:tab/>
      </w:r>
      <w:r w:rsidRPr="00D52CB7">
        <w:fldChar w:fldCharType="begin"/>
      </w:r>
      <w:r w:rsidRPr="00D52CB7">
        <w:instrText xml:space="preserve"> PAGEREF _Toc195093849 \h </w:instrText>
      </w:r>
      <w:r w:rsidRPr="00D52CB7">
        <w:fldChar w:fldCharType="separate"/>
      </w:r>
      <w:r w:rsidRPr="00D52CB7">
        <w:t>17</w:t>
      </w:r>
      <w:r w:rsidRPr="00D52CB7">
        <w:fldChar w:fldCharType="end"/>
      </w:r>
    </w:p>
    <w:p w:rsidRPr="00D52CB7" w:rsidR="003E27DB" w:rsidRDefault="003E27DB" w14:paraId="11C431B2" w14:textId="49DAB37B">
      <w:pPr>
        <w:pStyle w:val="TOC3"/>
        <w:rPr>
          <w:rFonts w:asciiTheme="minorHAnsi" w:hAnsiTheme="minorHAnsi" w:eastAsiaTheme="minorEastAsia" w:cstheme="minorBidi"/>
          <w:kern w:val="2"/>
          <w:szCs w:val="24"/>
          <w14:ligatures w14:val="standardContextual"/>
        </w:rPr>
      </w:pPr>
      <w:r w:rsidRPr="00D52CB7">
        <w:t>Repair and Replacement Fund Deposits</w:t>
      </w:r>
      <w:r w:rsidRPr="00D52CB7">
        <w:tab/>
      </w:r>
      <w:r w:rsidRPr="00D52CB7">
        <w:fldChar w:fldCharType="begin"/>
      </w:r>
      <w:r w:rsidRPr="00D52CB7">
        <w:instrText xml:space="preserve"> PAGEREF _Toc195093850 \h </w:instrText>
      </w:r>
      <w:r w:rsidRPr="00D52CB7">
        <w:fldChar w:fldCharType="separate"/>
      </w:r>
      <w:r w:rsidRPr="00D52CB7">
        <w:t>18</w:t>
      </w:r>
      <w:r w:rsidRPr="00D52CB7">
        <w:fldChar w:fldCharType="end"/>
      </w:r>
    </w:p>
    <w:p w:rsidRPr="00D52CB7" w:rsidR="003E27DB" w:rsidRDefault="003E27DB" w14:paraId="2EB33BD4" w14:textId="7B65E548">
      <w:pPr>
        <w:pStyle w:val="TOC3"/>
        <w:rPr>
          <w:rFonts w:asciiTheme="minorHAnsi" w:hAnsiTheme="minorHAnsi" w:eastAsiaTheme="minorEastAsia" w:cstheme="minorBidi"/>
          <w:kern w:val="2"/>
          <w:szCs w:val="24"/>
          <w14:ligatures w14:val="standardContextual"/>
        </w:rPr>
      </w:pPr>
      <w:r w:rsidRPr="00D52CB7">
        <w:t>Coverage Ratio Covenant</w:t>
      </w:r>
      <w:r w:rsidRPr="00D52CB7">
        <w:tab/>
      </w:r>
      <w:r w:rsidRPr="00D52CB7">
        <w:fldChar w:fldCharType="begin"/>
      </w:r>
      <w:r w:rsidRPr="00D52CB7">
        <w:instrText xml:space="preserve"> PAGEREF _Toc195093851 \h </w:instrText>
      </w:r>
      <w:r w:rsidRPr="00D52CB7">
        <w:fldChar w:fldCharType="separate"/>
      </w:r>
      <w:r w:rsidRPr="00D52CB7">
        <w:t>18</w:t>
      </w:r>
      <w:r w:rsidRPr="00D52CB7">
        <w:fldChar w:fldCharType="end"/>
      </w:r>
    </w:p>
    <w:p w:rsidRPr="00D52CB7" w:rsidR="003E27DB" w:rsidRDefault="003E27DB" w14:paraId="2D0AF667" w14:textId="748141F2">
      <w:pPr>
        <w:pStyle w:val="TOC2"/>
        <w:rPr>
          <w:rFonts w:asciiTheme="minorHAnsi" w:hAnsiTheme="minorHAnsi" w:eastAsiaTheme="minorEastAsia" w:cstheme="minorBidi"/>
          <w:kern w:val="2"/>
          <w:szCs w:val="24"/>
          <w14:ligatures w14:val="standardContextual"/>
        </w:rPr>
      </w:pPr>
      <w:r w:rsidRPr="00D52CB7">
        <w:t>Deed of Trust</w:t>
      </w:r>
      <w:r w:rsidRPr="00D52CB7">
        <w:tab/>
      </w:r>
      <w:r w:rsidRPr="00D52CB7">
        <w:fldChar w:fldCharType="begin"/>
      </w:r>
      <w:r w:rsidRPr="00D52CB7">
        <w:instrText xml:space="preserve"> PAGEREF _Toc195093852 \h </w:instrText>
      </w:r>
      <w:r w:rsidRPr="00D52CB7">
        <w:fldChar w:fldCharType="separate"/>
      </w:r>
      <w:r w:rsidRPr="00D52CB7">
        <w:t>19</w:t>
      </w:r>
      <w:r w:rsidRPr="00D52CB7">
        <w:fldChar w:fldCharType="end"/>
      </w:r>
    </w:p>
    <w:p w:rsidRPr="00D52CB7" w:rsidR="003E27DB" w:rsidRDefault="003E27DB" w14:paraId="189BA4B6" w14:textId="10FC3C1A">
      <w:pPr>
        <w:pStyle w:val="TOC2"/>
        <w:rPr>
          <w:rFonts w:asciiTheme="minorHAnsi" w:hAnsiTheme="minorHAnsi" w:eastAsiaTheme="minorEastAsia" w:cstheme="minorBidi"/>
          <w:kern w:val="2"/>
          <w:szCs w:val="24"/>
          <w14:ligatures w14:val="standardContextual"/>
        </w:rPr>
      </w:pPr>
      <w:r w:rsidRPr="00D52CB7">
        <w:t>Charter School Credit Enhancement Program</w:t>
      </w:r>
      <w:r w:rsidRPr="00D52CB7">
        <w:tab/>
      </w:r>
      <w:r w:rsidRPr="00D52CB7">
        <w:fldChar w:fldCharType="begin"/>
      </w:r>
      <w:r w:rsidRPr="00D52CB7">
        <w:instrText xml:space="preserve"> PAGEREF _Toc195093853 \h </w:instrText>
      </w:r>
      <w:r w:rsidRPr="00D52CB7">
        <w:fldChar w:fldCharType="separate"/>
      </w:r>
      <w:r w:rsidRPr="00D52CB7">
        <w:t>19</w:t>
      </w:r>
      <w:r w:rsidRPr="00D52CB7">
        <w:fldChar w:fldCharType="end"/>
      </w:r>
    </w:p>
    <w:p w:rsidRPr="00D52CB7" w:rsidR="003E27DB" w:rsidRDefault="003E27DB" w14:paraId="260AA50C" w14:textId="7B9BD536">
      <w:pPr>
        <w:pStyle w:val="TOC1"/>
        <w:rPr>
          <w:rFonts w:asciiTheme="minorHAnsi" w:hAnsiTheme="minorHAnsi" w:eastAsiaTheme="minorEastAsia" w:cstheme="minorBidi"/>
          <w:smallCaps w:val="0"/>
          <w:kern w:val="2"/>
          <w:szCs w:val="24"/>
          <w14:ligatures w14:val="standardContextual"/>
        </w:rPr>
      </w:pPr>
      <w:r w:rsidRPr="00D52CB7">
        <w:t>Plan of Refunding</w:t>
      </w:r>
      <w:r w:rsidRPr="00D52CB7">
        <w:tab/>
      </w:r>
      <w:r w:rsidRPr="00D52CB7">
        <w:fldChar w:fldCharType="begin"/>
      </w:r>
      <w:r w:rsidRPr="00D52CB7">
        <w:instrText xml:space="preserve"> PAGEREF _Toc195093854 \h </w:instrText>
      </w:r>
      <w:r w:rsidRPr="00D52CB7">
        <w:fldChar w:fldCharType="separate"/>
      </w:r>
      <w:r w:rsidRPr="00D52CB7">
        <w:t>21</w:t>
      </w:r>
      <w:r w:rsidRPr="00D52CB7">
        <w:fldChar w:fldCharType="end"/>
      </w:r>
    </w:p>
    <w:p w:rsidRPr="00D52CB7" w:rsidR="003E27DB" w:rsidRDefault="003E27DB" w14:paraId="016A896A" w14:textId="54D509DD">
      <w:pPr>
        <w:pStyle w:val="TOC1"/>
        <w:rPr>
          <w:rFonts w:asciiTheme="minorHAnsi" w:hAnsiTheme="minorHAnsi" w:eastAsiaTheme="minorEastAsia" w:cstheme="minorBidi"/>
          <w:smallCaps w:val="0"/>
          <w:kern w:val="2"/>
          <w:szCs w:val="24"/>
          <w14:ligatures w14:val="standardContextual"/>
        </w:rPr>
      </w:pPr>
      <w:r w:rsidRPr="00D52CB7">
        <w:t>Sources and Uses of Funds</w:t>
      </w:r>
      <w:r w:rsidRPr="00D52CB7">
        <w:tab/>
      </w:r>
      <w:r w:rsidRPr="00D52CB7">
        <w:fldChar w:fldCharType="begin"/>
      </w:r>
      <w:r w:rsidRPr="00D52CB7">
        <w:instrText xml:space="preserve"> PAGEREF _Toc195093855 \h </w:instrText>
      </w:r>
      <w:r w:rsidRPr="00D52CB7">
        <w:fldChar w:fldCharType="separate"/>
      </w:r>
      <w:r w:rsidRPr="00D52CB7">
        <w:t>22</w:t>
      </w:r>
      <w:r w:rsidRPr="00D52CB7">
        <w:fldChar w:fldCharType="end"/>
      </w:r>
    </w:p>
    <w:p w:rsidRPr="00D52CB7" w:rsidR="003E27DB" w:rsidRDefault="003E27DB" w14:paraId="6F2668FE" w14:textId="7FFEC482">
      <w:pPr>
        <w:pStyle w:val="TOC1"/>
        <w:rPr>
          <w:rFonts w:asciiTheme="minorHAnsi" w:hAnsiTheme="minorHAnsi" w:eastAsiaTheme="minorEastAsia" w:cstheme="minorBidi"/>
          <w:smallCaps w:val="0"/>
          <w:kern w:val="2"/>
          <w:szCs w:val="24"/>
          <w14:ligatures w14:val="standardContextual"/>
        </w:rPr>
      </w:pPr>
      <w:r w:rsidRPr="00D52CB7">
        <w:t>Debt Service Requirements</w:t>
      </w:r>
      <w:r w:rsidRPr="00D52CB7">
        <w:tab/>
      </w:r>
      <w:r w:rsidRPr="00D52CB7">
        <w:fldChar w:fldCharType="begin"/>
      </w:r>
      <w:r w:rsidRPr="00D52CB7">
        <w:instrText xml:space="preserve"> PAGEREF _Toc195093856 \h </w:instrText>
      </w:r>
      <w:r w:rsidRPr="00D52CB7">
        <w:fldChar w:fldCharType="separate"/>
      </w:r>
      <w:r w:rsidRPr="00D52CB7">
        <w:t>23</w:t>
      </w:r>
      <w:r w:rsidRPr="00D52CB7">
        <w:fldChar w:fldCharType="end"/>
      </w:r>
    </w:p>
    <w:p w:rsidRPr="00D52CB7" w:rsidR="003E27DB" w:rsidRDefault="003E27DB" w14:paraId="2F96CF0A" w14:textId="16E55489">
      <w:pPr>
        <w:pStyle w:val="TOC1"/>
        <w:rPr>
          <w:rFonts w:asciiTheme="minorHAnsi" w:hAnsiTheme="minorHAnsi" w:eastAsiaTheme="minorEastAsia" w:cstheme="minorBidi"/>
          <w:smallCaps w:val="0"/>
          <w:kern w:val="2"/>
          <w:szCs w:val="24"/>
          <w14:ligatures w14:val="standardContextual"/>
        </w:rPr>
      </w:pPr>
      <w:r w:rsidRPr="00D52CB7">
        <w:lastRenderedPageBreak/>
        <w:t>Risk Factors</w:t>
      </w:r>
      <w:r w:rsidRPr="00D52CB7">
        <w:tab/>
      </w:r>
      <w:r w:rsidRPr="00D52CB7">
        <w:fldChar w:fldCharType="begin"/>
      </w:r>
      <w:r w:rsidRPr="00D52CB7">
        <w:instrText xml:space="preserve"> PAGEREF _Toc195093857 \h </w:instrText>
      </w:r>
      <w:r w:rsidRPr="00D52CB7">
        <w:fldChar w:fldCharType="separate"/>
      </w:r>
      <w:r w:rsidRPr="00D52CB7">
        <w:t>24</w:t>
      </w:r>
      <w:r w:rsidRPr="00D52CB7">
        <w:fldChar w:fldCharType="end"/>
      </w:r>
    </w:p>
    <w:p w:rsidRPr="00D52CB7" w:rsidR="003E27DB" w:rsidRDefault="003E27DB" w14:paraId="47916DC0" w14:textId="50DB98F0">
      <w:pPr>
        <w:pStyle w:val="TOC2"/>
        <w:rPr>
          <w:rFonts w:asciiTheme="minorHAnsi" w:hAnsiTheme="minorHAnsi" w:eastAsiaTheme="minorEastAsia" w:cstheme="minorBidi"/>
          <w:kern w:val="2"/>
          <w:szCs w:val="24"/>
          <w14:ligatures w14:val="standardContextual"/>
        </w:rPr>
      </w:pPr>
      <w:r w:rsidRPr="00D52CB7">
        <w:t>Limited Obligations</w:t>
      </w:r>
      <w:r w:rsidRPr="00D52CB7">
        <w:tab/>
      </w:r>
      <w:r w:rsidRPr="00D52CB7">
        <w:fldChar w:fldCharType="begin"/>
      </w:r>
      <w:r w:rsidRPr="00D52CB7">
        <w:instrText xml:space="preserve"> PAGEREF _Toc195093858 \h </w:instrText>
      </w:r>
      <w:r w:rsidRPr="00D52CB7">
        <w:fldChar w:fldCharType="separate"/>
      </w:r>
      <w:r w:rsidRPr="00D52CB7">
        <w:t>24</w:t>
      </w:r>
      <w:r w:rsidRPr="00D52CB7">
        <w:fldChar w:fldCharType="end"/>
      </w:r>
    </w:p>
    <w:p w:rsidRPr="00D52CB7" w:rsidR="003E27DB" w:rsidRDefault="003E27DB" w14:paraId="312C44A7" w14:textId="43787BBC">
      <w:pPr>
        <w:pStyle w:val="TOC2"/>
        <w:rPr>
          <w:rFonts w:asciiTheme="minorHAnsi" w:hAnsiTheme="minorHAnsi" w:eastAsiaTheme="minorEastAsia" w:cstheme="minorBidi"/>
          <w:kern w:val="2"/>
          <w:szCs w:val="24"/>
          <w14:ligatures w14:val="standardContextual"/>
        </w:rPr>
      </w:pPr>
      <w:r w:rsidRPr="00D52CB7">
        <w:t>Dependence on Charter School’s Ability to Pay Loan Payments</w:t>
      </w:r>
      <w:r w:rsidRPr="00D52CB7">
        <w:tab/>
      </w:r>
      <w:r w:rsidRPr="00D52CB7">
        <w:fldChar w:fldCharType="begin"/>
      </w:r>
      <w:r w:rsidRPr="00D52CB7">
        <w:instrText xml:space="preserve"> PAGEREF _Toc195093859 \h </w:instrText>
      </w:r>
      <w:r w:rsidRPr="00D52CB7">
        <w:fldChar w:fldCharType="separate"/>
      </w:r>
      <w:r w:rsidRPr="00D52CB7">
        <w:t>24</w:t>
      </w:r>
      <w:r w:rsidRPr="00D52CB7">
        <w:fldChar w:fldCharType="end"/>
      </w:r>
    </w:p>
    <w:p w:rsidRPr="00D52CB7" w:rsidR="003E27DB" w:rsidRDefault="003E27DB" w14:paraId="0A5295B6" w14:textId="5D511A18">
      <w:pPr>
        <w:pStyle w:val="TOC2"/>
        <w:rPr>
          <w:rFonts w:asciiTheme="minorHAnsi" w:hAnsiTheme="minorHAnsi" w:eastAsiaTheme="minorEastAsia" w:cstheme="minorBidi"/>
          <w:kern w:val="2"/>
          <w:szCs w:val="24"/>
          <w14:ligatures w14:val="standardContextual"/>
        </w:rPr>
      </w:pPr>
      <w:r w:rsidRPr="00D52CB7">
        <w:t>No Taxing Authority; Dependence on State Payments</w:t>
      </w:r>
      <w:r w:rsidRPr="00D52CB7">
        <w:tab/>
      </w:r>
      <w:r w:rsidRPr="00D52CB7">
        <w:fldChar w:fldCharType="begin"/>
      </w:r>
      <w:r w:rsidRPr="00D52CB7">
        <w:instrText xml:space="preserve"> PAGEREF _Toc195093860 \h </w:instrText>
      </w:r>
      <w:r w:rsidRPr="00D52CB7">
        <w:fldChar w:fldCharType="separate"/>
      </w:r>
      <w:r w:rsidRPr="00D52CB7">
        <w:t>24</w:t>
      </w:r>
      <w:r w:rsidRPr="00D52CB7">
        <w:fldChar w:fldCharType="end"/>
      </w:r>
    </w:p>
    <w:p w:rsidRPr="00D52CB7" w:rsidR="003E27DB" w:rsidRDefault="003E27DB" w14:paraId="1D460ED5" w14:textId="5B7EAEDC">
      <w:pPr>
        <w:pStyle w:val="TOC2"/>
        <w:rPr>
          <w:rFonts w:asciiTheme="minorHAnsi" w:hAnsiTheme="minorHAnsi" w:eastAsiaTheme="minorEastAsia" w:cstheme="minorBidi"/>
          <w:kern w:val="2"/>
          <w:szCs w:val="24"/>
          <w14:ligatures w14:val="standardContextual"/>
        </w:rPr>
      </w:pPr>
      <w:r w:rsidRPr="00D52CB7">
        <w:t>Financial Forecasts</w:t>
      </w:r>
      <w:r w:rsidRPr="00D52CB7">
        <w:tab/>
      </w:r>
      <w:r w:rsidRPr="00D52CB7">
        <w:fldChar w:fldCharType="begin"/>
      </w:r>
      <w:r w:rsidRPr="00D52CB7">
        <w:instrText xml:space="preserve"> PAGEREF _Toc195093861 \h </w:instrText>
      </w:r>
      <w:r w:rsidRPr="00D52CB7">
        <w:fldChar w:fldCharType="separate"/>
      </w:r>
      <w:r w:rsidRPr="00D52CB7">
        <w:t>25</w:t>
      </w:r>
      <w:r w:rsidRPr="00D52CB7">
        <w:fldChar w:fldCharType="end"/>
      </w:r>
    </w:p>
    <w:p w:rsidRPr="00D52CB7" w:rsidR="003E27DB" w:rsidRDefault="003E27DB" w14:paraId="23B3BF32" w14:textId="6D0A3C76">
      <w:pPr>
        <w:pStyle w:val="TOC2"/>
        <w:rPr>
          <w:rFonts w:asciiTheme="minorHAnsi" w:hAnsiTheme="minorHAnsi" w:eastAsiaTheme="minorEastAsia" w:cstheme="minorBidi"/>
          <w:kern w:val="2"/>
          <w:szCs w:val="24"/>
          <w14:ligatures w14:val="standardContextual"/>
        </w:rPr>
      </w:pPr>
      <w:r w:rsidRPr="00D52CB7">
        <w:rPr>
          <w:snapToGrid w:val="0"/>
        </w:rPr>
        <w:t>Public Health Considerations</w:t>
      </w:r>
      <w:r w:rsidRPr="00D52CB7">
        <w:tab/>
      </w:r>
      <w:r w:rsidRPr="00D52CB7">
        <w:fldChar w:fldCharType="begin"/>
      </w:r>
      <w:r w:rsidRPr="00D52CB7">
        <w:instrText xml:space="preserve"> PAGEREF _Toc195093862 \h </w:instrText>
      </w:r>
      <w:r w:rsidRPr="00D52CB7">
        <w:fldChar w:fldCharType="separate"/>
      </w:r>
      <w:r w:rsidRPr="00D52CB7">
        <w:t>25</w:t>
      </w:r>
      <w:r w:rsidRPr="00D52CB7">
        <w:fldChar w:fldCharType="end"/>
      </w:r>
    </w:p>
    <w:p w:rsidRPr="00D52CB7" w:rsidR="003E27DB" w:rsidRDefault="003E27DB" w14:paraId="41BAB562" w14:textId="0260A710">
      <w:pPr>
        <w:pStyle w:val="TOC2"/>
        <w:rPr>
          <w:rFonts w:asciiTheme="minorHAnsi" w:hAnsiTheme="minorHAnsi" w:eastAsiaTheme="minorEastAsia" w:cstheme="minorBidi"/>
          <w:kern w:val="2"/>
          <w:szCs w:val="24"/>
          <w14:ligatures w14:val="standardContextual"/>
        </w:rPr>
      </w:pPr>
      <w:r w:rsidRPr="00D52CB7">
        <w:t>Termination or Revocation of Charter Agreement</w:t>
      </w:r>
      <w:r w:rsidRPr="00D52CB7">
        <w:tab/>
      </w:r>
      <w:r w:rsidRPr="00D52CB7">
        <w:fldChar w:fldCharType="begin"/>
      </w:r>
      <w:r w:rsidRPr="00D52CB7">
        <w:instrText xml:space="preserve"> PAGEREF _Toc195093863 \h </w:instrText>
      </w:r>
      <w:r w:rsidRPr="00D52CB7">
        <w:fldChar w:fldCharType="separate"/>
      </w:r>
      <w:r w:rsidRPr="00D52CB7">
        <w:t>25</w:t>
      </w:r>
      <w:r w:rsidRPr="00D52CB7">
        <w:fldChar w:fldCharType="end"/>
      </w:r>
    </w:p>
    <w:p w:rsidRPr="00D52CB7" w:rsidR="003E27DB" w:rsidRDefault="003E27DB" w14:paraId="32CD50BC" w14:textId="4642A2E0">
      <w:pPr>
        <w:pStyle w:val="TOC2"/>
        <w:rPr>
          <w:rFonts w:asciiTheme="minorHAnsi" w:hAnsiTheme="minorHAnsi" w:eastAsiaTheme="minorEastAsia" w:cstheme="minorBidi"/>
          <w:kern w:val="2"/>
          <w:szCs w:val="24"/>
          <w14:ligatures w14:val="standardContextual"/>
        </w:rPr>
      </w:pPr>
      <w:r w:rsidRPr="00D52CB7">
        <w:t>Factors Associated with Education</w:t>
      </w:r>
      <w:r w:rsidRPr="00D52CB7">
        <w:tab/>
      </w:r>
      <w:r w:rsidRPr="00D52CB7">
        <w:fldChar w:fldCharType="begin"/>
      </w:r>
      <w:r w:rsidRPr="00D52CB7">
        <w:instrText xml:space="preserve"> PAGEREF _Toc195093864 \h </w:instrText>
      </w:r>
      <w:r w:rsidRPr="00D52CB7">
        <w:fldChar w:fldCharType="separate"/>
      </w:r>
      <w:r w:rsidRPr="00D52CB7">
        <w:t>26</w:t>
      </w:r>
      <w:r w:rsidRPr="00D52CB7">
        <w:fldChar w:fldCharType="end"/>
      </w:r>
    </w:p>
    <w:p w:rsidRPr="00D52CB7" w:rsidR="003E27DB" w:rsidRDefault="003E27DB" w14:paraId="099F17DD" w14:textId="6394E8C7">
      <w:pPr>
        <w:pStyle w:val="TOC2"/>
        <w:rPr>
          <w:rFonts w:asciiTheme="minorHAnsi" w:hAnsiTheme="minorHAnsi" w:eastAsiaTheme="minorEastAsia" w:cstheme="minorBidi"/>
          <w:kern w:val="2"/>
          <w:szCs w:val="24"/>
          <w14:ligatures w14:val="standardContextual"/>
        </w:rPr>
      </w:pPr>
      <w:r w:rsidRPr="00D52CB7">
        <w:t>Competition for Students</w:t>
      </w:r>
      <w:r w:rsidRPr="00D52CB7">
        <w:tab/>
      </w:r>
      <w:r w:rsidRPr="00D52CB7">
        <w:fldChar w:fldCharType="begin"/>
      </w:r>
      <w:r w:rsidRPr="00D52CB7">
        <w:instrText xml:space="preserve"> PAGEREF _Toc195093865 \h </w:instrText>
      </w:r>
      <w:r w:rsidRPr="00D52CB7">
        <w:fldChar w:fldCharType="separate"/>
      </w:r>
      <w:r w:rsidRPr="00D52CB7">
        <w:t>26</w:t>
      </w:r>
      <w:r w:rsidRPr="00D52CB7">
        <w:fldChar w:fldCharType="end"/>
      </w:r>
    </w:p>
    <w:p w:rsidRPr="00D52CB7" w:rsidR="003E27DB" w:rsidRDefault="003E27DB" w14:paraId="37632B6A" w14:textId="1A91441E">
      <w:pPr>
        <w:pStyle w:val="TOC2"/>
        <w:rPr>
          <w:rFonts w:asciiTheme="minorHAnsi" w:hAnsiTheme="minorHAnsi" w:eastAsiaTheme="minorEastAsia" w:cstheme="minorBidi"/>
          <w:kern w:val="2"/>
          <w:szCs w:val="24"/>
          <w14:ligatures w14:val="standardContextual"/>
        </w:rPr>
      </w:pPr>
      <w:r w:rsidRPr="00D52CB7">
        <w:t>School Choice Initiatives</w:t>
      </w:r>
      <w:r w:rsidRPr="00D52CB7">
        <w:tab/>
      </w:r>
      <w:r w:rsidRPr="00D52CB7">
        <w:fldChar w:fldCharType="begin"/>
      </w:r>
      <w:r w:rsidRPr="00D52CB7">
        <w:instrText xml:space="preserve"> PAGEREF _Toc195093866 \h </w:instrText>
      </w:r>
      <w:r w:rsidRPr="00D52CB7">
        <w:fldChar w:fldCharType="separate"/>
      </w:r>
      <w:r w:rsidRPr="00D52CB7">
        <w:t>27</w:t>
      </w:r>
      <w:r w:rsidRPr="00D52CB7">
        <w:fldChar w:fldCharType="end"/>
      </w:r>
    </w:p>
    <w:p w:rsidRPr="00D52CB7" w:rsidR="003E27DB" w:rsidRDefault="003E27DB" w14:paraId="728548D6" w14:textId="4F6DA1F3">
      <w:pPr>
        <w:pStyle w:val="TOC2"/>
        <w:rPr>
          <w:rFonts w:asciiTheme="minorHAnsi" w:hAnsiTheme="minorHAnsi" w:eastAsiaTheme="minorEastAsia" w:cstheme="minorBidi"/>
          <w:kern w:val="2"/>
          <w:szCs w:val="24"/>
          <w14:ligatures w14:val="standardContextual"/>
        </w:rPr>
      </w:pPr>
      <w:r w:rsidRPr="00D52CB7">
        <w:t>Maintenance of Credit Rating</w:t>
      </w:r>
      <w:r w:rsidRPr="00D52CB7">
        <w:tab/>
      </w:r>
      <w:r w:rsidRPr="00D52CB7">
        <w:fldChar w:fldCharType="begin"/>
      </w:r>
      <w:r w:rsidRPr="00D52CB7">
        <w:instrText xml:space="preserve"> PAGEREF _Toc195093867 \h </w:instrText>
      </w:r>
      <w:r w:rsidRPr="00D52CB7">
        <w:fldChar w:fldCharType="separate"/>
      </w:r>
      <w:r w:rsidRPr="00D52CB7">
        <w:t>27</w:t>
      </w:r>
      <w:r w:rsidRPr="00D52CB7">
        <w:fldChar w:fldCharType="end"/>
      </w:r>
    </w:p>
    <w:p w:rsidRPr="00D52CB7" w:rsidR="003E27DB" w:rsidRDefault="003E27DB" w14:paraId="7E4836F2" w14:textId="029480D2">
      <w:pPr>
        <w:pStyle w:val="TOC2"/>
        <w:rPr>
          <w:rFonts w:asciiTheme="minorHAnsi" w:hAnsiTheme="minorHAnsi" w:eastAsiaTheme="minorEastAsia" w:cstheme="minorBidi"/>
          <w:kern w:val="2"/>
          <w:szCs w:val="24"/>
          <w14:ligatures w14:val="standardContextual"/>
        </w:rPr>
      </w:pPr>
      <w:r w:rsidRPr="00D52CB7">
        <w:t>Effect of Federal Bankruptcy Laws on Security for the Series 2025 Bonds</w:t>
      </w:r>
      <w:r w:rsidRPr="00D52CB7">
        <w:tab/>
      </w:r>
      <w:r w:rsidRPr="00D52CB7">
        <w:fldChar w:fldCharType="begin"/>
      </w:r>
      <w:r w:rsidRPr="00D52CB7">
        <w:instrText xml:space="preserve"> PAGEREF _Toc195093868 \h </w:instrText>
      </w:r>
      <w:r w:rsidRPr="00D52CB7">
        <w:fldChar w:fldCharType="separate"/>
      </w:r>
      <w:r w:rsidRPr="00D52CB7">
        <w:t>27</w:t>
      </w:r>
      <w:r w:rsidRPr="00D52CB7">
        <w:fldChar w:fldCharType="end"/>
      </w:r>
    </w:p>
    <w:p w:rsidRPr="00D52CB7" w:rsidR="003E27DB" w:rsidRDefault="003E27DB" w14:paraId="3370CFD6" w14:textId="5784C2AE">
      <w:pPr>
        <w:pStyle w:val="TOC2"/>
        <w:rPr>
          <w:rFonts w:asciiTheme="minorHAnsi" w:hAnsiTheme="minorHAnsi" w:eastAsiaTheme="minorEastAsia" w:cstheme="minorBidi"/>
          <w:kern w:val="2"/>
          <w:szCs w:val="24"/>
          <w14:ligatures w14:val="standardContextual"/>
        </w:rPr>
      </w:pPr>
      <w:r w:rsidRPr="00D52CB7">
        <w:t>Additional Indebtedness and Additional Bonds</w:t>
      </w:r>
      <w:r w:rsidRPr="00D52CB7">
        <w:tab/>
      </w:r>
      <w:r w:rsidRPr="00D52CB7">
        <w:fldChar w:fldCharType="begin"/>
      </w:r>
      <w:r w:rsidRPr="00D52CB7">
        <w:instrText xml:space="preserve"> PAGEREF _Toc195093869 \h </w:instrText>
      </w:r>
      <w:r w:rsidRPr="00D52CB7">
        <w:fldChar w:fldCharType="separate"/>
      </w:r>
      <w:r w:rsidRPr="00D52CB7">
        <w:t>28</w:t>
      </w:r>
      <w:r w:rsidRPr="00D52CB7">
        <w:fldChar w:fldCharType="end"/>
      </w:r>
    </w:p>
    <w:p w:rsidRPr="00D52CB7" w:rsidR="003E27DB" w:rsidRDefault="003E27DB" w14:paraId="09E20A34" w14:textId="7651E2CE">
      <w:pPr>
        <w:pStyle w:val="TOC2"/>
        <w:rPr>
          <w:rFonts w:asciiTheme="minorHAnsi" w:hAnsiTheme="minorHAnsi" w:eastAsiaTheme="minorEastAsia" w:cstheme="minorBidi"/>
          <w:kern w:val="2"/>
          <w:szCs w:val="24"/>
          <w14:ligatures w14:val="standardContextual"/>
        </w:rPr>
      </w:pPr>
      <w:r w:rsidRPr="00D52CB7">
        <w:t>Forward-Looking Statements</w:t>
      </w:r>
      <w:r w:rsidRPr="00D52CB7">
        <w:tab/>
      </w:r>
      <w:r w:rsidRPr="00D52CB7">
        <w:fldChar w:fldCharType="begin"/>
      </w:r>
      <w:r w:rsidRPr="00D52CB7">
        <w:instrText xml:space="preserve"> PAGEREF _Toc195093870 \h </w:instrText>
      </w:r>
      <w:r w:rsidRPr="00D52CB7">
        <w:fldChar w:fldCharType="separate"/>
      </w:r>
      <w:r w:rsidRPr="00D52CB7">
        <w:t>28</w:t>
      </w:r>
      <w:r w:rsidRPr="00D52CB7">
        <w:fldChar w:fldCharType="end"/>
      </w:r>
    </w:p>
    <w:p w:rsidRPr="00D52CB7" w:rsidR="003E27DB" w:rsidRDefault="003E27DB" w14:paraId="3FAE2EFA" w14:textId="7E95ED44">
      <w:pPr>
        <w:pStyle w:val="TOC2"/>
        <w:rPr>
          <w:rFonts w:asciiTheme="minorHAnsi" w:hAnsiTheme="minorHAnsi" w:eastAsiaTheme="minorEastAsia" w:cstheme="minorBidi"/>
          <w:kern w:val="2"/>
          <w:szCs w:val="24"/>
          <w14:ligatures w14:val="standardContextual"/>
        </w:rPr>
      </w:pPr>
      <w:r w:rsidRPr="00D52CB7">
        <w:t>Property Tax Exemption</w:t>
      </w:r>
      <w:r w:rsidRPr="00D52CB7">
        <w:tab/>
      </w:r>
      <w:r w:rsidRPr="00D52CB7">
        <w:fldChar w:fldCharType="begin"/>
      </w:r>
      <w:r w:rsidRPr="00D52CB7">
        <w:instrText xml:space="preserve"> PAGEREF _Toc195093871 \h </w:instrText>
      </w:r>
      <w:r w:rsidRPr="00D52CB7">
        <w:fldChar w:fldCharType="separate"/>
      </w:r>
      <w:r w:rsidRPr="00D52CB7">
        <w:t>29</w:t>
      </w:r>
      <w:r w:rsidRPr="00D52CB7">
        <w:fldChar w:fldCharType="end"/>
      </w:r>
    </w:p>
    <w:p w:rsidRPr="00D52CB7" w:rsidR="003E27DB" w:rsidRDefault="003E27DB" w14:paraId="184D0E9B" w14:textId="5BA2B296">
      <w:pPr>
        <w:pStyle w:val="TOC2"/>
        <w:rPr>
          <w:rFonts w:asciiTheme="minorHAnsi" w:hAnsiTheme="minorHAnsi" w:eastAsiaTheme="minorEastAsia" w:cstheme="minorBidi"/>
          <w:kern w:val="2"/>
          <w:szCs w:val="24"/>
          <w14:ligatures w14:val="standardContextual"/>
        </w:rPr>
      </w:pPr>
      <w:r w:rsidRPr="00D52CB7">
        <w:t>Tax-Exempt Status of the Charter School</w:t>
      </w:r>
      <w:r w:rsidRPr="00D52CB7">
        <w:tab/>
      </w:r>
      <w:r w:rsidRPr="00D52CB7">
        <w:fldChar w:fldCharType="begin"/>
      </w:r>
      <w:r w:rsidRPr="00D52CB7">
        <w:instrText xml:space="preserve"> PAGEREF _Toc195093872 \h </w:instrText>
      </w:r>
      <w:r w:rsidRPr="00D52CB7">
        <w:fldChar w:fldCharType="separate"/>
      </w:r>
      <w:r w:rsidRPr="00D52CB7">
        <w:t>29</w:t>
      </w:r>
      <w:r w:rsidRPr="00D52CB7">
        <w:fldChar w:fldCharType="end"/>
      </w:r>
    </w:p>
    <w:p w:rsidRPr="00D52CB7" w:rsidR="003E27DB" w:rsidRDefault="003E27DB" w14:paraId="5F36055B" w14:textId="590EBB08">
      <w:pPr>
        <w:pStyle w:val="TOC2"/>
        <w:rPr>
          <w:rFonts w:asciiTheme="minorHAnsi" w:hAnsiTheme="minorHAnsi" w:eastAsiaTheme="minorEastAsia" w:cstheme="minorBidi"/>
          <w:kern w:val="2"/>
          <w:szCs w:val="24"/>
          <w14:ligatures w14:val="standardContextual"/>
        </w:rPr>
      </w:pPr>
      <w:r w:rsidRPr="00D52CB7">
        <w:t>Changes in Law; Annual Appropriation; Inadequate State Payments</w:t>
      </w:r>
      <w:r w:rsidRPr="00D52CB7">
        <w:tab/>
      </w:r>
      <w:r w:rsidRPr="00D52CB7">
        <w:fldChar w:fldCharType="begin"/>
      </w:r>
      <w:r w:rsidRPr="00D52CB7">
        <w:instrText xml:space="preserve"> PAGEREF _Toc195093873 \h </w:instrText>
      </w:r>
      <w:r w:rsidRPr="00D52CB7">
        <w:fldChar w:fldCharType="separate"/>
      </w:r>
      <w:r w:rsidRPr="00D52CB7">
        <w:t>30</w:t>
      </w:r>
      <w:r w:rsidRPr="00D52CB7">
        <w:fldChar w:fldCharType="end"/>
      </w:r>
    </w:p>
    <w:p w:rsidRPr="00D52CB7" w:rsidR="003E27DB" w:rsidRDefault="003E27DB" w14:paraId="367864FA" w14:textId="53E371D4">
      <w:pPr>
        <w:pStyle w:val="TOC2"/>
        <w:rPr>
          <w:rFonts w:asciiTheme="minorHAnsi" w:hAnsiTheme="minorHAnsi" w:eastAsiaTheme="minorEastAsia" w:cstheme="minorBidi"/>
          <w:kern w:val="2"/>
          <w:szCs w:val="24"/>
          <w14:ligatures w14:val="standardContextual"/>
        </w:rPr>
      </w:pPr>
      <w:r w:rsidRPr="00D52CB7">
        <w:t>Key Personnel</w:t>
      </w:r>
      <w:r w:rsidRPr="00D52CB7">
        <w:tab/>
      </w:r>
      <w:r w:rsidRPr="00D52CB7">
        <w:fldChar w:fldCharType="begin"/>
      </w:r>
      <w:r w:rsidRPr="00D52CB7">
        <w:instrText xml:space="preserve"> PAGEREF _Toc195093874 \h </w:instrText>
      </w:r>
      <w:r w:rsidRPr="00D52CB7">
        <w:fldChar w:fldCharType="separate"/>
      </w:r>
      <w:r w:rsidRPr="00D52CB7">
        <w:t>30</w:t>
      </w:r>
      <w:r w:rsidRPr="00D52CB7">
        <w:fldChar w:fldCharType="end"/>
      </w:r>
    </w:p>
    <w:p w:rsidRPr="00D52CB7" w:rsidR="003E27DB" w:rsidRDefault="003E27DB" w14:paraId="43C69A65" w14:textId="5C7562B2">
      <w:pPr>
        <w:pStyle w:val="TOC2"/>
        <w:rPr>
          <w:rFonts w:asciiTheme="minorHAnsi" w:hAnsiTheme="minorHAnsi" w:eastAsiaTheme="minorEastAsia" w:cstheme="minorBidi"/>
          <w:kern w:val="2"/>
          <w:szCs w:val="24"/>
          <w14:ligatures w14:val="standardContextual"/>
        </w:rPr>
      </w:pPr>
      <w:r w:rsidRPr="00D52CB7">
        <w:t>Maintenance of the Facilities</w:t>
      </w:r>
      <w:r w:rsidRPr="00D52CB7">
        <w:tab/>
      </w:r>
      <w:r w:rsidRPr="00D52CB7">
        <w:fldChar w:fldCharType="begin"/>
      </w:r>
      <w:r w:rsidRPr="00D52CB7">
        <w:instrText xml:space="preserve"> PAGEREF _Toc195093875 \h </w:instrText>
      </w:r>
      <w:r w:rsidRPr="00D52CB7">
        <w:fldChar w:fldCharType="separate"/>
      </w:r>
      <w:r w:rsidRPr="00D52CB7">
        <w:t>31</w:t>
      </w:r>
      <w:r w:rsidRPr="00D52CB7">
        <w:fldChar w:fldCharType="end"/>
      </w:r>
    </w:p>
    <w:p w:rsidRPr="00D52CB7" w:rsidR="003E27DB" w:rsidRDefault="003E27DB" w14:paraId="351DEAC9" w14:textId="3371117D">
      <w:pPr>
        <w:pStyle w:val="TOC2"/>
        <w:rPr>
          <w:rFonts w:asciiTheme="minorHAnsi" w:hAnsiTheme="minorHAnsi" w:eastAsiaTheme="minorEastAsia" w:cstheme="minorBidi"/>
          <w:kern w:val="2"/>
          <w:szCs w:val="24"/>
          <w14:ligatures w14:val="standardContextual"/>
        </w:rPr>
      </w:pPr>
      <w:r w:rsidRPr="00D52CB7">
        <w:t>General Real-Estate-Related Risks</w:t>
      </w:r>
      <w:r w:rsidRPr="00D52CB7">
        <w:tab/>
      </w:r>
      <w:r w:rsidRPr="00D52CB7">
        <w:fldChar w:fldCharType="begin"/>
      </w:r>
      <w:r w:rsidRPr="00D52CB7">
        <w:instrText xml:space="preserve"> PAGEREF _Toc195093876 \h </w:instrText>
      </w:r>
      <w:r w:rsidRPr="00D52CB7">
        <w:fldChar w:fldCharType="separate"/>
      </w:r>
      <w:r w:rsidRPr="00D52CB7">
        <w:t>31</w:t>
      </w:r>
      <w:r w:rsidRPr="00D52CB7">
        <w:fldChar w:fldCharType="end"/>
      </w:r>
    </w:p>
    <w:p w:rsidRPr="00D52CB7" w:rsidR="003E27DB" w:rsidRDefault="003E27DB" w14:paraId="57C4EF8B" w14:textId="2C4BFFB6">
      <w:pPr>
        <w:pStyle w:val="TOC2"/>
        <w:rPr>
          <w:rFonts w:asciiTheme="minorHAnsi" w:hAnsiTheme="minorHAnsi" w:eastAsiaTheme="minorEastAsia" w:cstheme="minorBidi"/>
          <w:kern w:val="2"/>
          <w:szCs w:val="24"/>
          <w14:ligatures w14:val="standardContextual"/>
        </w:rPr>
      </w:pPr>
      <w:r w:rsidRPr="00D52CB7">
        <w:t>Deed of Trust</w:t>
      </w:r>
      <w:r w:rsidRPr="00D52CB7">
        <w:tab/>
      </w:r>
      <w:r w:rsidRPr="00D52CB7">
        <w:fldChar w:fldCharType="begin"/>
      </w:r>
      <w:r w:rsidRPr="00D52CB7">
        <w:instrText xml:space="preserve"> PAGEREF _Toc195093877 \h </w:instrText>
      </w:r>
      <w:r w:rsidRPr="00D52CB7">
        <w:fldChar w:fldCharType="separate"/>
      </w:r>
      <w:r w:rsidRPr="00D52CB7">
        <w:t>32</w:t>
      </w:r>
      <w:r w:rsidRPr="00D52CB7">
        <w:fldChar w:fldCharType="end"/>
      </w:r>
    </w:p>
    <w:p w:rsidRPr="00D52CB7" w:rsidR="003E27DB" w:rsidRDefault="003E27DB" w14:paraId="39268F1F" w14:textId="01A65C3D">
      <w:pPr>
        <w:pStyle w:val="TOC2"/>
        <w:rPr>
          <w:rFonts w:asciiTheme="minorHAnsi" w:hAnsiTheme="minorHAnsi" w:eastAsiaTheme="minorEastAsia" w:cstheme="minorBidi"/>
          <w:kern w:val="2"/>
          <w:szCs w:val="24"/>
          <w14:ligatures w14:val="standardContextual"/>
        </w:rPr>
      </w:pPr>
      <w:r w:rsidRPr="00D52CB7">
        <w:t>Foreclosure Delays and Deficiency</w:t>
      </w:r>
      <w:r w:rsidRPr="00D52CB7">
        <w:tab/>
      </w:r>
      <w:r w:rsidRPr="00D52CB7">
        <w:fldChar w:fldCharType="begin"/>
      </w:r>
      <w:r w:rsidRPr="00D52CB7">
        <w:instrText xml:space="preserve"> PAGEREF _Toc195093878 \h </w:instrText>
      </w:r>
      <w:r w:rsidRPr="00D52CB7">
        <w:fldChar w:fldCharType="separate"/>
      </w:r>
      <w:r w:rsidRPr="00D52CB7">
        <w:t>32</w:t>
      </w:r>
      <w:r w:rsidRPr="00D52CB7">
        <w:fldChar w:fldCharType="end"/>
      </w:r>
    </w:p>
    <w:p w:rsidRPr="00D52CB7" w:rsidR="003E27DB" w:rsidRDefault="003E27DB" w14:paraId="174D7A1F" w14:textId="56FEB0B6">
      <w:pPr>
        <w:pStyle w:val="TOC2"/>
        <w:rPr>
          <w:rFonts w:asciiTheme="minorHAnsi" w:hAnsiTheme="minorHAnsi" w:eastAsiaTheme="minorEastAsia" w:cstheme="minorBidi"/>
          <w:kern w:val="2"/>
          <w:szCs w:val="24"/>
          <w14:ligatures w14:val="standardContextual"/>
        </w:rPr>
      </w:pPr>
      <w:r w:rsidRPr="00D52CB7">
        <w:t>CSCE Program; Debt Service Reserve Fund; Risk of Non</w:t>
      </w:r>
      <w:r w:rsidRPr="00D52CB7">
        <w:noBreakHyphen/>
        <w:t>Appropriation</w:t>
      </w:r>
      <w:r w:rsidRPr="00D52CB7">
        <w:tab/>
      </w:r>
      <w:r w:rsidRPr="00D52CB7">
        <w:fldChar w:fldCharType="begin"/>
      </w:r>
      <w:r w:rsidRPr="00D52CB7">
        <w:instrText xml:space="preserve"> PAGEREF _Toc195093879 \h </w:instrText>
      </w:r>
      <w:r w:rsidRPr="00D52CB7">
        <w:fldChar w:fldCharType="separate"/>
      </w:r>
      <w:r w:rsidRPr="00D52CB7">
        <w:t>32</w:t>
      </w:r>
      <w:r w:rsidRPr="00D52CB7">
        <w:fldChar w:fldCharType="end"/>
      </w:r>
    </w:p>
    <w:p w:rsidRPr="00D52CB7" w:rsidR="003E27DB" w:rsidRDefault="003E27DB" w14:paraId="1252B348" w14:textId="4ACA3FBC">
      <w:pPr>
        <w:pStyle w:val="TOC2"/>
        <w:rPr>
          <w:rFonts w:asciiTheme="minorHAnsi" w:hAnsiTheme="minorHAnsi" w:eastAsiaTheme="minorEastAsia" w:cstheme="minorBidi"/>
          <w:kern w:val="2"/>
          <w:szCs w:val="24"/>
          <w14:ligatures w14:val="standardContextual"/>
        </w:rPr>
      </w:pPr>
      <w:r w:rsidRPr="00D52CB7">
        <w:t>Construction Costs; Completion of the Series 2025 Project</w:t>
      </w:r>
      <w:r w:rsidRPr="00D52CB7">
        <w:tab/>
      </w:r>
      <w:r w:rsidRPr="00D52CB7">
        <w:fldChar w:fldCharType="begin"/>
      </w:r>
      <w:r w:rsidRPr="00D52CB7">
        <w:instrText xml:space="preserve"> PAGEREF _Toc195093880 \h </w:instrText>
      </w:r>
      <w:r w:rsidRPr="00D52CB7">
        <w:fldChar w:fldCharType="separate"/>
      </w:r>
      <w:r w:rsidRPr="00D52CB7">
        <w:t>33</w:t>
      </w:r>
      <w:r w:rsidRPr="00D52CB7">
        <w:fldChar w:fldCharType="end"/>
      </w:r>
    </w:p>
    <w:p w:rsidRPr="00D52CB7" w:rsidR="003E27DB" w:rsidRDefault="003E27DB" w14:paraId="09B49798" w14:textId="1E058FCE">
      <w:pPr>
        <w:pStyle w:val="TOC2"/>
        <w:rPr>
          <w:rFonts w:asciiTheme="minorHAnsi" w:hAnsiTheme="minorHAnsi" w:eastAsiaTheme="minorEastAsia" w:cstheme="minorBidi"/>
          <w:kern w:val="2"/>
          <w:szCs w:val="24"/>
          <w14:ligatures w14:val="standardContextual"/>
        </w:rPr>
      </w:pPr>
      <w:r w:rsidRPr="00D52CB7">
        <w:t>Damage or Destruction</w:t>
      </w:r>
      <w:r w:rsidRPr="00D52CB7">
        <w:tab/>
      </w:r>
      <w:r w:rsidRPr="00D52CB7">
        <w:fldChar w:fldCharType="begin"/>
      </w:r>
      <w:r w:rsidRPr="00D52CB7">
        <w:instrText xml:space="preserve"> PAGEREF _Toc195093881 \h </w:instrText>
      </w:r>
      <w:r w:rsidRPr="00D52CB7">
        <w:fldChar w:fldCharType="separate"/>
      </w:r>
      <w:r w:rsidRPr="00D52CB7">
        <w:t>34</w:t>
      </w:r>
      <w:r w:rsidRPr="00D52CB7">
        <w:fldChar w:fldCharType="end"/>
      </w:r>
    </w:p>
    <w:p w:rsidRPr="00D52CB7" w:rsidR="003E27DB" w:rsidRDefault="003E27DB" w14:paraId="70284BCD" w14:textId="447058EA">
      <w:pPr>
        <w:pStyle w:val="TOC2"/>
        <w:rPr>
          <w:rFonts w:asciiTheme="minorHAnsi" w:hAnsiTheme="minorHAnsi" w:eastAsiaTheme="minorEastAsia" w:cstheme="minorBidi"/>
          <w:kern w:val="2"/>
          <w:szCs w:val="24"/>
          <w14:ligatures w14:val="standardContextual"/>
        </w:rPr>
      </w:pPr>
      <w:r w:rsidRPr="00D52CB7">
        <w:t>Environmental Regulations</w:t>
      </w:r>
      <w:r w:rsidRPr="00D52CB7">
        <w:tab/>
      </w:r>
      <w:r w:rsidRPr="00D52CB7">
        <w:fldChar w:fldCharType="begin"/>
      </w:r>
      <w:r w:rsidRPr="00D52CB7">
        <w:instrText xml:space="preserve"> PAGEREF _Toc195093882 \h </w:instrText>
      </w:r>
      <w:r w:rsidRPr="00D52CB7">
        <w:fldChar w:fldCharType="separate"/>
      </w:r>
      <w:r w:rsidRPr="00D52CB7">
        <w:t>34</w:t>
      </w:r>
      <w:r w:rsidRPr="00D52CB7">
        <w:fldChar w:fldCharType="end"/>
      </w:r>
    </w:p>
    <w:p w:rsidRPr="00D52CB7" w:rsidR="003E27DB" w:rsidRDefault="003E27DB" w14:paraId="54F0F068" w14:textId="59B6824D">
      <w:pPr>
        <w:pStyle w:val="TOC2"/>
        <w:rPr>
          <w:rFonts w:asciiTheme="minorHAnsi" w:hAnsiTheme="minorHAnsi" w:eastAsiaTheme="minorEastAsia" w:cstheme="minorBidi"/>
          <w:kern w:val="2"/>
          <w:szCs w:val="24"/>
          <w14:ligatures w14:val="standardContextual"/>
        </w:rPr>
      </w:pPr>
      <w:r w:rsidRPr="00D52CB7">
        <w:t>Cybersecurity Risks</w:t>
      </w:r>
      <w:r w:rsidRPr="00D52CB7">
        <w:tab/>
      </w:r>
      <w:r w:rsidRPr="00D52CB7">
        <w:fldChar w:fldCharType="begin"/>
      </w:r>
      <w:r w:rsidRPr="00D52CB7">
        <w:instrText xml:space="preserve"> PAGEREF _Toc195093883 \h </w:instrText>
      </w:r>
      <w:r w:rsidRPr="00D52CB7">
        <w:fldChar w:fldCharType="separate"/>
      </w:r>
      <w:r w:rsidRPr="00D52CB7">
        <w:t>35</w:t>
      </w:r>
      <w:r w:rsidRPr="00D52CB7">
        <w:fldChar w:fldCharType="end"/>
      </w:r>
    </w:p>
    <w:p w:rsidRPr="00D52CB7" w:rsidR="003E27DB" w:rsidRDefault="003E27DB" w14:paraId="3A43A611" w14:textId="5C801C62">
      <w:pPr>
        <w:pStyle w:val="TOC2"/>
        <w:rPr>
          <w:rFonts w:asciiTheme="minorHAnsi" w:hAnsiTheme="minorHAnsi" w:eastAsiaTheme="minorEastAsia" w:cstheme="minorBidi"/>
          <w:kern w:val="2"/>
          <w:szCs w:val="24"/>
          <w14:ligatures w14:val="standardContextual"/>
        </w:rPr>
      </w:pPr>
      <w:r w:rsidRPr="00D52CB7">
        <w:t>Litigation</w:t>
      </w:r>
      <w:r w:rsidRPr="00D52CB7">
        <w:tab/>
      </w:r>
      <w:r w:rsidRPr="00D52CB7">
        <w:fldChar w:fldCharType="begin"/>
      </w:r>
      <w:r w:rsidRPr="00D52CB7">
        <w:instrText xml:space="preserve"> PAGEREF _Toc195093884 \h </w:instrText>
      </w:r>
      <w:r w:rsidRPr="00D52CB7">
        <w:fldChar w:fldCharType="separate"/>
      </w:r>
      <w:r w:rsidRPr="00D52CB7">
        <w:t>35</w:t>
      </w:r>
      <w:r w:rsidRPr="00D52CB7">
        <w:fldChar w:fldCharType="end"/>
      </w:r>
    </w:p>
    <w:p w:rsidRPr="00D52CB7" w:rsidR="003E27DB" w:rsidRDefault="003E27DB" w14:paraId="50469D50" w14:textId="71E6367F">
      <w:pPr>
        <w:pStyle w:val="TOC2"/>
        <w:rPr>
          <w:rFonts w:asciiTheme="minorHAnsi" w:hAnsiTheme="minorHAnsi" w:eastAsiaTheme="minorEastAsia" w:cstheme="minorBidi"/>
          <w:kern w:val="2"/>
          <w:szCs w:val="24"/>
          <w14:ligatures w14:val="standardContextual"/>
        </w:rPr>
      </w:pPr>
      <w:r w:rsidRPr="00D52CB7">
        <w:t>Enforcement of Remedies</w:t>
      </w:r>
      <w:r w:rsidRPr="00D52CB7">
        <w:tab/>
      </w:r>
      <w:r w:rsidRPr="00D52CB7">
        <w:fldChar w:fldCharType="begin"/>
      </w:r>
      <w:r w:rsidRPr="00D52CB7">
        <w:instrText xml:space="preserve"> PAGEREF _Toc195093885 \h </w:instrText>
      </w:r>
      <w:r w:rsidRPr="00D52CB7">
        <w:fldChar w:fldCharType="separate"/>
      </w:r>
      <w:r w:rsidRPr="00D52CB7">
        <w:t>35</w:t>
      </w:r>
      <w:r w:rsidRPr="00D52CB7">
        <w:fldChar w:fldCharType="end"/>
      </w:r>
    </w:p>
    <w:p w:rsidRPr="00D52CB7" w:rsidR="003E27DB" w:rsidRDefault="003E27DB" w14:paraId="400DD650" w14:textId="3E16AF75">
      <w:pPr>
        <w:pStyle w:val="TOC2"/>
        <w:rPr>
          <w:rFonts w:asciiTheme="minorHAnsi" w:hAnsiTheme="minorHAnsi" w:eastAsiaTheme="minorEastAsia" w:cstheme="minorBidi"/>
          <w:kern w:val="2"/>
          <w:szCs w:val="24"/>
          <w14:ligatures w14:val="standardContextual"/>
        </w:rPr>
      </w:pPr>
      <w:r w:rsidRPr="00D52CB7">
        <w:t>Failure to Provide Ongoing Disclosure</w:t>
      </w:r>
      <w:r w:rsidRPr="00D52CB7">
        <w:tab/>
      </w:r>
      <w:r w:rsidRPr="00D52CB7">
        <w:fldChar w:fldCharType="begin"/>
      </w:r>
      <w:r w:rsidRPr="00D52CB7">
        <w:instrText xml:space="preserve"> PAGEREF _Toc195093886 \h </w:instrText>
      </w:r>
      <w:r w:rsidRPr="00D52CB7">
        <w:fldChar w:fldCharType="separate"/>
      </w:r>
      <w:r w:rsidRPr="00D52CB7">
        <w:t>35</w:t>
      </w:r>
      <w:r w:rsidRPr="00D52CB7">
        <w:fldChar w:fldCharType="end"/>
      </w:r>
    </w:p>
    <w:p w:rsidRPr="00D52CB7" w:rsidR="003E27DB" w:rsidRDefault="003E27DB" w14:paraId="6DE38324" w14:textId="2FE734F7">
      <w:pPr>
        <w:pStyle w:val="TOC2"/>
        <w:rPr>
          <w:rFonts w:asciiTheme="minorHAnsi" w:hAnsiTheme="minorHAnsi" w:eastAsiaTheme="minorEastAsia" w:cstheme="minorBidi"/>
          <w:kern w:val="2"/>
          <w:szCs w:val="24"/>
          <w14:ligatures w14:val="standardContextual"/>
        </w:rPr>
      </w:pPr>
      <w:r w:rsidRPr="00D52CB7">
        <w:t>Redemption Prior to Maturity</w:t>
      </w:r>
      <w:r w:rsidRPr="00D52CB7">
        <w:tab/>
      </w:r>
      <w:r w:rsidRPr="00D52CB7">
        <w:fldChar w:fldCharType="begin"/>
      </w:r>
      <w:r w:rsidRPr="00D52CB7">
        <w:instrText xml:space="preserve"> PAGEREF _Toc195093887 \h </w:instrText>
      </w:r>
      <w:r w:rsidRPr="00D52CB7">
        <w:fldChar w:fldCharType="separate"/>
      </w:r>
      <w:r w:rsidRPr="00D52CB7">
        <w:t>36</w:t>
      </w:r>
      <w:r w:rsidRPr="00D52CB7">
        <w:fldChar w:fldCharType="end"/>
      </w:r>
    </w:p>
    <w:p w:rsidRPr="00D52CB7" w:rsidR="003E27DB" w:rsidRDefault="003E27DB" w14:paraId="4C2AF23D" w14:textId="2ECB4373">
      <w:pPr>
        <w:pStyle w:val="TOC2"/>
        <w:rPr>
          <w:rFonts w:asciiTheme="minorHAnsi" w:hAnsiTheme="minorHAnsi" w:eastAsiaTheme="minorEastAsia" w:cstheme="minorBidi"/>
          <w:kern w:val="2"/>
          <w:szCs w:val="24"/>
          <w14:ligatures w14:val="standardContextual"/>
        </w:rPr>
      </w:pPr>
      <w:r w:rsidRPr="00D52CB7">
        <w:t>Summary</w:t>
      </w:r>
      <w:r w:rsidRPr="00D52CB7">
        <w:tab/>
      </w:r>
      <w:r w:rsidRPr="00D52CB7">
        <w:fldChar w:fldCharType="begin"/>
      </w:r>
      <w:r w:rsidRPr="00D52CB7">
        <w:instrText xml:space="preserve"> PAGEREF _Toc195093888 \h </w:instrText>
      </w:r>
      <w:r w:rsidRPr="00D52CB7">
        <w:fldChar w:fldCharType="separate"/>
      </w:r>
      <w:r w:rsidRPr="00D52CB7">
        <w:t>36</w:t>
      </w:r>
      <w:r w:rsidRPr="00D52CB7">
        <w:fldChar w:fldCharType="end"/>
      </w:r>
    </w:p>
    <w:p w:rsidRPr="00D52CB7" w:rsidR="003E27DB" w:rsidRDefault="003E27DB" w14:paraId="269BF93C" w14:textId="57416AA5">
      <w:pPr>
        <w:pStyle w:val="TOC1"/>
        <w:rPr>
          <w:rFonts w:asciiTheme="minorHAnsi" w:hAnsiTheme="minorHAnsi" w:eastAsiaTheme="minorEastAsia" w:cstheme="minorBidi"/>
          <w:smallCaps w:val="0"/>
          <w:kern w:val="2"/>
          <w:szCs w:val="24"/>
          <w14:ligatures w14:val="standardContextual"/>
        </w:rPr>
      </w:pPr>
      <w:r w:rsidRPr="00D52CB7">
        <w:t>Legal Matters</w:t>
      </w:r>
      <w:r w:rsidRPr="00D52CB7">
        <w:tab/>
      </w:r>
      <w:r w:rsidRPr="00D52CB7">
        <w:fldChar w:fldCharType="begin"/>
      </w:r>
      <w:r w:rsidRPr="00D52CB7">
        <w:instrText xml:space="preserve"> PAGEREF _Toc195093889 \h </w:instrText>
      </w:r>
      <w:r w:rsidRPr="00D52CB7">
        <w:fldChar w:fldCharType="separate"/>
      </w:r>
      <w:r w:rsidRPr="00D52CB7">
        <w:t>36</w:t>
      </w:r>
      <w:r w:rsidRPr="00D52CB7">
        <w:fldChar w:fldCharType="end"/>
      </w:r>
    </w:p>
    <w:p w:rsidRPr="00D52CB7" w:rsidR="003E27DB" w:rsidRDefault="003E27DB" w14:paraId="48B53BED" w14:textId="492EA875">
      <w:pPr>
        <w:pStyle w:val="TOC2"/>
        <w:rPr>
          <w:rFonts w:asciiTheme="minorHAnsi" w:hAnsiTheme="minorHAnsi" w:eastAsiaTheme="minorEastAsia" w:cstheme="minorBidi"/>
          <w:kern w:val="2"/>
          <w:szCs w:val="24"/>
          <w14:ligatures w14:val="standardContextual"/>
        </w:rPr>
      </w:pPr>
      <w:r w:rsidRPr="00D52CB7">
        <w:t>General</w:t>
      </w:r>
      <w:r w:rsidRPr="00D52CB7">
        <w:tab/>
      </w:r>
      <w:r w:rsidRPr="00D52CB7">
        <w:fldChar w:fldCharType="begin"/>
      </w:r>
      <w:r w:rsidRPr="00D52CB7">
        <w:instrText xml:space="preserve"> PAGEREF _Toc195093890 \h </w:instrText>
      </w:r>
      <w:r w:rsidRPr="00D52CB7">
        <w:fldChar w:fldCharType="separate"/>
      </w:r>
      <w:r w:rsidRPr="00D52CB7">
        <w:t>36</w:t>
      </w:r>
      <w:r w:rsidRPr="00D52CB7">
        <w:fldChar w:fldCharType="end"/>
      </w:r>
    </w:p>
    <w:p w:rsidRPr="00D52CB7" w:rsidR="003E27DB" w:rsidRDefault="003E27DB" w14:paraId="6BC8D7B9" w14:textId="71D2DEAA">
      <w:pPr>
        <w:pStyle w:val="TOC2"/>
        <w:rPr>
          <w:rFonts w:asciiTheme="minorHAnsi" w:hAnsiTheme="minorHAnsi" w:eastAsiaTheme="minorEastAsia" w:cstheme="minorBidi"/>
          <w:kern w:val="2"/>
          <w:szCs w:val="24"/>
          <w14:ligatures w14:val="standardContextual"/>
        </w:rPr>
      </w:pPr>
      <w:r w:rsidRPr="00D52CB7">
        <w:t>Pending and Threatened Litigation</w:t>
      </w:r>
      <w:r w:rsidRPr="00D52CB7">
        <w:tab/>
      </w:r>
      <w:r w:rsidRPr="00D52CB7">
        <w:fldChar w:fldCharType="begin"/>
      </w:r>
      <w:r w:rsidRPr="00D52CB7">
        <w:instrText xml:space="preserve"> PAGEREF _Toc195093891 \h </w:instrText>
      </w:r>
      <w:r w:rsidRPr="00D52CB7">
        <w:fldChar w:fldCharType="separate"/>
      </w:r>
      <w:r w:rsidRPr="00D52CB7">
        <w:t>36</w:t>
      </w:r>
      <w:r w:rsidRPr="00D52CB7">
        <w:fldChar w:fldCharType="end"/>
      </w:r>
    </w:p>
    <w:p w:rsidRPr="00D52CB7" w:rsidR="003E27DB" w:rsidRDefault="003E27DB" w14:paraId="1308D23D" w14:textId="19A21367">
      <w:pPr>
        <w:pStyle w:val="TOC1"/>
        <w:rPr>
          <w:rFonts w:asciiTheme="minorHAnsi" w:hAnsiTheme="minorHAnsi" w:eastAsiaTheme="minorEastAsia" w:cstheme="minorBidi"/>
          <w:smallCaps w:val="0"/>
          <w:kern w:val="2"/>
          <w:szCs w:val="24"/>
          <w14:ligatures w14:val="standardContextual"/>
        </w:rPr>
      </w:pPr>
      <w:r w:rsidRPr="00D52CB7">
        <w:t>Tax Matters</w:t>
      </w:r>
      <w:r w:rsidRPr="00D52CB7">
        <w:tab/>
      </w:r>
      <w:r w:rsidRPr="00D52CB7">
        <w:fldChar w:fldCharType="begin"/>
      </w:r>
      <w:r w:rsidRPr="00D52CB7">
        <w:instrText xml:space="preserve"> PAGEREF _Toc195093892 \h </w:instrText>
      </w:r>
      <w:r w:rsidRPr="00D52CB7">
        <w:fldChar w:fldCharType="separate"/>
      </w:r>
      <w:r w:rsidRPr="00D52CB7">
        <w:t>37</w:t>
      </w:r>
      <w:r w:rsidRPr="00D52CB7">
        <w:fldChar w:fldCharType="end"/>
      </w:r>
    </w:p>
    <w:p w:rsidRPr="00D52CB7" w:rsidR="003E27DB" w:rsidRDefault="003E27DB" w14:paraId="54763591" w14:textId="20817797">
      <w:pPr>
        <w:pStyle w:val="TOC2"/>
        <w:rPr>
          <w:rFonts w:asciiTheme="minorHAnsi" w:hAnsiTheme="minorHAnsi" w:eastAsiaTheme="minorEastAsia" w:cstheme="minorBidi"/>
          <w:kern w:val="2"/>
          <w:szCs w:val="24"/>
          <w14:ligatures w14:val="standardContextual"/>
        </w:rPr>
      </w:pPr>
      <w:r w:rsidRPr="00D52CB7">
        <w:t>Federal Tax Exemption of Series 2025A Bonds</w:t>
      </w:r>
      <w:r w:rsidRPr="00D52CB7">
        <w:tab/>
      </w:r>
      <w:r w:rsidRPr="00D52CB7">
        <w:fldChar w:fldCharType="begin"/>
      </w:r>
      <w:r w:rsidRPr="00D52CB7">
        <w:instrText xml:space="preserve"> PAGEREF _Toc195093893 \h </w:instrText>
      </w:r>
      <w:r w:rsidRPr="00D52CB7">
        <w:fldChar w:fldCharType="separate"/>
      </w:r>
      <w:r w:rsidRPr="00D52CB7">
        <w:t>37</w:t>
      </w:r>
      <w:r w:rsidRPr="00D52CB7">
        <w:fldChar w:fldCharType="end"/>
      </w:r>
    </w:p>
    <w:p w:rsidRPr="00D52CB7" w:rsidR="003E27DB" w:rsidRDefault="003E27DB" w14:paraId="55F1D97C" w14:textId="13125B1A">
      <w:pPr>
        <w:pStyle w:val="TOC2"/>
        <w:rPr>
          <w:rFonts w:asciiTheme="minorHAnsi" w:hAnsiTheme="minorHAnsi" w:eastAsiaTheme="minorEastAsia" w:cstheme="minorBidi"/>
          <w:kern w:val="2"/>
          <w:szCs w:val="24"/>
          <w14:ligatures w14:val="standardContextual"/>
        </w:rPr>
      </w:pPr>
      <w:r w:rsidRPr="00D52CB7">
        <w:t>Series 2025B Bonds Federally Taxable</w:t>
      </w:r>
      <w:r w:rsidRPr="00D52CB7">
        <w:tab/>
      </w:r>
      <w:r w:rsidRPr="00D52CB7">
        <w:fldChar w:fldCharType="begin"/>
      </w:r>
      <w:r w:rsidRPr="00D52CB7">
        <w:instrText xml:space="preserve"> PAGEREF _Toc195093894 \h </w:instrText>
      </w:r>
      <w:r w:rsidRPr="00D52CB7">
        <w:fldChar w:fldCharType="separate"/>
      </w:r>
      <w:r w:rsidRPr="00D52CB7">
        <w:t>40</w:t>
      </w:r>
      <w:r w:rsidRPr="00D52CB7">
        <w:fldChar w:fldCharType="end"/>
      </w:r>
    </w:p>
    <w:p w:rsidRPr="00D52CB7" w:rsidR="003E27DB" w:rsidRDefault="003E27DB" w14:paraId="3A3153C5" w14:textId="074A158C">
      <w:pPr>
        <w:pStyle w:val="TOC2"/>
        <w:rPr>
          <w:rFonts w:asciiTheme="minorHAnsi" w:hAnsiTheme="minorHAnsi" w:eastAsiaTheme="minorEastAsia" w:cstheme="minorBidi"/>
          <w:kern w:val="2"/>
          <w:szCs w:val="24"/>
          <w14:ligatures w14:val="standardContextual"/>
        </w:rPr>
      </w:pPr>
      <w:r w:rsidRPr="00D52CB7">
        <w:t>State Tax Exemption</w:t>
      </w:r>
      <w:r w:rsidRPr="00D52CB7">
        <w:tab/>
      </w:r>
      <w:r w:rsidRPr="00D52CB7">
        <w:fldChar w:fldCharType="begin"/>
      </w:r>
      <w:r w:rsidRPr="00D52CB7">
        <w:instrText xml:space="preserve"> PAGEREF _Toc195093895 \h </w:instrText>
      </w:r>
      <w:r w:rsidRPr="00D52CB7">
        <w:fldChar w:fldCharType="separate"/>
      </w:r>
      <w:r w:rsidRPr="00D52CB7">
        <w:t>40</w:t>
      </w:r>
      <w:r w:rsidRPr="00D52CB7">
        <w:fldChar w:fldCharType="end"/>
      </w:r>
    </w:p>
    <w:p w:rsidRPr="00D52CB7" w:rsidR="003E27DB" w:rsidRDefault="003E27DB" w14:paraId="116791B9" w14:textId="362F463B">
      <w:pPr>
        <w:pStyle w:val="TOC1"/>
        <w:rPr>
          <w:rFonts w:asciiTheme="minorHAnsi" w:hAnsiTheme="minorHAnsi" w:eastAsiaTheme="minorEastAsia" w:cstheme="minorBidi"/>
          <w:smallCaps w:val="0"/>
          <w:kern w:val="2"/>
          <w:szCs w:val="24"/>
          <w14:ligatures w14:val="standardContextual"/>
        </w:rPr>
      </w:pPr>
      <w:r w:rsidRPr="00D52CB7">
        <w:t>Continuing Disclosure</w:t>
      </w:r>
      <w:r w:rsidRPr="00D52CB7">
        <w:tab/>
      </w:r>
      <w:r w:rsidRPr="00D52CB7">
        <w:fldChar w:fldCharType="begin"/>
      </w:r>
      <w:r w:rsidRPr="00D52CB7">
        <w:instrText xml:space="preserve"> PAGEREF _Toc195093896 \h </w:instrText>
      </w:r>
      <w:r w:rsidRPr="00D52CB7">
        <w:fldChar w:fldCharType="separate"/>
      </w:r>
      <w:r w:rsidRPr="00D52CB7">
        <w:t>40</w:t>
      </w:r>
      <w:r w:rsidRPr="00D52CB7">
        <w:fldChar w:fldCharType="end"/>
      </w:r>
    </w:p>
    <w:p w:rsidRPr="00D52CB7" w:rsidR="003E27DB" w:rsidRDefault="003E27DB" w14:paraId="4D4E21ED" w14:textId="430897EF">
      <w:pPr>
        <w:pStyle w:val="TOC1"/>
        <w:rPr>
          <w:rFonts w:asciiTheme="minorHAnsi" w:hAnsiTheme="minorHAnsi" w:eastAsiaTheme="minorEastAsia" w:cstheme="minorBidi"/>
          <w:smallCaps w:val="0"/>
          <w:kern w:val="2"/>
          <w:szCs w:val="24"/>
          <w14:ligatures w14:val="standardContextual"/>
        </w:rPr>
      </w:pPr>
      <w:r w:rsidRPr="00D52CB7">
        <w:lastRenderedPageBreak/>
        <w:t>Financial Statements of the Charter School</w:t>
      </w:r>
      <w:r w:rsidRPr="00D52CB7">
        <w:tab/>
      </w:r>
      <w:r w:rsidRPr="00D52CB7">
        <w:fldChar w:fldCharType="begin"/>
      </w:r>
      <w:r w:rsidRPr="00D52CB7">
        <w:instrText xml:space="preserve"> PAGEREF _Toc195093897 \h </w:instrText>
      </w:r>
      <w:r w:rsidRPr="00D52CB7">
        <w:fldChar w:fldCharType="separate"/>
      </w:r>
      <w:r w:rsidRPr="00D52CB7">
        <w:t>41</w:t>
      </w:r>
      <w:r w:rsidRPr="00D52CB7">
        <w:fldChar w:fldCharType="end"/>
      </w:r>
    </w:p>
    <w:p w:rsidRPr="00D52CB7" w:rsidR="003E27DB" w:rsidRDefault="003E27DB" w14:paraId="49785205" w14:textId="12D527C6">
      <w:pPr>
        <w:pStyle w:val="TOC1"/>
        <w:rPr>
          <w:rFonts w:asciiTheme="minorHAnsi" w:hAnsiTheme="minorHAnsi" w:eastAsiaTheme="minorEastAsia" w:cstheme="minorBidi"/>
          <w:smallCaps w:val="0"/>
          <w:kern w:val="2"/>
          <w:szCs w:val="24"/>
          <w14:ligatures w14:val="standardContextual"/>
        </w:rPr>
      </w:pPr>
      <w:r w:rsidRPr="00D52CB7">
        <w:t>Underwriting</w:t>
      </w:r>
      <w:r w:rsidRPr="00D52CB7">
        <w:tab/>
      </w:r>
      <w:r w:rsidRPr="00D52CB7">
        <w:fldChar w:fldCharType="begin"/>
      </w:r>
      <w:r w:rsidRPr="00D52CB7">
        <w:instrText xml:space="preserve"> PAGEREF _Toc195093898 \h </w:instrText>
      </w:r>
      <w:r w:rsidRPr="00D52CB7">
        <w:fldChar w:fldCharType="separate"/>
      </w:r>
      <w:r w:rsidRPr="00D52CB7">
        <w:t>41</w:t>
      </w:r>
      <w:r w:rsidRPr="00D52CB7">
        <w:fldChar w:fldCharType="end"/>
      </w:r>
    </w:p>
    <w:p w:rsidRPr="00D52CB7" w:rsidR="003E27DB" w:rsidRDefault="003E27DB" w14:paraId="27EF6A40" w14:textId="230F6B98">
      <w:pPr>
        <w:pStyle w:val="TOC1"/>
        <w:rPr>
          <w:rFonts w:asciiTheme="minorHAnsi" w:hAnsiTheme="minorHAnsi" w:eastAsiaTheme="minorEastAsia" w:cstheme="minorBidi"/>
          <w:smallCaps w:val="0"/>
          <w:kern w:val="2"/>
          <w:szCs w:val="24"/>
          <w14:ligatures w14:val="standardContextual"/>
        </w:rPr>
      </w:pPr>
      <w:r w:rsidRPr="00D52CB7">
        <w:t>Miscellaneous</w:t>
      </w:r>
      <w:r w:rsidRPr="00D52CB7">
        <w:tab/>
      </w:r>
      <w:r w:rsidRPr="00D52CB7">
        <w:fldChar w:fldCharType="begin"/>
      </w:r>
      <w:r w:rsidRPr="00D52CB7">
        <w:instrText xml:space="preserve"> PAGEREF _Toc195093899 \h </w:instrText>
      </w:r>
      <w:r w:rsidRPr="00D52CB7">
        <w:fldChar w:fldCharType="separate"/>
      </w:r>
      <w:r w:rsidRPr="00D52CB7">
        <w:t>42</w:t>
      </w:r>
      <w:r w:rsidRPr="00D52CB7">
        <w:fldChar w:fldCharType="end"/>
      </w:r>
    </w:p>
    <w:p w:rsidRPr="00D52CB7" w:rsidR="003E27DB" w:rsidRDefault="003E27DB" w14:paraId="26CBEA53" w14:textId="40A825E8">
      <w:pPr>
        <w:pStyle w:val="TOC1"/>
        <w:rPr>
          <w:rFonts w:asciiTheme="minorHAnsi" w:hAnsiTheme="minorHAnsi" w:eastAsiaTheme="minorEastAsia" w:cstheme="minorBidi"/>
          <w:smallCaps w:val="0"/>
          <w:kern w:val="2"/>
          <w:szCs w:val="24"/>
          <w14:ligatures w14:val="standardContextual"/>
        </w:rPr>
      </w:pPr>
      <w:r w:rsidRPr="00D52CB7">
        <w:t>Ratings</w:t>
      </w:r>
      <w:r w:rsidRPr="00D52CB7">
        <w:tab/>
      </w:r>
      <w:r w:rsidRPr="00D52CB7">
        <w:fldChar w:fldCharType="begin"/>
      </w:r>
      <w:r w:rsidRPr="00D52CB7">
        <w:instrText xml:space="preserve"> PAGEREF _Toc195093900 \h </w:instrText>
      </w:r>
      <w:r w:rsidRPr="00D52CB7">
        <w:fldChar w:fldCharType="separate"/>
      </w:r>
      <w:r w:rsidRPr="00D52CB7">
        <w:t>42</w:t>
      </w:r>
      <w:r w:rsidRPr="00D52CB7">
        <w:fldChar w:fldCharType="end"/>
      </w:r>
    </w:p>
    <w:p w:rsidRPr="00D52CB7" w:rsidR="003E27DB" w:rsidRDefault="003E27DB" w14:paraId="77E93A28" w14:textId="0B6B6D7F">
      <w:pPr>
        <w:pStyle w:val="TOC1"/>
        <w:rPr>
          <w:rFonts w:asciiTheme="minorHAnsi" w:hAnsiTheme="minorHAnsi" w:eastAsiaTheme="minorEastAsia" w:cstheme="minorBidi"/>
          <w:smallCaps w:val="0"/>
          <w:kern w:val="2"/>
          <w:szCs w:val="24"/>
          <w14:ligatures w14:val="standardContextual"/>
        </w:rPr>
      </w:pPr>
      <w:r w:rsidRPr="00D52CB7">
        <w:t>Financial Advisor to the Charter School</w:t>
      </w:r>
      <w:r w:rsidRPr="00D52CB7">
        <w:tab/>
      </w:r>
      <w:r w:rsidRPr="00D52CB7">
        <w:fldChar w:fldCharType="begin"/>
      </w:r>
      <w:r w:rsidRPr="00D52CB7">
        <w:instrText xml:space="preserve"> PAGEREF _Toc195093901 \h </w:instrText>
      </w:r>
      <w:r w:rsidRPr="00D52CB7">
        <w:fldChar w:fldCharType="separate"/>
      </w:r>
      <w:r w:rsidRPr="00D52CB7">
        <w:t>42</w:t>
      </w:r>
      <w:r w:rsidRPr="00D52CB7">
        <w:fldChar w:fldCharType="end"/>
      </w:r>
    </w:p>
    <w:p w:rsidRPr="00D52CB7" w:rsidR="003E27DB" w:rsidRDefault="003E27DB" w14:paraId="4968FFB9" w14:textId="6A91277F">
      <w:pPr>
        <w:pStyle w:val="TOC1"/>
        <w:rPr>
          <w:rFonts w:asciiTheme="minorHAnsi" w:hAnsiTheme="minorHAnsi" w:eastAsiaTheme="minorEastAsia" w:cstheme="minorBidi"/>
          <w:smallCaps w:val="0"/>
          <w:kern w:val="2"/>
          <w:szCs w:val="24"/>
          <w14:ligatures w14:val="standardContextual"/>
        </w:rPr>
      </w:pPr>
      <w:r w:rsidRPr="00D52CB7">
        <w:t>Trustee</w:t>
      </w:r>
      <w:r w:rsidRPr="00D52CB7">
        <w:tab/>
      </w:r>
      <w:r w:rsidRPr="00D52CB7">
        <w:fldChar w:fldCharType="begin"/>
      </w:r>
      <w:r w:rsidRPr="00D52CB7">
        <w:instrText xml:space="preserve"> PAGEREF _Toc195093902 \h </w:instrText>
      </w:r>
      <w:r w:rsidRPr="00D52CB7">
        <w:fldChar w:fldCharType="separate"/>
      </w:r>
      <w:r w:rsidRPr="00D52CB7">
        <w:t>43</w:t>
      </w:r>
      <w:r w:rsidRPr="00D52CB7">
        <w:fldChar w:fldCharType="end"/>
      </w:r>
    </w:p>
    <w:p w:rsidRPr="00D52CB7" w:rsidR="003E27DB" w:rsidRDefault="003E27DB" w14:paraId="5C274B53" w14:textId="3B240DED">
      <w:pPr>
        <w:pStyle w:val="TOC1"/>
        <w:rPr>
          <w:rFonts w:asciiTheme="minorHAnsi" w:hAnsiTheme="minorHAnsi" w:eastAsiaTheme="minorEastAsia" w:cstheme="minorBidi"/>
          <w:smallCaps w:val="0"/>
          <w:kern w:val="2"/>
          <w:szCs w:val="24"/>
          <w14:ligatures w14:val="standardContextual"/>
        </w:rPr>
      </w:pPr>
      <w:r w:rsidRPr="00D52CB7">
        <w:t>Additional Information</w:t>
      </w:r>
      <w:r w:rsidRPr="00D52CB7">
        <w:tab/>
      </w:r>
      <w:r w:rsidRPr="00D52CB7">
        <w:fldChar w:fldCharType="begin"/>
      </w:r>
      <w:r w:rsidRPr="00D52CB7">
        <w:instrText xml:space="preserve"> PAGEREF _Toc195093903 \h </w:instrText>
      </w:r>
      <w:r w:rsidRPr="00D52CB7">
        <w:fldChar w:fldCharType="separate"/>
      </w:r>
      <w:r w:rsidRPr="00D52CB7">
        <w:t>43</w:t>
      </w:r>
      <w:r w:rsidRPr="00D52CB7">
        <w:fldChar w:fldCharType="end"/>
      </w:r>
    </w:p>
    <w:p w:rsidRPr="00D52CB7" w:rsidR="003E27DB" w:rsidRDefault="003E27DB" w14:paraId="6A81974D" w14:textId="0A0C0416">
      <w:pPr>
        <w:pStyle w:val="TOC1"/>
        <w:rPr>
          <w:rFonts w:asciiTheme="minorHAnsi" w:hAnsiTheme="minorHAnsi" w:eastAsiaTheme="minorEastAsia" w:cstheme="minorBidi"/>
          <w:smallCaps w:val="0"/>
          <w:kern w:val="2"/>
          <w:szCs w:val="24"/>
          <w14:ligatures w14:val="standardContextual"/>
        </w:rPr>
      </w:pPr>
      <w:r w:rsidRPr="00D52CB7">
        <w:t>Official Statement Certification</w:t>
      </w:r>
      <w:r w:rsidRPr="00D52CB7">
        <w:tab/>
      </w:r>
      <w:r w:rsidRPr="00D52CB7">
        <w:fldChar w:fldCharType="begin"/>
      </w:r>
      <w:r w:rsidRPr="00D52CB7">
        <w:instrText xml:space="preserve"> PAGEREF _Toc195093904 \h </w:instrText>
      </w:r>
      <w:r w:rsidRPr="00D52CB7">
        <w:fldChar w:fldCharType="separate"/>
      </w:r>
      <w:r w:rsidRPr="00D52CB7">
        <w:t>43</w:t>
      </w:r>
      <w:r w:rsidRPr="00D52CB7">
        <w:fldChar w:fldCharType="end"/>
      </w:r>
    </w:p>
    <w:p w:rsidRPr="00D52CB7" w:rsidR="00B43694" w:rsidP="00743467" w:rsidRDefault="00743467" w14:paraId="5C06E3E8" w14:textId="0896513F">
      <w:pPr>
        <w:tabs>
          <w:tab w:val="left" w:pos="1350"/>
          <w:tab w:val="left" w:pos="1800"/>
          <w:tab w:val="left" w:pos="2430"/>
        </w:tabs>
        <w:spacing w:before="40" w:after="40" w:line="240" w:lineRule="exact"/>
        <w:rPr>
          <w:rFonts w:ascii="Times" w:hAnsi="Times"/>
        </w:rPr>
      </w:pPr>
      <w:r w:rsidRPr="00D52CB7">
        <w:rPr>
          <w:rFonts w:ascii="Times" w:hAnsi="Times"/>
        </w:rPr>
        <w:fldChar w:fldCharType="end"/>
      </w:r>
    </w:p>
    <w:p w:rsidRPr="00D52CB7" w:rsidR="00743467" w:rsidP="00743467" w:rsidRDefault="00743467" w14:paraId="5E16CDC0" w14:textId="03F5BDA6">
      <w:pPr>
        <w:tabs>
          <w:tab w:val="left" w:pos="1350"/>
          <w:tab w:val="left" w:pos="1800"/>
          <w:tab w:val="left" w:pos="2430"/>
        </w:tabs>
        <w:spacing w:before="40" w:after="40" w:line="240" w:lineRule="exact"/>
        <w:rPr>
          <w:rFonts w:ascii="Times" w:hAnsi="Times"/>
        </w:rPr>
      </w:pPr>
      <w:r w:rsidRPr="00D52CB7">
        <w:rPr>
          <w:rFonts w:ascii="Times" w:hAnsi="Times"/>
          <w:smallCaps/>
        </w:rPr>
        <w:t>Appendix A</w:t>
      </w:r>
      <w:r w:rsidRPr="00D52CB7">
        <w:rPr>
          <w:rFonts w:ascii="Times" w:hAnsi="Times"/>
        </w:rPr>
        <w:tab/>
        <w:t>—</w:t>
      </w:r>
      <w:r w:rsidRPr="00D52CB7">
        <w:rPr>
          <w:rFonts w:ascii="Times" w:hAnsi="Times"/>
        </w:rPr>
        <w:tab/>
      </w:r>
      <w:r w:rsidRPr="00D52CB7" w:rsidR="0013735E">
        <w:rPr>
          <w:rFonts w:ascii="Times" w:hAnsi="Times"/>
        </w:rPr>
        <w:t>Charter Schools in Utah</w:t>
      </w:r>
    </w:p>
    <w:p w:rsidRPr="00D52CB7" w:rsidR="00743467" w:rsidP="00743467" w:rsidRDefault="00743467" w14:paraId="2BE01B96" w14:textId="77777777">
      <w:pPr>
        <w:tabs>
          <w:tab w:val="left" w:pos="1350"/>
          <w:tab w:val="left" w:pos="1800"/>
          <w:tab w:val="left" w:pos="2430"/>
        </w:tabs>
        <w:ind w:left="1987" w:hanging="1987"/>
        <w:rPr>
          <w:rFonts w:ascii="Times" w:hAnsi="Times"/>
        </w:rPr>
      </w:pPr>
      <w:r w:rsidRPr="00D52CB7">
        <w:rPr>
          <w:rFonts w:ascii="Times" w:hAnsi="Times"/>
          <w:smallCaps/>
        </w:rPr>
        <w:t>Appendix B</w:t>
      </w:r>
      <w:r w:rsidRPr="00D52CB7">
        <w:rPr>
          <w:rFonts w:ascii="Times" w:hAnsi="Times"/>
        </w:rPr>
        <w:tab/>
        <w:t>—</w:t>
      </w:r>
      <w:r w:rsidRPr="00D52CB7">
        <w:rPr>
          <w:rFonts w:ascii="Times" w:hAnsi="Times"/>
        </w:rPr>
        <w:tab/>
        <w:t>The Charter School</w:t>
      </w:r>
    </w:p>
    <w:p w:rsidRPr="00D52CB7" w:rsidR="00743467" w:rsidP="00743467" w:rsidRDefault="00743467" w14:paraId="4F8F255B" w14:textId="77777777">
      <w:pPr>
        <w:tabs>
          <w:tab w:val="left" w:pos="1350"/>
          <w:tab w:val="left" w:pos="1800"/>
          <w:tab w:val="left" w:pos="2430"/>
        </w:tabs>
        <w:ind w:left="1987" w:hanging="1987"/>
        <w:rPr>
          <w:rFonts w:ascii="Times" w:hAnsi="Times"/>
        </w:rPr>
      </w:pPr>
      <w:r w:rsidRPr="00D52CB7">
        <w:rPr>
          <w:rFonts w:ascii="Times" w:hAnsi="Times"/>
          <w:smallCaps/>
        </w:rPr>
        <w:t>Appendix C</w:t>
      </w:r>
      <w:r w:rsidRPr="00D52CB7">
        <w:rPr>
          <w:rFonts w:ascii="Times" w:hAnsi="Times"/>
        </w:rPr>
        <w:tab/>
        <w:t>—</w:t>
      </w:r>
      <w:r w:rsidRPr="00D52CB7">
        <w:rPr>
          <w:rFonts w:ascii="Times" w:hAnsi="Times"/>
        </w:rPr>
        <w:tab/>
        <w:t>Financial Statements of the Charter School as of and for the</w:t>
      </w:r>
    </w:p>
    <w:p w:rsidRPr="00D52CB7" w:rsidR="00743467" w:rsidP="00743467" w:rsidRDefault="00743467" w14:paraId="4198E20F" w14:textId="3CB53FDF">
      <w:pPr>
        <w:tabs>
          <w:tab w:val="left" w:pos="1350"/>
          <w:tab w:val="left" w:pos="1800"/>
          <w:tab w:val="left" w:pos="2430"/>
        </w:tabs>
        <w:ind w:left="1987" w:hanging="1987"/>
        <w:rPr>
          <w:rFonts w:ascii="Times" w:hAnsi="Times"/>
        </w:rPr>
      </w:pPr>
      <w:r w:rsidRPr="00D52CB7">
        <w:rPr>
          <w:rFonts w:ascii="Times" w:hAnsi="Times"/>
        </w:rPr>
        <w:tab/>
      </w:r>
      <w:r w:rsidRPr="00D52CB7">
        <w:rPr>
          <w:rFonts w:ascii="Times" w:hAnsi="Times"/>
        </w:rPr>
        <w:tab/>
      </w:r>
      <w:r w:rsidRPr="00D52CB7">
        <w:rPr>
          <w:rFonts w:ascii="Times" w:hAnsi="Times"/>
        </w:rPr>
        <w:tab/>
        <w:t xml:space="preserve">Fiscal Year Ended </w:t>
      </w:r>
      <w:r w:rsidRPr="00D52CB7" w:rsidR="00AD6995">
        <w:rPr>
          <w:rFonts w:ascii="Times" w:hAnsi="Times"/>
        </w:rPr>
        <w:t>June 30, 2024</w:t>
      </w:r>
    </w:p>
    <w:p w:rsidRPr="00D52CB7" w:rsidR="00743467" w:rsidP="00743467" w:rsidRDefault="00743467" w14:paraId="212536AA" w14:textId="77777777">
      <w:pPr>
        <w:tabs>
          <w:tab w:val="left" w:pos="1350"/>
          <w:tab w:val="left" w:pos="1800"/>
          <w:tab w:val="left" w:pos="2430"/>
        </w:tabs>
        <w:ind w:left="1987" w:hanging="1987"/>
        <w:rPr>
          <w:rFonts w:ascii="Times" w:hAnsi="Times"/>
        </w:rPr>
      </w:pPr>
      <w:r w:rsidRPr="00D52CB7">
        <w:rPr>
          <w:rFonts w:ascii="Times" w:hAnsi="Times"/>
          <w:smallCaps/>
        </w:rPr>
        <w:t>Appendix D</w:t>
      </w:r>
      <w:r w:rsidRPr="00D52CB7">
        <w:rPr>
          <w:rFonts w:ascii="Times" w:hAnsi="Times"/>
        </w:rPr>
        <w:tab/>
        <w:t>—</w:t>
      </w:r>
      <w:r w:rsidRPr="00D52CB7">
        <w:rPr>
          <w:rFonts w:ascii="Times" w:hAnsi="Times"/>
        </w:rPr>
        <w:tab/>
        <w:t>Forms of Bond Documents</w:t>
      </w:r>
    </w:p>
    <w:p w:rsidRPr="00D52CB7" w:rsidR="00743467" w:rsidP="00743467" w:rsidRDefault="00743467" w14:paraId="2BAEC9BD" w14:textId="77777777">
      <w:pPr>
        <w:tabs>
          <w:tab w:val="left" w:pos="1350"/>
          <w:tab w:val="left" w:pos="1800"/>
          <w:tab w:val="left" w:pos="2340"/>
        </w:tabs>
        <w:ind w:hanging="7"/>
        <w:rPr>
          <w:rFonts w:ascii="Times" w:hAnsi="Times"/>
        </w:rPr>
      </w:pPr>
      <w:r w:rsidRPr="00D52CB7">
        <w:rPr>
          <w:rFonts w:ascii="Times" w:hAnsi="Times"/>
        </w:rPr>
        <w:tab/>
      </w:r>
      <w:r w:rsidRPr="00D52CB7">
        <w:rPr>
          <w:rFonts w:ascii="Times" w:hAnsi="Times"/>
        </w:rPr>
        <w:tab/>
      </w:r>
      <w:r w:rsidRPr="00D52CB7">
        <w:rPr>
          <w:rFonts w:ascii="Times" w:hAnsi="Times"/>
        </w:rPr>
        <w:tab/>
      </w:r>
      <w:r w:rsidRPr="00D52CB7">
        <w:rPr>
          <w:rFonts w:ascii="Times" w:hAnsi="Times"/>
        </w:rPr>
        <w:tab/>
        <w:t>Indenture</w:t>
      </w:r>
    </w:p>
    <w:p w:rsidRPr="00D52CB7" w:rsidR="00743467" w:rsidP="00743467" w:rsidRDefault="00743467" w14:paraId="6B7E110E" w14:textId="77777777">
      <w:pPr>
        <w:tabs>
          <w:tab w:val="left" w:pos="1350"/>
          <w:tab w:val="left" w:pos="1800"/>
          <w:tab w:val="left" w:pos="2340"/>
        </w:tabs>
        <w:ind w:hanging="7"/>
        <w:rPr>
          <w:rFonts w:ascii="Times" w:hAnsi="Times"/>
        </w:rPr>
      </w:pPr>
      <w:r w:rsidRPr="00D52CB7">
        <w:rPr>
          <w:rFonts w:ascii="Times" w:hAnsi="Times"/>
        </w:rPr>
        <w:tab/>
      </w:r>
      <w:r w:rsidRPr="00D52CB7">
        <w:rPr>
          <w:rFonts w:ascii="Times" w:hAnsi="Times"/>
        </w:rPr>
        <w:tab/>
      </w:r>
      <w:r w:rsidRPr="00D52CB7">
        <w:rPr>
          <w:rFonts w:ascii="Times" w:hAnsi="Times"/>
        </w:rPr>
        <w:tab/>
      </w:r>
      <w:r w:rsidRPr="00D52CB7">
        <w:rPr>
          <w:rFonts w:ascii="Times" w:hAnsi="Times"/>
        </w:rPr>
        <w:tab/>
        <w:t>Loan Agreement</w:t>
      </w:r>
    </w:p>
    <w:p w:rsidRPr="00D52CB7" w:rsidR="00743467" w:rsidP="00743467" w:rsidRDefault="00743467" w14:paraId="5E61252B" w14:textId="77777777">
      <w:pPr>
        <w:tabs>
          <w:tab w:val="left" w:pos="1350"/>
          <w:tab w:val="left" w:pos="1800"/>
          <w:tab w:val="left" w:pos="2340"/>
        </w:tabs>
        <w:ind w:hanging="7"/>
        <w:rPr>
          <w:rFonts w:ascii="Times" w:hAnsi="Times"/>
        </w:rPr>
      </w:pPr>
      <w:r w:rsidRPr="00D52CB7">
        <w:rPr>
          <w:rFonts w:ascii="Times" w:hAnsi="Times"/>
        </w:rPr>
        <w:tab/>
      </w:r>
      <w:r w:rsidRPr="00D52CB7">
        <w:rPr>
          <w:rFonts w:ascii="Times" w:hAnsi="Times"/>
        </w:rPr>
        <w:tab/>
      </w:r>
      <w:r w:rsidRPr="00D52CB7">
        <w:rPr>
          <w:rFonts w:ascii="Times" w:hAnsi="Times"/>
        </w:rPr>
        <w:tab/>
      </w:r>
      <w:r w:rsidRPr="00D52CB7">
        <w:rPr>
          <w:rFonts w:ascii="Times" w:hAnsi="Times"/>
        </w:rPr>
        <w:tab/>
        <w:t>Deed of Trust</w:t>
      </w:r>
    </w:p>
    <w:p w:rsidRPr="00D52CB7" w:rsidR="00743467" w:rsidP="00743467" w:rsidRDefault="00743467" w14:paraId="4FDBCFCA" w14:textId="77777777">
      <w:pPr>
        <w:tabs>
          <w:tab w:val="left" w:pos="1350"/>
          <w:tab w:val="left" w:pos="1800"/>
          <w:tab w:val="left" w:pos="2430"/>
        </w:tabs>
        <w:ind w:left="1987" w:hanging="1987"/>
        <w:rPr>
          <w:rFonts w:ascii="Times" w:hAnsi="Times"/>
        </w:rPr>
      </w:pPr>
      <w:r w:rsidRPr="00D52CB7">
        <w:rPr>
          <w:rFonts w:ascii="Times" w:hAnsi="Times"/>
          <w:smallCaps/>
        </w:rPr>
        <w:t>Appendix E</w:t>
      </w:r>
      <w:r w:rsidRPr="00D52CB7">
        <w:rPr>
          <w:rFonts w:ascii="Times" w:hAnsi="Times"/>
        </w:rPr>
        <w:tab/>
        <w:t>—</w:t>
      </w:r>
      <w:r w:rsidRPr="00D52CB7">
        <w:rPr>
          <w:rFonts w:ascii="Times" w:hAnsi="Times"/>
        </w:rPr>
        <w:tab/>
        <w:t>Form of Opinion of Bond Counsel</w:t>
      </w:r>
    </w:p>
    <w:p w:rsidRPr="00D52CB7" w:rsidR="00743467" w:rsidP="00743467" w:rsidRDefault="00743467" w14:paraId="3EBF6B2C" w14:textId="71CD915D">
      <w:pPr>
        <w:tabs>
          <w:tab w:val="left" w:pos="1350"/>
          <w:tab w:val="left" w:pos="1800"/>
          <w:tab w:val="left" w:pos="2430"/>
        </w:tabs>
        <w:ind w:left="1987" w:hanging="1987"/>
        <w:rPr>
          <w:rFonts w:ascii="Times" w:hAnsi="Times"/>
        </w:rPr>
      </w:pPr>
      <w:r w:rsidRPr="00D52CB7">
        <w:rPr>
          <w:rFonts w:ascii="Times" w:hAnsi="Times"/>
          <w:smallCaps/>
        </w:rPr>
        <w:t>Appendix F</w:t>
      </w:r>
      <w:r w:rsidRPr="00D52CB7">
        <w:rPr>
          <w:rFonts w:ascii="Times" w:hAnsi="Times"/>
        </w:rPr>
        <w:tab/>
        <w:t>—</w:t>
      </w:r>
      <w:r w:rsidRPr="00D52CB7">
        <w:rPr>
          <w:rFonts w:ascii="Times" w:hAnsi="Times"/>
        </w:rPr>
        <w:tab/>
        <w:t xml:space="preserve">Form of </w:t>
      </w:r>
      <w:r w:rsidRPr="00D52CB7" w:rsidR="00244666">
        <w:rPr>
          <w:rFonts w:ascii="Times" w:hAnsi="Times"/>
        </w:rPr>
        <w:t>Continuing Disclosure Agreement</w:t>
      </w:r>
    </w:p>
    <w:p w:rsidRPr="00D52CB7" w:rsidR="00743467" w:rsidP="00743467" w:rsidRDefault="00743467" w14:paraId="507F5B50" w14:textId="77777777">
      <w:pPr>
        <w:tabs>
          <w:tab w:val="left" w:pos="1440"/>
          <w:tab w:val="left" w:pos="1980"/>
        </w:tabs>
        <w:ind w:left="1987" w:hanging="1987"/>
        <w:rPr>
          <w:rFonts w:ascii="Times" w:hAnsi="Times"/>
        </w:rPr>
      </w:pPr>
    </w:p>
    <w:p w:rsidRPr="00D52CB7" w:rsidR="00743467" w:rsidP="00743467" w:rsidRDefault="00743467" w14:paraId="40DEEE38" w14:textId="77777777">
      <w:pPr>
        <w:tabs>
          <w:tab w:val="left" w:pos="1440"/>
          <w:tab w:val="left" w:pos="1980"/>
        </w:tabs>
        <w:ind w:left="1987" w:hanging="1987"/>
        <w:rPr>
          <w:rFonts w:ascii="Times" w:hAnsi="Times"/>
        </w:rPr>
        <w:sectPr w:rsidRPr="00D52CB7" w:rsidR="00743467" w:rsidSect="00236E78">
          <w:headerReference w:type="default" r:id="rId16"/>
          <w:headerReference w:type="first" r:id="rId17"/>
          <w:pgSz w:w="12240" w:h="15840"/>
          <w:pgMar w:top="1440" w:right="1440" w:bottom="1440" w:left="1440" w:header="720" w:footer="720" w:gutter="0"/>
          <w:pgNumType w:fmt="lowerRoman"/>
          <w:cols w:space="720"/>
          <w:titlePg/>
          <w:docGrid w:linePitch="326"/>
        </w:sectPr>
      </w:pPr>
    </w:p>
    <w:p w:rsidRPr="00D52CB7" w:rsidR="00743467" w:rsidP="00743467" w:rsidRDefault="00743467" w14:paraId="4365B23C" w14:textId="77777777">
      <w:pPr>
        <w:pStyle w:val="NormalCenterBold"/>
      </w:pPr>
      <w:r w:rsidRPr="00D52CB7">
        <w:lastRenderedPageBreak/>
        <w:t xml:space="preserve">Official Statement </w:t>
      </w:r>
    </w:p>
    <w:p w:rsidRPr="00D52CB7" w:rsidR="00743467" w:rsidP="00743467" w:rsidRDefault="00743467" w14:paraId="2F73841C" w14:textId="614D93DF">
      <w:pPr>
        <w:pStyle w:val="NormalCenterBold"/>
      </w:pPr>
      <w:r w:rsidRPr="00D52CB7">
        <w:t>Related to</w:t>
      </w:r>
    </w:p>
    <w:p w:rsidRPr="00D52CB7" w:rsidR="008A6721" w:rsidP="008A6721" w:rsidRDefault="008A6721" w14:paraId="39B901DE" w14:textId="77777777">
      <w:pPr>
        <w:pStyle w:val="ParaNORMAL"/>
      </w:pPr>
    </w:p>
    <w:p w:rsidRPr="00D52CB7" w:rsidR="002B65CB" w:rsidP="002B65CB" w:rsidRDefault="00743467" w14:paraId="5FA08B31" w14:textId="098985C2">
      <w:pPr>
        <w:pStyle w:val="TitleCenterBold"/>
        <w:spacing w:before="0"/>
        <w:rPr>
          <w:szCs w:val="24"/>
        </w:rPr>
      </w:pPr>
      <w:r w:rsidRPr="00D52CB7">
        <w:rPr>
          <w:szCs w:val="24"/>
        </w:rPr>
        <w:t>Utah Charter School Finance Authority</w:t>
      </w:r>
    </w:p>
    <w:p w:rsidRPr="00D52CB7" w:rsidR="00743467" w:rsidP="00743467" w:rsidRDefault="00743467" w14:paraId="7D9FF79E" w14:textId="2D08AE3E">
      <w:pPr>
        <w:pStyle w:val="TitleCenterBold"/>
        <w:spacing w:before="0"/>
        <w:rPr>
          <w:szCs w:val="24"/>
        </w:rPr>
      </w:pPr>
    </w:p>
    <w:p w:rsidRPr="00D52CB7" w:rsidR="00743467" w:rsidP="00743467" w:rsidRDefault="00743467" w14:paraId="7CEB533E" w14:textId="0FA42F07">
      <w:pPr>
        <w:pStyle w:val="ParaFLUSH"/>
        <w:spacing w:before="0" w:line="240" w:lineRule="exact"/>
        <w:ind w:left="-360"/>
        <w:jc w:val="center"/>
        <w:rPr>
          <w:b/>
          <w:smallCaps/>
          <w:sz w:val="22"/>
          <w:szCs w:val="22"/>
        </w:rPr>
      </w:pPr>
      <w:r w:rsidRPr="00D52CB7">
        <w:rPr>
          <w:b/>
          <w:smallCaps/>
          <w:sz w:val="22"/>
          <w:szCs w:val="22"/>
        </w:rPr>
        <w:t>$</w:t>
      </w:r>
      <w:r w:rsidRPr="00D52CB7" w:rsidR="00437BFE">
        <w:rPr>
          <w:b/>
          <w:smallCaps/>
          <w:sz w:val="22"/>
          <w:szCs w:val="22"/>
        </w:rPr>
        <w:t>_________</w:t>
      </w:r>
    </w:p>
    <w:p w:rsidRPr="00D52CB7" w:rsidR="00743467" w:rsidP="00743467" w:rsidRDefault="00743467" w14:paraId="6AE5729F" w14:textId="77777777">
      <w:pPr>
        <w:pStyle w:val="ParaFLUSH"/>
        <w:spacing w:before="0" w:line="240" w:lineRule="exact"/>
        <w:ind w:left="-360"/>
        <w:jc w:val="center"/>
        <w:rPr>
          <w:b/>
          <w:smallCaps/>
          <w:sz w:val="22"/>
          <w:szCs w:val="22"/>
        </w:rPr>
      </w:pPr>
      <w:r w:rsidRPr="00D52CB7">
        <w:rPr>
          <w:b/>
          <w:smallCaps/>
          <w:sz w:val="22"/>
          <w:szCs w:val="22"/>
        </w:rPr>
        <w:t>Charter School Revenue Bonds</w:t>
      </w:r>
    </w:p>
    <w:p w:rsidRPr="00D52CB7" w:rsidR="00743467" w:rsidP="00743467" w:rsidRDefault="00A02DB5" w14:paraId="7F6B3CC3" w14:textId="35F925DF">
      <w:pPr>
        <w:pStyle w:val="ParaFLUSH"/>
        <w:spacing w:before="0" w:line="240" w:lineRule="exact"/>
        <w:ind w:left="-360"/>
        <w:jc w:val="center"/>
        <w:rPr>
          <w:b/>
          <w:smallCaps/>
          <w:sz w:val="22"/>
          <w:szCs w:val="22"/>
        </w:rPr>
      </w:pPr>
      <w:r w:rsidRPr="00D52CB7">
        <w:rPr>
          <w:b/>
          <w:smallCaps/>
          <w:sz w:val="22"/>
          <w:szCs w:val="22"/>
        </w:rPr>
        <w:t>(Esperanza Elementary)</w:t>
      </w:r>
      <w:r w:rsidRPr="00D52CB7" w:rsidR="00743467">
        <w:rPr>
          <w:b/>
          <w:smallCaps/>
          <w:sz w:val="22"/>
          <w:szCs w:val="22"/>
        </w:rPr>
        <w:t>,</w:t>
      </w:r>
    </w:p>
    <w:p w:rsidRPr="00D52CB7" w:rsidR="00743467" w:rsidP="00743467" w:rsidRDefault="00743467" w14:paraId="5007008C" w14:textId="7449C66D">
      <w:pPr>
        <w:pStyle w:val="ParaFLUSH"/>
        <w:spacing w:before="0" w:line="240" w:lineRule="exact"/>
        <w:ind w:left="-360"/>
        <w:jc w:val="center"/>
        <w:rPr>
          <w:b/>
          <w:smallCaps/>
          <w:sz w:val="22"/>
          <w:szCs w:val="22"/>
        </w:rPr>
      </w:pPr>
      <w:r w:rsidRPr="00D52CB7">
        <w:rPr>
          <w:b/>
          <w:smallCaps/>
          <w:sz w:val="22"/>
          <w:szCs w:val="22"/>
        </w:rPr>
        <w:t xml:space="preserve">Series </w:t>
      </w:r>
      <w:r w:rsidRPr="00D52CB7" w:rsidR="00D50213">
        <w:rPr>
          <w:b/>
          <w:smallCaps/>
          <w:sz w:val="22"/>
          <w:szCs w:val="22"/>
        </w:rPr>
        <w:t>2025</w:t>
      </w:r>
      <w:r w:rsidRPr="00D52CB7" w:rsidR="00AD6995">
        <w:rPr>
          <w:b/>
          <w:smallCaps/>
          <w:sz w:val="22"/>
          <w:szCs w:val="22"/>
        </w:rPr>
        <w:t>A</w:t>
      </w:r>
    </w:p>
    <w:p w:rsidRPr="00D52CB7" w:rsidR="00AD6995" w:rsidP="00743467" w:rsidRDefault="00AD6995" w14:paraId="4F2CD9FA" w14:textId="229BABDA">
      <w:pPr>
        <w:pStyle w:val="ParaFLUSH"/>
        <w:spacing w:before="0" w:line="240" w:lineRule="exact"/>
        <w:ind w:left="-360"/>
        <w:jc w:val="center"/>
        <w:rPr>
          <w:b/>
          <w:smallCaps/>
          <w:sz w:val="22"/>
          <w:szCs w:val="22"/>
        </w:rPr>
      </w:pPr>
    </w:p>
    <w:p w:rsidRPr="00D52CB7" w:rsidR="00AD6995" w:rsidP="00743467" w:rsidRDefault="00AD6995" w14:paraId="67F0BFEB" w14:textId="1A1F51F4">
      <w:pPr>
        <w:pStyle w:val="ParaFLUSH"/>
        <w:spacing w:before="0" w:line="240" w:lineRule="exact"/>
        <w:ind w:left="-360"/>
        <w:jc w:val="center"/>
        <w:rPr>
          <w:b/>
          <w:smallCaps/>
          <w:sz w:val="22"/>
          <w:szCs w:val="22"/>
        </w:rPr>
      </w:pPr>
      <w:r w:rsidRPr="00D52CB7">
        <w:rPr>
          <w:b/>
          <w:smallCaps/>
          <w:sz w:val="22"/>
          <w:szCs w:val="22"/>
        </w:rPr>
        <w:t>and</w:t>
      </w:r>
    </w:p>
    <w:p w:rsidRPr="00D52CB7" w:rsidR="008A6721" w:rsidP="00743467" w:rsidRDefault="008A6721" w14:paraId="25E6020B" w14:textId="77777777">
      <w:pPr>
        <w:pStyle w:val="ParaFLUSH"/>
        <w:spacing w:before="0" w:line="240" w:lineRule="exact"/>
        <w:ind w:left="-360"/>
        <w:jc w:val="center"/>
        <w:rPr>
          <w:b/>
          <w:smallCaps/>
          <w:sz w:val="22"/>
          <w:szCs w:val="22"/>
        </w:rPr>
      </w:pPr>
    </w:p>
    <w:p w:rsidRPr="00D52CB7" w:rsidR="00AD6995" w:rsidP="00AD6995" w:rsidRDefault="00AD6995" w14:paraId="60CB29C0" w14:textId="77777777">
      <w:pPr>
        <w:pStyle w:val="ParaFLUSH"/>
        <w:spacing w:before="0" w:line="240" w:lineRule="exact"/>
        <w:jc w:val="center"/>
        <w:rPr>
          <w:b/>
          <w:smallCaps/>
          <w:sz w:val="22"/>
          <w:szCs w:val="22"/>
        </w:rPr>
      </w:pPr>
      <w:r w:rsidRPr="00D52CB7">
        <w:rPr>
          <w:b/>
          <w:smallCaps/>
          <w:sz w:val="22"/>
          <w:szCs w:val="22"/>
        </w:rPr>
        <w:t>$_________</w:t>
      </w:r>
    </w:p>
    <w:p w:rsidRPr="00D52CB7" w:rsidR="00AD6995" w:rsidP="00AD6995" w:rsidRDefault="00AD6995" w14:paraId="6D0D9FA3" w14:textId="77777777">
      <w:pPr>
        <w:pStyle w:val="ParaFLUSH"/>
        <w:spacing w:before="0" w:line="240" w:lineRule="exact"/>
        <w:jc w:val="center"/>
        <w:rPr>
          <w:b/>
          <w:smallCaps/>
          <w:sz w:val="22"/>
          <w:szCs w:val="22"/>
        </w:rPr>
      </w:pPr>
      <w:r w:rsidRPr="00D52CB7">
        <w:rPr>
          <w:b/>
          <w:smallCaps/>
          <w:sz w:val="22"/>
          <w:szCs w:val="22"/>
        </w:rPr>
        <w:t>Taxable Charter School Revenue Bonds</w:t>
      </w:r>
    </w:p>
    <w:p w:rsidRPr="00D52CB7" w:rsidR="00AD6995" w:rsidP="00AD6995" w:rsidRDefault="00AD6995" w14:paraId="3EB217D7" w14:textId="77777777">
      <w:pPr>
        <w:pStyle w:val="ParaFLUSH"/>
        <w:spacing w:before="0" w:line="240" w:lineRule="exact"/>
        <w:jc w:val="center"/>
        <w:rPr>
          <w:b/>
          <w:smallCaps/>
          <w:sz w:val="22"/>
          <w:szCs w:val="22"/>
        </w:rPr>
      </w:pPr>
      <w:r w:rsidRPr="00D52CB7">
        <w:rPr>
          <w:b/>
          <w:smallCaps/>
          <w:sz w:val="22"/>
          <w:szCs w:val="22"/>
        </w:rPr>
        <w:t xml:space="preserve">(Esperanza Elementary), </w:t>
      </w:r>
    </w:p>
    <w:p w:rsidRPr="00D52CB7" w:rsidR="00AD6995" w:rsidP="00AD6995" w:rsidRDefault="00AD6995" w14:paraId="5FE7F5BC" w14:textId="51497509">
      <w:pPr>
        <w:pStyle w:val="ParaFLUSH"/>
        <w:spacing w:before="0" w:line="240" w:lineRule="exact"/>
        <w:ind w:left="-360"/>
        <w:jc w:val="center"/>
        <w:rPr>
          <w:b/>
          <w:smallCaps/>
          <w:sz w:val="22"/>
          <w:szCs w:val="22"/>
        </w:rPr>
      </w:pPr>
      <w:r w:rsidRPr="00D52CB7">
        <w:rPr>
          <w:b/>
          <w:smallCaps/>
          <w:sz w:val="22"/>
          <w:szCs w:val="22"/>
        </w:rPr>
        <w:t>Series 2025B</w:t>
      </w:r>
    </w:p>
    <w:p w:rsidRPr="00D52CB7" w:rsidR="00743467" w:rsidP="00743467" w:rsidRDefault="00743467" w14:paraId="37ACD081" w14:textId="77777777">
      <w:pPr>
        <w:pStyle w:val="ParaFLUSH"/>
        <w:spacing w:before="0" w:line="240" w:lineRule="exact"/>
        <w:ind w:left="-360"/>
        <w:jc w:val="center"/>
        <w:rPr>
          <w:b/>
          <w:smallCaps/>
          <w:sz w:val="22"/>
          <w:szCs w:val="22"/>
        </w:rPr>
      </w:pPr>
    </w:p>
    <w:p w:rsidRPr="00D52CB7" w:rsidR="00743467" w:rsidP="00743467" w:rsidRDefault="00743467" w14:paraId="712219D9" w14:textId="77777777">
      <w:pPr>
        <w:pStyle w:val="TitleCenterBold"/>
      </w:pPr>
      <w:r w:rsidRPr="00D52CB7">
        <w:t>Introduction</w:t>
      </w:r>
      <w:r w:rsidRPr="00D52CB7">
        <w:fldChar w:fldCharType="begin"/>
      </w:r>
      <w:r w:rsidRPr="00D52CB7">
        <w:instrText>tc "</w:instrText>
      </w:r>
      <w:bookmarkStart w:name="_Toc151631020" w:id="0"/>
      <w:bookmarkStart w:name="_Toc156025648" w:id="1"/>
      <w:bookmarkStart w:name="_Toc195093824" w:id="2"/>
      <w:r w:rsidRPr="00D52CB7">
        <w:instrText>Introduction</w:instrText>
      </w:r>
      <w:bookmarkEnd w:id="0"/>
      <w:bookmarkEnd w:id="1"/>
      <w:bookmarkEnd w:id="2"/>
      <w:r w:rsidRPr="00D52CB7">
        <w:instrText>" \f C \l 1</w:instrText>
      </w:r>
      <w:r w:rsidRPr="00D52CB7">
        <w:fldChar w:fldCharType="end"/>
      </w:r>
    </w:p>
    <w:p w:rsidRPr="00D52CB7" w:rsidR="00743467" w:rsidP="00743467" w:rsidRDefault="00743467" w14:paraId="44468547" w14:textId="77777777">
      <w:pPr>
        <w:pStyle w:val="TitleLeft"/>
      </w:pPr>
      <w:r w:rsidRPr="00D52CB7">
        <w:t>General</w:t>
      </w:r>
      <w:r w:rsidRPr="00D52CB7">
        <w:fldChar w:fldCharType="begin"/>
      </w:r>
      <w:r w:rsidRPr="00D52CB7">
        <w:instrText>tc "</w:instrText>
      </w:r>
      <w:bookmarkStart w:name="_Toc151631021" w:id="3"/>
      <w:bookmarkStart w:name="_Toc156025649" w:id="4"/>
      <w:bookmarkStart w:name="_Toc195093825" w:id="5"/>
      <w:r w:rsidRPr="00D52CB7">
        <w:instrText>General</w:instrText>
      </w:r>
      <w:bookmarkEnd w:id="3"/>
      <w:bookmarkEnd w:id="4"/>
      <w:bookmarkEnd w:id="5"/>
      <w:r w:rsidRPr="00D52CB7">
        <w:instrText>" \f C \l 2</w:instrText>
      </w:r>
      <w:r w:rsidRPr="00D52CB7">
        <w:fldChar w:fldCharType="end"/>
      </w:r>
    </w:p>
    <w:p w:rsidRPr="00D52CB7" w:rsidR="00743467" w:rsidP="00743467" w:rsidRDefault="00743467" w14:paraId="6073E0EA" w14:textId="771AFC4A">
      <w:pPr>
        <w:pStyle w:val="ParaNORMAL"/>
      </w:pPr>
      <w:r w:rsidRPr="00D52CB7">
        <w:t xml:space="preserve">The purpose of this Official Statement is to provide certain information concerning (i) the Utah Charter School Finance Authority’s (the </w:t>
      </w:r>
      <w:r w:rsidRPr="00D52CB7">
        <w:rPr>
          <w:i/>
        </w:rPr>
        <w:t>“Issuer”</w:t>
      </w:r>
      <w:r w:rsidRPr="00D52CB7">
        <w:t xml:space="preserve">) </w:t>
      </w:r>
      <w:r w:rsidRPr="00D52CB7">
        <w:rPr>
          <w:szCs w:val="24"/>
        </w:rPr>
        <w:t>$</w:t>
      </w:r>
      <w:r w:rsidRPr="00D52CB7" w:rsidR="00437BFE">
        <w:rPr>
          <w:szCs w:val="24"/>
        </w:rPr>
        <w:t>_________</w:t>
      </w:r>
      <w:r w:rsidRPr="00D52CB7">
        <w:rPr>
          <w:szCs w:val="24"/>
        </w:rPr>
        <w:t xml:space="preserve"> aggregate principal amount of Charter School Revenue Bonds </w:t>
      </w:r>
      <w:r w:rsidRPr="00D52CB7" w:rsidR="00A02DB5">
        <w:rPr>
          <w:szCs w:val="24"/>
        </w:rPr>
        <w:t>(Esperanza Elementary)</w:t>
      </w:r>
      <w:r w:rsidRPr="00D52CB7">
        <w:rPr>
          <w:szCs w:val="24"/>
        </w:rPr>
        <w:t xml:space="preserve">, Series </w:t>
      </w:r>
      <w:r w:rsidRPr="00D52CB7" w:rsidR="00D50213">
        <w:rPr>
          <w:szCs w:val="24"/>
        </w:rPr>
        <w:t>2025</w:t>
      </w:r>
      <w:r w:rsidRPr="00D52CB7" w:rsidR="008A6721">
        <w:rPr>
          <w:szCs w:val="24"/>
        </w:rPr>
        <w:t>A</w:t>
      </w:r>
      <w:r w:rsidRPr="00D52CB7">
        <w:rPr>
          <w:szCs w:val="24"/>
        </w:rPr>
        <w:t xml:space="preserve"> (the </w:t>
      </w:r>
      <w:r w:rsidRPr="00D52CB7">
        <w:rPr>
          <w:i/>
          <w:szCs w:val="24"/>
        </w:rPr>
        <w:t>“</w:t>
      </w:r>
      <w:r w:rsidRPr="00D52CB7" w:rsidR="00B935C1">
        <w:rPr>
          <w:i/>
          <w:szCs w:val="24"/>
        </w:rPr>
        <w:t xml:space="preserve">Series </w:t>
      </w:r>
      <w:r w:rsidRPr="00D52CB7" w:rsidR="00D50213">
        <w:rPr>
          <w:i/>
          <w:szCs w:val="24"/>
        </w:rPr>
        <w:t>2025</w:t>
      </w:r>
      <w:r w:rsidRPr="00D52CB7" w:rsidR="008A6721">
        <w:rPr>
          <w:i/>
          <w:szCs w:val="24"/>
        </w:rPr>
        <w:t>A</w:t>
      </w:r>
      <w:r w:rsidRPr="00D52CB7" w:rsidR="00B935C1">
        <w:rPr>
          <w:i/>
          <w:szCs w:val="24"/>
        </w:rPr>
        <w:t xml:space="preserve"> Bond</w:t>
      </w:r>
      <w:r w:rsidRPr="00D52CB7">
        <w:rPr>
          <w:i/>
          <w:szCs w:val="24"/>
        </w:rPr>
        <w:t>s”</w:t>
      </w:r>
      <w:r w:rsidRPr="00D52CB7">
        <w:rPr>
          <w:szCs w:val="24"/>
        </w:rPr>
        <w:t>)</w:t>
      </w:r>
      <w:r w:rsidRPr="00D52CB7" w:rsidR="008A6721">
        <w:rPr>
          <w:szCs w:val="24"/>
        </w:rPr>
        <w:t xml:space="preserve"> and $_________ aggregate principal amount of Taxable Charter School Revenue Bonds (Esperanza Elementary), Series 2025B (the </w:t>
      </w:r>
      <w:r w:rsidRPr="00D52CB7" w:rsidR="008A6721">
        <w:rPr>
          <w:i/>
          <w:szCs w:val="24"/>
        </w:rPr>
        <w:t>“Series 2025B Bonds”</w:t>
      </w:r>
      <w:r w:rsidRPr="00D52CB7" w:rsidR="008A6721">
        <w:rPr>
          <w:iCs/>
          <w:szCs w:val="24"/>
        </w:rPr>
        <w:t xml:space="preserve"> and, together with the Series 2025A Bonds, the </w:t>
      </w:r>
      <w:r w:rsidRPr="00D52CB7" w:rsidR="008A6721">
        <w:rPr>
          <w:i/>
          <w:szCs w:val="24"/>
        </w:rPr>
        <w:t>“Series 2025 Bonds”</w:t>
      </w:r>
      <w:r w:rsidRPr="00D52CB7" w:rsidR="008A6721">
        <w:rPr>
          <w:szCs w:val="24"/>
        </w:rPr>
        <w:t>)</w:t>
      </w:r>
      <w:r w:rsidRPr="00D52CB7">
        <w:rPr>
          <w:szCs w:val="24"/>
        </w:rPr>
        <w:t xml:space="preserve">, and (ii) </w:t>
      </w:r>
      <w:r w:rsidRPr="00D52CB7" w:rsidR="00B85642">
        <w:rPr>
          <w:szCs w:val="24"/>
        </w:rPr>
        <w:t xml:space="preserve">Generacion </w:t>
      </w:r>
      <w:proofErr w:type="spellStart"/>
      <w:r w:rsidRPr="00D52CB7" w:rsidR="00B85642">
        <w:rPr>
          <w:szCs w:val="24"/>
        </w:rPr>
        <w:t>Floreciente</w:t>
      </w:r>
      <w:proofErr w:type="spellEnd"/>
      <w:r w:rsidRPr="00D52CB7" w:rsidR="00B85642">
        <w:rPr>
          <w:szCs w:val="24"/>
        </w:rPr>
        <w:t xml:space="preserve"> dba Esperanza Elementary</w:t>
      </w:r>
      <w:r w:rsidRPr="00D52CB7">
        <w:rPr>
          <w:szCs w:val="24"/>
        </w:rPr>
        <w:t xml:space="preserve"> (the </w:t>
      </w:r>
      <w:r w:rsidRPr="00D52CB7">
        <w:rPr>
          <w:i/>
          <w:szCs w:val="24"/>
        </w:rPr>
        <w:t xml:space="preserve">“Charter School” </w:t>
      </w:r>
      <w:r w:rsidRPr="00D52CB7">
        <w:rPr>
          <w:szCs w:val="24"/>
        </w:rPr>
        <w:t>or</w:t>
      </w:r>
      <w:r w:rsidRPr="00D52CB7">
        <w:rPr>
          <w:i/>
          <w:szCs w:val="24"/>
        </w:rPr>
        <w:t xml:space="preserve"> “Borrower”</w:t>
      </w:r>
      <w:r w:rsidRPr="00D52CB7">
        <w:rPr>
          <w:szCs w:val="24"/>
        </w:rPr>
        <w:t>).</w:t>
      </w:r>
    </w:p>
    <w:p w:rsidRPr="00D52CB7" w:rsidR="00743467" w:rsidP="00743467" w:rsidRDefault="00743467" w14:paraId="58884EF7" w14:textId="627FB809">
      <w:pPr>
        <w:pStyle w:val="ParaNORMAL"/>
      </w:pPr>
      <w:r w:rsidRPr="00D52CB7">
        <w:t xml:space="preserve">The </w:t>
      </w:r>
      <w:r w:rsidRPr="00D52CB7" w:rsidR="00B935C1">
        <w:t xml:space="preserve">Series </w:t>
      </w:r>
      <w:r w:rsidRPr="00D52CB7" w:rsidR="00D50213">
        <w:t>2025</w:t>
      </w:r>
      <w:r w:rsidRPr="00D52CB7" w:rsidR="00B935C1">
        <w:t xml:space="preserve"> Bond</w:t>
      </w:r>
      <w:r w:rsidRPr="00D52CB7">
        <w:t xml:space="preserve">s are being issued pursuant to an Indenture of Trust, dated as of </w:t>
      </w:r>
      <w:r w:rsidR="00631E13">
        <w:t>November 1, 2025</w:t>
      </w:r>
      <w:r w:rsidRPr="00D52CB7">
        <w:t xml:space="preserve"> (the </w:t>
      </w:r>
      <w:r w:rsidRPr="00D52CB7">
        <w:rPr>
          <w:i/>
        </w:rPr>
        <w:t>“Indenture”</w:t>
      </w:r>
      <w:r w:rsidRPr="00D52CB7">
        <w:t xml:space="preserve">), between the Issuer and </w:t>
      </w:r>
      <w:r w:rsidRPr="00D52CB7" w:rsidR="00C377B9">
        <w:t>Zions Bancorporation, National Association</w:t>
      </w:r>
      <w:r w:rsidRPr="00D52CB7">
        <w:t>, as trustee (the</w:t>
      </w:r>
      <w:r w:rsidRPr="00D52CB7">
        <w:rPr>
          <w:i/>
        </w:rPr>
        <w:t xml:space="preserve"> “Trustee”</w:t>
      </w:r>
      <w:r w:rsidRPr="00D52CB7">
        <w:t xml:space="preserve">).  The offering of the </w:t>
      </w:r>
      <w:r w:rsidRPr="00D52CB7" w:rsidR="00B935C1">
        <w:t xml:space="preserve">Series </w:t>
      </w:r>
      <w:r w:rsidRPr="00D52CB7" w:rsidR="00D50213">
        <w:t>2025</w:t>
      </w:r>
      <w:r w:rsidRPr="00D52CB7" w:rsidR="00B935C1">
        <w:t xml:space="preserve"> Bond</w:t>
      </w:r>
      <w:r w:rsidRPr="00D52CB7">
        <w:t xml:space="preserve">s is made only by way of this Official Statement, which supersedes any other information or materials used in connection with the offer or sale of the </w:t>
      </w:r>
      <w:r w:rsidRPr="00D52CB7" w:rsidR="00B935C1">
        <w:t xml:space="preserve">Series </w:t>
      </w:r>
      <w:r w:rsidRPr="00D52CB7" w:rsidR="00D50213">
        <w:t>2025</w:t>
      </w:r>
      <w:r w:rsidRPr="00D52CB7" w:rsidR="00B935C1">
        <w:t xml:space="preserve"> Bond</w:t>
      </w:r>
      <w:r w:rsidRPr="00D52CB7">
        <w:t>s.  This Official Statement speaks only as of its date and the information contained herein is subject to change.  Capitalized terms used herein and not otherwise defined herein shall have the meanings set forth in “</w:t>
      </w:r>
      <w:r w:rsidRPr="00D52CB7">
        <w:rPr>
          <w:smallCaps/>
        </w:rPr>
        <w:t>Appendix D—Forms of Bond Documents</w:t>
      </w:r>
      <w:r w:rsidRPr="00D52CB7">
        <w:t>.”</w:t>
      </w:r>
    </w:p>
    <w:p w:rsidRPr="00D52CB7" w:rsidR="00743467" w:rsidP="00743467" w:rsidRDefault="00743467" w14:paraId="004A5165" w14:textId="103F97F4">
      <w:pPr>
        <w:pStyle w:val="TitleLeft"/>
      </w:pPr>
      <w:r w:rsidRPr="00D52CB7">
        <w:t xml:space="preserve">Purpose of the </w:t>
      </w:r>
      <w:r w:rsidRPr="00D52CB7" w:rsidR="00B935C1">
        <w:t xml:space="preserve">Series </w:t>
      </w:r>
      <w:r w:rsidRPr="00D52CB7" w:rsidR="00D50213">
        <w:t>2025</w:t>
      </w:r>
      <w:r w:rsidRPr="00D52CB7" w:rsidR="00B935C1">
        <w:t xml:space="preserve"> Bond</w:t>
      </w:r>
      <w:r w:rsidRPr="00D52CB7">
        <w:t xml:space="preserve">s </w:t>
      </w:r>
      <w:r w:rsidRPr="00D52CB7">
        <w:fldChar w:fldCharType="begin"/>
      </w:r>
      <w:r w:rsidRPr="00D52CB7">
        <w:instrText>tc "</w:instrText>
      </w:r>
      <w:bookmarkStart w:name="_Toc151631022" w:id="6"/>
      <w:bookmarkStart w:name="_Toc156025650" w:id="7"/>
      <w:r w:rsidRPr="00D52CB7">
        <w:instrText xml:space="preserve">Purpose of the Series </w:instrText>
      </w:r>
      <w:r w:rsidRPr="00D52CB7" w:rsidR="00D50213">
        <w:instrText>2025</w:instrText>
      </w:r>
      <w:r w:rsidRPr="00D52CB7">
        <w:instrText xml:space="preserve"> Bonds</w:instrText>
      </w:r>
      <w:bookmarkEnd w:id="6"/>
      <w:bookmarkEnd w:id="7"/>
      <w:r w:rsidRPr="00D52CB7">
        <w:instrText>" \f 67 \l 2</w:instrText>
      </w:r>
      <w:r w:rsidRPr="00D52CB7">
        <w:fldChar w:fldCharType="end"/>
      </w:r>
    </w:p>
    <w:p w:rsidRPr="00D52CB7" w:rsidR="00012CFD" w:rsidP="0064142C" w:rsidRDefault="00743467" w14:paraId="68F89644" w14:textId="745E14AC">
      <w:pPr>
        <w:pStyle w:val="ParaNORMAL"/>
        <w:rPr>
          <w:szCs w:val="24"/>
        </w:rPr>
      </w:pPr>
      <w:r w:rsidRPr="00D52CB7">
        <w:rPr>
          <w:szCs w:val="24"/>
        </w:rPr>
        <w:t xml:space="preserve">Proceeds from the sale of the </w:t>
      </w:r>
      <w:r w:rsidRPr="00D52CB7" w:rsidR="00B935C1">
        <w:rPr>
          <w:szCs w:val="24"/>
        </w:rPr>
        <w:t xml:space="preserve">Series </w:t>
      </w:r>
      <w:r w:rsidRPr="00D52CB7" w:rsidR="00D50213">
        <w:rPr>
          <w:szCs w:val="24"/>
        </w:rPr>
        <w:t>2025</w:t>
      </w:r>
      <w:r w:rsidRPr="00D52CB7" w:rsidR="00B935C1">
        <w:rPr>
          <w:szCs w:val="24"/>
        </w:rPr>
        <w:t xml:space="preserve"> Bond</w:t>
      </w:r>
      <w:r w:rsidRPr="00D52CB7">
        <w:rPr>
          <w:szCs w:val="24"/>
        </w:rPr>
        <w:t xml:space="preserve">s will be loaned to the Charter School pursuant to a Loan Agreement, dated as of </w:t>
      </w:r>
      <w:r w:rsidR="00631E13">
        <w:rPr>
          <w:szCs w:val="24"/>
        </w:rPr>
        <w:t>November 1, 2025</w:t>
      </w:r>
      <w:r w:rsidRPr="00D52CB7">
        <w:rPr>
          <w:szCs w:val="24"/>
        </w:rPr>
        <w:t xml:space="preserve"> (the </w:t>
      </w:r>
      <w:r w:rsidRPr="00D52CB7">
        <w:rPr>
          <w:i/>
          <w:szCs w:val="24"/>
        </w:rPr>
        <w:t>“Loan Agreement”</w:t>
      </w:r>
      <w:r w:rsidRPr="00D52CB7">
        <w:rPr>
          <w:szCs w:val="24"/>
        </w:rPr>
        <w:t xml:space="preserve">), between the Issuer and the Charter School, and used for the </w:t>
      </w:r>
      <w:r w:rsidRPr="00D52CB7" w:rsidR="00920349">
        <w:t xml:space="preserve">purpose of </w:t>
      </w:r>
      <w:r w:rsidRPr="00D52CB7" w:rsidR="00012CFD">
        <w:rPr>
          <w:szCs w:val="24"/>
        </w:rPr>
        <w:t xml:space="preserve">(i) financing the costs of construction of an expansion (the </w:t>
      </w:r>
      <w:r w:rsidRPr="00D52CB7" w:rsidR="00012CFD">
        <w:rPr>
          <w:i/>
          <w:iCs/>
          <w:szCs w:val="24"/>
        </w:rPr>
        <w:t>“</w:t>
      </w:r>
      <w:r w:rsidRPr="00D52CB7" w:rsidR="00225CBA">
        <w:rPr>
          <w:i/>
          <w:iCs/>
          <w:szCs w:val="24"/>
        </w:rPr>
        <w:t>Series 2025 Project</w:t>
      </w:r>
      <w:r w:rsidRPr="00D52CB7" w:rsidR="00012CFD">
        <w:rPr>
          <w:i/>
          <w:iCs/>
          <w:szCs w:val="24"/>
        </w:rPr>
        <w:t>”</w:t>
      </w:r>
      <w:r w:rsidRPr="00D52CB7" w:rsidR="00012CFD">
        <w:rPr>
          <w:szCs w:val="24"/>
        </w:rPr>
        <w:t xml:space="preserve">) to the Charter School’s existing charter school facilities located at 4956 West 3500 South, West Valley City, Salt Lake County, Utah (the </w:t>
      </w:r>
      <w:r w:rsidRPr="00D52CB7" w:rsidR="00012CFD">
        <w:rPr>
          <w:i/>
          <w:iCs/>
          <w:szCs w:val="24"/>
        </w:rPr>
        <w:lastRenderedPageBreak/>
        <w:t>“Existing Facilities”</w:t>
      </w:r>
      <w:r w:rsidRPr="00D52CB7" w:rsidR="00012CFD">
        <w:rPr>
          <w:szCs w:val="24"/>
        </w:rPr>
        <w:t xml:space="preserve">), (ii) provide for capitalized interest, (iii) refund the Authority’s outstanding Charter School Revenue Bonds (Esperanza Elementary School Project), Series 2018A (the </w:t>
      </w:r>
      <w:r w:rsidRPr="00D52CB7" w:rsidR="00012CFD">
        <w:rPr>
          <w:i/>
          <w:iCs/>
          <w:szCs w:val="24"/>
        </w:rPr>
        <w:t>“Refunded Bonds”</w:t>
      </w:r>
      <w:r w:rsidRPr="00D52CB7" w:rsidR="00012CFD">
        <w:rPr>
          <w:szCs w:val="24"/>
        </w:rPr>
        <w:t>), (iv) fund a debt service reserve fund as set forth herein, and (v) pay certain issuance expenses.</w:t>
      </w:r>
    </w:p>
    <w:p w:rsidRPr="00D52CB7" w:rsidR="00743467" w:rsidP="00743467" w:rsidRDefault="00743467" w14:paraId="1D9074FF" w14:textId="2FE9FD98">
      <w:pPr>
        <w:pStyle w:val="TitleLeft"/>
      </w:pPr>
      <w:r w:rsidRPr="00D52CB7">
        <w:t xml:space="preserve">Security for the </w:t>
      </w:r>
      <w:r w:rsidRPr="00D52CB7" w:rsidR="00B935C1">
        <w:t xml:space="preserve">Series </w:t>
      </w:r>
      <w:r w:rsidRPr="00D52CB7" w:rsidR="00D50213">
        <w:t>2025</w:t>
      </w:r>
      <w:r w:rsidRPr="00D52CB7" w:rsidR="00B935C1">
        <w:t xml:space="preserve"> Bond</w:t>
      </w:r>
      <w:r w:rsidRPr="00D52CB7">
        <w:t>s</w:t>
      </w:r>
      <w:r w:rsidRPr="00D52CB7">
        <w:fldChar w:fldCharType="begin"/>
      </w:r>
      <w:r w:rsidRPr="00D52CB7">
        <w:instrText>tc "</w:instrText>
      </w:r>
      <w:bookmarkStart w:name="_Toc151631023" w:id="8"/>
      <w:bookmarkStart w:name="_Toc156025651" w:id="9"/>
      <w:bookmarkStart w:name="_Toc195093826" w:id="10"/>
      <w:r w:rsidRPr="00D52CB7">
        <w:instrText xml:space="preserve">Security for the Series </w:instrText>
      </w:r>
      <w:r w:rsidRPr="00D52CB7" w:rsidR="00D50213">
        <w:instrText>2025</w:instrText>
      </w:r>
      <w:r w:rsidRPr="00D52CB7">
        <w:instrText xml:space="preserve"> Bonds</w:instrText>
      </w:r>
      <w:bookmarkEnd w:id="8"/>
      <w:bookmarkEnd w:id="9"/>
      <w:bookmarkEnd w:id="10"/>
      <w:r w:rsidRPr="00D52CB7">
        <w:instrText>" \f C \l 2</w:instrText>
      </w:r>
      <w:r w:rsidRPr="00D52CB7">
        <w:fldChar w:fldCharType="end"/>
      </w:r>
    </w:p>
    <w:p w:rsidRPr="00D52CB7" w:rsidR="005D76C1" w:rsidP="005D76C1" w:rsidRDefault="005D76C1" w14:paraId="6B838016" w14:textId="7520D7B0">
      <w:pPr>
        <w:pStyle w:val="ParaNORMAL"/>
      </w:pPr>
      <w:r w:rsidRPr="00D52CB7">
        <w:t xml:space="preserve">The </w:t>
      </w:r>
      <w:r w:rsidRPr="00D52CB7" w:rsidR="00B935C1">
        <w:t xml:space="preserve">Series </w:t>
      </w:r>
      <w:r w:rsidRPr="00D52CB7" w:rsidR="00D50213">
        <w:t>2025</w:t>
      </w:r>
      <w:r w:rsidRPr="00D52CB7" w:rsidR="00B935C1">
        <w:t xml:space="preserve"> Bond</w:t>
      </w:r>
      <w:r w:rsidRPr="00D52CB7">
        <w:t xml:space="preserve">s are limited obligations of the Issuer.  The </w:t>
      </w:r>
      <w:r w:rsidRPr="00D52CB7" w:rsidR="00B935C1">
        <w:t xml:space="preserve">Series </w:t>
      </w:r>
      <w:r w:rsidRPr="00D52CB7" w:rsidR="00D50213">
        <w:t>2025</w:t>
      </w:r>
      <w:r w:rsidRPr="00D52CB7" w:rsidR="00B935C1">
        <w:t xml:space="preserve"> Bond</w:t>
      </w:r>
      <w:r w:rsidRPr="00D52CB7">
        <w:t>s are secured solely by the Trust Estate, which is limited to (i) the rights and interests of the Issuer under the Loan Agreement; (ii) the Facilities and the Issuer’s rights and interests in the Facilities; (iii) the Pledged Revenues (as defined below under “</w:t>
      </w:r>
      <w:r w:rsidRPr="00D52CB7">
        <w:rPr>
          <w:smallCaps/>
        </w:rPr>
        <w:t xml:space="preserve">Security for the </w:t>
      </w:r>
      <w:r w:rsidRPr="00D52CB7" w:rsidR="00B935C1">
        <w:rPr>
          <w:smallCaps/>
        </w:rPr>
        <w:t xml:space="preserve">Series </w:t>
      </w:r>
      <w:r w:rsidRPr="00D52CB7" w:rsidR="00D50213">
        <w:rPr>
          <w:smallCaps/>
        </w:rPr>
        <w:t>2025</w:t>
      </w:r>
      <w:r w:rsidRPr="00D52CB7" w:rsidR="00B935C1">
        <w:rPr>
          <w:smallCaps/>
        </w:rPr>
        <w:t xml:space="preserve"> Bond</w:t>
      </w:r>
      <w:r w:rsidRPr="00D52CB7">
        <w:rPr>
          <w:smallCaps/>
        </w:rPr>
        <w:t>s</w:t>
      </w:r>
      <w:r w:rsidRPr="00D52CB7">
        <w:t xml:space="preserve">”) and the Issuer’s rights and interests in the Pledged Revenues; (iv) the rights and interests of the Issuer and the Charter School under the Deed of Trust, Assignment of Rents and Leases, Security Agreement, and Fixture Filing, dated as of </w:t>
      </w:r>
      <w:r w:rsidR="00631E13">
        <w:t>November 1, 2025</w:t>
      </w:r>
      <w:r w:rsidRPr="00D52CB7">
        <w:t xml:space="preserve">, on the Facilities (the </w:t>
      </w:r>
      <w:r w:rsidRPr="00D52CB7">
        <w:rPr>
          <w:i/>
        </w:rPr>
        <w:t>“Deed of Trust”</w:t>
      </w:r>
      <w:r w:rsidRPr="00D52CB7">
        <w:t xml:space="preserve">) made by the Charter School in favor of the Issuer, as beneficiary, and assigned by the Issuer to the Trustee, and the promissory note payable to the Issuer and executed by the Charter School in evidence of its obligation under the Loan Agreement (the </w:t>
      </w:r>
      <w:r w:rsidRPr="00D52CB7">
        <w:rPr>
          <w:i/>
        </w:rPr>
        <w:t>“Promissory Note”</w:t>
      </w:r>
      <w:r w:rsidRPr="00D52CB7">
        <w:t xml:space="preserve">), and (v) all Funds (as defined in the Indenture) other than the Costs of Issuance Fund and the Rebate Fund; </w:t>
      </w:r>
      <w:r w:rsidRPr="00D52CB7">
        <w:rPr>
          <w:i/>
        </w:rPr>
        <w:t xml:space="preserve">provided, however, </w:t>
      </w:r>
      <w:r w:rsidRPr="00D52CB7">
        <w:t>that the Trust Estate shall not include the</w:t>
      </w:r>
      <w:r w:rsidRPr="00D52CB7">
        <w:rPr>
          <w:i/>
        </w:rPr>
        <w:t xml:space="preserve"> “Issuer’s Unassigned Rights,”</w:t>
      </w:r>
      <w:r w:rsidRPr="00D52CB7">
        <w:t xml:space="preserve"> which consist of the Issuer’s rights to (i) inspect books and records, (ii) give or receive notices, approvals, consents, requests and other communications, (iii) receive payment or reimbursement for expenses or appropriations under the Credit Enhancement Program, (iv) receive payment of the Issuer’s Administration Fee and the Issuer’s Annual Fee, (v) immunity from and limitation of liability, (vi) indemnification from liability by the Charter School, (vii) security for the Charter School’s indemnification obligation, take any action as provided under the Credit Enhancement Program, and (ix) be reimbursed for expenses described in the Loan Agreement.  See</w:t>
      </w:r>
      <w:r w:rsidRPr="00D52CB7">
        <w:rPr>
          <w:smallCaps/>
        </w:rPr>
        <w:t xml:space="preserve"> “Appendix D—Forms of Bond Documents–</w:t>
      </w:r>
      <w:r w:rsidRPr="00D52CB7">
        <w:t>The Indenture.”</w:t>
      </w:r>
    </w:p>
    <w:p w:rsidRPr="00D52CB7" w:rsidR="00743467" w:rsidP="00743467" w:rsidRDefault="00743467" w14:paraId="731EE2EC" w14:textId="5B9E8794">
      <w:pPr>
        <w:pStyle w:val="ParaNORMAL"/>
      </w:pPr>
      <w:r w:rsidRPr="00D52CB7">
        <w:t xml:space="preserve">Under the Loan Agreement, the Charter School agrees to make payments to the Trustee which, if fully and promptly paid, will be sufficient to pay when due the scheduled principal of and interest on the </w:t>
      </w:r>
      <w:r w:rsidRPr="00D52CB7" w:rsidR="00B935C1">
        <w:t xml:space="preserve">Series </w:t>
      </w:r>
      <w:r w:rsidRPr="00D52CB7" w:rsidR="00D50213">
        <w:t>2025</w:t>
      </w:r>
      <w:r w:rsidRPr="00D52CB7" w:rsidR="00B935C1">
        <w:t xml:space="preserve"> Bond</w:t>
      </w:r>
      <w:r w:rsidRPr="00D52CB7">
        <w:t xml:space="preserve">s and any Additional Bonds (collectively, the </w:t>
      </w:r>
      <w:r w:rsidRPr="00D52CB7">
        <w:rPr>
          <w:i/>
        </w:rPr>
        <w:t>“Bonds”</w:t>
      </w:r>
      <w:r w:rsidRPr="00D52CB7">
        <w:t xml:space="preserve">).  State Payments received by the Charter School pursuant to Title 53G, Chapter 5, Utah Code Annotated 1953, as amended (the </w:t>
      </w:r>
      <w:r w:rsidRPr="00D52CB7">
        <w:rPr>
          <w:i/>
        </w:rPr>
        <w:t>“Charter School Act”</w:t>
      </w:r>
      <w:r w:rsidRPr="00D52CB7">
        <w:t xml:space="preserve">), are the Charter School’s principal source of repayment of its obligations under the Loan Agreement.  All State Payments are subject to annual appropriation by the legislature of the State of Utah (the </w:t>
      </w:r>
      <w:r w:rsidRPr="00D52CB7">
        <w:rPr>
          <w:i/>
        </w:rPr>
        <w:t>“State”</w:t>
      </w:r>
      <w:r w:rsidRPr="00D52CB7">
        <w:t>).  The Charter School has no taxing power.  See “</w:t>
      </w:r>
      <w:r w:rsidRPr="00D52CB7">
        <w:rPr>
          <w:smallCaps/>
        </w:rPr>
        <w:t>Risk Factors</w:t>
      </w:r>
      <w:r w:rsidRPr="00D52CB7">
        <w:t>—No Taxing Authority; Dependence on State Payments.”</w:t>
      </w:r>
      <w:r w:rsidRPr="00D52CB7" w:rsidR="00B1338F">
        <w:t xml:space="preserve"> </w:t>
      </w:r>
    </w:p>
    <w:p w:rsidRPr="00D52CB7" w:rsidR="00743467" w:rsidP="00743467" w:rsidRDefault="00743467" w14:paraId="02F45AF2" w14:textId="5CBFADD5">
      <w:pPr>
        <w:pStyle w:val="ParaNORMAL"/>
      </w:pPr>
      <w:r w:rsidRPr="00D52CB7">
        <w:t xml:space="preserve">Pursuant to the Deed of Trust, the payment of the principal of and interest on the </w:t>
      </w:r>
      <w:r w:rsidRPr="00D52CB7" w:rsidR="00B935C1">
        <w:t xml:space="preserve">Series </w:t>
      </w:r>
      <w:r w:rsidRPr="00D52CB7" w:rsidR="00D50213">
        <w:t>2025</w:t>
      </w:r>
      <w:r w:rsidRPr="00D52CB7" w:rsidR="00B935C1">
        <w:t xml:space="preserve"> Bond</w:t>
      </w:r>
      <w:r w:rsidRPr="00D52CB7">
        <w:t xml:space="preserve">s will be secured by a mortgage on, and a security interest in, the Facilities, subject to certain “Permitted Encumbrances” (as defined in </w:t>
      </w:r>
      <w:r w:rsidRPr="00D52CB7">
        <w:rPr>
          <w:smallCaps/>
        </w:rPr>
        <w:t>Appendix D)</w:t>
      </w:r>
      <w:r w:rsidRPr="00D52CB7">
        <w:t xml:space="preserve">.  The obligation of the Charter School to make Loan Payments under the Loan Agreement is an absolute and unconditional obligation of the Charter School; </w:t>
      </w:r>
      <w:r w:rsidRPr="00D52CB7">
        <w:rPr>
          <w:i/>
        </w:rPr>
        <w:t xml:space="preserve">provided, however, </w:t>
      </w:r>
      <w:r w:rsidRPr="00D52CB7">
        <w:t>that the ability of the Charter School to generate additional revenues is limited in the event that the State Payments are not sufficient for such purpose.</w:t>
      </w:r>
    </w:p>
    <w:p w:rsidRPr="00D52CB7" w:rsidR="00743467" w:rsidP="00743467" w:rsidRDefault="00743467" w14:paraId="735195E8" w14:textId="09164D47">
      <w:pPr>
        <w:pStyle w:val="ParaNORMAL"/>
      </w:pPr>
      <w:r w:rsidRPr="00D52CB7">
        <w:lastRenderedPageBreak/>
        <w:t>As required by the Loan Agreement, the Charter School will direct the State to pay all State Payments to the Trustee as long as any of the obligations of the Charter School remain outstanding under the Loan Agreement.  See “</w:t>
      </w:r>
      <w:r w:rsidRPr="00D52CB7">
        <w:rPr>
          <w:smallCaps/>
        </w:rPr>
        <w:t xml:space="preserve">Security for the </w:t>
      </w:r>
      <w:r w:rsidRPr="00D52CB7" w:rsidR="00B935C1">
        <w:rPr>
          <w:smallCaps/>
        </w:rPr>
        <w:t xml:space="preserve">Series </w:t>
      </w:r>
      <w:r w:rsidRPr="00D52CB7" w:rsidR="00D50213">
        <w:rPr>
          <w:smallCaps/>
        </w:rPr>
        <w:t>2025</w:t>
      </w:r>
      <w:r w:rsidRPr="00D52CB7" w:rsidR="00B935C1">
        <w:rPr>
          <w:smallCaps/>
        </w:rPr>
        <w:t xml:space="preserve"> Bond</w:t>
      </w:r>
      <w:r w:rsidRPr="00D52CB7">
        <w:rPr>
          <w:smallCaps/>
        </w:rPr>
        <w:t>s.</w:t>
      </w:r>
    </w:p>
    <w:p w:rsidRPr="00D52CB7" w:rsidR="006A11A6" w:rsidP="006A11A6" w:rsidRDefault="006A11A6" w14:paraId="2AEE0E2A" w14:textId="2F114417">
      <w:pPr>
        <w:pStyle w:val="ParaNORMAL"/>
        <w:tabs>
          <w:tab w:val="left" w:pos="5310"/>
        </w:tabs>
      </w:pPr>
      <w:r w:rsidRPr="00D52CB7">
        <w:rPr>
          <w:smallCaps/>
        </w:rPr>
        <w:t xml:space="preserve">The </w:t>
      </w:r>
      <w:r w:rsidRPr="00D52CB7" w:rsidR="00B935C1">
        <w:rPr>
          <w:smallCaps/>
        </w:rPr>
        <w:t xml:space="preserve">Series </w:t>
      </w:r>
      <w:r w:rsidRPr="00D52CB7" w:rsidR="00D50213">
        <w:rPr>
          <w:smallCaps/>
        </w:rPr>
        <w:t>2025</w:t>
      </w:r>
      <w:r w:rsidRPr="00D52CB7" w:rsidR="00B935C1">
        <w:rPr>
          <w:smallCaps/>
        </w:rPr>
        <w:t xml:space="preserve"> Bond</w:t>
      </w:r>
      <w:r w:rsidRPr="00D52CB7">
        <w:rPr>
          <w:smallCaps/>
        </w:rPr>
        <w:t xml:space="preserve">s are limited obligations of the Issuer payable solely from the Trust Estate, do not give rise to a general obligation or liability of the Issuer or a charge against its general credit, and shall never constitute nor give rise to a pecuniary liability of the Issuer.  The </w:t>
      </w:r>
      <w:r w:rsidRPr="00D52CB7" w:rsidR="00B935C1">
        <w:rPr>
          <w:smallCaps/>
        </w:rPr>
        <w:t xml:space="preserve">Series </w:t>
      </w:r>
      <w:r w:rsidRPr="00D52CB7" w:rsidR="00D50213">
        <w:rPr>
          <w:smallCaps/>
        </w:rPr>
        <w:t>2025</w:t>
      </w:r>
      <w:r w:rsidRPr="00D52CB7" w:rsidR="00B935C1">
        <w:rPr>
          <w:smallCaps/>
        </w:rPr>
        <w:t xml:space="preserve"> Bond</w:t>
      </w:r>
      <w:r w:rsidRPr="00D52CB7">
        <w:rPr>
          <w:smallCaps/>
        </w:rPr>
        <w:t>s do not constitute a debt, liability (other than a limited liability of the Issuer) or loan of credit or a pledge of the full faith and credit or taxing power of the State or any political subdivision thereof</w:t>
      </w:r>
      <w:r w:rsidRPr="00D52CB7">
        <w:rPr>
          <w:smallCaps/>
          <w:szCs w:val="24"/>
        </w:rPr>
        <w:t xml:space="preserve">.  The issuance of the </w:t>
      </w:r>
      <w:r w:rsidRPr="00D52CB7" w:rsidR="00B935C1">
        <w:rPr>
          <w:smallCaps/>
          <w:szCs w:val="24"/>
        </w:rPr>
        <w:t xml:space="preserve">Series </w:t>
      </w:r>
      <w:r w:rsidRPr="00D52CB7" w:rsidR="00D50213">
        <w:rPr>
          <w:smallCaps/>
          <w:szCs w:val="24"/>
        </w:rPr>
        <w:t>2025</w:t>
      </w:r>
      <w:r w:rsidRPr="00D52CB7" w:rsidR="00B935C1">
        <w:rPr>
          <w:smallCaps/>
          <w:szCs w:val="24"/>
        </w:rPr>
        <w:t xml:space="preserve"> Bond</w:t>
      </w:r>
      <w:r w:rsidRPr="00D52CB7">
        <w:rPr>
          <w:smallCaps/>
          <w:szCs w:val="24"/>
        </w:rPr>
        <w:t>s shall not directly, indirectly, or contingently obligate the Issuer, the State or any agency, instrumentality or political subdivision thereof to levy any form of taxation or to make any appropriation for their payment.</w:t>
      </w:r>
      <w:r w:rsidRPr="00D52CB7">
        <w:rPr>
          <w:b/>
          <w:sz w:val="18"/>
        </w:rPr>
        <w:t xml:space="preserve">  </w:t>
      </w:r>
      <w:r w:rsidRPr="00D52CB7">
        <w:rPr>
          <w:smallCaps/>
        </w:rPr>
        <w:t xml:space="preserve">All State Payments received by the Charter School pursuant to the Charter School Act are subject to annual appropriation.  The Charter School has no taxing power.  For more information, see “Security for the </w:t>
      </w:r>
      <w:r w:rsidRPr="00D52CB7" w:rsidR="00B935C1">
        <w:rPr>
          <w:smallCaps/>
        </w:rPr>
        <w:t xml:space="preserve">Series </w:t>
      </w:r>
      <w:r w:rsidRPr="00D52CB7" w:rsidR="00D50213">
        <w:rPr>
          <w:smallCaps/>
        </w:rPr>
        <w:t>2025</w:t>
      </w:r>
      <w:r w:rsidRPr="00D52CB7" w:rsidR="00B935C1">
        <w:rPr>
          <w:smallCaps/>
        </w:rPr>
        <w:t xml:space="preserve"> Bond</w:t>
      </w:r>
      <w:r w:rsidRPr="00D52CB7">
        <w:rPr>
          <w:smallCaps/>
        </w:rPr>
        <w:t>s” and “Risk Factors–</w:t>
      </w:r>
      <w:r w:rsidRPr="00D52CB7">
        <w:t xml:space="preserve">No Taxing Authority; Dependence on State Payments” </w:t>
      </w:r>
      <w:r w:rsidRPr="00D52CB7">
        <w:rPr>
          <w:smallCaps/>
        </w:rPr>
        <w:t>herein</w:t>
      </w:r>
      <w:r w:rsidRPr="00D52CB7">
        <w:t>.</w:t>
      </w:r>
    </w:p>
    <w:p w:rsidRPr="00D52CB7" w:rsidR="00743467" w:rsidP="00743467" w:rsidRDefault="00743467" w14:paraId="0119EBE6" w14:textId="77777777">
      <w:pPr>
        <w:pStyle w:val="TitleLeft"/>
        <w:keepLines/>
        <w:rPr>
          <w:b/>
          <w:smallCaps w:val="0"/>
        </w:rPr>
      </w:pPr>
      <w:r w:rsidRPr="00D52CB7">
        <w:t>Debt Service Reserve Subaccount</w:t>
      </w:r>
      <w:r w:rsidRPr="00D52CB7">
        <w:fldChar w:fldCharType="begin"/>
      </w:r>
      <w:r w:rsidRPr="00D52CB7">
        <w:instrText>tc "</w:instrText>
      </w:r>
      <w:bookmarkStart w:name="_Toc195093827" w:id="11"/>
      <w:r w:rsidRPr="00D52CB7">
        <w:rPr>
          <w:smallCaps w:val="0"/>
        </w:rPr>
        <w:instrText>Debt Service Reserve Account</w:instrText>
      </w:r>
      <w:bookmarkEnd w:id="11"/>
      <w:r w:rsidRPr="00D52CB7">
        <w:instrText>" \f C \l 2</w:instrText>
      </w:r>
      <w:r w:rsidRPr="00D52CB7">
        <w:fldChar w:fldCharType="end"/>
      </w:r>
    </w:p>
    <w:p w:rsidRPr="00D52CB7" w:rsidR="00743467" w:rsidP="00743467" w:rsidRDefault="00743467" w14:paraId="5A7B8E00" w14:textId="16C8D965">
      <w:pPr>
        <w:pStyle w:val="ParaNORMAL"/>
        <w:keepNext/>
        <w:keepLines/>
      </w:pPr>
      <w:r w:rsidRPr="00D52CB7">
        <w:t xml:space="preserve">The Indenture creates a Debt Service Reserve Subaccount for the </w:t>
      </w:r>
      <w:r w:rsidRPr="00D52CB7" w:rsidR="00B935C1">
        <w:t xml:space="preserve">Series </w:t>
      </w:r>
      <w:r w:rsidRPr="00D52CB7" w:rsidR="00D50213">
        <w:t>2025</w:t>
      </w:r>
      <w:r w:rsidRPr="00D52CB7" w:rsidR="00B935C1">
        <w:t xml:space="preserve"> Bond</w:t>
      </w:r>
      <w:r w:rsidRPr="00D52CB7">
        <w:t xml:space="preserve">, which will be held by the Trustee.  Amounts deposited in the Debt Service Reserve Subaccount from the proceeds of the </w:t>
      </w:r>
      <w:r w:rsidRPr="00D52CB7" w:rsidR="00B935C1">
        <w:t xml:space="preserve">Series </w:t>
      </w:r>
      <w:r w:rsidRPr="00D52CB7" w:rsidR="00D50213">
        <w:t>2025</w:t>
      </w:r>
      <w:r w:rsidRPr="00D52CB7" w:rsidR="00B935C1">
        <w:t xml:space="preserve"> Bond</w:t>
      </w:r>
      <w:r w:rsidRPr="00D52CB7">
        <w:t xml:space="preserve">s will secure the </w:t>
      </w:r>
      <w:r w:rsidRPr="00D52CB7" w:rsidR="00B935C1">
        <w:t xml:space="preserve">Series </w:t>
      </w:r>
      <w:r w:rsidRPr="00D52CB7" w:rsidR="00D50213">
        <w:t>2025</w:t>
      </w:r>
      <w:r w:rsidRPr="00D52CB7" w:rsidR="00B935C1">
        <w:t xml:space="preserve"> Bond</w:t>
      </w:r>
      <w:r w:rsidRPr="00D52CB7">
        <w:t xml:space="preserve">s and may be used by the Trustee to pay principal of and interest on the </w:t>
      </w:r>
      <w:r w:rsidRPr="00D52CB7" w:rsidR="00B935C1">
        <w:t xml:space="preserve">Series </w:t>
      </w:r>
      <w:r w:rsidRPr="00D52CB7" w:rsidR="00D50213">
        <w:t>2025</w:t>
      </w:r>
      <w:r w:rsidRPr="00D52CB7" w:rsidR="00B935C1">
        <w:t xml:space="preserve"> Bond</w:t>
      </w:r>
      <w:r w:rsidRPr="00D52CB7">
        <w:t>s in the event sums in the Debt Service Account are insufficient for such purpose.</w:t>
      </w:r>
    </w:p>
    <w:p w:rsidRPr="00D52CB7" w:rsidR="00B65527" w:rsidP="00B65527" w:rsidRDefault="00B65527" w14:paraId="4B64CE87" w14:textId="40D5B744">
      <w:pPr>
        <w:pStyle w:val="ParaNORMAL"/>
      </w:pPr>
      <w:r w:rsidRPr="00D52CB7">
        <w:t xml:space="preserve">On the date of issuance of the </w:t>
      </w:r>
      <w:r w:rsidRPr="00D52CB7" w:rsidR="00B935C1">
        <w:t xml:space="preserve">Series </w:t>
      </w:r>
      <w:r w:rsidRPr="00D52CB7" w:rsidR="00D50213">
        <w:t>2025</w:t>
      </w:r>
      <w:r w:rsidRPr="00D52CB7" w:rsidR="00B935C1">
        <w:t xml:space="preserve"> Bond</w:t>
      </w:r>
      <w:r w:rsidRPr="00D52CB7">
        <w:t>s, the Charter School will deposit $</w:t>
      </w:r>
      <w:r w:rsidRPr="00D52CB7" w:rsidR="00A053AF">
        <w:t>______</w:t>
      </w:r>
      <w:r w:rsidRPr="00D52CB7">
        <w:t xml:space="preserve"> from the proceeds of the </w:t>
      </w:r>
      <w:r w:rsidRPr="00D52CB7" w:rsidR="00B935C1">
        <w:t xml:space="preserve">Series </w:t>
      </w:r>
      <w:r w:rsidRPr="00D52CB7" w:rsidR="00D50213">
        <w:t>2025</w:t>
      </w:r>
      <w:r w:rsidRPr="00D52CB7" w:rsidR="00B935C1">
        <w:t xml:space="preserve"> Bond</w:t>
      </w:r>
      <w:r w:rsidRPr="00D52CB7">
        <w:t xml:space="preserve">s into the Debt Service Reserve Subaccount to meet the </w:t>
      </w:r>
      <w:r w:rsidRPr="00D52CB7" w:rsidR="00A053AF">
        <w:t xml:space="preserve">initial </w:t>
      </w:r>
      <w:r w:rsidRPr="00D52CB7">
        <w:t xml:space="preserve">Debt Service Reserve Requirement with respect to the </w:t>
      </w:r>
      <w:r w:rsidRPr="00D52CB7" w:rsidR="00B935C1">
        <w:t xml:space="preserve">Series </w:t>
      </w:r>
      <w:r w:rsidRPr="00D52CB7" w:rsidR="00D50213">
        <w:t>2025</w:t>
      </w:r>
      <w:r w:rsidRPr="00D52CB7" w:rsidR="00B935C1">
        <w:t xml:space="preserve"> Bond</w:t>
      </w:r>
      <w:r w:rsidRPr="00D52CB7">
        <w:t xml:space="preserve">s, which is equal to the maximum annual debt service on the </w:t>
      </w:r>
      <w:r w:rsidRPr="00D52CB7" w:rsidR="00B935C1">
        <w:t xml:space="preserve">Series </w:t>
      </w:r>
      <w:r w:rsidRPr="00D52CB7" w:rsidR="00D50213">
        <w:t>2025</w:t>
      </w:r>
      <w:r w:rsidRPr="00D52CB7" w:rsidR="00B935C1">
        <w:t xml:space="preserve"> Bond</w:t>
      </w:r>
      <w:r w:rsidRPr="00D52CB7">
        <w:t>s.  See “</w:t>
      </w:r>
      <w:r w:rsidRPr="00D52CB7">
        <w:rPr>
          <w:smallCaps/>
        </w:rPr>
        <w:t xml:space="preserve">Security for the </w:t>
      </w:r>
      <w:r w:rsidRPr="00D52CB7" w:rsidR="00B935C1">
        <w:rPr>
          <w:smallCaps/>
        </w:rPr>
        <w:t xml:space="preserve">Series </w:t>
      </w:r>
      <w:r w:rsidRPr="00D52CB7" w:rsidR="00D50213">
        <w:rPr>
          <w:smallCaps/>
        </w:rPr>
        <w:t>2025</w:t>
      </w:r>
      <w:r w:rsidRPr="00D52CB7" w:rsidR="00B935C1">
        <w:rPr>
          <w:smallCaps/>
        </w:rPr>
        <w:t xml:space="preserve"> Bond</w:t>
      </w:r>
      <w:r w:rsidRPr="00D52CB7">
        <w:rPr>
          <w:smallCaps/>
        </w:rPr>
        <w:t xml:space="preserve">s </w:t>
      </w:r>
      <w:r w:rsidRPr="00D52CB7">
        <w:t>– Debt Service Reserve Account.”</w:t>
      </w:r>
    </w:p>
    <w:p w:rsidRPr="00D52CB7" w:rsidR="00743467" w:rsidP="00743467" w:rsidRDefault="00743467" w14:paraId="0E47CCD4" w14:textId="77777777">
      <w:pPr>
        <w:pStyle w:val="TitleLeft"/>
      </w:pPr>
      <w:r w:rsidRPr="00D52CB7">
        <w:t>Charter School Credit Enhancement Program</w:t>
      </w:r>
      <w:r w:rsidRPr="00D52CB7">
        <w:fldChar w:fldCharType="begin"/>
      </w:r>
      <w:r w:rsidRPr="00D52CB7">
        <w:instrText>tc "</w:instrText>
      </w:r>
      <w:bookmarkStart w:name="_Toc463342382" w:id="12"/>
      <w:bookmarkStart w:name="_Toc195093828" w:id="13"/>
      <w:r w:rsidRPr="00D52CB7">
        <w:instrText>Charter School Credit Enhancement Program</w:instrText>
      </w:r>
      <w:bookmarkEnd w:id="12"/>
      <w:bookmarkEnd w:id="13"/>
      <w:r w:rsidRPr="00D52CB7">
        <w:instrText>" \f C \l 2</w:instrText>
      </w:r>
      <w:r w:rsidRPr="00D52CB7">
        <w:fldChar w:fldCharType="end"/>
      </w:r>
    </w:p>
    <w:p w:rsidRPr="00D52CB7" w:rsidR="00743467" w:rsidP="00743467" w:rsidRDefault="00743467" w14:paraId="738994B7" w14:textId="7AAF5C26">
      <w:pPr>
        <w:pStyle w:val="ParaNORMAL"/>
      </w:pPr>
      <w:r w:rsidRPr="00D52CB7">
        <w:rPr>
          <w:szCs w:val="19"/>
        </w:rPr>
        <w:t>The</w:t>
      </w:r>
      <w:r w:rsidRPr="00D52CB7">
        <w:t xml:space="preserve"> Charter School has been designated a “qualifying charter school” by </w:t>
      </w:r>
      <w:r w:rsidRPr="00D52CB7">
        <w:rPr>
          <w:szCs w:val="19"/>
        </w:rPr>
        <w:t>the Issuer pursuant to the</w:t>
      </w:r>
      <w:r w:rsidRPr="00D52CB7" w:rsidR="002B007E">
        <w:rPr>
          <w:szCs w:val="19"/>
        </w:rPr>
        <w:t xml:space="preserve"> </w:t>
      </w:r>
      <w:r w:rsidRPr="00D52CB7" w:rsidR="002B007E">
        <w:t>Charter School</w:t>
      </w:r>
      <w:r w:rsidRPr="00D52CB7">
        <w:rPr>
          <w:szCs w:val="19"/>
        </w:rPr>
        <w:t xml:space="preserve"> Act and the guidelines of the Issuer promulgated thereunder, and accordingly, the </w:t>
      </w:r>
      <w:r w:rsidRPr="00D52CB7" w:rsidR="00B935C1">
        <w:rPr>
          <w:szCs w:val="19"/>
        </w:rPr>
        <w:t xml:space="preserve">Series </w:t>
      </w:r>
      <w:r w:rsidRPr="00D52CB7" w:rsidR="00D50213">
        <w:rPr>
          <w:szCs w:val="19"/>
        </w:rPr>
        <w:t>2025</w:t>
      </w:r>
      <w:r w:rsidRPr="00D52CB7" w:rsidR="00B935C1">
        <w:rPr>
          <w:szCs w:val="19"/>
        </w:rPr>
        <w:t xml:space="preserve"> Bond</w:t>
      </w:r>
      <w:r w:rsidRPr="00D52CB7">
        <w:rPr>
          <w:szCs w:val="19"/>
        </w:rPr>
        <w:t xml:space="preserve">s are issued </w:t>
      </w:r>
      <w:r w:rsidRPr="00D52CB7">
        <w:t xml:space="preserve">under the Charter School Credit Enhancement Program (the </w:t>
      </w:r>
      <w:r w:rsidRPr="00D52CB7">
        <w:rPr>
          <w:i/>
        </w:rPr>
        <w:t>“CSCE Program”</w:t>
      </w:r>
      <w:r w:rsidRPr="00D52CB7">
        <w:t xml:space="preserve">), codified under Title 53G, Chapter 5, Part 6, Utah Code Annotated 1953, as amended (the </w:t>
      </w:r>
      <w:r w:rsidRPr="00D52CB7">
        <w:rPr>
          <w:i/>
        </w:rPr>
        <w:t>“Utah Code”</w:t>
      </w:r>
      <w:r w:rsidRPr="00D52CB7">
        <w:t>).</w:t>
      </w:r>
    </w:p>
    <w:p w:rsidRPr="00D52CB7" w:rsidR="00B65527" w:rsidP="00B65527" w:rsidRDefault="00B65527" w14:paraId="4D2A45EB" w14:textId="27B0AF86">
      <w:pPr>
        <w:pStyle w:val="ParaNORMAL"/>
      </w:pPr>
      <w:r w:rsidRPr="00D52CB7">
        <w:t xml:space="preserve">Pursuant to the Indenture, and in accordance with the CSCE Program, on or before December 1 of each year, the Issuer must certify to the Governor of the State the amount required, if any, to restore amounts on deposit in the debt service reserve funds with respect to all bonds issued under the CSCE Program, including the subaccount in the Debt Service Reserve Account established in connection with the </w:t>
      </w:r>
      <w:r w:rsidRPr="00D52CB7" w:rsidR="00B935C1">
        <w:t xml:space="preserve">Series </w:t>
      </w:r>
      <w:r w:rsidRPr="00D52CB7" w:rsidR="00D50213">
        <w:t>2025</w:t>
      </w:r>
      <w:r w:rsidRPr="00D52CB7" w:rsidR="00B935C1">
        <w:t xml:space="preserve"> Bond</w:t>
      </w:r>
      <w:r w:rsidRPr="00D52CB7">
        <w:t xml:space="preserve">s (the </w:t>
      </w:r>
      <w:r w:rsidRPr="00D52CB7">
        <w:rPr>
          <w:i/>
        </w:rPr>
        <w:t xml:space="preserve">“Series </w:t>
      </w:r>
      <w:r w:rsidRPr="00D52CB7" w:rsidR="00D50213">
        <w:rPr>
          <w:i/>
        </w:rPr>
        <w:t>2025</w:t>
      </w:r>
      <w:r w:rsidRPr="00D52CB7">
        <w:rPr>
          <w:i/>
        </w:rPr>
        <w:t xml:space="preserve"> Debt Service Reserve Subaccount”</w:t>
      </w:r>
      <w:r w:rsidRPr="00D52CB7">
        <w:t xml:space="preserve">), to the respective debt service reserve requirements, including the Debt Service </w:t>
      </w:r>
      <w:r w:rsidRPr="00D52CB7">
        <w:lastRenderedPageBreak/>
        <w:t xml:space="preserve">Reserve Requirement established with respect to the </w:t>
      </w:r>
      <w:r w:rsidRPr="00D52CB7" w:rsidR="00B935C1">
        <w:t xml:space="preserve">Series </w:t>
      </w:r>
      <w:r w:rsidRPr="00D52CB7" w:rsidR="00D50213">
        <w:t>2025</w:t>
      </w:r>
      <w:r w:rsidRPr="00D52CB7" w:rsidR="00B935C1">
        <w:t xml:space="preserve"> Bond</w:t>
      </w:r>
      <w:r w:rsidRPr="00D52CB7">
        <w:t xml:space="preserve">s (the </w:t>
      </w:r>
      <w:r w:rsidRPr="00D52CB7">
        <w:rPr>
          <w:i/>
        </w:rPr>
        <w:t xml:space="preserve">“Series </w:t>
      </w:r>
      <w:r w:rsidRPr="00D52CB7" w:rsidR="00D50213">
        <w:rPr>
          <w:i/>
        </w:rPr>
        <w:t>2025</w:t>
      </w:r>
      <w:r w:rsidRPr="00D52CB7">
        <w:rPr>
          <w:i/>
        </w:rPr>
        <w:t xml:space="preserve"> Debt Service Reserve Requirement”</w:t>
      </w:r>
      <w:r w:rsidRPr="00D52CB7">
        <w:t xml:space="preserve">).  The Governor must then request from the State Legislature an appropriation of the certified amount to restore such debt service reserve funds to the respective debt service reserve requirements.  The State Legislature may, but is not required to, appropriate moneys, including from amounts on deposit in the Charter School Reserve Account created pursuant to the </w:t>
      </w:r>
      <w:r w:rsidRPr="00D52CB7" w:rsidR="002B007E">
        <w:t xml:space="preserve">Charter School </w:t>
      </w:r>
      <w:r w:rsidRPr="00D52CB7">
        <w:t>Act, to restore amounts on deposit in any such debt service reserve fund to the respective debt service reserve requirement.  See “</w:t>
      </w:r>
      <w:r w:rsidRPr="00D52CB7">
        <w:rPr>
          <w:smallCaps/>
        </w:rPr>
        <w:t xml:space="preserve">Security for the </w:t>
      </w:r>
      <w:r w:rsidRPr="00D52CB7" w:rsidR="00B935C1">
        <w:rPr>
          <w:smallCaps/>
        </w:rPr>
        <w:t xml:space="preserve">Series </w:t>
      </w:r>
      <w:r w:rsidRPr="00D52CB7" w:rsidR="00D50213">
        <w:rPr>
          <w:smallCaps/>
        </w:rPr>
        <w:t>2025</w:t>
      </w:r>
      <w:r w:rsidRPr="00D52CB7" w:rsidR="00B935C1">
        <w:rPr>
          <w:smallCaps/>
        </w:rPr>
        <w:t xml:space="preserve"> Bond</w:t>
      </w:r>
      <w:r w:rsidRPr="00D52CB7">
        <w:rPr>
          <w:smallCaps/>
        </w:rPr>
        <w:t>s</w:t>
      </w:r>
      <w:r w:rsidRPr="00D52CB7">
        <w:t>—Charter School Credit Enhancement Program” and</w:t>
      </w:r>
      <w:r w:rsidRPr="00D52CB7">
        <w:rPr>
          <w:smallCaps/>
        </w:rPr>
        <w:t xml:space="preserve"> Appendix D.</w:t>
      </w:r>
    </w:p>
    <w:p w:rsidRPr="00D52CB7" w:rsidR="00743467" w:rsidP="00743467" w:rsidRDefault="00743467" w14:paraId="2A50678D" w14:textId="77777777">
      <w:pPr>
        <w:pStyle w:val="TitleLeft"/>
        <w:keepLines/>
      </w:pPr>
      <w:r w:rsidRPr="00D52CB7">
        <w:t>Limitation on Indebtedness of the Charter School, Certain Financial Covenants</w:t>
      </w:r>
      <w:r w:rsidRPr="00D52CB7">
        <w:fldChar w:fldCharType="begin"/>
      </w:r>
      <w:r w:rsidRPr="00D52CB7">
        <w:instrText>tc "</w:instrText>
      </w:r>
      <w:bookmarkStart w:name="_Toc195093829" w:id="14"/>
      <w:r w:rsidRPr="00D52CB7">
        <w:instrText>Limitation on Indebtedness of the Charter School, Certain Financial Covenants</w:instrText>
      </w:r>
      <w:bookmarkEnd w:id="14"/>
      <w:r w:rsidRPr="00D52CB7">
        <w:instrText>" \f C \l 2</w:instrText>
      </w:r>
      <w:r w:rsidRPr="00D52CB7">
        <w:fldChar w:fldCharType="end"/>
      </w:r>
    </w:p>
    <w:p w:rsidRPr="00D52CB7" w:rsidR="00743467" w:rsidP="00743467" w:rsidRDefault="00743467" w14:paraId="69A1628A" w14:textId="670ABA40">
      <w:pPr>
        <w:pStyle w:val="ParaNORMAL"/>
      </w:pPr>
      <w:r w:rsidRPr="00D52CB7">
        <w:t>The Indenture and the Loan Agreement place certain restrictions on the incurrence of indebtedness by the Charter School.  See “</w:t>
      </w:r>
      <w:r w:rsidRPr="00D52CB7">
        <w:rPr>
          <w:smallCaps/>
        </w:rPr>
        <w:t xml:space="preserve">Security for the </w:t>
      </w:r>
      <w:r w:rsidRPr="00D52CB7" w:rsidR="00B935C1">
        <w:rPr>
          <w:smallCaps/>
        </w:rPr>
        <w:t xml:space="preserve">Series </w:t>
      </w:r>
      <w:r w:rsidRPr="00D52CB7" w:rsidR="00D50213">
        <w:rPr>
          <w:smallCaps/>
        </w:rPr>
        <w:t>2025</w:t>
      </w:r>
      <w:r w:rsidRPr="00D52CB7" w:rsidR="00B935C1">
        <w:rPr>
          <w:smallCaps/>
        </w:rPr>
        <w:t xml:space="preserve"> Bond</w:t>
      </w:r>
      <w:r w:rsidRPr="00D52CB7">
        <w:rPr>
          <w:smallCaps/>
        </w:rPr>
        <w:t xml:space="preserve">s </w:t>
      </w:r>
      <w:r w:rsidRPr="00D52CB7">
        <w:t>– Indenture — Additional Bonds” and “</w:t>
      </w:r>
      <w:r w:rsidRPr="00D52CB7">
        <w:rPr>
          <w:smallCaps/>
        </w:rPr>
        <w:t xml:space="preserve">Security for the </w:t>
      </w:r>
      <w:r w:rsidRPr="00D52CB7" w:rsidR="00B935C1">
        <w:rPr>
          <w:smallCaps/>
        </w:rPr>
        <w:t xml:space="preserve">Series </w:t>
      </w:r>
      <w:r w:rsidRPr="00D52CB7" w:rsidR="00D50213">
        <w:rPr>
          <w:smallCaps/>
        </w:rPr>
        <w:t>2025</w:t>
      </w:r>
      <w:r w:rsidRPr="00D52CB7" w:rsidR="00B935C1">
        <w:rPr>
          <w:smallCaps/>
        </w:rPr>
        <w:t xml:space="preserve"> Bond</w:t>
      </w:r>
      <w:r w:rsidRPr="00D52CB7">
        <w:rPr>
          <w:smallCaps/>
        </w:rPr>
        <w:t>s</w:t>
      </w:r>
      <w:r w:rsidRPr="00D52CB7">
        <w:t>—Loan Agreement—Limitations on Additional Indebtedness.”</w:t>
      </w:r>
    </w:p>
    <w:p w:rsidRPr="00D52CB7" w:rsidR="00743467" w:rsidP="00743467" w:rsidRDefault="00743467" w14:paraId="6F4E39F2" w14:textId="77777777">
      <w:pPr>
        <w:pStyle w:val="TitleLeft"/>
        <w:keepLines/>
      </w:pPr>
      <w:r w:rsidRPr="00D52CB7">
        <w:t>Forward</w:t>
      </w:r>
      <w:r w:rsidRPr="00D52CB7">
        <w:noBreakHyphen/>
        <w:t>Looking Statements</w:t>
      </w:r>
      <w:r w:rsidRPr="00D52CB7">
        <w:fldChar w:fldCharType="begin"/>
      </w:r>
      <w:r w:rsidRPr="00D52CB7">
        <w:instrText>tc "</w:instrText>
      </w:r>
      <w:bookmarkStart w:name="_Toc151631024" w:id="15"/>
      <w:bookmarkStart w:name="_Toc156025652" w:id="16"/>
      <w:bookmarkStart w:name="_Toc195093830" w:id="17"/>
      <w:r w:rsidRPr="00D52CB7">
        <w:instrText>Forward</w:instrText>
      </w:r>
      <w:r w:rsidRPr="00D52CB7">
        <w:noBreakHyphen/>
        <w:instrText>Looking Statements</w:instrText>
      </w:r>
      <w:bookmarkEnd w:id="15"/>
      <w:bookmarkEnd w:id="16"/>
      <w:bookmarkEnd w:id="17"/>
      <w:r w:rsidRPr="00D52CB7">
        <w:instrText>" \f C \l 2</w:instrText>
      </w:r>
      <w:r w:rsidRPr="00D52CB7">
        <w:fldChar w:fldCharType="end"/>
      </w:r>
    </w:p>
    <w:p w:rsidRPr="00D52CB7" w:rsidR="00743467" w:rsidP="00743467" w:rsidRDefault="00743467" w14:paraId="2711F5BF" w14:textId="63586B90">
      <w:pPr>
        <w:pStyle w:val="ParaNORMAL"/>
      </w:pPr>
      <w:r w:rsidRPr="00D52CB7">
        <w:t>This Official Statement contains statements relating to future results that are forward</w:t>
      </w:r>
      <w:r w:rsidRPr="00D52CB7">
        <w:noBreakHyphen/>
        <w:t xml:space="preserve">looking statements of the type defined in the Private Litigation Reform Act of 1995, including certain statements contained in </w:t>
      </w:r>
      <w:r w:rsidRPr="00D52CB7">
        <w:rPr>
          <w:smallCaps/>
        </w:rPr>
        <w:t xml:space="preserve">Appendix B </w:t>
      </w:r>
      <w:r w:rsidRPr="00D52CB7" w:rsidR="00B82EBE">
        <w:t>with respect to projected revenues, expenses, and debt service coverage.</w:t>
      </w:r>
      <w:r w:rsidRPr="00D52CB7">
        <w:t xml:space="preserve">  When used in this Official Statement, the words “estimate,” “expect,” “project,” “intend,” “anticipate,” “believe,” “may,” “will,” “continue” and similar expressions identify forward</w:t>
      </w:r>
      <w:r w:rsidRPr="00D52CB7">
        <w:noBreakHyphen/>
        <w:t>looking statements.  Any forward</w:t>
      </w:r>
      <w:r w:rsidRPr="00D52CB7">
        <w:noBreakHyphen/>
        <w:t>looking statement is subject to uncertainty and risks that could cause actual results to differ, possibly materially, from those contemplated in such forward</w:t>
      </w:r>
      <w:r w:rsidRPr="00D52CB7">
        <w:noBreakHyphen/>
        <w:t>looking statements.  Inevitably, some assumptions used to develop forward</w:t>
      </w:r>
      <w:r w:rsidRPr="00D52CB7">
        <w:noBreakHyphen/>
        <w:t>looking statements will not be realized or unanticipated events and circumstances may occur.  Therefore, investors should be aware that there are likely to be differences between forward</w:t>
      </w:r>
      <w:r w:rsidRPr="00D52CB7">
        <w:noBreakHyphen/>
        <w:t>looking statements and actual results and that those differences could be material.</w:t>
      </w:r>
    </w:p>
    <w:p w:rsidRPr="00D52CB7" w:rsidR="00743467" w:rsidP="00743467" w:rsidRDefault="00743467" w14:paraId="770D6B89" w14:textId="77777777">
      <w:pPr>
        <w:pStyle w:val="TitleLeft"/>
      </w:pPr>
      <w:r w:rsidRPr="00D52CB7">
        <w:t>Risk Factors</w:t>
      </w:r>
      <w:r w:rsidRPr="00D52CB7">
        <w:fldChar w:fldCharType="begin"/>
      </w:r>
      <w:r w:rsidRPr="00D52CB7">
        <w:instrText>tc "</w:instrText>
      </w:r>
      <w:bookmarkStart w:name="_Toc195093831" w:id="18"/>
      <w:r w:rsidRPr="00D52CB7">
        <w:instrText>Risk Factors</w:instrText>
      </w:r>
      <w:bookmarkEnd w:id="18"/>
      <w:r w:rsidRPr="00D52CB7">
        <w:instrText>" \f C \l 2</w:instrText>
      </w:r>
      <w:r w:rsidRPr="00D52CB7">
        <w:fldChar w:fldCharType="end"/>
      </w:r>
    </w:p>
    <w:p w:rsidRPr="00D52CB7" w:rsidR="00743467" w:rsidP="00743467" w:rsidRDefault="00743467" w14:paraId="58E36E17" w14:textId="5D0CBA2F">
      <w:pPr>
        <w:pStyle w:val="ParaNORMAL"/>
      </w:pPr>
      <w:r w:rsidRPr="00D52CB7">
        <w:t xml:space="preserve">There are a number of risks associated with purchasing the </w:t>
      </w:r>
      <w:r w:rsidRPr="00D52CB7" w:rsidR="00B935C1">
        <w:t xml:space="preserve">Series </w:t>
      </w:r>
      <w:r w:rsidRPr="00D52CB7" w:rsidR="00D50213">
        <w:t>2025</w:t>
      </w:r>
      <w:r w:rsidRPr="00D52CB7" w:rsidR="00B935C1">
        <w:t xml:space="preserve"> Bond</w:t>
      </w:r>
      <w:r w:rsidRPr="00D52CB7">
        <w:t>s.  Certain risk factors are discussed in this Official Statement under the caption, “</w:t>
      </w:r>
      <w:r w:rsidRPr="00D52CB7">
        <w:rPr>
          <w:smallCaps/>
        </w:rPr>
        <w:t xml:space="preserve">Risk Factors,” </w:t>
      </w:r>
      <w:r w:rsidRPr="00D52CB7">
        <w:t>below</w:t>
      </w:r>
      <w:r w:rsidRPr="00D52CB7">
        <w:rPr>
          <w:smallCaps/>
        </w:rPr>
        <w:t xml:space="preserve">.  </w:t>
      </w:r>
      <w:r w:rsidRPr="00D52CB7">
        <w:t xml:space="preserve">No person should purchase any </w:t>
      </w:r>
      <w:r w:rsidRPr="00D52CB7" w:rsidR="00B935C1">
        <w:t xml:space="preserve">Series </w:t>
      </w:r>
      <w:r w:rsidRPr="00D52CB7" w:rsidR="00D50213">
        <w:t>2025</w:t>
      </w:r>
      <w:r w:rsidRPr="00D52CB7" w:rsidR="00B935C1">
        <w:t xml:space="preserve"> Bond</w:t>
      </w:r>
      <w:r w:rsidRPr="00D52CB7">
        <w:t>s without carefully considering such risk factors.</w:t>
      </w:r>
    </w:p>
    <w:p w:rsidRPr="00D52CB7" w:rsidR="00743467" w:rsidP="00743467" w:rsidRDefault="00743467" w14:paraId="280343FF" w14:textId="77777777">
      <w:pPr>
        <w:pStyle w:val="TitleLeft"/>
        <w:keepNext w:val="0"/>
      </w:pPr>
      <w:r w:rsidRPr="00D52CB7">
        <w:t>Additional Information</w:t>
      </w:r>
      <w:r w:rsidRPr="00D52CB7">
        <w:fldChar w:fldCharType="begin"/>
      </w:r>
      <w:r w:rsidRPr="00D52CB7">
        <w:instrText>tc "</w:instrText>
      </w:r>
      <w:bookmarkStart w:name="_Toc151631025" w:id="19"/>
      <w:bookmarkStart w:name="_Toc156025653" w:id="20"/>
      <w:bookmarkStart w:name="_Toc195093832" w:id="21"/>
      <w:r w:rsidRPr="00D52CB7">
        <w:instrText>Additional Information</w:instrText>
      </w:r>
      <w:bookmarkEnd w:id="19"/>
      <w:bookmarkEnd w:id="20"/>
      <w:bookmarkEnd w:id="21"/>
      <w:r w:rsidRPr="00D52CB7">
        <w:instrText>" \f C \l 2</w:instrText>
      </w:r>
      <w:r w:rsidRPr="00D52CB7">
        <w:fldChar w:fldCharType="end"/>
      </w:r>
    </w:p>
    <w:p w:rsidRPr="00D52CB7" w:rsidR="00743467" w:rsidP="00743467" w:rsidRDefault="00743467" w14:paraId="205446BC" w14:textId="420B7001">
      <w:pPr>
        <w:pStyle w:val="ParaNORMAL"/>
        <w:rPr>
          <w:color w:val="1A1A1A"/>
          <w:szCs w:val="24"/>
        </w:rPr>
      </w:pPr>
      <w:r w:rsidRPr="00D52CB7">
        <w:t xml:space="preserve">The summaries of, or references to, constitutional provisions, statutes, resolutions, agreements, contracts, financial statements, reports, publications and other documents or compilations of data or information set forth in this Official Statement do not purport to be complete statements of the provisions of the items summarized or referred to and are qualified in their entirety by the actual provision of such items, copies of which are either publicly available or are available upon </w:t>
      </w:r>
      <w:r w:rsidRPr="00D52CB7">
        <w:rPr>
          <w:szCs w:val="24"/>
        </w:rPr>
        <w:t>request from the Borrower</w:t>
      </w:r>
      <w:r w:rsidRPr="00D52CB7">
        <w:rPr>
          <w:color w:val="1A1A1A"/>
          <w:szCs w:val="24"/>
        </w:rPr>
        <w:t xml:space="preserve"> or its financial advisor, </w:t>
      </w:r>
      <w:r w:rsidRPr="00D52CB7" w:rsidR="00244666">
        <w:t>LRB Public Finance Advisors</w:t>
      </w:r>
      <w:r w:rsidRPr="00D52CB7" w:rsidR="00E84432">
        <w:t>.</w:t>
      </w:r>
    </w:p>
    <w:p w:rsidRPr="00D52CB7" w:rsidR="00743467" w:rsidP="00743467" w:rsidRDefault="00743467" w14:paraId="5C2A5D82" w14:textId="77777777">
      <w:pPr>
        <w:pStyle w:val="TitleCenterBold"/>
      </w:pPr>
      <w:r w:rsidRPr="00D52CB7">
        <w:lastRenderedPageBreak/>
        <w:t>The Issuer</w:t>
      </w:r>
      <w:r w:rsidRPr="00D52CB7">
        <w:fldChar w:fldCharType="begin"/>
      </w:r>
      <w:r w:rsidRPr="00D52CB7">
        <w:instrText>tc "</w:instrText>
      </w:r>
      <w:bookmarkStart w:name="_Toc156025660" w:id="22"/>
      <w:bookmarkStart w:name="_Toc195093833" w:id="23"/>
      <w:r w:rsidRPr="00D52CB7">
        <w:instrText>The Issuer</w:instrText>
      </w:r>
      <w:bookmarkEnd w:id="22"/>
      <w:bookmarkEnd w:id="23"/>
      <w:r w:rsidRPr="00D52CB7">
        <w:instrText>" \f C \l 1</w:instrText>
      </w:r>
      <w:r w:rsidRPr="00D52CB7">
        <w:fldChar w:fldCharType="end"/>
      </w:r>
    </w:p>
    <w:p w:rsidRPr="00D52CB7" w:rsidR="00743467" w:rsidP="00743467" w:rsidRDefault="00743467" w14:paraId="60521B71" w14:textId="1F16263E">
      <w:pPr>
        <w:pStyle w:val="ParaNORMAL"/>
      </w:pPr>
      <w:r w:rsidRPr="00D52CB7">
        <w:t xml:space="preserve">The Utah Charter School Finance Authority (the </w:t>
      </w:r>
      <w:r w:rsidRPr="00D52CB7">
        <w:rPr>
          <w:i/>
        </w:rPr>
        <w:t>“Issuer”</w:t>
      </w:r>
      <w:r w:rsidRPr="00D52CB7">
        <w:t>) is a body politic and corporate of the State.  Pursuant to the Utah Industrial Facilities and Development Act, Title 11, Chapter 17, Utah Code Annotated 1953, as amended, and Title 53G, Chapter 5, Part 6, Utah Code Annotated 1953, as amended (collectively, the</w:t>
      </w:r>
      <w:r w:rsidRPr="00D52CB7">
        <w:rPr>
          <w:i/>
        </w:rPr>
        <w:t xml:space="preserve"> “Act”</w:t>
      </w:r>
      <w:r w:rsidRPr="00D52CB7">
        <w:t xml:space="preserve">), the Issuer is empowered to issue the </w:t>
      </w:r>
      <w:r w:rsidRPr="00D52CB7" w:rsidR="00B935C1">
        <w:t xml:space="preserve">Series </w:t>
      </w:r>
      <w:r w:rsidRPr="00D52CB7" w:rsidR="00D50213">
        <w:t>2025</w:t>
      </w:r>
      <w:r w:rsidRPr="00D52CB7" w:rsidR="00B935C1">
        <w:t xml:space="preserve"> Bond</w:t>
      </w:r>
      <w:r w:rsidRPr="00D52CB7">
        <w:t>s to provide funds for financing or refinancing of the costs of the acquisition, construction, improvement and equipping of the Facilities.</w:t>
      </w:r>
    </w:p>
    <w:p w:rsidRPr="00D52CB7" w:rsidR="00743467" w:rsidP="00743467" w:rsidRDefault="00743467" w14:paraId="48F3A860" w14:textId="721FA6A8">
      <w:pPr>
        <w:pStyle w:val="ParaNORMAL"/>
      </w:pPr>
      <w:r w:rsidRPr="00D52CB7">
        <w:t xml:space="preserve">The Issuer is not pledging its general credit to the </w:t>
      </w:r>
      <w:r w:rsidRPr="00D52CB7" w:rsidR="00B935C1">
        <w:t xml:space="preserve">Series </w:t>
      </w:r>
      <w:r w:rsidRPr="00D52CB7" w:rsidR="00D50213">
        <w:t>2025</w:t>
      </w:r>
      <w:r w:rsidRPr="00D52CB7" w:rsidR="00B935C1">
        <w:t xml:space="preserve"> Bond</w:t>
      </w:r>
      <w:r w:rsidRPr="00D52CB7">
        <w:t xml:space="preserve">s.  The Issuer does not and will not in the future monitor the financial condition of the Charter School, the operation of the Facilities or otherwise monitor payment of the </w:t>
      </w:r>
      <w:r w:rsidRPr="00D52CB7" w:rsidR="00B935C1">
        <w:t xml:space="preserve">Series </w:t>
      </w:r>
      <w:r w:rsidRPr="00D52CB7" w:rsidR="00D50213">
        <w:t>2025</w:t>
      </w:r>
      <w:r w:rsidRPr="00D52CB7" w:rsidR="00B935C1">
        <w:t xml:space="preserve"> Bond</w:t>
      </w:r>
      <w:r w:rsidRPr="00D52CB7">
        <w:t>s or compliance with the documents relating thereto.  The responsibility for the operation of the Facilities rests entirely with the Charter School.</w:t>
      </w:r>
    </w:p>
    <w:p w:rsidRPr="00D52CB7" w:rsidR="00743467" w:rsidP="00743467" w:rsidRDefault="00743467" w14:paraId="468F3B0C" w14:textId="61A0D905">
      <w:pPr>
        <w:pStyle w:val="ParaNORMAL"/>
      </w:pPr>
      <w:r w:rsidRPr="00D52CB7">
        <w:t xml:space="preserve">The </w:t>
      </w:r>
      <w:r w:rsidRPr="00D52CB7" w:rsidR="00B935C1">
        <w:t xml:space="preserve">Series </w:t>
      </w:r>
      <w:r w:rsidRPr="00D52CB7" w:rsidR="00D50213">
        <w:t>2025</w:t>
      </w:r>
      <w:r w:rsidRPr="00D52CB7" w:rsidR="00B935C1">
        <w:t xml:space="preserve"> Bond</w:t>
      </w:r>
      <w:r w:rsidRPr="00D52CB7">
        <w:t xml:space="preserve">s are limited obligations of the Issuer.  No recourse by any Holder of the </w:t>
      </w:r>
      <w:r w:rsidRPr="00D52CB7" w:rsidR="00B935C1">
        <w:t xml:space="preserve">Series </w:t>
      </w:r>
      <w:r w:rsidRPr="00D52CB7" w:rsidR="00D50213">
        <w:t>2025</w:t>
      </w:r>
      <w:r w:rsidRPr="00D52CB7" w:rsidR="00B935C1">
        <w:t xml:space="preserve"> Bond</w:t>
      </w:r>
      <w:r w:rsidRPr="00D52CB7">
        <w:t xml:space="preserve">s will be had for the payment of the principal of, or interest on any of the </w:t>
      </w:r>
      <w:r w:rsidRPr="00D52CB7" w:rsidR="00B935C1">
        <w:t xml:space="preserve">Series </w:t>
      </w:r>
      <w:r w:rsidRPr="00D52CB7" w:rsidR="00D50213">
        <w:t>2025</w:t>
      </w:r>
      <w:r w:rsidRPr="00D52CB7" w:rsidR="00B935C1">
        <w:t xml:space="preserve"> Bond</w:t>
      </w:r>
      <w:r w:rsidRPr="00D52CB7">
        <w:t xml:space="preserve">s or for any claim based thereon or upon any obligation, covenant, or agreement in the Indenture or the Loan Agreement, against any past, present, or future officer, member, counsel, advisor or agent of the Issuer or any successor thereto, as such, directly or through the Issuer or any successor thereto, under any rule of law or equity, statute or constitution, or by the enforcement of any assessment or penalty or otherwise, and all such liability of any such officer, member, counsel, advisor or agent as such has been expressly waived as a condition of and in consideration of the execution of the Indenture, the Loan Agreement and the issuance of the </w:t>
      </w:r>
      <w:r w:rsidRPr="00D52CB7" w:rsidR="00B935C1">
        <w:t xml:space="preserve">Series </w:t>
      </w:r>
      <w:r w:rsidRPr="00D52CB7" w:rsidR="00D50213">
        <w:t>2025</w:t>
      </w:r>
      <w:r w:rsidRPr="00D52CB7" w:rsidR="00B935C1">
        <w:t xml:space="preserve"> Bond</w:t>
      </w:r>
      <w:r w:rsidRPr="00D52CB7">
        <w:t>s.</w:t>
      </w:r>
    </w:p>
    <w:p w:rsidRPr="00D52CB7" w:rsidR="006A42FE" w:rsidP="006A42FE" w:rsidRDefault="006A42FE" w14:paraId="3FAD06A3" w14:textId="37B44CE3">
      <w:pPr>
        <w:pStyle w:val="ParaNORMAL"/>
      </w:pPr>
      <w:r w:rsidRPr="00D52CB7">
        <w:t xml:space="preserve">All payments made pursuant to the Loan Agreement will be made directly to the Trustee for payment of, among other things, debt service on the </w:t>
      </w:r>
      <w:r w:rsidRPr="00D52CB7" w:rsidR="00B935C1">
        <w:t xml:space="preserve">Series </w:t>
      </w:r>
      <w:r w:rsidRPr="00D52CB7" w:rsidR="00D50213">
        <w:t>2025</w:t>
      </w:r>
      <w:r w:rsidRPr="00D52CB7" w:rsidR="00B935C1">
        <w:t xml:space="preserve"> Bond</w:t>
      </w:r>
      <w:r w:rsidRPr="00D52CB7">
        <w:t xml:space="preserve">s and disbursement to the Bondholders.  None of the revenues to pay debt service on the </w:t>
      </w:r>
      <w:r w:rsidRPr="00D52CB7" w:rsidR="00B935C1">
        <w:t xml:space="preserve">Series </w:t>
      </w:r>
      <w:r w:rsidRPr="00D52CB7" w:rsidR="00D50213">
        <w:t>2025</w:t>
      </w:r>
      <w:r w:rsidRPr="00D52CB7" w:rsidR="00B935C1">
        <w:t xml:space="preserve"> Bond</w:t>
      </w:r>
      <w:r w:rsidRPr="00D52CB7">
        <w:t xml:space="preserve">s will come from the Issuer and therefore the Issuer’s financial information and status is irrelevant to any investment decision with respect to the </w:t>
      </w:r>
      <w:r w:rsidRPr="00D52CB7" w:rsidR="00B935C1">
        <w:t xml:space="preserve">Series </w:t>
      </w:r>
      <w:r w:rsidRPr="00D52CB7" w:rsidR="00D50213">
        <w:t>2025</w:t>
      </w:r>
      <w:r w:rsidRPr="00D52CB7" w:rsidR="00B935C1">
        <w:t xml:space="preserve"> Bond</w:t>
      </w:r>
      <w:r w:rsidRPr="00D52CB7">
        <w:t xml:space="preserve">s.  As a result, no information regarding the Issuer will be provided in respect of any continuing disclosure requirement relating to the </w:t>
      </w:r>
      <w:r w:rsidRPr="00D52CB7" w:rsidR="00B935C1">
        <w:t xml:space="preserve">Series </w:t>
      </w:r>
      <w:r w:rsidRPr="00D52CB7" w:rsidR="00D50213">
        <w:t>2025</w:t>
      </w:r>
      <w:r w:rsidRPr="00D52CB7" w:rsidR="00B935C1">
        <w:t xml:space="preserve"> Bond</w:t>
      </w:r>
      <w:r w:rsidRPr="00D52CB7">
        <w:t>s.  The Issuer has not assumed responsibility for any information in this Official Statement, except for the information under this caption and the caption “</w:t>
      </w:r>
      <w:r w:rsidRPr="00D52CB7">
        <w:rPr>
          <w:smallCaps/>
        </w:rPr>
        <w:t>Legal Matters</w:t>
      </w:r>
      <w:r w:rsidRPr="00D52CB7">
        <w:t>—Pending and Threatened Litigation–</w:t>
      </w:r>
      <w:r w:rsidRPr="00D52CB7">
        <w:rPr>
          <w:i/>
          <w:szCs w:val="24"/>
        </w:rPr>
        <w:t>No Proceedings against the Issuer</w:t>
      </w:r>
      <w:r w:rsidRPr="00D52CB7">
        <w:t>.”</w:t>
      </w:r>
    </w:p>
    <w:p w:rsidRPr="00D52CB7" w:rsidR="00743467" w:rsidP="00743467" w:rsidRDefault="00743467" w14:paraId="481A3FA9" w14:textId="77777777">
      <w:pPr>
        <w:pStyle w:val="TitleCenterBold"/>
      </w:pPr>
      <w:r w:rsidRPr="00D52CB7">
        <w:t>The Charter School</w:t>
      </w:r>
      <w:r w:rsidRPr="00D52CB7">
        <w:fldChar w:fldCharType="begin"/>
      </w:r>
      <w:r w:rsidRPr="00D52CB7">
        <w:instrText>tc "</w:instrText>
      </w:r>
      <w:bookmarkStart w:name="_Toc156025661" w:id="24"/>
      <w:bookmarkStart w:name="_Toc195093834" w:id="25"/>
      <w:r w:rsidRPr="00D52CB7">
        <w:instrText>The Charter School</w:instrText>
      </w:r>
      <w:bookmarkEnd w:id="24"/>
      <w:bookmarkEnd w:id="25"/>
      <w:r w:rsidRPr="00D52CB7">
        <w:instrText>" \f C \l 1</w:instrText>
      </w:r>
      <w:r w:rsidRPr="00D52CB7">
        <w:fldChar w:fldCharType="end"/>
      </w:r>
    </w:p>
    <w:p w:rsidRPr="00D52CB7" w:rsidR="00743467" w:rsidP="00743467" w:rsidRDefault="00B85642" w14:paraId="32092105" w14:textId="23DF49FA">
      <w:pPr>
        <w:pStyle w:val="ParaNORMAL"/>
      </w:pPr>
      <w:r w:rsidRPr="00D52CB7">
        <w:t xml:space="preserve">Generacion </w:t>
      </w:r>
      <w:proofErr w:type="spellStart"/>
      <w:r w:rsidRPr="00D52CB7">
        <w:t>Floreciente</w:t>
      </w:r>
      <w:proofErr w:type="spellEnd"/>
      <w:r w:rsidRPr="00D52CB7">
        <w:t xml:space="preserve"> dba Esperanza Elementary</w:t>
      </w:r>
      <w:r w:rsidRPr="00D52CB7" w:rsidR="00185CEA">
        <w:t xml:space="preserve"> (the </w:t>
      </w:r>
      <w:r w:rsidRPr="00D52CB7" w:rsidR="00185CEA">
        <w:rPr>
          <w:i/>
          <w:iCs/>
        </w:rPr>
        <w:t>“</w:t>
      </w:r>
      <w:r w:rsidRPr="00D52CB7" w:rsidR="00F347FD">
        <w:rPr>
          <w:i/>
          <w:iCs/>
        </w:rPr>
        <w:t xml:space="preserve">Borrower” </w:t>
      </w:r>
      <w:r w:rsidRPr="00D52CB7" w:rsidR="00F347FD">
        <w:t xml:space="preserve">or the </w:t>
      </w:r>
      <w:r w:rsidRPr="00D52CB7" w:rsidR="00F347FD">
        <w:rPr>
          <w:i/>
          <w:iCs/>
        </w:rPr>
        <w:t>“Charter School”</w:t>
      </w:r>
      <w:r w:rsidRPr="00D52CB7" w:rsidR="00F347FD">
        <w:t>)</w:t>
      </w:r>
      <w:r w:rsidRPr="00D52CB7" w:rsidR="00743467">
        <w:t xml:space="preserve"> is a Utah public charter school and a Utah nonprofit corporation organized under the laws of the State.  The Charter School operates school facilities in </w:t>
      </w:r>
      <w:r w:rsidRPr="00D52CB7" w:rsidR="000E3797">
        <w:t>West Valley City, Utah</w:t>
      </w:r>
      <w:r w:rsidRPr="00D52CB7" w:rsidR="00743467">
        <w:t xml:space="preserve">, as described in </w:t>
      </w:r>
      <w:r w:rsidRPr="00D52CB7" w:rsidR="00743467">
        <w:rPr>
          <w:smallCaps/>
        </w:rPr>
        <w:t>Appendix B</w:t>
      </w:r>
      <w:r w:rsidRPr="00D52CB7" w:rsidR="00743467">
        <w:t>.  The Charter School is organized pursuant to the Charter School Act.</w:t>
      </w:r>
      <w:r w:rsidRPr="00D52CB7" w:rsidR="001E11C2">
        <w:t xml:space="preserve"> </w:t>
      </w:r>
    </w:p>
    <w:p w:rsidRPr="00D52CB7" w:rsidR="00743467" w:rsidP="00743467" w:rsidRDefault="00743467" w14:paraId="23448280" w14:textId="17B8CF59">
      <w:pPr>
        <w:pStyle w:val="ParaNORMAL"/>
      </w:pPr>
      <w:r w:rsidRPr="00D52CB7">
        <w:t xml:space="preserve">The Charter School currently operates under a charter agreement (the </w:t>
      </w:r>
      <w:r w:rsidRPr="00D52CB7">
        <w:rPr>
          <w:i/>
        </w:rPr>
        <w:t>“Charter Agreement”</w:t>
      </w:r>
      <w:r w:rsidRPr="00D52CB7">
        <w:t xml:space="preserve">) with the Utah State Charter School Board (the </w:t>
      </w:r>
      <w:r w:rsidRPr="00D52CB7">
        <w:rPr>
          <w:i/>
        </w:rPr>
        <w:t>“State Charter School Board”</w:t>
      </w:r>
      <w:r w:rsidRPr="00D52CB7">
        <w:t xml:space="preserve">).  Utah charter schools, including the Charter School, have perpetual charter terms.  Pursuant to its terms </w:t>
      </w:r>
      <w:r w:rsidRPr="00D52CB7">
        <w:lastRenderedPageBreak/>
        <w:t>and applicable law, the Charter Agreement will automatically renew at the end of each school year unless terminated by the State Charter School Board under the circumstances described under “</w:t>
      </w:r>
      <w:r w:rsidRPr="00D52CB7">
        <w:rPr>
          <w:smallCaps/>
        </w:rPr>
        <w:t>Appendix A—</w:t>
      </w:r>
      <w:r w:rsidRPr="00D52CB7" w:rsidR="0013735E">
        <w:rPr>
          <w:smallCaps/>
        </w:rPr>
        <w:t>Charter Schools in Utah</w:t>
      </w:r>
      <w:r w:rsidRPr="00D52CB7">
        <w:rPr>
          <w:smallCaps/>
        </w:rPr>
        <w:t>–G</w:t>
      </w:r>
      <w:r w:rsidRPr="00D52CB7">
        <w:t>eneral Provisions of the Charter School Act–</w:t>
      </w:r>
      <w:r w:rsidRPr="00D52CB7">
        <w:rPr>
          <w:i/>
        </w:rPr>
        <w:t>Noncompliance and Termination.”</w:t>
      </w:r>
    </w:p>
    <w:p w:rsidRPr="00D52CB7" w:rsidR="00743467" w:rsidP="00743467" w:rsidRDefault="00743467" w14:paraId="164F3F7F" w14:textId="0E2B465E">
      <w:pPr>
        <w:pStyle w:val="ParaNORMAL"/>
        <w:rPr>
          <w:rFonts w:cs="TimesNewRomanPSMT"/>
        </w:rPr>
      </w:pPr>
      <w:r w:rsidRPr="00D52CB7">
        <w:rPr>
          <w:rFonts w:cs="TimesNewRomanPSMT"/>
        </w:rPr>
        <w:t xml:space="preserve">The Charter School is a 501(c)(3) organization and received a determination letter dated </w:t>
      </w:r>
      <w:r w:rsidRPr="00D52CB7" w:rsidR="00185CEA">
        <w:rPr>
          <w:rFonts w:cs="TimesNewRomanPSMT"/>
        </w:rPr>
        <w:t>November</w:t>
      </w:r>
      <w:r w:rsidRPr="00D52CB7" w:rsidR="00E80865">
        <w:rPr>
          <w:rFonts w:cs="TimesNewRomanPSMT"/>
        </w:rPr>
        <w:t>, 2011</w:t>
      </w:r>
      <w:r w:rsidRPr="00D52CB7">
        <w:rPr>
          <w:rFonts w:cs="TimesNewRomanPSMT"/>
        </w:rPr>
        <w:t>, from the Internal Revenue Service providing such designation.</w:t>
      </w:r>
    </w:p>
    <w:p w:rsidRPr="00D52CB7" w:rsidR="002256F5" w:rsidP="002256F5" w:rsidRDefault="002256F5" w14:paraId="499072E3" w14:textId="77777777">
      <w:pPr>
        <w:pStyle w:val="ParaNORMAL"/>
      </w:pPr>
      <w:r w:rsidRPr="00D52CB7">
        <w:t>The Charter School was incorporated on December 19, 2005, and began operating under its Charter in the 2014</w:t>
      </w:r>
      <w:r w:rsidRPr="00D52CB7">
        <w:noBreakHyphen/>
        <w:t>2015 school year with approximately 390 students in grades K</w:t>
      </w:r>
      <w:r w:rsidRPr="00D52CB7">
        <w:noBreakHyphen/>
        <w:t>6.  The Charter School enrolled approximately 504 students in grades K</w:t>
      </w:r>
      <w:r w:rsidRPr="00D52CB7">
        <w:noBreakHyphen/>
        <w:t>6 for the 2024</w:t>
      </w:r>
      <w:r w:rsidRPr="00D52CB7">
        <w:noBreakHyphen/>
        <w:t>2025 school year.</w:t>
      </w:r>
    </w:p>
    <w:p w:rsidRPr="00D52CB7" w:rsidR="002256F5" w:rsidP="002256F5" w:rsidRDefault="002256F5" w14:paraId="21300083" w14:textId="65E326B6">
      <w:pPr>
        <w:pStyle w:val="ParaNORMAL"/>
      </w:pPr>
      <w:r w:rsidRPr="00D52CB7">
        <w:t>The Charter School is governed by a Board of Directors, which is responsible for the academic and operations programs of the Charter School.</w:t>
      </w:r>
    </w:p>
    <w:p w:rsidRPr="00D52CB7" w:rsidR="002256F5" w:rsidP="002256F5" w:rsidRDefault="002256F5" w14:paraId="3F5E76E1" w14:textId="26B23424">
      <w:pPr>
        <w:pStyle w:val="ParaNORMAL"/>
        <w:rPr>
          <w:rFonts w:cs="TimesNewRomanPSMT"/>
        </w:rPr>
      </w:pPr>
      <w:r w:rsidRPr="00D52CB7">
        <w:t>The Charter School currently operates a K</w:t>
      </w:r>
      <w:r w:rsidRPr="00D52CB7">
        <w:noBreakHyphen/>
        <w:t xml:space="preserve">6 charter school located at </w:t>
      </w:r>
      <w:r w:rsidRPr="00D52CB7" w:rsidR="006D520E">
        <w:t xml:space="preserve">4956 West 3500 South </w:t>
      </w:r>
      <w:r w:rsidRPr="00D52CB7">
        <w:t xml:space="preserve">in West Valley City, Utah.  </w:t>
      </w:r>
      <w:r w:rsidRPr="00D52CB7" w:rsidR="008815EE">
        <w:rPr>
          <w:b/>
          <w:bCs/>
        </w:rPr>
        <w:t xml:space="preserve">[Discuss any plans for additional  campuses and </w:t>
      </w:r>
      <w:r w:rsidRPr="00D52CB7" w:rsidR="00630D64">
        <w:rPr>
          <w:b/>
          <w:bCs/>
        </w:rPr>
        <w:t>confirm that</w:t>
      </w:r>
      <w:r w:rsidRPr="00D52CB7" w:rsidR="008815EE">
        <w:rPr>
          <w:b/>
          <w:bCs/>
        </w:rPr>
        <w:t xml:space="preserve"> such facilities would be </w:t>
      </w:r>
      <w:r w:rsidRPr="00D52CB7" w:rsidR="00630D64">
        <w:rPr>
          <w:b/>
          <w:bCs/>
        </w:rPr>
        <w:t xml:space="preserve">added to the Indenture collateral/i.e., no need for Custodial Agreement, </w:t>
      </w:r>
      <w:r w:rsidRPr="00D52CB7" w:rsidR="001674A6">
        <w:rPr>
          <w:b/>
          <w:bCs/>
        </w:rPr>
        <w:t>etc.]</w:t>
      </w:r>
      <w:r w:rsidRPr="00D52CB7">
        <w:rPr>
          <w:b/>
          <w:bCs/>
        </w:rPr>
        <w:t>.</w:t>
      </w:r>
    </w:p>
    <w:p w:rsidRPr="00D52CB7" w:rsidR="00743467" w:rsidP="00743467" w:rsidRDefault="00743467" w14:paraId="79439A30" w14:textId="77777777">
      <w:pPr>
        <w:pStyle w:val="ParaNORMAL"/>
      </w:pPr>
      <w:r w:rsidRPr="00D52CB7">
        <w:t>For more information regarding the Charter School, see “</w:t>
      </w:r>
      <w:r w:rsidRPr="00D52CB7">
        <w:rPr>
          <w:smallCaps/>
        </w:rPr>
        <w:t>Appendix B—The Charter School</w:t>
      </w:r>
      <w:r w:rsidRPr="00D52CB7">
        <w:t>.”</w:t>
      </w:r>
    </w:p>
    <w:p w:rsidRPr="00D52CB7" w:rsidR="00743467" w:rsidP="00743467" w:rsidRDefault="00743467" w14:paraId="317F2657" w14:textId="72DD20F7">
      <w:pPr>
        <w:pStyle w:val="TitleCenterBold"/>
      </w:pPr>
      <w:r w:rsidRPr="00D52CB7">
        <w:t xml:space="preserve">The </w:t>
      </w:r>
      <w:r w:rsidRPr="00D52CB7" w:rsidR="00B935C1">
        <w:t xml:space="preserve">Series </w:t>
      </w:r>
      <w:r w:rsidRPr="00D52CB7" w:rsidR="00D50213">
        <w:t>2025</w:t>
      </w:r>
      <w:r w:rsidRPr="00D52CB7" w:rsidR="00B935C1">
        <w:t xml:space="preserve"> Bond</w:t>
      </w:r>
      <w:r w:rsidRPr="00D52CB7">
        <w:t>s</w:t>
      </w:r>
      <w:r w:rsidRPr="00D52CB7">
        <w:fldChar w:fldCharType="begin"/>
      </w:r>
      <w:r w:rsidRPr="00D52CB7">
        <w:instrText>tc "</w:instrText>
      </w:r>
      <w:bookmarkStart w:name="_Toc156025662" w:id="26"/>
      <w:r w:rsidRPr="00D52CB7">
        <w:instrText xml:space="preserve"> </w:instrText>
      </w:r>
      <w:bookmarkStart w:name="_Toc195093835" w:id="27"/>
      <w:r w:rsidRPr="00D52CB7">
        <w:instrText xml:space="preserve">The Series </w:instrText>
      </w:r>
      <w:r w:rsidRPr="00D52CB7" w:rsidR="00D50213">
        <w:instrText>2025</w:instrText>
      </w:r>
      <w:r w:rsidRPr="00D52CB7">
        <w:instrText xml:space="preserve"> Bonds</w:instrText>
      </w:r>
      <w:bookmarkEnd w:id="26"/>
      <w:bookmarkEnd w:id="27"/>
      <w:r w:rsidRPr="00D52CB7">
        <w:instrText>" \f C \l 1</w:instrText>
      </w:r>
      <w:r w:rsidRPr="00D52CB7">
        <w:fldChar w:fldCharType="end"/>
      </w:r>
    </w:p>
    <w:p w:rsidRPr="00D52CB7" w:rsidR="00743467" w:rsidP="00743467" w:rsidRDefault="00743467" w14:paraId="75EE97AB" w14:textId="77777777">
      <w:pPr>
        <w:pStyle w:val="TitleLeft"/>
      </w:pPr>
      <w:r w:rsidRPr="00D52CB7">
        <w:t>General</w:t>
      </w:r>
      <w:r w:rsidRPr="00D52CB7">
        <w:fldChar w:fldCharType="begin"/>
      </w:r>
      <w:r w:rsidRPr="00D52CB7">
        <w:instrText>tc "</w:instrText>
      </w:r>
      <w:bookmarkStart w:name="_Toc156025663" w:id="28"/>
      <w:bookmarkStart w:name="_Toc195093836" w:id="29"/>
      <w:r w:rsidRPr="00D52CB7">
        <w:rPr>
          <w:smallCaps w:val="0"/>
        </w:rPr>
        <w:instrText>General</w:instrText>
      </w:r>
      <w:bookmarkEnd w:id="28"/>
      <w:bookmarkEnd w:id="29"/>
      <w:r w:rsidRPr="00D52CB7">
        <w:instrText>" \f C \l 2</w:instrText>
      </w:r>
      <w:r w:rsidRPr="00D52CB7">
        <w:fldChar w:fldCharType="end"/>
      </w:r>
    </w:p>
    <w:p w:rsidRPr="00D52CB7" w:rsidR="00743467" w:rsidP="00743467" w:rsidRDefault="00743467" w14:paraId="5D3D6093" w14:textId="0836E7AD">
      <w:pPr>
        <w:pStyle w:val="ParaNORMAL"/>
      </w:pPr>
      <w:r w:rsidRPr="00D52CB7">
        <w:t xml:space="preserve">The </w:t>
      </w:r>
      <w:r w:rsidRPr="00D52CB7" w:rsidR="00B935C1">
        <w:t xml:space="preserve">Series </w:t>
      </w:r>
      <w:r w:rsidRPr="00D52CB7" w:rsidR="00D50213">
        <w:t>2025</w:t>
      </w:r>
      <w:r w:rsidRPr="00D52CB7" w:rsidR="00B935C1">
        <w:t xml:space="preserve"> Bond</w:t>
      </w:r>
      <w:r w:rsidRPr="00D52CB7">
        <w:t>s will be dated as of their date of delivery, will be issued in the aggregate principal amounts, will bear interest at the rates</w:t>
      </w:r>
      <w:r w:rsidRPr="00D52CB7" w:rsidR="009E26A4">
        <w:t>,</w:t>
      </w:r>
      <w:r w:rsidRPr="00D52CB7">
        <w:t xml:space="preserve"> and will mature on the dates shown on the front inside cover hereof.  The </w:t>
      </w:r>
      <w:r w:rsidRPr="00D52CB7" w:rsidR="00B935C1">
        <w:t xml:space="preserve">Series </w:t>
      </w:r>
      <w:r w:rsidRPr="00D52CB7" w:rsidR="00D50213">
        <w:t>2025</w:t>
      </w:r>
      <w:r w:rsidRPr="00D52CB7" w:rsidR="00B935C1">
        <w:t xml:space="preserve"> Bond</w:t>
      </w:r>
      <w:r w:rsidRPr="00D52CB7">
        <w:t xml:space="preserve">s are subject to redemption, as described below.  The </w:t>
      </w:r>
      <w:r w:rsidRPr="00D52CB7" w:rsidR="00B935C1">
        <w:t xml:space="preserve">Series </w:t>
      </w:r>
      <w:r w:rsidRPr="00D52CB7" w:rsidR="00D50213">
        <w:t>2025</w:t>
      </w:r>
      <w:r w:rsidRPr="00D52CB7" w:rsidR="00B935C1">
        <w:t xml:space="preserve"> Bond</w:t>
      </w:r>
      <w:r w:rsidRPr="00D52CB7">
        <w:t xml:space="preserve">s will be issued in denominations </w:t>
      </w:r>
      <w:r w:rsidRPr="00D52CB7">
        <w:rPr>
          <w:szCs w:val="24"/>
        </w:rPr>
        <w:t xml:space="preserve">of $5,000 or any integral </w:t>
      </w:r>
      <w:r w:rsidRPr="00D52CB7" w:rsidR="009E26A4">
        <w:rPr>
          <w:szCs w:val="24"/>
        </w:rPr>
        <w:t>of $1,000</w:t>
      </w:r>
      <w:r w:rsidRPr="00D52CB7">
        <w:rPr>
          <w:szCs w:val="24"/>
        </w:rPr>
        <w:t xml:space="preserve"> in excess thereof</w:t>
      </w:r>
      <w:r w:rsidRPr="00D52CB7">
        <w:t xml:space="preserve">.  Interest on the </w:t>
      </w:r>
      <w:r w:rsidRPr="00D52CB7" w:rsidR="00B935C1">
        <w:t xml:space="preserve">Series </w:t>
      </w:r>
      <w:r w:rsidRPr="00D52CB7" w:rsidR="00D50213">
        <w:t>2025</w:t>
      </w:r>
      <w:r w:rsidRPr="00D52CB7" w:rsidR="00B935C1">
        <w:t xml:space="preserve"> Bond</w:t>
      </w:r>
      <w:r w:rsidRPr="00D52CB7">
        <w:t xml:space="preserve">s will be payable semiannually on April 15 and October 15 of each year, commencing </w:t>
      </w:r>
      <w:r w:rsidRPr="00D52CB7" w:rsidR="001674A6">
        <w:t>_______</w:t>
      </w:r>
      <w:r w:rsidRPr="00D52CB7">
        <w:t xml:space="preserve"> (each an </w:t>
      </w:r>
      <w:r w:rsidRPr="00D52CB7">
        <w:rPr>
          <w:i/>
        </w:rPr>
        <w:t>“Interest Payment Date”</w:t>
      </w:r>
      <w:r w:rsidRPr="00D52CB7">
        <w:t xml:space="preserve">), by check or draft mailed to the registered owners of the </w:t>
      </w:r>
      <w:r w:rsidRPr="00D52CB7" w:rsidR="00B935C1">
        <w:t xml:space="preserve">Series </w:t>
      </w:r>
      <w:r w:rsidRPr="00D52CB7" w:rsidR="00D50213">
        <w:t>2025</w:t>
      </w:r>
      <w:r w:rsidRPr="00D52CB7" w:rsidR="00B935C1">
        <w:t xml:space="preserve"> Bond</w:t>
      </w:r>
      <w:r w:rsidRPr="00D52CB7">
        <w:t>s as of the Regular Record Date.</w:t>
      </w:r>
    </w:p>
    <w:p w:rsidRPr="00D52CB7" w:rsidR="00743467" w:rsidP="00743467" w:rsidRDefault="00743467" w14:paraId="16AEBF25" w14:textId="415778B8">
      <w:pPr>
        <w:pStyle w:val="ParaNORMAL"/>
      </w:pPr>
      <w:r w:rsidRPr="00D52CB7">
        <w:t xml:space="preserve">The </w:t>
      </w:r>
      <w:r w:rsidRPr="00D52CB7" w:rsidR="00B935C1">
        <w:t xml:space="preserve">Series </w:t>
      </w:r>
      <w:r w:rsidRPr="00D52CB7" w:rsidR="00D50213">
        <w:t>2025</w:t>
      </w:r>
      <w:r w:rsidRPr="00D52CB7" w:rsidR="00B935C1">
        <w:t xml:space="preserve"> Bond</w:t>
      </w:r>
      <w:r w:rsidRPr="00D52CB7">
        <w:t>s will bear interest on the basis of a 360</w:t>
      </w:r>
      <w:r w:rsidRPr="00D52CB7">
        <w:noBreakHyphen/>
        <w:t>day year, consisting of twelve 30</w:t>
      </w:r>
      <w:r w:rsidRPr="00D52CB7">
        <w:noBreakHyphen/>
        <w:t>day months, from their date of issuance until payment of principal has been made or provided for.</w:t>
      </w:r>
    </w:p>
    <w:p w:rsidRPr="00D52CB7" w:rsidR="00743467" w:rsidP="00743467" w:rsidRDefault="00743467" w14:paraId="48E7BCD1" w14:textId="60D60E3F">
      <w:pPr>
        <w:pStyle w:val="ParaNORMAL"/>
      </w:pPr>
      <w:r w:rsidRPr="00D52CB7">
        <w:t xml:space="preserve">Except in the case of overdue interest, the record date for interest due will be the first calendar day of the month of each Interest Payment Date.  Interest that is due and payable on any Interest Payment Date, but cannot be paid on such date from available sources, ceases to be payable to the registered owner otherwise entitled thereto as of the close of business on the Regular Record Date.  At such time as sufficient funds are available for the payment of such overdue interest, the Trustee is required to establish a special payment date and a Special Record Date in respect thereof.  </w:t>
      </w:r>
      <w:r w:rsidRPr="00D52CB7">
        <w:lastRenderedPageBreak/>
        <w:t xml:space="preserve">The Trustee is required to mail a notice specifying each date so established to each registered owner of the </w:t>
      </w:r>
      <w:r w:rsidRPr="00D52CB7" w:rsidR="00B935C1">
        <w:t xml:space="preserve">Series </w:t>
      </w:r>
      <w:r w:rsidRPr="00D52CB7" w:rsidR="00D50213">
        <w:t>2025</w:t>
      </w:r>
      <w:r w:rsidRPr="00D52CB7" w:rsidR="00B935C1">
        <w:t xml:space="preserve"> Bond</w:t>
      </w:r>
      <w:r w:rsidRPr="00D52CB7">
        <w:t>s, such notice to be mailed at least 10 days prior to the Special Record Date.</w:t>
      </w:r>
    </w:p>
    <w:p w:rsidRPr="00D52CB7" w:rsidR="00743467" w:rsidP="00743467" w:rsidRDefault="00743467" w14:paraId="7D43779D" w14:textId="77777777">
      <w:pPr>
        <w:pStyle w:val="TitleLeft"/>
      </w:pPr>
      <w:r w:rsidRPr="00D52CB7">
        <w:t>Redemption</w:t>
      </w:r>
      <w:r w:rsidRPr="00D52CB7">
        <w:fldChar w:fldCharType="begin"/>
      </w:r>
      <w:r w:rsidRPr="00D52CB7">
        <w:instrText>tc "</w:instrText>
      </w:r>
      <w:bookmarkStart w:name="_Toc156025665" w:id="30"/>
      <w:bookmarkStart w:name="_Toc195093837" w:id="31"/>
      <w:r w:rsidRPr="00D52CB7">
        <w:rPr>
          <w:smallCaps w:val="0"/>
        </w:rPr>
        <w:instrText>Redemption</w:instrText>
      </w:r>
      <w:bookmarkEnd w:id="30"/>
      <w:bookmarkEnd w:id="31"/>
      <w:r w:rsidRPr="00D52CB7">
        <w:instrText>" \f C \l 2</w:instrText>
      </w:r>
      <w:r w:rsidRPr="00D52CB7">
        <w:fldChar w:fldCharType="end"/>
      </w:r>
    </w:p>
    <w:p w:rsidRPr="00D52CB7" w:rsidR="00743467" w:rsidP="00743467" w:rsidRDefault="00743467" w14:paraId="2050AC23" w14:textId="1960FC46">
      <w:pPr>
        <w:pStyle w:val="ParaNORMAL"/>
      </w:pPr>
      <w:r w:rsidRPr="00D52CB7">
        <w:rPr>
          <w:i/>
        </w:rPr>
        <w:t xml:space="preserve">Optional Redemption.  </w:t>
      </w:r>
      <w:r w:rsidRPr="00D52CB7">
        <w:t xml:space="preserve">The </w:t>
      </w:r>
      <w:r w:rsidRPr="00D52CB7" w:rsidR="00B935C1">
        <w:t xml:space="preserve">Series </w:t>
      </w:r>
      <w:r w:rsidRPr="00D52CB7" w:rsidR="00D50213">
        <w:t>2025</w:t>
      </w:r>
      <w:r w:rsidRPr="00D52CB7" w:rsidR="00B935C1">
        <w:t xml:space="preserve"> Bond</w:t>
      </w:r>
      <w:r w:rsidRPr="00D52CB7">
        <w:t xml:space="preserve">s maturing on or after October 15, </w:t>
      </w:r>
      <w:r w:rsidRPr="00D52CB7" w:rsidR="001674A6">
        <w:t>_____,</w:t>
      </w:r>
      <w:r w:rsidRPr="00D52CB7">
        <w:t xml:space="preserve"> are subject to optional redemption by the Issuer, at the written direction of the Charter School, in whole or in part, on any Business Day, on or after </w:t>
      </w:r>
      <w:r w:rsidRPr="00D52CB7" w:rsidR="001674A6">
        <w:t>________</w:t>
      </w:r>
      <w:r w:rsidRPr="00D52CB7">
        <w:t xml:space="preserve">, at </w:t>
      </w:r>
      <w:r w:rsidRPr="00D52CB7" w:rsidR="006A42FE">
        <w:t>a</w:t>
      </w:r>
      <w:r w:rsidRPr="00D52CB7">
        <w:t xml:space="preserve"> redemption price equal to 100% of the principal amount thereof, plus accrued interest, if any, to the date fixed for redemption.</w:t>
      </w:r>
    </w:p>
    <w:p w:rsidRPr="00D52CB7" w:rsidR="00743467" w:rsidP="00743467" w:rsidRDefault="00743467" w14:paraId="51E875FB" w14:textId="71AFAED4">
      <w:pPr>
        <w:pStyle w:val="ParaNORMAL"/>
        <w:rPr>
          <w:i/>
        </w:rPr>
      </w:pPr>
      <w:r w:rsidRPr="00D52CB7">
        <w:rPr>
          <w:i/>
        </w:rPr>
        <w:t xml:space="preserve">Mandatory Sinking Fund Redemption.  </w:t>
      </w:r>
      <w:r w:rsidRPr="00D52CB7">
        <w:t xml:space="preserve">The </w:t>
      </w:r>
      <w:r w:rsidRPr="00D52CB7" w:rsidR="00B935C1">
        <w:t xml:space="preserve">Series </w:t>
      </w:r>
      <w:r w:rsidRPr="00D52CB7" w:rsidR="00D50213">
        <w:t>2025</w:t>
      </w:r>
      <w:r w:rsidRPr="00D52CB7" w:rsidR="001674A6">
        <w:t>[A]</w:t>
      </w:r>
      <w:r w:rsidRPr="00D52CB7" w:rsidR="00B935C1">
        <w:t xml:space="preserve"> Bond</w:t>
      </w:r>
      <w:r w:rsidRPr="00D52CB7">
        <w:t xml:space="preserve">s maturing on October 15, </w:t>
      </w:r>
      <w:r w:rsidRPr="00D52CB7" w:rsidR="001674A6">
        <w:t>____,</w:t>
      </w:r>
      <w:r w:rsidRPr="00D52CB7">
        <w:t xml:space="preserve"> are subject to mandatory sinking fund redemption on the dates and in the amounts set forth below, at a redemption price equal to 100% of the principal amount thereof plus accrued interest to the redemption date:</w:t>
      </w:r>
    </w:p>
    <w:p w:rsidRPr="00D52CB7" w:rsidR="00743467" w:rsidP="00743467" w:rsidRDefault="00743467" w14:paraId="5E031205" w14:textId="77777777">
      <w:pPr>
        <w:rPr>
          <w:rFonts w:ascii="Times" w:hAnsi="Times"/>
          <w:szCs w:val="23"/>
        </w:rPr>
      </w:pPr>
    </w:p>
    <w:tbl>
      <w:tblPr>
        <w:tblW w:w="0" w:type="auto"/>
        <w:tblInd w:w="1908" w:type="dxa"/>
        <w:tblLook w:val="00A0" w:firstRow="1" w:lastRow="0" w:firstColumn="1" w:lastColumn="0" w:noHBand="0" w:noVBand="0"/>
      </w:tblPr>
      <w:tblGrid>
        <w:gridCol w:w="3240"/>
        <w:gridCol w:w="2700"/>
      </w:tblGrid>
      <w:tr w:rsidRPr="00D52CB7" w:rsidR="00743467" w:rsidTr="00FB7E2D" w14:paraId="2B637A14" w14:textId="77777777">
        <w:trPr>
          <w:trHeight w:val="720"/>
        </w:trPr>
        <w:tc>
          <w:tcPr>
            <w:tcW w:w="3240" w:type="dxa"/>
          </w:tcPr>
          <w:p w:rsidRPr="00D52CB7" w:rsidR="00743467" w:rsidP="00FB7E2D" w:rsidRDefault="00743467" w14:paraId="36D742FA" w14:textId="4F870F46">
            <w:pPr>
              <w:keepNext/>
              <w:keepLines/>
              <w:pBdr>
                <w:bottom w:val="single" w:color="auto" w:sz="4" w:space="1"/>
              </w:pBdr>
              <w:spacing w:after="40"/>
              <w:jc w:val="center"/>
              <w:rPr>
                <w:rFonts w:ascii="Times" w:hAnsi="Times"/>
                <w:smallCaps/>
              </w:rPr>
            </w:pPr>
            <w:r w:rsidRPr="00D52CB7">
              <w:rPr>
                <w:rFonts w:ascii="Times" w:hAnsi="Times"/>
                <w:smallCaps/>
              </w:rPr>
              <w:t>October 15</w:t>
            </w:r>
            <w:r w:rsidRPr="00D52CB7">
              <w:rPr>
                <w:rFonts w:ascii="Times" w:hAnsi="Times"/>
                <w:smallCaps/>
              </w:rPr>
              <w:br/>
              <w:t>Due</w:t>
            </w:r>
          </w:p>
        </w:tc>
        <w:tc>
          <w:tcPr>
            <w:tcW w:w="2700" w:type="dxa"/>
          </w:tcPr>
          <w:p w:rsidRPr="00D52CB7" w:rsidR="00743467" w:rsidP="00FB7E2D" w:rsidRDefault="00743467" w14:paraId="7B313FA4" w14:textId="3FCABF8F">
            <w:pPr>
              <w:pBdr>
                <w:bottom w:val="single" w:color="auto" w:sz="4" w:space="1"/>
              </w:pBdr>
              <w:spacing w:after="40"/>
              <w:jc w:val="center"/>
              <w:rPr>
                <w:rFonts w:ascii="Times" w:hAnsi="Times"/>
                <w:smallCaps/>
              </w:rPr>
            </w:pPr>
            <w:r w:rsidRPr="00D52CB7">
              <w:rPr>
                <w:rFonts w:ascii="Times" w:hAnsi="Times"/>
                <w:smallCaps/>
              </w:rPr>
              <w:br/>
              <w:t>Amount</w:t>
            </w:r>
          </w:p>
        </w:tc>
      </w:tr>
      <w:tr w:rsidRPr="00D52CB7" w:rsidR="00CF4BD6" w:rsidTr="007D1B23" w14:paraId="71082F50" w14:textId="77777777">
        <w:trPr>
          <w:trHeight w:val="288"/>
        </w:trPr>
        <w:tc>
          <w:tcPr>
            <w:tcW w:w="3240" w:type="dxa"/>
          </w:tcPr>
          <w:p w:rsidRPr="00D52CB7" w:rsidR="00CF4BD6" w:rsidP="007D1B23" w:rsidRDefault="00CF4BD6" w14:paraId="2F04CEF3" w14:textId="52DA4543">
            <w:pPr>
              <w:keepNext/>
              <w:tabs>
                <w:tab w:val="decimal" w:pos="1782"/>
              </w:tabs>
              <w:rPr>
                <w:rFonts w:ascii="Times" w:hAnsi="Times"/>
              </w:rPr>
            </w:pPr>
          </w:p>
        </w:tc>
        <w:tc>
          <w:tcPr>
            <w:tcW w:w="2700" w:type="dxa"/>
            <w:vAlign w:val="bottom"/>
          </w:tcPr>
          <w:p w:rsidRPr="00D52CB7" w:rsidR="00CF4BD6" w:rsidP="007D1B23" w:rsidRDefault="00CF4BD6" w14:paraId="66840030" w14:textId="4B27D9C5">
            <w:pPr>
              <w:tabs>
                <w:tab w:val="decimal" w:pos="1692"/>
              </w:tabs>
              <w:rPr>
                <w:rFonts w:ascii="Times" w:hAnsi="Times"/>
              </w:rPr>
            </w:pPr>
          </w:p>
        </w:tc>
      </w:tr>
      <w:tr w:rsidRPr="00D52CB7" w:rsidR="00A66753" w:rsidTr="00FB7E2D" w14:paraId="2A270052" w14:textId="77777777">
        <w:trPr>
          <w:trHeight w:val="288"/>
        </w:trPr>
        <w:tc>
          <w:tcPr>
            <w:tcW w:w="3240" w:type="dxa"/>
          </w:tcPr>
          <w:p w:rsidRPr="00D52CB7" w:rsidR="00A66753" w:rsidP="00A66753" w:rsidRDefault="00A66753" w14:paraId="224F22B7" w14:textId="09538BEF">
            <w:pPr>
              <w:keepNext/>
              <w:tabs>
                <w:tab w:val="decimal" w:pos="1782"/>
              </w:tabs>
              <w:rPr>
                <w:rFonts w:ascii="Times" w:hAnsi="Times"/>
              </w:rPr>
            </w:pPr>
          </w:p>
        </w:tc>
        <w:tc>
          <w:tcPr>
            <w:tcW w:w="2700" w:type="dxa"/>
            <w:vAlign w:val="bottom"/>
          </w:tcPr>
          <w:p w:rsidRPr="00D52CB7" w:rsidR="00A66753" w:rsidP="00A66753" w:rsidRDefault="00A66753" w14:paraId="50F38AF7" w14:textId="1AA00E5B">
            <w:pPr>
              <w:tabs>
                <w:tab w:val="decimal" w:pos="1692"/>
              </w:tabs>
              <w:rPr>
                <w:rFonts w:ascii="Times" w:hAnsi="Times"/>
              </w:rPr>
            </w:pPr>
          </w:p>
        </w:tc>
      </w:tr>
      <w:tr w:rsidRPr="00D52CB7" w:rsidR="00DF4FD8" w:rsidTr="00FB7E2D" w14:paraId="59591E1B" w14:textId="77777777">
        <w:trPr>
          <w:trHeight w:val="288"/>
        </w:trPr>
        <w:tc>
          <w:tcPr>
            <w:tcW w:w="3240" w:type="dxa"/>
          </w:tcPr>
          <w:p w:rsidRPr="00D52CB7" w:rsidR="00DF4FD8" w:rsidP="00A66753" w:rsidRDefault="00DF4FD8" w14:paraId="1696A157" w14:textId="63EC39A0">
            <w:pPr>
              <w:keepNext/>
              <w:tabs>
                <w:tab w:val="decimal" w:pos="1782"/>
              </w:tabs>
              <w:rPr>
                <w:rFonts w:ascii="Times" w:hAnsi="Times"/>
              </w:rPr>
            </w:pPr>
          </w:p>
        </w:tc>
        <w:tc>
          <w:tcPr>
            <w:tcW w:w="2700" w:type="dxa"/>
            <w:vAlign w:val="bottom"/>
          </w:tcPr>
          <w:p w:rsidRPr="00D52CB7" w:rsidR="00DF4FD8" w:rsidP="00A66753" w:rsidRDefault="00DF4FD8" w14:paraId="2BB8531C" w14:textId="652BFF40">
            <w:pPr>
              <w:tabs>
                <w:tab w:val="decimal" w:pos="1692"/>
              </w:tabs>
              <w:rPr>
                <w:rFonts w:ascii="Times" w:hAnsi="Times"/>
              </w:rPr>
            </w:pPr>
          </w:p>
        </w:tc>
      </w:tr>
      <w:tr w:rsidRPr="00D52CB7" w:rsidR="00DF4FD8" w:rsidTr="00FB7E2D" w14:paraId="1DFD77E3" w14:textId="77777777">
        <w:trPr>
          <w:trHeight w:val="288"/>
        </w:trPr>
        <w:tc>
          <w:tcPr>
            <w:tcW w:w="3240" w:type="dxa"/>
          </w:tcPr>
          <w:p w:rsidRPr="00D52CB7" w:rsidR="00DF4FD8" w:rsidP="00A66753" w:rsidRDefault="00DF4FD8" w14:paraId="5C132A16" w14:textId="54FB8927">
            <w:pPr>
              <w:keepNext/>
              <w:tabs>
                <w:tab w:val="decimal" w:pos="1782"/>
              </w:tabs>
              <w:rPr>
                <w:rFonts w:ascii="Times" w:hAnsi="Times"/>
              </w:rPr>
            </w:pPr>
          </w:p>
        </w:tc>
        <w:tc>
          <w:tcPr>
            <w:tcW w:w="2700" w:type="dxa"/>
            <w:vAlign w:val="bottom"/>
          </w:tcPr>
          <w:p w:rsidRPr="00D52CB7" w:rsidR="00DF4FD8" w:rsidP="00A66753" w:rsidRDefault="00DF4FD8" w14:paraId="66427132" w14:textId="786BA73B">
            <w:pPr>
              <w:tabs>
                <w:tab w:val="decimal" w:pos="1692"/>
              </w:tabs>
              <w:rPr>
                <w:rFonts w:ascii="Times" w:hAnsi="Times"/>
              </w:rPr>
            </w:pPr>
          </w:p>
        </w:tc>
      </w:tr>
      <w:tr w:rsidRPr="00D52CB7" w:rsidR="00DF4FD8" w:rsidTr="00FB7E2D" w14:paraId="63770F6D" w14:textId="77777777">
        <w:trPr>
          <w:trHeight w:val="288"/>
        </w:trPr>
        <w:tc>
          <w:tcPr>
            <w:tcW w:w="3240" w:type="dxa"/>
          </w:tcPr>
          <w:p w:rsidRPr="00D52CB7" w:rsidR="00DF4FD8" w:rsidP="00A66753" w:rsidRDefault="00DF4FD8" w14:paraId="6DFAEFB7" w14:textId="5F4B7257">
            <w:pPr>
              <w:keepNext/>
              <w:tabs>
                <w:tab w:val="decimal" w:pos="1782"/>
              </w:tabs>
              <w:rPr>
                <w:rFonts w:ascii="Times" w:hAnsi="Times"/>
              </w:rPr>
            </w:pPr>
          </w:p>
        </w:tc>
        <w:tc>
          <w:tcPr>
            <w:tcW w:w="2700" w:type="dxa"/>
            <w:vAlign w:val="bottom"/>
          </w:tcPr>
          <w:p w:rsidRPr="00D52CB7" w:rsidR="00DF4FD8" w:rsidP="00A66753" w:rsidRDefault="00DF4FD8" w14:paraId="4ECB2C80" w14:textId="50C98DA2">
            <w:pPr>
              <w:tabs>
                <w:tab w:val="decimal" w:pos="1692"/>
              </w:tabs>
              <w:rPr>
                <w:rFonts w:ascii="Times" w:hAnsi="Times"/>
              </w:rPr>
            </w:pPr>
          </w:p>
        </w:tc>
      </w:tr>
      <w:tr w:rsidRPr="00D52CB7" w:rsidR="00DF4FD8" w:rsidTr="00FB7E2D" w14:paraId="3EFB8BB4" w14:textId="77777777">
        <w:trPr>
          <w:trHeight w:val="288"/>
        </w:trPr>
        <w:tc>
          <w:tcPr>
            <w:tcW w:w="3240" w:type="dxa"/>
          </w:tcPr>
          <w:p w:rsidRPr="00D52CB7" w:rsidR="00DF4FD8" w:rsidP="00A66753" w:rsidRDefault="00DF4FD8" w14:paraId="52B7A74F" w14:textId="61C2BBDF">
            <w:pPr>
              <w:keepNext/>
              <w:tabs>
                <w:tab w:val="decimal" w:pos="1782"/>
              </w:tabs>
              <w:rPr>
                <w:rFonts w:ascii="Times" w:hAnsi="Times"/>
              </w:rPr>
            </w:pPr>
          </w:p>
        </w:tc>
        <w:tc>
          <w:tcPr>
            <w:tcW w:w="2700" w:type="dxa"/>
            <w:vAlign w:val="bottom"/>
          </w:tcPr>
          <w:p w:rsidRPr="00D52CB7" w:rsidR="00DF4FD8" w:rsidP="00A66753" w:rsidRDefault="00DF4FD8" w14:paraId="6A9A5D56" w14:textId="6C6E626C">
            <w:pPr>
              <w:tabs>
                <w:tab w:val="decimal" w:pos="1692"/>
              </w:tabs>
              <w:rPr>
                <w:rFonts w:ascii="Times" w:hAnsi="Times"/>
              </w:rPr>
            </w:pPr>
          </w:p>
        </w:tc>
      </w:tr>
      <w:tr w:rsidRPr="00D52CB7" w:rsidR="00DF4FD8" w:rsidTr="00FB7E2D" w14:paraId="0FEA1C6F" w14:textId="77777777">
        <w:trPr>
          <w:trHeight w:val="288"/>
        </w:trPr>
        <w:tc>
          <w:tcPr>
            <w:tcW w:w="3240" w:type="dxa"/>
          </w:tcPr>
          <w:p w:rsidRPr="00D52CB7" w:rsidR="00DF4FD8" w:rsidP="00A66753" w:rsidRDefault="00DF4FD8" w14:paraId="0881C139" w14:textId="69438799">
            <w:pPr>
              <w:keepNext/>
              <w:tabs>
                <w:tab w:val="decimal" w:pos="1782"/>
              </w:tabs>
              <w:rPr>
                <w:rFonts w:ascii="Times" w:hAnsi="Times"/>
              </w:rPr>
            </w:pPr>
          </w:p>
        </w:tc>
        <w:tc>
          <w:tcPr>
            <w:tcW w:w="2700" w:type="dxa"/>
            <w:vAlign w:val="bottom"/>
          </w:tcPr>
          <w:p w:rsidRPr="00D52CB7" w:rsidR="00DF4FD8" w:rsidP="00A66753" w:rsidRDefault="00DF4FD8" w14:paraId="74DE5184" w14:textId="06AE56C5">
            <w:pPr>
              <w:tabs>
                <w:tab w:val="decimal" w:pos="1692"/>
              </w:tabs>
              <w:rPr>
                <w:rFonts w:ascii="Times" w:hAnsi="Times"/>
              </w:rPr>
            </w:pPr>
          </w:p>
        </w:tc>
      </w:tr>
      <w:tr w:rsidRPr="00D52CB7" w:rsidR="00A66753" w:rsidTr="00FB7E2D" w14:paraId="3EEB6B7B" w14:textId="77777777">
        <w:trPr>
          <w:trHeight w:val="288"/>
        </w:trPr>
        <w:tc>
          <w:tcPr>
            <w:tcW w:w="3240" w:type="dxa"/>
          </w:tcPr>
          <w:p w:rsidRPr="00D52CB7" w:rsidR="00A66753" w:rsidP="00A66753" w:rsidRDefault="00A66753" w14:paraId="3544146B" w14:textId="05AE8D5A">
            <w:pPr>
              <w:keepNext/>
              <w:tabs>
                <w:tab w:val="decimal" w:pos="1782"/>
              </w:tabs>
              <w:rPr>
                <w:rFonts w:ascii="Times" w:hAnsi="Times"/>
              </w:rPr>
            </w:pPr>
          </w:p>
        </w:tc>
        <w:tc>
          <w:tcPr>
            <w:tcW w:w="2700" w:type="dxa"/>
            <w:vAlign w:val="bottom"/>
          </w:tcPr>
          <w:p w:rsidRPr="00D52CB7" w:rsidR="00A66753" w:rsidP="00A66753" w:rsidRDefault="00A66753" w14:paraId="0FD0236B" w14:textId="5EB5F616">
            <w:pPr>
              <w:tabs>
                <w:tab w:val="decimal" w:pos="1692"/>
              </w:tabs>
              <w:rPr>
                <w:rFonts w:ascii="Times" w:hAnsi="Times"/>
              </w:rPr>
            </w:pPr>
          </w:p>
        </w:tc>
      </w:tr>
      <w:tr w:rsidRPr="00D52CB7" w:rsidR="00A66753" w:rsidTr="00FB7E2D" w14:paraId="66F21F0C" w14:textId="77777777">
        <w:trPr>
          <w:trHeight w:val="288"/>
        </w:trPr>
        <w:tc>
          <w:tcPr>
            <w:tcW w:w="3240" w:type="dxa"/>
          </w:tcPr>
          <w:p w:rsidRPr="00D52CB7" w:rsidR="00A66753" w:rsidP="00A66753" w:rsidRDefault="00A66753" w14:paraId="68871C95" w14:textId="5D07D83A">
            <w:pPr>
              <w:keepNext/>
              <w:tabs>
                <w:tab w:val="decimal" w:pos="1782"/>
              </w:tabs>
              <w:rPr>
                <w:rFonts w:ascii="Times" w:hAnsi="Times"/>
              </w:rPr>
            </w:pPr>
          </w:p>
        </w:tc>
        <w:tc>
          <w:tcPr>
            <w:tcW w:w="2700" w:type="dxa"/>
            <w:vAlign w:val="bottom"/>
          </w:tcPr>
          <w:p w:rsidRPr="00D52CB7" w:rsidR="00A66753" w:rsidP="00A66753" w:rsidRDefault="00A66753" w14:paraId="2260643C" w14:textId="147163A1">
            <w:pPr>
              <w:tabs>
                <w:tab w:val="decimal" w:pos="1692"/>
              </w:tabs>
              <w:rPr>
                <w:rFonts w:ascii="Times" w:hAnsi="Times"/>
              </w:rPr>
            </w:pPr>
          </w:p>
        </w:tc>
      </w:tr>
      <w:tr w:rsidRPr="00D52CB7" w:rsidR="00A66753" w:rsidTr="00FB7E2D" w14:paraId="7C43CBCA" w14:textId="77777777">
        <w:trPr>
          <w:trHeight w:val="288"/>
        </w:trPr>
        <w:tc>
          <w:tcPr>
            <w:tcW w:w="3240" w:type="dxa"/>
          </w:tcPr>
          <w:p w:rsidRPr="00D52CB7" w:rsidR="00A66753" w:rsidP="00A66753" w:rsidRDefault="00A66753" w14:paraId="719DF39C" w14:textId="21C37A75">
            <w:pPr>
              <w:keepNext/>
              <w:tabs>
                <w:tab w:val="decimal" w:pos="1782"/>
              </w:tabs>
              <w:rPr>
                <w:rFonts w:ascii="Times" w:hAnsi="Times"/>
              </w:rPr>
            </w:pPr>
          </w:p>
        </w:tc>
        <w:tc>
          <w:tcPr>
            <w:tcW w:w="2700" w:type="dxa"/>
            <w:vAlign w:val="bottom"/>
          </w:tcPr>
          <w:p w:rsidRPr="00D52CB7" w:rsidR="00A66753" w:rsidP="00A66753" w:rsidRDefault="00A66753" w14:paraId="5397A939" w14:textId="10FF0084">
            <w:pPr>
              <w:tabs>
                <w:tab w:val="decimal" w:pos="1692"/>
              </w:tabs>
              <w:rPr>
                <w:rFonts w:ascii="Times" w:hAnsi="Times"/>
              </w:rPr>
            </w:pPr>
          </w:p>
        </w:tc>
      </w:tr>
      <w:tr w:rsidRPr="00D52CB7" w:rsidR="00A66753" w:rsidTr="00FB7E2D" w14:paraId="4A4AF16B" w14:textId="77777777">
        <w:trPr>
          <w:trHeight w:val="288"/>
        </w:trPr>
        <w:tc>
          <w:tcPr>
            <w:tcW w:w="3240" w:type="dxa"/>
          </w:tcPr>
          <w:p w:rsidRPr="00D52CB7" w:rsidR="00A66753" w:rsidP="00A66753" w:rsidRDefault="00A66753" w14:paraId="4FEE0DA7" w14:textId="633D9E50">
            <w:pPr>
              <w:keepNext/>
              <w:tabs>
                <w:tab w:val="decimal" w:pos="1782"/>
              </w:tabs>
              <w:rPr>
                <w:rFonts w:ascii="Times" w:hAnsi="Times"/>
              </w:rPr>
            </w:pPr>
            <w:r w:rsidRPr="00D52CB7">
              <w:rPr>
                <w:rFonts w:ascii="Times" w:hAnsi="Times"/>
              </w:rPr>
              <w:t>*</w:t>
            </w:r>
          </w:p>
        </w:tc>
        <w:tc>
          <w:tcPr>
            <w:tcW w:w="2700" w:type="dxa"/>
            <w:vAlign w:val="bottom"/>
          </w:tcPr>
          <w:p w:rsidRPr="00D52CB7" w:rsidR="00A66753" w:rsidP="00A66753" w:rsidRDefault="00A66753" w14:paraId="7A8E9083" w14:textId="4DEF4BA9">
            <w:pPr>
              <w:tabs>
                <w:tab w:val="decimal" w:pos="1692"/>
              </w:tabs>
              <w:rPr>
                <w:rFonts w:ascii="Times" w:hAnsi="Times"/>
              </w:rPr>
            </w:pPr>
          </w:p>
        </w:tc>
      </w:tr>
    </w:tbl>
    <w:p w:rsidRPr="00D52CB7" w:rsidR="00743467" w:rsidP="00B43694" w:rsidRDefault="00743467" w14:paraId="381C6B37" w14:textId="77777777">
      <w:pPr>
        <w:keepNext/>
        <w:keepLines/>
        <w:ind w:left="1800"/>
        <w:rPr>
          <w:rFonts w:ascii="Times" w:hAnsi="Times"/>
        </w:rPr>
      </w:pPr>
      <w:r w:rsidRPr="00D52CB7">
        <w:rPr>
          <w:rFonts w:ascii="Times" w:hAnsi="Times"/>
        </w:rPr>
        <w:t>_____________________</w:t>
      </w:r>
    </w:p>
    <w:p w:rsidRPr="00D52CB7" w:rsidR="00743467" w:rsidP="00743467" w:rsidRDefault="00743467" w14:paraId="3549F28D" w14:textId="0D2ECE22">
      <w:pPr>
        <w:ind w:left="1800"/>
        <w:rPr>
          <w:rFonts w:ascii="Times" w:hAnsi="Times"/>
          <w:sz w:val="20"/>
        </w:rPr>
      </w:pPr>
      <w:r w:rsidRPr="00D52CB7">
        <w:rPr>
          <w:rFonts w:ascii="Times" w:hAnsi="Times"/>
          <w:position w:val="4"/>
          <w:sz w:val="20"/>
        </w:rPr>
        <w:t>*</w:t>
      </w:r>
      <w:r w:rsidRPr="00D52CB7" w:rsidR="00B6179A">
        <w:rPr>
          <w:rFonts w:ascii="Times" w:hAnsi="Times"/>
          <w:sz w:val="20"/>
        </w:rPr>
        <w:tab/>
      </w:r>
      <w:r w:rsidRPr="00D52CB7">
        <w:rPr>
          <w:rFonts w:ascii="Times" w:hAnsi="Times"/>
          <w:sz w:val="20"/>
        </w:rPr>
        <w:t>Stated maturity</w:t>
      </w:r>
    </w:p>
    <w:p w:rsidRPr="00D52CB7" w:rsidR="00A504C2" w:rsidP="00A504C2" w:rsidRDefault="00A504C2" w14:paraId="3983B4FF" w14:textId="3B68B41E">
      <w:pPr>
        <w:pStyle w:val="ParaNORMAL"/>
        <w:rPr>
          <w:i/>
        </w:rPr>
      </w:pPr>
      <w:r w:rsidRPr="00D52CB7">
        <w:rPr>
          <w:i/>
        </w:rPr>
        <w:t xml:space="preserve"> </w:t>
      </w:r>
      <w:r w:rsidRPr="00D52CB7">
        <w:t>The Series 2025[A] Bonds maturing on October 15, ____, are subject to mandatory sinking fund redemption on the dates and in the amounts set forth below, at a redemption price equal to 100% of the principal amount thereof plus accrued interest to the redemption date:</w:t>
      </w:r>
    </w:p>
    <w:p w:rsidRPr="00D52CB7" w:rsidR="00A504C2" w:rsidP="00A504C2" w:rsidRDefault="00A504C2" w14:paraId="0CC3680B" w14:textId="77777777">
      <w:pPr>
        <w:rPr>
          <w:rFonts w:ascii="Times" w:hAnsi="Times"/>
          <w:szCs w:val="23"/>
        </w:rPr>
      </w:pPr>
    </w:p>
    <w:tbl>
      <w:tblPr>
        <w:tblW w:w="0" w:type="auto"/>
        <w:tblInd w:w="1908" w:type="dxa"/>
        <w:tblLook w:val="00A0" w:firstRow="1" w:lastRow="0" w:firstColumn="1" w:lastColumn="0" w:noHBand="0" w:noVBand="0"/>
      </w:tblPr>
      <w:tblGrid>
        <w:gridCol w:w="3240"/>
        <w:gridCol w:w="2700"/>
      </w:tblGrid>
      <w:tr w:rsidRPr="00D52CB7" w:rsidR="00A504C2" w:rsidTr="00D05B22" w14:paraId="5E0FD052" w14:textId="77777777">
        <w:trPr>
          <w:trHeight w:val="720"/>
        </w:trPr>
        <w:tc>
          <w:tcPr>
            <w:tcW w:w="3240" w:type="dxa"/>
          </w:tcPr>
          <w:p w:rsidRPr="00D52CB7" w:rsidR="00A504C2" w:rsidP="00D05B22" w:rsidRDefault="00A504C2" w14:paraId="3F7B1376" w14:textId="77777777">
            <w:pPr>
              <w:keepNext/>
              <w:keepLines/>
              <w:pBdr>
                <w:bottom w:val="single" w:color="auto" w:sz="4" w:space="1"/>
              </w:pBdr>
              <w:spacing w:after="40"/>
              <w:jc w:val="center"/>
              <w:rPr>
                <w:rFonts w:ascii="Times" w:hAnsi="Times"/>
                <w:smallCaps/>
              </w:rPr>
            </w:pPr>
            <w:r w:rsidRPr="00D52CB7">
              <w:rPr>
                <w:rFonts w:ascii="Times" w:hAnsi="Times"/>
                <w:smallCaps/>
              </w:rPr>
              <w:lastRenderedPageBreak/>
              <w:t>October 15</w:t>
            </w:r>
            <w:r w:rsidRPr="00D52CB7">
              <w:rPr>
                <w:rFonts w:ascii="Times" w:hAnsi="Times"/>
                <w:smallCaps/>
              </w:rPr>
              <w:br/>
              <w:t>Due</w:t>
            </w:r>
          </w:p>
        </w:tc>
        <w:tc>
          <w:tcPr>
            <w:tcW w:w="2700" w:type="dxa"/>
          </w:tcPr>
          <w:p w:rsidRPr="00D52CB7" w:rsidR="00A504C2" w:rsidP="00D05B22" w:rsidRDefault="00A504C2" w14:paraId="6FA668CF" w14:textId="77777777">
            <w:pPr>
              <w:pBdr>
                <w:bottom w:val="single" w:color="auto" w:sz="4" w:space="1"/>
              </w:pBdr>
              <w:spacing w:after="40"/>
              <w:jc w:val="center"/>
              <w:rPr>
                <w:rFonts w:ascii="Times" w:hAnsi="Times"/>
                <w:smallCaps/>
              </w:rPr>
            </w:pPr>
            <w:r w:rsidRPr="00D52CB7">
              <w:rPr>
                <w:rFonts w:ascii="Times" w:hAnsi="Times"/>
                <w:smallCaps/>
              </w:rPr>
              <w:br/>
              <w:t>Amount</w:t>
            </w:r>
          </w:p>
        </w:tc>
      </w:tr>
      <w:tr w:rsidRPr="00D52CB7" w:rsidR="00A504C2" w:rsidTr="00D05B22" w14:paraId="2579EE86" w14:textId="77777777">
        <w:trPr>
          <w:trHeight w:val="288"/>
        </w:trPr>
        <w:tc>
          <w:tcPr>
            <w:tcW w:w="3240" w:type="dxa"/>
          </w:tcPr>
          <w:p w:rsidRPr="00D52CB7" w:rsidR="00A504C2" w:rsidP="00D05B22" w:rsidRDefault="00A504C2" w14:paraId="1FB7D50C" w14:textId="77777777">
            <w:pPr>
              <w:keepNext/>
              <w:tabs>
                <w:tab w:val="decimal" w:pos="1782"/>
              </w:tabs>
              <w:rPr>
                <w:rFonts w:ascii="Times" w:hAnsi="Times"/>
              </w:rPr>
            </w:pPr>
          </w:p>
        </w:tc>
        <w:tc>
          <w:tcPr>
            <w:tcW w:w="2700" w:type="dxa"/>
            <w:vAlign w:val="bottom"/>
          </w:tcPr>
          <w:p w:rsidRPr="00D52CB7" w:rsidR="00A504C2" w:rsidP="00D05B22" w:rsidRDefault="00A504C2" w14:paraId="6A74FF7B" w14:textId="77777777">
            <w:pPr>
              <w:tabs>
                <w:tab w:val="decimal" w:pos="1692"/>
              </w:tabs>
              <w:rPr>
                <w:rFonts w:ascii="Times" w:hAnsi="Times"/>
              </w:rPr>
            </w:pPr>
          </w:p>
        </w:tc>
      </w:tr>
      <w:tr w:rsidRPr="00D52CB7" w:rsidR="00A504C2" w:rsidTr="00D05B22" w14:paraId="3CEE0D54" w14:textId="77777777">
        <w:trPr>
          <w:trHeight w:val="288"/>
        </w:trPr>
        <w:tc>
          <w:tcPr>
            <w:tcW w:w="3240" w:type="dxa"/>
          </w:tcPr>
          <w:p w:rsidRPr="00D52CB7" w:rsidR="00A504C2" w:rsidP="00D05B22" w:rsidRDefault="00A504C2" w14:paraId="51C0402D" w14:textId="77777777">
            <w:pPr>
              <w:keepNext/>
              <w:tabs>
                <w:tab w:val="decimal" w:pos="1782"/>
              </w:tabs>
              <w:rPr>
                <w:rFonts w:ascii="Times" w:hAnsi="Times"/>
              </w:rPr>
            </w:pPr>
          </w:p>
        </w:tc>
        <w:tc>
          <w:tcPr>
            <w:tcW w:w="2700" w:type="dxa"/>
            <w:vAlign w:val="bottom"/>
          </w:tcPr>
          <w:p w:rsidRPr="00D52CB7" w:rsidR="00A504C2" w:rsidP="00D05B22" w:rsidRDefault="00A504C2" w14:paraId="576AF2B6" w14:textId="77777777">
            <w:pPr>
              <w:tabs>
                <w:tab w:val="decimal" w:pos="1692"/>
              </w:tabs>
              <w:rPr>
                <w:rFonts w:ascii="Times" w:hAnsi="Times"/>
              </w:rPr>
            </w:pPr>
          </w:p>
        </w:tc>
      </w:tr>
      <w:tr w:rsidRPr="00D52CB7" w:rsidR="00A504C2" w:rsidTr="00D05B22" w14:paraId="43F3EE83" w14:textId="77777777">
        <w:trPr>
          <w:trHeight w:val="288"/>
        </w:trPr>
        <w:tc>
          <w:tcPr>
            <w:tcW w:w="3240" w:type="dxa"/>
          </w:tcPr>
          <w:p w:rsidRPr="00D52CB7" w:rsidR="00A504C2" w:rsidP="00D05B22" w:rsidRDefault="00A504C2" w14:paraId="138227DC" w14:textId="77777777">
            <w:pPr>
              <w:keepNext/>
              <w:tabs>
                <w:tab w:val="decimal" w:pos="1782"/>
              </w:tabs>
              <w:rPr>
                <w:rFonts w:ascii="Times" w:hAnsi="Times"/>
              </w:rPr>
            </w:pPr>
          </w:p>
        </w:tc>
        <w:tc>
          <w:tcPr>
            <w:tcW w:w="2700" w:type="dxa"/>
            <w:vAlign w:val="bottom"/>
          </w:tcPr>
          <w:p w:rsidRPr="00D52CB7" w:rsidR="00A504C2" w:rsidP="00D05B22" w:rsidRDefault="00A504C2" w14:paraId="033FDC52" w14:textId="77777777">
            <w:pPr>
              <w:tabs>
                <w:tab w:val="decimal" w:pos="1692"/>
              </w:tabs>
              <w:rPr>
                <w:rFonts w:ascii="Times" w:hAnsi="Times"/>
              </w:rPr>
            </w:pPr>
          </w:p>
        </w:tc>
      </w:tr>
      <w:tr w:rsidRPr="00D52CB7" w:rsidR="00A504C2" w:rsidTr="00D05B22" w14:paraId="158A506C" w14:textId="77777777">
        <w:trPr>
          <w:trHeight w:val="288"/>
        </w:trPr>
        <w:tc>
          <w:tcPr>
            <w:tcW w:w="3240" w:type="dxa"/>
          </w:tcPr>
          <w:p w:rsidRPr="00D52CB7" w:rsidR="00A504C2" w:rsidP="00D05B22" w:rsidRDefault="00A504C2" w14:paraId="0011DE54" w14:textId="77777777">
            <w:pPr>
              <w:keepNext/>
              <w:tabs>
                <w:tab w:val="decimal" w:pos="1782"/>
              </w:tabs>
              <w:rPr>
                <w:rFonts w:ascii="Times" w:hAnsi="Times"/>
              </w:rPr>
            </w:pPr>
          </w:p>
        </w:tc>
        <w:tc>
          <w:tcPr>
            <w:tcW w:w="2700" w:type="dxa"/>
            <w:vAlign w:val="bottom"/>
          </w:tcPr>
          <w:p w:rsidRPr="00D52CB7" w:rsidR="00A504C2" w:rsidP="00D05B22" w:rsidRDefault="00A504C2" w14:paraId="488AF29D" w14:textId="77777777">
            <w:pPr>
              <w:tabs>
                <w:tab w:val="decimal" w:pos="1692"/>
              </w:tabs>
              <w:rPr>
                <w:rFonts w:ascii="Times" w:hAnsi="Times"/>
              </w:rPr>
            </w:pPr>
          </w:p>
        </w:tc>
      </w:tr>
      <w:tr w:rsidRPr="00D52CB7" w:rsidR="00A504C2" w:rsidTr="00D05B22" w14:paraId="5D1E2927" w14:textId="77777777">
        <w:trPr>
          <w:trHeight w:val="288"/>
        </w:trPr>
        <w:tc>
          <w:tcPr>
            <w:tcW w:w="3240" w:type="dxa"/>
          </w:tcPr>
          <w:p w:rsidRPr="00D52CB7" w:rsidR="00A504C2" w:rsidP="00D05B22" w:rsidRDefault="00A504C2" w14:paraId="763C091C" w14:textId="77777777">
            <w:pPr>
              <w:keepNext/>
              <w:tabs>
                <w:tab w:val="decimal" w:pos="1782"/>
              </w:tabs>
              <w:rPr>
                <w:rFonts w:ascii="Times" w:hAnsi="Times"/>
              </w:rPr>
            </w:pPr>
          </w:p>
        </w:tc>
        <w:tc>
          <w:tcPr>
            <w:tcW w:w="2700" w:type="dxa"/>
            <w:vAlign w:val="bottom"/>
          </w:tcPr>
          <w:p w:rsidRPr="00D52CB7" w:rsidR="00A504C2" w:rsidP="00D05B22" w:rsidRDefault="00A504C2" w14:paraId="78367B1E" w14:textId="77777777">
            <w:pPr>
              <w:tabs>
                <w:tab w:val="decimal" w:pos="1692"/>
              </w:tabs>
              <w:rPr>
                <w:rFonts w:ascii="Times" w:hAnsi="Times"/>
              </w:rPr>
            </w:pPr>
          </w:p>
        </w:tc>
      </w:tr>
      <w:tr w:rsidRPr="00D52CB7" w:rsidR="00A504C2" w:rsidTr="00D05B22" w14:paraId="07D02E9F" w14:textId="77777777">
        <w:trPr>
          <w:trHeight w:val="288"/>
        </w:trPr>
        <w:tc>
          <w:tcPr>
            <w:tcW w:w="3240" w:type="dxa"/>
          </w:tcPr>
          <w:p w:rsidRPr="00D52CB7" w:rsidR="00A504C2" w:rsidP="00D05B22" w:rsidRDefault="00A504C2" w14:paraId="691DB5BA" w14:textId="77777777">
            <w:pPr>
              <w:keepNext/>
              <w:tabs>
                <w:tab w:val="decimal" w:pos="1782"/>
              </w:tabs>
              <w:rPr>
                <w:rFonts w:ascii="Times" w:hAnsi="Times"/>
              </w:rPr>
            </w:pPr>
          </w:p>
        </w:tc>
        <w:tc>
          <w:tcPr>
            <w:tcW w:w="2700" w:type="dxa"/>
            <w:vAlign w:val="bottom"/>
          </w:tcPr>
          <w:p w:rsidRPr="00D52CB7" w:rsidR="00A504C2" w:rsidP="00D05B22" w:rsidRDefault="00A504C2" w14:paraId="33D18460" w14:textId="77777777">
            <w:pPr>
              <w:tabs>
                <w:tab w:val="decimal" w:pos="1692"/>
              </w:tabs>
              <w:rPr>
                <w:rFonts w:ascii="Times" w:hAnsi="Times"/>
              </w:rPr>
            </w:pPr>
          </w:p>
        </w:tc>
      </w:tr>
      <w:tr w:rsidRPr="00D52CB7" w:rsidR="00A504C2" w:rsidTr="00D05B22" w14:paraId="01C96180" w14:textId="77777777">
        <w:trPr>
          <w:trHeight w:val="288"/>
        </w:trPr>
        <w:tc>
          <w:tcPr>
            <w:tcW w:w="3240" w:type="dxa"/>
          </w:tcPr>
          <w:p w:rsidRPr="00D52CB7" w:rsidR="00A504C2" w:rsidP="00D05B22" w:rsidRDefault="00A504C2" w14:paraId="589931C6" w14:textId="77777777">
            <w:pPr>
              <w:keepNext/>
              <w:tabs>
                <w:tab w:val="decimal" w:pos="1782"/>
              </w:tabs>
              <w:rPr>
                <w:rFonts w:ascii="Times" w:hAnsi="Times"/>
              </w:rPr>
            </w:pPr>
          </w:p>
        </w:tc>
        <w:tc>
          <w:tcPr>
            <w:tcW w:w="2700" w:type="dxa"/>
            <w:vAlign w:val="bottom"/>
          </w:tcPr>
          <w:p w:rsidRPr="00D52CB7" w:rsidR="00A504C2" w:rsidP="00D05B22" w:rsidRDefault="00A504C2" w14:paraId="0817529F" w14:textId="77777777">
            <w:pPr>
              <w:tabs>
                <w:tab w:val="decimal" w:pos="1692"/>
              </w:tabs>
              <w:rPr>
                <w:rFonts w:ascii="Times" w:hAnsi="Times"/>
              </w:rPr>
            </w:pPr>
          </w:p>
        </w:tc>
      </w:tr>
      <w:tr w:rsidRPr="00D52CB7" w:rsidR="00A504C2" w:rsidTr="00D05B22" w14:paraId="438A8CCC" w14:textId="77777777">
        <w:trPr>
          <w:trHeight w:val="288"/>
        </w:trPr>
        <w:tc>
          <w:tcPr>
            <w:tcW w:w="3240" w:type="dxa"/>
          </w:tcPr>
          <w:p w:rsidRPr="00D52CB7" w:rsidR="00A504C2" w:rsidP="00D05B22" w:rsidRDefault="00A504C2" w14:paraId="25AE26C5" w14:textId="77777777">
            <w:pPr>
              <w:keepNext/>
              <w:tabs>
                <w:tab w:val="decimal" w:pos="1782"/>
              </w:tabs>
              <w:rPr>
                <w:rFonts w:ascii="Times" w:hAnsi="Times"/>
              </w:rPr>
            </w:pPr>
          </w:p>
        </w:tc>
        <w:tc>
          <w:tcPr>
            <w:tcW w:w="2700" w:type="dxa"/>
            <w:vAlign w:val="bottom"/>
          </w:tcPr>
          <w:p w:rsidRPr="00D52CB7" w:rsidR="00A504C2" w:rsidP="00D05B22" w:rsidRDefault="00A504C2" w14:paraId="2512210C" w14:textId="77777777">
            <w:pPr>
              <w:tabs>
                <w:tab w:val="decimal" w:pos="1692"/>
              </w:tabs>
              <w:rPr>
                <w:rFonts w:ascii="Times" w:hAnsi="Times"/>
              </w:rPr>
            </w:pPr>
          </w:p>
        </w:tc>
      </w:tr>
      <w:tr w:rsidRPr="00D52CB7" w:rsidR="00A504C2" w:rsidTr="00D05B22" w14:paraId="044996F9" w14:textId="77777777">
        <w:trPr>
          <w:trHeight w:val="288"/>
        </w:trPr>
        <w:tc>
          <w:tcPr>
            <w:tcW w:w="3240" w:type="dxa"/>
          </w:tcPr>
          <w:p w:rsidRPr="00D52CB7" w:rsidR="00A504C2" w:rsidP="00D05B22" w:rsidRDefault="00A504C2" w14:paraId="354833DE" w14:textId="77777777">
            <w:pPr>
              <w:keepNext/>
              <w:tabs>
                <w:tab w:val="decimal" w:pos="1782"/>
              </w:tabs>
              <w:rPr>
                <w:rFonts w:ascii="Times" w:hAnsi="Times"/>
              </w:rPr>
            </w:pPr>
          </w:p>
        </w:tc>
        <w:tc>
          <w:tcPr>
            <w:tcW w:w="2700" w:type="dxa"/>
            <w:vAlign w:val="bottom"/>
          </w:tcPr>
          <w:p w:rsidRPr="00D52CB7" w:rsidR="00A504C2" w:rsidP="00D05B22" w:rsidRDefault="00A504C2" w14:paraId="2DFAA99C" w14:textId="77777777">
            <w:pPr>
              <w:tabs>
                <w:tab w:val="decimal" w:pos="1692"/>
              </w:tabs>
              <w:rPr>
                <w:rFonts w:ascii="Times" w:hAnsi="Times"/>
              </w:rPr>
            </w:pPr>
          </w:p>
        </w:tc>
      </w:tr>
      <w:tr w:rsidRPr="00D52CB7" w:rsidR="00A504C2" w:rsidTr="00D05B22" w14:paraId="1538FA0C" w14:textId="77777777">
        <w:trPr>
          <w:trHeight w:val="288"/>
        </w:trPr>
        <w:tc>
          <w:tcPr>
            <w:tcW w:w="3240" w:type="dxa"/>
          </w:tcPr>
          <w:p w:rsidRPr="00D52CB7" w:rsidR="00A504C2" w:rsidP="00D05B22" w:rsidRDefault="00A504C2" w14:paraId="16318502" w14:textId="77777777">
            <w:pPr>
              <w:keepNext/>
              <w:tabs>
                <w:tab w:val="decimal" w:pos="1782"/>
              </w:tabs>
              <w:rPr>
                <w:rFonts w:ascii="Times" w:hAnsi="Times"/>
              </w:rPr>
            </w:pPr>
          </w:p>
        </w:tc>
        <w:tc>
          <w:tcPr>
            <w:tcW w:w="2700" w:type="dxa"/>
            <w:vAlign w:val="bottom"/>
          </w:tcPr>
          <w:p w:rsidRPr="00D52CB7" w:rsidR="00A504C2" w:rsidP="00D05B22" w:rsidRDefault="00A504C2" w14:paraId="04C85A33" w14:textId="77777777">
            <w:pPr>
              <w:tabs>
                <w:tab w:val="decimal" w:pos="1692"/>
              </w:tabs>
              <w:rPr>
                <w:rFonts w:ascii="Times" w:hAnsi="Times"/>
              </w:rPr>
            </w:pPr>
          </w:p>
        </w:tc>
      </w:tr>
      <w:tr w:rsidRPr="00D52CB7" w:rsidR="00A504C2" w:rsidTr="00D05B22" w14:paraId="5C6F7A6E" w14:textId="77777777">
        <w:trPr>
          <w:trHeight w:val="288"/>
        </w:trPr>
        <w:tc>
          <w:tcPr>
            <w:tcW w:w="3240" w:type="dxa"/>
          </w:tcPr>
          <w:p w:rsidRPr="00D52CB7" w:rsidR="00A504C2" w:rsidP="00D05B22" w:rsidRDefault="00A504C2" w14:paraId="45DD5595" w14:textId="77777777">
            <w:pPr>
              <w:keepNext/>
              <w:tabs>
                <w:tab w:val="decimal" w:pos="1782"/>
              </w:tabs>
              <w:rPr>
                <w:rFonts w:ascii="Times" w:hAnsi="Times"/>
              </w:rPr>
            </w:pPr>
            <w:r w:rsidRPr="00D52CB7">
              <w:rPr>
                <w:rFonts w:ascii="Times" w:hAnsi="Times"/>
              </w:rPr>
              <w:t>*</w:t>
            </w:r>
          </w:p>
        </w:tc>
        <w:tc>
          <w:tcPr>
            <w:tcW w:w="2700" w:type="dxa"/>
            <w:vAlign w:val="bottom"/>
          </w:tcPr>
          <w:p w:rsidRPr="00D52CB7" w:rsidR="00A504C2" w:rsidP="00D05B22" w:rsidRDefault="00A504C2" w14:paraId="572909F2" w14:textId="77777777">
            <w:pPr>
              <w:tabs>
                <w:tab w:val="decimal" w:pos="1692"/>
              </w:tabs>
              <w:rPr>
                <w:rFonts w:ascii="Times" w:hAnsi="Times"/>
              </w:rPr>
            </w:pPr>
          </w:p>
        </w:tc>
      </w:tr>
    </w:tbl>
    <w:p w:rsidRPr="00D52CB7" w:rsidR="00A504C2" w:rsidP="00A504C2" w:rsidRDefault="00A504C2" w14:paraId="3BB8AEEB" w14:textId="77777777">
      <w:pPr>
        <w:keepNext/>
        <w:keepLines/>
        <w:ind w:left="1800"/>
        <w:rPr>
          <w:rFonts w:ascii="Times" w:hAnsi="Times"/>
        </w:rPr>
      </w:pPr>
      <w:r w:rsidRPr="00D52CB7">
        <w:rPr>
          <w:rFonts w:ascii="Times" w:hAnsi="Times"/>
        </w:rPr>
        <w:t>_____________________</w:t>
      </w:r>
    </w:p>
    <w:p w:rsidRPr="00D52CB7" w:rsidR="00A504C2" w:rsidP="00A504C2" w:rsidRDefault="00A504C2" w14:paraId="371B48DC" w14:textId="77777777">
      <w:pPr>
        <w:ind w:left="1800"/>
        <w:rPr>
          <w:rFonts w:ascii="Times" w:hAnsi="Times"/>
          <w:sz w:val="20"/>
        </w:rPr>
      </w:pPr>
      <w:r w:rsidRPr="00D52CB7">
        <w:rPr>
          <w:rFonts w:ascii="Times" w:hAnsi="Times"/>
          <w:position w:val="4"/>
          <w:sz w:val="20"/>
        </w:rPr>
        <w:t>*</w:t>
      </w:r>
      <w:r w:rsidRPr="00D52CB7">
        <w:rPr>
          <w:rFonts w:ascii="Times" w:hAnsi="Times"/>
          <w:sz w:val="20"/>
        </w:rPr>
        <w:tab/>
        <w:t>Stated maturity</w:t>
      </w:r>
    </w:p>
    <w:p w:rsidRPr="00D52CB7" w:rsidR="00743467" w:rsidP="00743467" w:rsidRDefault="00743467" w14:paraId="1EF46784" w14:textId="3CF736D1">
      <w:pPr>
        <w:pStyle w:val="ParaNORMAL"/>
        <w:rPr>
          <w:i/>
        </w:rPr>
      </w:pPr>
      <w:r w:rsidRPr="00D52CB7">
        <w:rPr>
          <w:i/>
        </w:rPr>
        <w:t xml:space="preserve">Extraordinary Redemption of the </w:t>
      </w:r>
      <w:r w:rsidRPr="00D52CB7" w:rsidR="00B935C1">
        <w:rPr>
          <w:i/>
        </w:rPr>
        <w:t xml:space="preserve">Series </w:t>
      </w:r>
      <w:r w:rsidRPr="00D52CB7" w:rsidR="00D50213">
        <w:rPr>
          <w:i/>
        </w:rPr>
        <w:t>2025</w:t>
      </w:r>
      <w:r w:rsidRPr="00D52CB7" w:rsidR="00B935C1">
        <w:rPr>
          <w:i/>
        </w:rPr>
        <w:t xml:space="preserve"> Bond</w:t>
      </w:r>
      <w:r w:rsidRPr="00D52CB7">
        <w:rPr>
          <w:i/>
        </w:rPr>
        <w:t xml:space="preserve">s upon Damage, Destruction or Condemnation.  </w:t>
      </w:r>
      <w:r w:rsidRPr="00D52CB7">
        <w:t xml:space="preserve">The </w:t>
      </w:r>
      <w:r w:rsidRPr="00D52CB7" w:rsidR="00B935C1">
        <w:t xml:space="preserve">Series </w:t>
      </w:r>
      <w:r w:rsidRPr="00D52CB7" w:rsidR="00D50213">
        <w:t>2025</w:t>
      </w:r>
      <w:r w:rsidRPr="00D52CB7" w:rsidR="00B935C1">
        <w:t xml:space="preserve"> Bond</w:t>
      </w:r>
      <w:r w:rsidRPr="00D52CB7">
        <w:t xml:space="preserve">s are redeemable at the option and upon the direction of the Charter School, in whole or in part on any Business Day from and to the extent of funds on deposit under the Indenture and available for this purpose at a redemption price equal to the principal amount of each </w:t>
      </w:r>
      <w:r w:rsidRPr="00D52CB7" w:rsidR="00B935C1">
        <w:t xml:space="preserve">Series </w:t>
      </w:r>
      <w:r w:rsidRPr="00D52CB7" w:rsidR="00D50213">
        <w:t>2025</w:t>
      </w:r>
      <w:r w:rsidRPr="00D52CB7" w:rsidR="00B935C1">
        <w:t xml:space="preserve"> Bond</w:t>
      </w:r>
      <w:r w:rsidRPr="00D52CB7">
        <w:t xml:space="preserve"> to be redeemed plus accrued interest to the redemption date, upon the occurrence of any of the following events:</w:t>
      </w:r>
    </w:p>
    <w:p w:rsidRPr="00D52CB7" w:rsidR="00743467" w:rsidP="00743467" w:rsidRDefault="00743467" w14:paraId="2133F844" w14:textId="1638C96F">
      <w:pPr>
        <w:pStyle w:val="SubParaLevel1"/>
      </w:pPr>
      <w:r w:rsidRPr="00D52CB7">
        <w:tab/>
        <w:t>(i)</w:t>
      </w:r>
      <w:r w:rsidRPr="00D52CB7">
        <w:tab/>
        <w:t xml:space="preserve">The Facilities shall have been damaged or destroyed in whole or in part and (A) the Facilities cannot reasonably be restored within a period of 12 consecutive months to the condition thereof immediately preceding such damage or destruction, (B) the Charter School is thereby prevented from carrying on its normal operations for a period of 12 consecutive months, (C) the cost of restoration thereof would exceed the Net Proceeds of insurance carried thereon, or (D) the final maturity of the </w:t>
      </w:r>
      <w:r w:rsidRPr="00D52CB7" w:rsidR="00D50213">
        <w:t>2025</w:t>
      </w:r>
      <w:r w:rsidRPr="00D52CB7">
        <w:t xml:space="preserve"> Bonds is within five years of the date of such damage or destruction; or</w:t>
      </w:r>
    </w:p>
    <w:p w:rsidRPr="00D52CB7" w:rsidR="00743467" w:rsidP="00743467" w:rsidRDefault="00743467" w14:paraId="61C7FCDA" w14:textId="77777777">
      <w:pPr>
        <w:pStyle w:val="SubParaLevel1"/>
      </w:pPr>
      <w:r w:rsidRPr="00D52CB7">
        <w:tab/>
        <w:t>(ii)</w:t>
      </w:r>
      <w:r w:rsidRPr="00D52CB7">
        <w:tab/>
        <w:t>Title to, or the temporary use of, all or any substantial part of the Facilities shall have been taken under the exercise of the power of eminent domain by any governmental issuer, or Person, firm or corporation acting under a governmental issuer or because of a defect in title.</w:t>
      </w:r>
    </w:p>
    <w:p w:rsidRPr="00D52CB7" w:rsidR="00743467" w:rsidP="00743467" w:rsidRDefault="00743467" w14:paraId="503C2138" w14:textId="33DCD262">
      <w:pPr>
        <w:pStyle w:val="ParaFLUSH"/>
      </w:pPr>
      <w:r w:rsidRPr="00D52CB7">
        <w:t xml:space="preserve">Only Net Proceeds of insurance or a condemnation award shall be used for a partial redemption of </w:t>
      </w:r>
      <w:r w:rsidRPr="00D52CB7" w:rsidR="00B935C1">
        <w:t xml:space="preserve">Series </w:t>
      </w:r>
      <w:r w:rsidRPr="00D52CB7" w:rsidR="00D50213">
        <w:t>2025</w:t>
      </w:r>
      <w:r w:rsidRPr="00D52CB7" w:rsidR="00B935C1">
        <w:t xml:space="preserve"> Bond</w:t>
      </w:r>
      <w:r w:rsidRPr="00D52CB7">
        <w:t>s pursuant to clause (i) or (ii).</w:t>
      </w:r>
    </w:p>
    <w:p w:rsidRPr="00D52CB7" w:rsidR="00743467" w:rsidP="00743467" w:rsidRDefault="00743467" w14:paraId="2DD33C02" w14:textId="7CB60E35">
      <w:pPr>
        <w:pStyle w:val="ParaNORMAL"/>
      </w:pPr>
      <w:r w:rsidRPr="00D52CB7">
        <w:rPr>
          <w:i/>
          <w:szCs w:val="21"/>
        </w:rPr>
        <w:t>Extraordinary Redemption upon Failure to Reimburse the Issuer under the Charter School Credit Enhancement Program</w:t>
      </w:r>
      <w:r w:rsidRPr="00D52CB7">
        <w:rPr>
          <w:szCs w:val="21"/>
        </w:rPr>
        <w:t xml:space="preserve">.  </w:t>
      </w:r>
      <w:r w:rsidRPr="00D52CB7">
        <w:t xml:space="preserve">The </w:t>
      </w:r>
      <w:r w:rsidRPr="00D52CB7" w:rsidR="00B935C1">
        <w:t xml:space="preserve">Series </w:t>
      </w:r>
      <w:r w:rsidRPr="00D52CB7" w:rsidR="00D50213">
        <w:t>2025</w:t>
      </w:r>
      <w:r w:rsidRPr="00D52CB7" w:rsidR="00B935C1">
        <w:t xml:space="preserve"> Bond</w:t>
      </w:r>
      <w:r w:rsidRPr="00D52CB7">
        <w:t xml:space="preserve">s are subject to redemption at par, in whole, from amounts deposited by or on behalf of the Issuer as soon as is practicable following the Trustee’s receipt of notice from the Issuer of an uncured default under the Loan Agreement for failure by the Charter School to reimburse the Issuer for any appropriation received on behalf of the Charter School from the State under the CSCE Program.  In such event, the </w:t>
      </w:r>
      <w:r w:rsidRPr="00D52CB7" w:rsidR="00B935C1">
        <w:t xml:space="preserve">Series </w:t>
      </w:r>
      <w:r w:rsidRPr="00D52CB7" w:rsidR="00D50213">
        <w:t>2025</w:t>
      </w:r>
      <w:r w:rsidRPr="00D52CB7" w:rsidR="00B935C1">
        <w:t xml:space="preserve"> Bond</w:t>
      </w:r>
      <w:r w:rsidRPr="00D52CB7">
        <w:t xml:space="preserve">s, </w:t>
      </w:r>
      <w:r w:rsidRPr="00D52CB7">
        <w:lastRenderedPageBreak/>
        <w:t>in an amount equal to the Charter School’s loan obligation, shall be called for redemption as set forth in the Indenture.</w:t>
      </w:r>
    </w:p>
    <w:p w:rsidRPr="00D52CB7" w:rsidR="00743467" w:rsidP="00743467" w:rsidRDefault="00743467" w14:paraId="1BB1EA53" w14:textId="26102E5E">
      <w:pPr>
        <w:pStyle w:val="ParaNORMAL"/>
      </w:pPr>
      <w:r w:rsidRPr="00D52CB7">
        <w:rPr>
          <w:i/>
        </w:rPr>
        <w:t xml:space="preserve">Selection for Redemption.  </w:t>
      </w:r>
      <w:r w:rsidRPr="00D52CB7">
        <w:t xml:space="preserve">In the event that less than all of the </w:t>
      </w:r>
      <w:r w:rsidRPr="00D52CB7" w:rsidR="00B935C1">
        <w:t xml:space="preserve">Series </w:t>
      </w:r>
      <w:r w:rsidRPr="00D52CB7" w:rsidR="00D50213">
        <w:t>2025</w:t>
      </w:r>
      <w:r w:rsidRPr="00D52CB7" w:rsidR="00B935C1">
        <w:t xml:space="preserve"> Bond</w:t>
      </w:r>
      <w:r w:rsidRPr="00D52CB7">
        <w:t xml:space="preserve">s shall be redeemed, the </w:t>
      </w:r>
      <w:r w:rsidRPr="00D52CB7" w:rsidR="00B935C1">
        <w:t xml:space="preserve">Series </w:t>
      </w:r>
      <w:r w:rsidRPr="00D52CB7" w:rsidR="00D50213">
        <w:t>2025</w:t>
      </w:r>
      <w:r w:rsidRPr="00D52CB7" w:rsidR="00B935C1">
        <w:t xml:space="preserve"> Bond</w:t>
      </w:r>
      <w:r w:rsidRPr="00D52CB7">
        <w:t xml:space="preserve">s will be selected from such maturities as the Charter School shall direct.  If less than all of the </w:t>
      </w:r>
      <w:r w:rsidRPr="00D52CB7" w:rsidR="00B935C1">
        <w:t xml:space="preserve">Series </w:t>
      </w:r>
      <w:r w:rsidRPr="00D52CB7" w:rsidR="00D50213">
        <w:t>2025</w:t>
      </w:r>
      <w:r w:rsidRPr="00D52CB7" w:rsidR="00B935C1">
        <w:t xml:space="preserve"> Bond</w:t>
      </w:r>
      <w:r w:rsidRPr="00D52CB7">
        <w:t xml:space="preserve">s of a maturity shall be redeemed, the </w:t>
      </w:r>
      <w:r w:rsidRPr="00D52CB7" w:rsidR="00B935C1">
        <w:t xml:space="preserve">Series </w:t>
      </w:r>
      <w:r w:rsidRPr="00D52CB7" w:rsidR="00D50213">
        <w:t>2025</w:t>
      </w:r>
      <w:r w:rsidRPr="00D52CB7" w:rsidR="00B935C1">
        <w:t xml:space="preserve"> Bond</w:t>
      </w:r>
      <w:r w:rsidRPr="00D52CB7">
        <w:t xml:space="preserve">s or portions thereof to be redeemed shall be selected by the Trustee by lot or by such other method as the Trustee shall deem fair and equitable.  In the event of an optional redemption of a portion of the </w:t>
      </w:r>
      <w:r w:rsidRPr="00D52CB7" w:rsidR="00B935C1">
        <w:t xml:space="preserve">Series </w:t>
      </w:r>
      <w:r w:rsidRPr="00D52CB7" w:rsidR="00D50213">
        <w:t>2025</w:t>
      </w:r>
      <w:r w:rsidRPr="00D52CB7" w:rsidR="00B935C1">
        <w:t xml:space="preserve"> Bond</w:t>
      </w:r>
      <w:r w:rsidRPr="00D52CB7">
        <w:t>s maturing on a particular date, the redemption price shall be credited to such sinking fund installments, as applicable, as the Charter School shall direct the Trustee.</w:t>
      </w:r>
    </w:p>
    <w:p w:rsidRPr="00D52CB7" w:rsidR="00743467" w:rsidP="00743467" w:rsidRDefault="00743467" w14:paraId="13774494" w14:textId="19E06F6E">
      <w:pPr>
        <w:pStyle w:val="ParaNORMAL"/>
      </w:pPr>
      <w:r w:rsidRPr="00D52CB7">
        <w:rPr>
          <w:i/>
        </w:rPr>
        <w:t xml:space="preserve">Notice of Redemption.  </w:t>
      </w:r>
      <w:r w:rsidRPr="00D52CB7">
        <w:t xml:space="preserve">The Trustee will cause notice of any redemption by mailing by first class mail a copy of the redemption notice to the Registered Owners of the </w:t>
      </w:r>
      <w:r w:rsidRPr="00D52CB7" w:rsidR="00B935C1">
        <w:t xml:space="preserve">Series </w:t>
      </w:r>
      <w:r w:rsidRPr="00D52CB7" w:rsidR="00D50213">
        <w:t>2025</w:t>
      </w:r>
      <w:r w:rsidRPr="00D52CB7" w:rsidR="00B935C1">
        <w:t xml:space="preserve"> Bond</w:t>
      </w:r>
      <w:r w:rsidRPr="00D52CB7">
        <w:t>s designated for redemption in whole or in part, at their addresses as the same shall last appear upon the registration records, in each case not more than 60 nor less than 30 days prior to the redemption date.</w:t>
      </w:r>
    </w:p>
    <w:p w:rsidRPr="00D52CB7" w:rsidR="00743467" w:rsidP="00743467" w:rsidRDefault="00743467" w14:paraId="618E8DBF" w14:textId="085901DB">
      <w:pPr>
        <w:pStyle w:val="ParaNORMAL"/>
      </w:pPr>
      <w:r w:rsidRPr="00D52CB7">
        <w:t xml:space="preserve">Each notice of redemption shall specify conditions precedent to redemption, if any (including that such redemption is contingent on the deposit of amounts sufficient to pay the redemption price on or before the redemption date), the date fixed for redemption, the redemption price, the place or places of payment, that payment will be made upon presentation and surrender of the </w:t>
      </w:r>
      <w:r w:rsidRPr="00D52CB7" w:rsidR="00B935C1">
        <w:t xml:space="preserve">Series </w:t>
      </w:r>
      <w:r w:rsidRPr="00D52CB7" w:rsidR="00D50213">
        <w:t>2025</w:t>
      </w:r>
      <w:r w:rsidRPr="00D52CB7" w:rsidR="00B935C1">
        <w:t xml:space="preserve"> Bond</w:t>
      </w:r>
      <w:r w:rsidRPr="00D52CB7">
        <w:t xml:space="preserve">s to be redeemed, that interest accrued to the date fixed for redemption will be paid as specified in said notice, and that on and after such date interest thereon will cease to accrue.  If less than all the Outstanding </w:t>
      </w:r>
      <w:r w:rsidRPr="00D52CB7" w:rsidR="00B935C1">
        <w:t xml:space="preserve">Series </w:t>
      </w:r>
      <w:r w:rsidRPr="00D52CB7" w:rsidR="00D50213">
        <w:t>2025</w:t>
      </w:r>
      <w:r w:rsidRPr="00D52CB7" w:rsidR="00B935C1">
        <w:t xml:space="preserve"> Bond</w:t>
      </w:r>
      <w:r w:rsidRPr="00D52CB7">
        <w:t xml:space="preserve">s are to be redeemed, the notice of redemption shall specify the numbers of the </w:t>
      </w:r>
      <w:r w:rsidRPr="00D52CB7" w:rsidR="00B935C1">
        <w:t xml:space="preserve">Series </w:t>
      </w:r>
      <w:r w:rsidRPr="00D52CB7" w:rsidR="00D50213">
        <w:t>2025</w:t>
      </w:r>
      <w:r w:rsidRPr="00D52CB7" w:rsidR="00B935C1">
        <w:t xml:space="preserve"> Bond</w:t>
      </w:r>
      <w:r w:rsidRPr="00D52CB7">
        <w:t>s or portions thereof to be redeemed.</w:t>
      </w:r>
    </w:p>
    <w:p w:rsidRPr="00D52CB7" w:rsidR="00C9592F" w:rsidP="00743467" w:rsidRDefault="00C9592F" w14:paraId="1787108E" w14:textId="4CF1D8B6">
      <w:pPr>
        <w:pStyle w:val="ParaNORMAL"/>
      </w:pPr>
      <w:r w:rsidRPr="00D52CB7">
        <w:t>See “</w:t>
      </w:r>
      <w:r w:rsidRPr="00D52CB7">
        <w:rPr>
          <w:smallCaps/>
        </w:rPr>
        <w:t>Risk Factors–</w:t>
      </w:r>
      <w:r w:rsidRPr="00D52CB7">
        <w:t xml:space="preserve">Redemption Prior to Maturity.” </w:t>
      </w:r>
    </w:p>
    <w:p w:rsidRPr="00D52CB7" w:rsidR="00743467" w:rsidP="00743467" w:rsidRDefault="00743467" w14:paraId="34E0CA21" w14:textId="77777777">
      <w:pPr>
        <w:pStyle w:val="TitleLeft"/>
      </w:pPr>
      <w:r w:rsidRPr="00D52CB7">
        <w:t>Book-Entry-Only System</w:t>
      </w:r>
      <w:r w:rsidRPr="00D52CB7">
        <w:fldChar w:fldCharType="begin"/>
      </w:r>
      <w:r w:rsidRPr="00D52CB7">
        <w:instrText>tc "</w:instrText>
      </w:r>
      <w:bookmarkStart w:name="_Toc156025666" w:id="32"/>
      <w:bookmarkStart w:name="_Toc195093838" w:id="33"/>
      <w:r w:rsidRPr="00D52CB7">
        <w:rPr>
          <w:smallCaps w:val="0"/>
        </w:rPr>
        <w:instrText>Book-Entry-Only System</w:instrText>
      </w:r>
      <w:bookmarkEnd w:id="32"/>
      <w:bookmarkEnd w:id="33"/>
      <w:r w:rsidRPr="00D52CB7">
        <w:instrText>" \f C \l 2</w:instrText>
      </w:r>
      <w:r w:rsidRPr="00D52CB7">
        <w:fldChar w:fldCharType="end"/>
      </w:r>
    </w:p>
    <w:p w:rsidRPr="00D52CB7" w:rsidR="00743467" w:rsidP="00743467" w:rsidRDefault="00743467" w14:paraId="2EB7237D" w14:textId="2D300A39">
      <w:pPr>
        <w:pStyle w:val="ParaNORMAL"/>
      </w:pPr>
      <w:r w:rsidRPr="00D52CB7">
        <w:t>The Depository Trust Company (</w:t>
      </w:r>
      <w:r w:rsidRPr="00D52CB7">
        <w:rPr>
          <w:i/>
        </w:rPr>
        <w:t>“DTC”</w:t>
      </w:r>
      <w:r w:rsidRPr="00D52CB7">
        <w:t xml:space="preserve">) will act as securities depository for the </w:t>
      </w:r>
      <w:r w:rsidRPr="00D52CB7" w:rsidR="00B935C1">
        <w:t xml:space="preserve">Series </w:t>
      </w:r>
      <w:r w:rsidRPr="00D52CB7" w:rsidR="00D50213">
        <w:t>2025</w:t>
      </w:r>
      <w:r w:rsidRPr="00D52CB7" w:rsidR="00B935C1">
        <w:t xml:space="preserve"> Bond</w:t>
      </w:r>
      <w:r w:rsidRPr="00D52CB7">
        <w:t xml:space="preserve">s.  The </w:t>
      </w:r>
      <w:r w:rsidRPr="00D52CB7" w:rsidR="00B935C1">
        <w:t xml:space="preserve">Series </w:t>
      </w:r>
      <w:r w:rsidRPr="00D52CB7" w:rsidR="00D50213">
        <w:t>2025</w:t>
      </w:r>
      <w:r w:rsidRPr="00D52CB7" w:rsidR="00B935C1">
        <w:t xml:space="preserve"> Bond</w:t>
      </w:r>
      <w:r w:rsidRPr="00D52CB7">
        <w:t xml:space="preserve">s will be issued as fully-registered securities registered in the name of Cede &amp; Co. (DTC’s partnership nominee) or such other name as may be requested by an authorized representative of DTC.  One fully-registered certificate will be issued for each maturity of the </w:t>
      </w:r>
      <w:r w:rsidRPr="00D52CB7" w:rsidR="00B935C1">
        <w:t xml:space="preserve">Series </w:t>
      </w:r>
      <w:r w:rsidRPr="00D52CB7" w:rsidR="00D50213">
        <w:t>2025</w:t>
      </w:r>
      <w:r w:rsidRPr="00D52CB7" w:rsidR="00B935C1">
        <w:t xml:space="preserve"> Bond</w:t>
      </w:r>
      <w:r w:rsidRPr="00D52CB7">
        <w:t xml:space="preserve">s, each in the principal amount of such maturity of the </w:t>
      </w:r>
      <w:r w:rsidRPr="00D52CB7" w:rsidR="00B935C1">
        <w:t xml:space="preserve">Series </w:t>
      </w:r>
      <w:r w:rsidRPr="00D52CB7" w:rsidR="00D50213">
        <w:t>2025</w:t>
      </w:r>
      <w:r w:rsidRPr="00D52CB7" w:rsidR="00B935C1">
        <w:t xml:space="preserve"> Bond</w:t>
      </w:r>
      <w:r w:rsidRPr="00D52CB7">
        <w:t>s and deposited with DTC.</w:t>
      </w:r>
    </w:p>
    <w:p w:rsidRPr="00D52CB7" w:rsidR="00743467" w:rsidP="00743467" w:rsidRDefault="00743467" w14:paraId="42D94189" w14:textId="77777777">
      <w:pPr>
        <w:pStyle w:val="ParaNORMAL"/>
      </w:pPr>
      <w:r w:rsidRPr="00D52CB7">
        <w:t>DTC, the world’s largest securities depository, is a limited-purpose trust company organized under the New York Banking Law, a “banking organization” within the meaning of the New York Banking Law, a member of the Federal Reserve System, a “clearing corporation” within the meaning of the New York Uniform Commercial Code, and a “clearing agency” registered pursuant to the provisions of Section 17A of the Securities Exchange Act of 1934.  DTC holds and provides asset servicing for over 3.5 million issues of U.S. and non-U.S. equity issues, corporate and municipal debt issues, and money market instruments (from over 100 countries) that DTC’s participants (</w:t>
      </w:r>
      <w:r w:rsidRPr="00D52CB7">
        <w:rPr>
          <w:i/>
        </w:rPr>
        <w:t>“Direct Participants”</w:t>
      </w:r>
      <w:r w:rsidRPr="00D52CB7">
        <w:t xml:space="preserve">) deposit with DTC.  DTC also facilitates the post-trade </w:t>
      </w:r>
      <w:r w:rsidRPr="00D52CB7">
        <w:lastRenderedPageBreak/>
        <w:t>settlement among Direct Participants of sales and other securities transactions in deposited securities, through electronic computerized book-entry transfers and pledges between Direct Participants’ accounts.  This eliminates the need for physical movement of securities certificates.  Direct Participants include both U.S. and non-U.S. securities brokers and dealers, banks, trust companies, clearing corporations, and certain other organizations.  DTC is a wholly-owned subsidiary of The Depository Trust &amp; Clearing Corporation (</w:t>
      </w:r>
      <w:r w:rsidRPr="00D52CB7">
        <w:rPr>
          <w:i/>
        </w:rPr>
        <w:t>“DTCC”</w:t>
      </w:r>
      <w:r w:rsidRPr="00D52CB7">
        <w:t>).  DTCC is the holding company for DTC, National Securities Clearing Corporation and Fixed Income Clearing Corporation, all of which are registered clearing agencies.  DTCC is owned by the users of its regulated subsidiaries.  Access to the DTC system is also available to others such as both U.S. and non-U.S. securities brokers and dealers, banks, trust companies, and clearing corporations that clear through or maintain a custodial relationship with a Direct Participant, either directly or indirectly (</w:t>
      </w:r>
      <w:r w:rsidRPr="00D52CB7">
        <w:rPr>
          <w:i/>
        </w:rPr>
        <w:t>“Indirect Participants”</w:t>
      </w:r>
      <w:r w:rsidRPr="00D52CB7">
        <w:t xml:space="preserve">).  DTC has a Standard &amp; Poor’s rating of AA+.  The DTC rules applicable to its Direct and Indirect Participants are on file with the Securities and Exchange Commission.  More information about DTC can be found at </w:t>
      </w:r>
      <w:r w:rsidRPr="00D52CB7">
        <w:rPr>
          <w:u w:val="single"/>
        </w:rPr>
        <w:t>www.dtcc.com</w:t>
      </w:r>
      <w:r w:rsidRPr="00D52CB7">
        <w:t xml:space="preserve"> and </w:t>
      </w:r>
      <w:r w:rsidRPr="00D52CB7">
        <w:rPr>
          <w:u w:val="single"/>
        </w:rPr>
        <w:t>www.dtc.org</w:t>
      </w:r>
      <w:r w:rsidRPr="00D52CB7">
        <w:t>.</w:t>
      </w:r>
    </w:p>
    <w:p w:rsidRPr="00D52CB7" w:rsidR="00743467" w:rsidP="00743467" w:rsidRDefault="00743467" w14:paraId="23B3F76B" w14:textId="6B2425D0">
      <w:pPr>
        <w:pStyle w:val="ParaNORMAL"/>
      </w:pPr>
      <w:r w:rsidRPr="00D52CB7">
        <w:t xml:space="preserve">Purchases of the </w:t>
      </w:r>
      <w:r w:rsidRPr="00D52CB7" w:rsidR="00B935C1">
        <w:t xml:space="preserve">Series </w:t>
      </w:r>
      <w:r w:rsidRPr="00D52CB7" w:rsidR="00D50213">
        <w:t>2025</w:t>
      </w:r>
      <w:r w:rsidRPr="00D52CB7" w:rsidR="00B935C1">
        <w:t xml:space="preserve"> Bond</w:t>
      </w:r>
      <w:r w:rsidRPr="00D52CB7">
        <w:t xml:space="preserve">s under the DTC system must be made by or through Direct Participants, which will receive a credit for the </w:t>
      </w:r>
      <w:r w:rsidRPr="00D52CB7" w:rsidR="00B935C1">
        <w:t xml:space="preserve">Series </w:t>
      </w:r>
      <w:r w:rsidRPr="00D52CB7" w:rsidR="00D50213">
        <w:t>2025</w:t>
      </w:r>
      <w:r w:rsidRPr="00D52CB7" w:rsidR="00B935C1">
        <w:t xml:space="preserve"> Bond</w:t>
      </w:r>
      <w:r w:rsidRPr="00D52CB7">
        <w:t xml:space="preserve">s on DTC’s records.  The ownership interest of each actual purchaser of each </w:t>
      </w:r>
      <w:r w:rsidRPr="00D52CB7" w:rsidR="00B935C1">
        <w:t xml:space="preserve">Series </w:t>
      </w:r>
      <w:r w:rsidRPr="00D52CB7" w:rsidR="00D50213">
        <w:t>2025</w:t>
      </w:r>
      <w:r w:rsidRPr="00D52CB7" w:rsidR="00B935C1">
        <w:t xml:space="preserve"> Bond</w:t>
      </w:r>
      <w:r w:rsidRPr="00D52CB7">
        <w:t xml:space="preserve"> (a </w:t>
      </w:r>
      <w:r w:rsidRPr="00D52CB7">
        <w:rPr>
          <w:i/>
        </w:rPr>
        <w:t>“Beneficial Owner”</w:t>
      </w:r>
      <w:r w:rsidRPr="00D52CB7">
        <w:t xml:space="preserve">) is in turn to be recorded on the Direct and Indirect Participants’ records.  Beneficial Owners will not receive written confirmation from DTC of their purchase.  Beneficial Owners are, however, expected to receive written confirmations providing details of the transaction, as well as periodic statements of their holdings, from the Direct or Indirect Participant through which the Beneficial Owner entered into the transaction.  Transfers of ownership interests in the </w:t>
      </w:r>
      <w:r w:rsidRPr="00D52CB7" w:rsidR="00B935C1">
        <w:t xml:space="preserve">Series </w:t>
      </w:r>
      <w:r w:rsidRPr="00D52CB7" w:rsidR="00D50213">
        <w:t>2025</w:t>
      </w:r>
      <w:r w:rsidRPr="00D52CB7" w:rsidR="00B935C1">
        <w:t xml:space="preserve"> Bond</w:t>
      </w:r>
      <w:r w:rsidRPr="00D52CB7">
        <w:t xml:space="preserve">s are to be accomplished by entries made on the books of Direct and Indirect Participants acting on behalf of Beneficial Owners.  Beneficial Owners will not receive certificates representing their ownership interests in the </w:t>
      </w:r>
      <w:r w:rsidRPr="00D52CB7" w:rsidR="00B935C1">
        <w:t xml:space="preserve">Series </w:t>
      </w:r>
      <w:r w:rsidRPr="00D52CB7" w:rsidR="00D50213">
        <w:t>2025</w:t>
      </w:r>
      <w:r w:rsidRPr="00D52CB7" w:rsidR="00B935C1">
        <w:t xml:space="preserve"> Bond</w:t>
      </w:r>
      <w:r w:rsidRPr="00D52CB7">
        <w:t xml:space="preserve">s, except in the event that use of the book-entry system for the </w:t>
      </w:r>
      <w:r w:rsidRPr="00D52CB7" w:rsidR="00B935C1">
        <w:t xml:space="preserve">Series </w:t>
      </w:r>
      <w:r w:rsidRPr="00D52CB7" w:rsidR="00D50213">
        <w:t>2025</w:t>
      </w:r>
      <w:r w:rsidRPr="00D52CB7" w:rsidR="00B935C1">
        <w:t xml:space="preserve"> Bond</w:t>
      </w:r>
      <w:r w:rsidRPr="00D52CB7">
        <w:t>s is discontinued.</w:t>
      </w:r>
    </w:p>
    <w:p w:rsidRPr="00D52CB7" w:rsidR="00743467" w:rsidP="00743467" w:rsidRDefault="00743467" w14:paraId="4A2784C2" w14:textId="308F1FAF">
      <w:pPr>
        <w:pStyle w:val="ParaNORMAL"/>
      </w:pPr>
      <w:r w:rsidRPr="00D52CB7">
        <w:t xml:space="preserve">To facilitate subsequent transfers, all </w:t>
      </w:r>
      <w:r w:rsidRPr="00D52CB7" w:rsidR="00B935C1">
        <w:t xml:space="preserve">Series </w:t>
      </w:r>
      <w:r w:rsidRPr="00D52CB7" w:rsidR="00D50213">
        <w:t>2025</w:t>
      </w:r>
      <w:r w:rsidRPr="00D52CB7" w:rsidR="00B935C1">
        <w:t xml:space="preserve"> Bond</w:t>
      </w:r>
      <w:r w:rsidRPr="00D52CB7">
        <w:t xml:space="preserve">s deposited by Direct Participants with DTC are registered in the name of DTC’s partnership nominee, Cede &amp; Co., or such other name as may be requested by an authorized representative of DTC.  The deposit of </w:t>
      </w:r>
      <w:r w:rsidRPr="00D52CB7" w:rsidR="00B935C1">
        <w:t xml:space="preserve">Series </w:t>
      </w:r>
      <w:r w:rsidRPr="00D52CB7" w:rsidR="00D50213">
        <w:t>2025</w:t>
      </w:r>
      <w:r w:rsidRPr="00D52CB7" w:rsidR="00B935C1">
        <w:t xml:space="preserve"> Bond</w:t>
      </w:r>
      <w:r w:rsidRPr="00D52CB7">
        <w:t xml:space="preserve">s with DTC and their registration in the name of Cede &amp; Co. or such other DTC nominee do not effect any change in beneficial ownership.  DTC has no knowledge of the actual Beneficial Owners of </w:t>
      </w:r>
      <w:r w:rsidRPr="00D52CB7" w:rsidR="00B935C1">
        <w:t xml:space="preserve">Series </w:t>
      </w:r>
      <w:r w:rsidRPr="00D52CB7" w:rsidR="00D50213">
        <w:t>2025</w:t>
      </w:r>
      <w:r w:rsidRPr="00D52CB7" w:rsidR="00B935C1">
        <w:t xml:space="preserve"> Bond</w:t>
      </w:r>
      <w:r w:rsidRPr="00D52CB7">
        <w:t xml:space="preserve">s; DTC’s records reflect only the identity of the Direct Participants to whose accounts such </w:t>
      </w:r>
      <w:r w:rsidRPr="00D52CB7" w:rsidR="00B935C1">
        <w:t xml:space="preserve">Series </w:t>
      </w:r>
      <w:r w:rsidRPr="00D52CB7" w:rsidR="00D50213">
        <w:t>2025</w:t>
      </w:r>
      <w:r w:rsidRPr="00D52CB7" w:rsidR="00B935C1">
        <w:t xml:space="preserve"> Bond</w:t>
      </w:r>
      <w:r w:rsidRPr="00D52CB7">
        <w:t>s are credited, which may or may not be the Beneficial Owners.  The Direct and Indirect Participants will remain responsible for keeping account of their holdings on behalf of their customers.</w:t>
      </w:r>
    </w:p>
    <w:p w:rsidRPr="00D52CB7" w:rsidR="00743467" w:rsidP="00743467" w:rsidRDefault="00743467" w14:paraId="691CEBDA" w14:textId="2FAD9E32">
      <w:pPr>
        <w:pStyle w:val="ParaNORMAL"/>
      </w:pPr>
      <w:r w:rsidRPr="00D52CB7">
        <w:t xml:space="preserve">Conveyance of notices and other communications by DTC to Direct Participants, by Direct Participants to Indirect Participants and by Direct Participants and Indirect Participants to Beneficial Owners will be governed by arrangements among them, subject to any statutory or regulatory requirements as may be in effect from time to time.  Beneficial Owners of the </w:t>
      </w:r>
      <w:r w:rsidRPr="00D52CB7" w:rsidR="00B935C1">
        <w:t xml:space="preserve">Series </w:t>
      </w:r>
      <w:r w:rsidRPr="00D52CB7" w:rsidR="00D50213">
        <w:t>2025</w:t>
      </w:r>
      <w:r w:rsidRPr="00D52CB7" w:rsidR="00B935C1">
        <w:t xml:space="preserve"> Bond</w:t>
      </w:r>
      <w:r w:rsidRPr="00D52CB7">
        <w:t xml:space="preserve">s may wish to take certain steps to augment the transmission to them of notices of significant events with respect to the </w:t>
      </w:r>
      <w:r w:rsidRPr="00D52CB7" w:rsidR="00B935C1">
        <w:t xml:space="preserve">Series </w:t>
      </w:r>
      <w:r w:rsidRPr="00D52CB7" w:rsidR="00D50213">
        <w:t>2025</w:t>
      </w:r>
      <w:r w:rsidRPr="00D52CB7" w:rsidR="00B935C1">
        <w:t xml:space="preserve"> Bond</w:t>
      </w:r>
      <w:r w:rsidRPr="00D52CB7">
        <w:t xml:space="preserve">s, such as redemptions, defaults and proposed amendments to the </w:t>
      </w:r>
      <w:r w:rsidRPr="00D52CB7" w:rsidR="00B935C1">
        <w:t xml:space="preserve">Series </w:t>
      </w:r>
      <w:r w:rsidRPr="00D52CB7" w:rsidR="00D50213">
        <w:t>2025</w:t>
      </w:r>
      <w:r w:rsidRPr="00D52CB7" w:rsidR="00B935C1">
        <w:t xml:space="preserve"> Bond</w:t>
      </w:r>
      <w:r w:rsidRPr="00D52CB7">
        <w:t xml:space="preserve"> documents.  For example, Beneficial Owners of the </w:t>
      </w:r>
      <w:r w:rsidRPr="00D52CB7" w:rsidR="00B935C1">
        <w:t xml:space="preserve">Series </w:t>
      </w:r>
      <w:r w:rsidRPr="00D52CB7" w:rsidR="00D50213">
        <w:t>2025</w:t>
      </w:r>
      <w:r w:rsidRPr="00D52CB7" w:rsidR="00B935C1">
        <w:t xml:space="preserve"> Bond</w:t>
      </w:r>
      <w:r w:rsidRPr="00D52CB7">
        <w:t xml:space="preserve">s may wish to ascertain that the nominee holding the </w:t>
      </w:r>
      <w:r w:rsidRPr="00D52CB7" w:rsidR="00B935C1">
        <w:t xml:space="preserve">Series </w:t>
      </w:r>
      <w:r w:rsidRPr="00D52CB7" w:rsidR="00D50213">
        <w:t>2025</w:t>
      </w:r>
      <w:r w:rsidRPr="00D52CB7" w:rsidR="00B935C1">
        <w:t xml:space="preserve"> Bond</w:t>
      </w:r>
      <w:r w:rsidRPr="00D52CB7">
        <w:t xml:space="preserve">s for </w:t>
      </w:r>
      <w:r w:rsidRPr="00D52CB7">
        <w:lastRenderedPageBreak/>
        <w:t>their benefit has agreed to obtain and transmit notices to Beneficial Owners.  In the alternative, Beneficial Owners may wish to provide their names and addresses to the registrar and request that copies of notices be provided directly to them.</w:t>
      </w:r>
    </w:p>
    <w:p w:rsidRPr="00D52CB7" w:rsidR="00743467" w:rsidP="00743467" w:rsidRDefault="00743467" w14:paraId="1591012F" w14:textId="391A103D">
      <w:pPr>
        <w:pStyle w:val="ParaNORMAL"/>
      </w:pPr>
      <w:r w:rsidRPr="00D52CB7">
        <w:t xml:space="preserve">Redemption notices shall be sent to DTC.  If less than all of the </w:t>
      </w:r>
      <w:r w:rsidRPr="00D52CB7" w:rsidR="00B935C1">
        <w:t xml:space="preserve">Series </w:t>
      </w:r>
      <w:r w:rsidRPr="00D52CB7" w:rsidR="00D50213">
        <w:t>2025</w:t>
      </w:r>
      <w:r w:rsidRPr="00D52CB7" w:rsidR="00B935C1">
        <w:t xml:space="preserve"> Bond</w:t>
      </w:r>
      <w:r w:rsidRPr="00D52CB7">
        <w:t xml:space="preserve">s within a maturity of the </w:t>
      </w:r>
      <w:r w:rsidRPr="00D52CB7" w:rsidR="00B935C1">
        <w:t xml:space="preserve">Series </w:t>
      </w:r>
      <w:r w:rsidRPr="00D52CB7" w:rsidR="00D50213">
        <w:t>2025</w:t>
      </w:r>
      <w:r w:rsidRPr="00D52CB7" w:rsidR="00B935C1">
        <w:t xml:space="preserve"> Bond</w:t>
      </w:r>
      <w:r w:rsidRPr="00D52CB7">
        <w:t>s are being redeemed, DTC’s practice is to determine by lot the amount of the interest of each Direct Participant in such maturity to be redeemed.</w:t>
      </w:r>
    </w:p>
    <w:p w:rsidRPr="00D52CB7" w:rsidR="00743467" w:rsidP="00743467" w:rsidRDefault="00743467" w14:paraId="76E72CA1" w14:textId="706FE93F">
      <w:pPr>
        <w:pStyle w:val="ParaNORMAL"/>
      </w:pPr>
      <w:r w:rsidRPr="00D52CB7">
        <w:t xml:space="preserve">Neither DTC nor Cede &amp; Co. (nor any other DTC nominee) will consent or vote with respect to </w:t>
      </w:r>
      <w:r w:rsidRPr="00D52CB7" w:rsidR="00B935C1">
        <w:t xml:space="preserve">Series </w:t>
      </w:r>
      <w:r w:rsidRPr="00D52CB7" w:rsidR="00D50213">
        <w:t>2025</w:t>
      </w:r>
      <w:r w:rsidRPr="00D52CB7" w:rsidR="00B935C1">
        <w:t xml:space="preserve"> Bond</w:t>
      </w:r>
      <w:r w:rsidRPr="00D52CB7">
        <w:t xml:space="preserve">s unless authorized by a Direct Participant in accordance with DTC’s MMI Procedures.  Under its usual procedures, DTC mails an Omnibus Proxy to the Issuer as soon as possible after the record date.  The Omnibus Proxy assigns Cede &amp; Co.’s consenting or voting rights to those Direct Participants to whose accounts the </w:t>
      </w:r>
      <w:r w:rsidRPr="00D52CB7" w:rsidR="00B935C1">
        <w:t xml:space="preserve">Series </w:t>
      </w:r>
      <w:r w:rsidRPr="00D52CB7" w:rsidR="00D50213">
        <w:t>2025</w:t>
      </w:r>
      <w:r w:rsidRPr="00D52CB7" w:rsidR="00B935C1">
        <w:t xml:space="preserve"> Bond</w:t>
      </w:r>
      <w:r w:rsidRPr="00D52CB7">
        <w:t>s are credited on the record date (identified in a listing attached to the Omnibus Proxy).</w:t>
      </w:r>
    </w:p>
    <w:p w:rsidRPr="00D52CB7" w:rsidR="00743467" w:rsidP="00743467" w:rsidRDefault="00743467" w14:paraId="1DA82469" w14:textId="044DA8A0">
      <w:pPr>
        <w:pStyle w:val="ParaNORMAL"/>
      </w:pPr>
      <w:r w:rsidRPr="00D52CB7">
        <w:t xml:space="preserve">Redemption proceeds and other payments on the </w:t>
      </w:r>
      <w:r w:rsidRPr="00D52CB7" w:rsidR="00B935C1">
        <w:t xml:space="preserve">Series </w:t>
      </w:r>
      <w:r w:rsidRPr="00D52CB7" w:rsidR="00D50213">
        <w:t>2025</w:t>
      </w:r>
      <w:r w:rsidRPr="00D52CB7" w:rsidR="00B935C1">
        <w:t xml:space="preserve"> Bond</w:t>
      </w:r>
      <w:r w:rsidRPr="00D52CB7">
        <w:t>s will be made to Cede &amp; Co., or such other nominee as may be requested by an authorized representative of DTC.  DTC’s practice is to credit Direct Participants’ accounts upon DTC’s receipt of funds and corresponding detail information from the Issuer or Trustee, on the payment date in accordance with their respective holdings shown on DTC’s records.  Payments by Participants to Beneficial Owners will be governed by standing instructions and customary practices, as is the case with securities held for the accounts of customers in bearer form or registered in “street name,” and will be the responsibility of such Participant and not of DTC, the Trustee or the Issuer, subject to any statutory or regulatory requirements as may be in effect from time to time.  Payment of redemption proceeds and other payments to Cede &amp; Co. (or such other nominee as may be requested by an authorized representative of DTC) is the responsibility of the Trustee and disbursement of such payments to Direct Participants will be the responsibility of DTC and disbursement of such payments to the Beneficial Owners will be the responsibility of Direct and Indirect Participants.</w:t>
      </w:r>
    </w:p>
    <w:p w:rsidRPr="00D52CB7" w:rsidR="00743467" w:rsidP="00743467" w:rsidRDefault="00743467" w14:paraId="568996CD" w14:textId="29AFF812">
      <w:pPr>
        <w:pStyle w:val="ParaNORMAL"/>
      </w:pPr>
      <w:r w:rsidRPr="00D52CB7">
        <w:t xml:space="preserve">DTC may discontinue providing its services as depository with respect to the </w:t>
      </w:r>
      <w:r w:rsidRPr="00D52CB7" w:rsidR="00B935C1">
        <w:t xml:space="preserve">Series </w:t>
      </w:r>
      <w:r w:rsidRPr="00D52CB7" w:rsidR="00D50213">
        <w:t>2025</w:t>
      </w:r>
      <w:r w:rsidRPr="00D52CB7" w:rsidR="00B935C1">
        <w:t xml:space="preserve"> Bond</w:t>
      </w:r>
      <w:r w:rsidRPr="00D52CB7">
        <w:t xml:space="preserve">s at any time by giving reasonable notice to the Issuer or the Trustee.  Under such circumstances, in the event that a successor depository is not obtained, </w:t>
      </w:r>
      <w:r w:rsidRPr="00D52CB7" w:rsidR="00B935C1">
        <w:t xml:space="preserve">Series </w:t>
      </w:r>
      <w:r w:rsidRPr="00D52CB7" w:rsidR="00D50213">
        <w:t>2025</w:t>
      </w:r>
      <w:r w:rsidRPr="00D52CB7" w:rsidR="00B935C1">
        <w:t xml:space="preserve"> Bond</w:t>
      </w:r>
      <w:r w:rsidRPr="00D52CB7">
        <w:t xml:space="preserve"> certificates are required to be printed and delivered.</w:t>
      </w:r>
    </w:p>
    <w:p w:rsidRPr="00D52CB7" w:rsidR="00743467" w:rsidP="00743467" w:rsidRDefault="00743467" w14:paraId="776B1B53" w14:textId="6A0A8315">
      <w:pPr>
        <w:pStyle w:val="ParaNORMAL"/>
      </w:pPr>
      <w:r w:rsidRPr="00D52CB7">
        <w:t xml:space="preserve">The Issuer may decide to discontinue use of the system of book-entry-only transfers through DTC (or a successor securities depository).  In that event, </w:t>
      </w:r>
      <w:r w:rsidRPr="00D52CB7" w:rsidR="00B935C1">
        <w:t xml:space="preserve">Series </w:t>
      </w:r>
      <w:r w:rsidRPr="00D52CB7" w:rsidR="00D50213">
        <w:t>2025</w:t>
      </w:r>
      <w:r w:rsidRPr="00D52CB7" w:rsidR="00B935C1">
        <w:t xml:space="preserve"> Bond</w:t>
      </w:r>
      <w:r w:rsidRPr="00D52CB7">
        <w:t xml:space="preserve"> certificates will be printed and delivered to DTC.</w:t>
      </w:r>
    </w:p>
    <w:p w:rsidRPr="00D52CB7" w:rsidR="00743467" w:rsidP="00743467" w:rsidRDefault="00743467" w14:paraId="63042BB9" w14:textId="77777777">
      <w:pPr>
        <w:pStyle w:val="ParaNORMAL"/>
        <w:rPr>
          <w:i/>
        </w:rPr>
      </w:pPr>
      <w:r w:rsidRPr="00D52CB7">
        <w:rPr>
          <w:i/>
        </w:rPr>
        <w:t>The information in this section concerning DTC and DTC’s book-entry system has been obtained from sources that the Issuer and the Charter School believe to be reliable, but neither the Issuer nor the Charter School takes any responsibility for the accuracy thereof.</w:t>
      </w:r>
    </w:p>
    <w:p w:rsidRPr="00D52CB7" w:rsidR="00743467" w:rsidP="00743467" w:rsidRDefault="00743467" w14:paraId="320E39B1" w14:textId="26249967">
      <w:pPr>
        <w:pStyle w:val="TitleCenterBold"/>
      </w:pPr>
      <w:r w:rsidRPr="00D52CB7">
        <w:lastRenderedPageBreak/>
        <w:t xml:space="preserve">Security for the </w:t>
      </w:r>
      <w:r w:rsidRPr="00D52CB7" w:rsidR="00B935C1">
        <w:t xml:space="preserve">Series </w:t>
      </w:r>
      <w:r w:rsidRPr="00D52CB7" w:rsidR="00D50213">
        <w:t>2025</w:t>
      </w:r>
      <w:r w:rsidRPr="00D52CB7" w:rsidR="00B935C1">
        <w:t xml:space="preserve"> Bond</w:t>
      </w:r>
      <w:r w:rsidRPr="00D52CB7">
        <w:t>s</w:t>
      </w:r>
      <w:r w:rsidRPr="00D52CB7">
        <w:fldChar w:fldCharType="begin"/>
      </w:r>
      <w:r w:rsidRPr="00D52CB7">
        <w:instrText>tc "</w:instrText>
      </w:r>
      <w:bookmarkStart w:name="_Toc156025667" w:id="34"/>
      <w:bookmarkStart w:name="_Toc195093839" w:id="35"/>
      <w:r w:rsidRPr="00D52CB7">
        <w:instrText xml:space="preserve">Security for the Series </w:instrText>
      </w:r>
      <w:r w:rsidRPr="00D52CB7" w:rsidR="00D50213">
        <w:instrText>2025</w:instrText>
      </w:r>
      <w:r w:rsidRPr="00D52CB7">
        <w:instrText xml:space="preserve"> Bonds</w:instrText>
      </w:r>
      <w:bookmarkEnd w:id="34"/>
      <w:bookmarkEnd w:id="35"/>
      <w:r w:rsidRPr="00D52CB7">
        <w:instrText>" \f C \l 1</w:instrText>
      </w:r>
      <w:r w:rsidRPr="00D52CB7">
        <w:fldChar w:fldCharType="end"/>
      </w:r>
    </w:p>
    <w:p w:rsidRPr="00D52CB7" w:rsidR="00743467" w:rsidP="00743467" w:rsidRDefault="00743467" w14:paraId="66C7FAD7" w14:textId="77777777">
      <w:pPr>
        <w:pStyle w:val="TitleLeft"/>
      </w:pPr>
      <w:r w:rsidRPr="00D52CB7">
        <w:t>Indenture</w:t>
      </w:r>
      <w:r w:rsidRPr="00D52CB7">
        <w:fldChar w:fldCharType="begin"/>
      </w:r>
      <w:r w:rsidRPr="00D52CB7">
        <w:instrText>tc "</w:instrText>
      </w:r>
      <w:bookmarkStart w:name="_Toc156025668" w:id="36"/>
      <w:bookmarkStart w:name="_Toc195093840" w:id="37"/>
      <w:r w:rsidRPr="00D52CB7">
        <w:instrText>Indenture</w:instrText>
      </w:r>
      <w:bookmarkEnd w:id="36"/>
      <w:bookmarkEnd w:id="37"/>
      <w:r w:rsidRPr="00D52CB7">
        <w:instrText>" \f C \l 2</w:instrText>
      </w:r>
      <w:r w:rsidRPr="00D52CB7">
        <w:fldChar w:fldCharType="end"/>
      </w:r>
    </w:p>
    <w:p w:rsidRPr="00D52CB7" w:rsidR="00E76E29" w:rsidP="00E76E29" w:rsidRDefault="00E76E29" w14:paraId="64103247" w14:textId="5BC0D4AF">
      <w:pPr>
        <w:pStyle w:val="ParaNORMAL"/>
      </w:pPr>
      <w:r w:rsidRPr="00D52CB7">
        <w:rPr>
          <w:i/>
        </w:rPr>
        <w:t>Pledge of the Indenture.</w:t>
      </w:r>
      <w:r w:rsidRPr="00D52CB7">
        <w:rPr>
          <w:b/>
          <w:i/>
        </w:rPr>
        <w:fldChar w:fldCharType="begin"/>
      </w:r>
      <w:r w:rsidRPr="00D52CB7">
        <w:instrText>tc "</w:instrText>
      </w:r>
      <w:bookmarkStart w:name="_Toc195093841" w:id="38"/>
      <w:r w:rsidRPr="00D52CB7">
        <w:instrText>Pledge of the Indenture</w:instrText>
      </w:r>
      <w:bookmarkEnd w:id="38"/>
      <w:r w:rsidRPr="00D52CB7">
        <w:instrText>" \f C \l 3</w:instrText>
      </w:r>
      <w:r w:rsidRPr="00D52CB7">
        <w:rPr>
          <w:b/>
          <w:i/>
        </w:rPr>
        <w:fldChar w:fldCharType="end"/>
      </w:r>
      <w:r w:rsidRPr="00D52CB7">
        <w:t xml:space="preserve">  The </w:t>
      </w:r>
      <w:r w:rsidRPr="00D52CB7" w:rsidR="00B935C1">
        <w:t xml:space="preserve">Series </w:t>
      </w:r>
      <w:r w:rsidRPr="00D52CB7" w:rsidR="00D50213">
        <w:t>2025</w:t>
      </w:r>
      <w:r w:rsidRPr="00D52CB7" w:rsidR="00B935C1">
        <w:t xml:space="preserve"> Bond</w:t>
      </w:r>
      <w:r w:rsidRPr="00D52CB7">
        <w:t xml:space="preserve">s are limited obligations of the Issuer.  The </w:t>
      </w:r>
      <w:r w:rsidRPr="00D52CB7" w:rsidR="00B935C1">
        <w:t xml:space="preserve">Series </w:t>
      </w:r>
      <w:r w:rsidRPr="00D52CB7" w:rsidR="00D50213">
        <w:t>2025</w:t>
      </w:r>
      <w:r w:rsidRPr="00D52CB7" w:rsidR="00B935C1">
        <w:t xml:space="preserve"> Bond</w:t>
      </w:r>
      <w:r w:rsidRPr="00D52CB7">
        <w:t xml:space="preserve">s are secured solely by the Trust Estate, which is limited to (a) the rights and interests of the Issuer under the Loan Agreement, (b) the Facilities and the Issuer’s rights and interests in the Facilities, (c) the Pledged Revenues and the Issuer’s rights and interests in the Pledged Revenues, (d) the rights and interests of the Issuer and the Charter School under the Deed of Trust and the Promissory Note, (e) all Funds other than the Costs of Issuance Fund and the Rebate Fund (or other moneys required to be rebated to the United States of America pursuant to Section 148(f) of the Code), except for moneys or obligations deposited with or paid to the Trustee for the payment or redemption of Bonds that are no longer deemed to be Outstanding under the Indenture, subject only to the provisions of the Indenture permitting the application thereof for the purposes and on the terms and conditions set forth in this Indenture and (f) any and all other interests in real or personal property of every name and nature from time to time by delivery or by writing of any kind specifically mortgaged, pledged or hypothecated, as and for additional security under the Indenture by the Issuer or by anyone on its behalf or with its written consent in favor of the Trustee;  </w:t>
      </w:r>
      <w:r w:rsidRPr="00D52CB7">
        <w:rPr>
          <w:i/>
        </w:rPr>
        <w:t xml:space="preserve">provided, however, </w:t>
      </w:r>
      <w:r w:rsidRPr="00D52CB7">
        <w:t>that the Trust Estate shall not include the</w:t>
      </w:r>
      <w:r w:rsidRPr="00D52CB7">
        <w:rPr>
          <w:i/>
        </w:rPr>
        <w:t xml:space="preserve">  “Issuer’s Unassigned Rights,”</w:t>
      </w:r>
      <w:r w:rsidRPr="00D52CB7">
        <w:t xml:space="preserve"> which consist of the Issuer’s rights to (i) inspect books and records, (ii) give or receive notices, approvals, consents, requests and other communications, (iii) receive payment or reimbursement for expenses or appropriations under the Credit Enhancement Program, (iv) receive payment of the Issuer’s Administration Fee and the Issuer’s Annual Fee, (v) immunity from and limitation of liability, (vi) indemnification from liability by the Charter School, (vii) security for the Charter School’s indemnification obligation, (viii) take any action as provided under the Credit Enhancement Program, and (ix) be reimbursed for expenses described in the Loan Agreement..</w:t>
      </w:r>
    </w:p>
    <w:p w:rsidRPr="00D52CB7" w:rsidR="00743467" w:rsidP="00743467" w:rsidRDefault="00743467" w14:paraId="07D98A85" w14:textId="59D13ABF">
      <w:pPr>
        <w:pStyle w:val="ParaNORMAL"/>
      </w:pPr>
      <w:r w:rsidRPr="00D52CB7">
        <w:rPr>
          <w:i/>
        </w:rPr>
        <w:t>“Pledged Revenues”</w:t>
      </w:r>
      <w:r w:rsidRPr="00D52CB7">
        <w:t xml:space="preserve"> means all revenues, rentals, fees, third-party payments, receipts, donations, contributions or other income of the Charter School or derived from the Facilities, including the rights to receive such revenues, all as calculated in accordance with sound accounting practices, including, but not limited to, State Payments, proceeds derived from insurance, condemnation proceeds, accounts, contract rights and other rights and assets, whether now or hereafter owned, held or possessed by the Charter School which are derived from the Facilities; including all amounts received by the Trustee, as assignee with respect to the Deed of Trust; and all gifts, grants, bequests and contributions (including income and profits therefrom), to the extent not specifically restricted by the donor or maker thereof to a particular purpose inconsistent with their use for any of the payments required under the Indenture.  </w:t>
      </w:r>
      <w:r w:rsidRPr="00D52CB7">
        <w:rPr>
          <w:i/>
        </w:rPr>
        <w:t xml:space="preserve">“State Payments” </w:t>
      </w:r>
      <w:r w:rsidRPr="00D52CB7">
        <w:t xml:space="preserve">are payments made by the Utah State Treasurer to the Charter School pursuant to the Charter School Act.  All State Payments are subject to annual appropriation by the State legislature.  State Payments are the primary source of revenues of the Charter School and are the principal and expected source of repayment of the Charter School’s obligations under the Loan Agreement, representing debt service on the </w:t>
      </w:r>
      <w:r w:rsidRPr="00D52CB7" w:rsidR="00B935C1">
        <w:t xml:space="preserve">Series </w:t>
      </w:r>
      <w:r w:rsidRPr="00D52CB7" w:rsidR="00D50213">
        <w:t>2025</w:t>
      </w:r>
      <w:r w:rsidRPr="00D52CB7" w:rsidR="00B935C1">
        <w:t xml:space="preserve"> Bond</w:t>
      </w:r>
      <w:r w:rsidRPr="00D52CB7">
        <w:t>s.  See “</w:t>
      </w:r>
      <w:r w:rsidRPr="00D52CB7">
        <w:rPr>
          <w:smallCaps/>
        </w:rPr>
        <w:t>Risk Factors–</w:t>
      </w:r>
      <w:r w:rsidRPr="00D52CB7">
        <w:t>No Taxing Authority; Dependence on State Payments.”</w:t>
      </w:r>
    </w:p>
    <w:p w:rsidRPr="00D52CB7" w:rsidR="00E76E29" w:rsidP="00E76E29" w:rsidRDefault="00E76E29" w14:paraId="17B14748" w14:textId="40F488F4">
      <w:pPr>
        <w:pStyle w:val="ParaNORMAL"/>
      </w:pPr>
      <w:r w:rsidRPr="00D52CB7">
        <w:rPr>
          <w:smallCaps/>
        </w:rPr>
        <w:t xml:space="preserve">The </w:t>
      </w:r>
      <w:r w:rsidRPr="00D52CB7" w:rsidR="00B935C1">
        <w:rPr>
          <w:smallCaps/>
        </w:rPr>
        <w:t xml:space="preserve">Series </w:t>
      </w:r>
      <w:r w:rsidRPr="00D52CB7" w:rsidR="00D50213">
        <w:rPr>
          <w:smallCaps/>
        </w:rPr>
        <w:t>2025</w:t>
      </w:r>
      <w:r w:rsidRPr="00D52CB7" w:rsidR="00B935C1">
        <w:rPr>
          <w:smallCaps/>
        </w:rPr>
        <w:t xml:space="preserve"> Bond</w:t>
      </w:r>
      <w:r w:rsidRPr="00D52CB7">
        <w:rPr>
          <w:smallCaps/>
        </w:rPr>
        <w:t xml:space="preserve">s are limited obligations of the Issuer payable solely from the Trust Estate, do not give rise to a general obligation or liability of the Issuer or </w:t>
      </w:r>
      <w:r w:rsidRPr="00D52CB7">
        <w:rPr>
          <w:smallCaps/>
        </w:rPr>
        <w:lastRenderedPageBreak/>
        <w:t xml:space="preserve">a charge against its general credit, and shall never constitute nor give rise to a pecuniary liability of the Issuer.  The </w:t>
      </w:r>
      <w:r w:rsidRPr="00D52CB7" w:rsidR="00B935C1">
        <w:rPr>
          <w:smallCaps/>
        </w:rPr>
        <w:t xml:space="preserve">Series </w:t>
      </w:r>
      <w:r w:rsidRPr="00D52CB7" w:rsidR="00D50213">
        <w:rPr>
          <w:smallCaps/>
        </w:rPr>
        <w:t>2025</w:t>
      </w:r>
      <w:r w:rsidRPr="00D52CB7" w:rsidR="00B935C1">
        <w:rPr>
          <w:smallCaps/>
        </w:rPr>
        <w:t xml:space="preserve"> Bond</w:t>
      </w:r>
      <w:r w:rsidRPr="00D52CB7">
        <w:rPr>
          <w:smallCaps/>
        </w:rPr>
        <w:t xml:space="preserve">s do not constitute a debt, liability (other than a limited liability of the Issuer) or loan of credit or a pledge of the full faith and credit or taxing power of the State, the Issuer, or any political subdivision of the State.  </w:t>
      </w:r>
      <w:r w:rsidRPr="00D52CB7">
        <w:rPr>
          <w:smallCaps/>
          <w:szCs w:val="24"/>
        </w:rPr>
        <w:t xml:space="preserve">The issuance of the </w:t>
      </w:r>
      <w:r w:rsidRPr="00D52CB7" w:rsidR="00B935C1">
        <w:rPr>
          <w:smallCaps/>
          <w:szCs w:val="24"/>
        </w:rPr>
        <w:t xml:space="preserve">Series </w:t>
      </w:r>
      <w:r w:rsidRPr="00D52CB7" w:rsidR="00D50213">
        <w:rPr>
          <w:smallCaps/>
          <w:szCs w:val="24"/>
        </w:rPr>
        <w:t>2025</w:t>
      </w:r>
      <w:r w:rsidRPr="00D52CB7" w:rsidR="00B935C1">
        <w:rPr>
          <w:smallCaps/>
          <w:szCs w:val="24"/>
        </w:rPr>
        <w:t xml:space="preserve"> Bond</w:t>
      </w:r>
      <w:r w:rsidRPr="00D52CB7">
        <w:rPr>
          <w:smallCaps/>
          <w:szCs w:val="24"/>
        </w:rPr>
        <w:t>s shall not directly, indirectly, or contingently obligate the Issuer, the State or any agency, instrumentality or political subdivision thereof to levy any form of taxation or to make any appropriation for their payment.</w:t>
      </w:r>
      <w:r w:rsidRPr="00D52CB7">
        <w:rPr>
          <w:b/>
          <w:sz w:val="18"/>
        </w:rPr>
        <w:t xml:space="preserve">  </w:t>
      </w:r>
      <w:r w:rsidRPr="00D52CB7">
        <w:rPr>
          <w:smallCaps/>
        </w:rPr>
        <w:t>All State Payments received by the Charter School pursuant to the Charter School Act are subject to annual appropriation.  The Charter School has no taxing power.</w:t>
      </w:r>
    </w:p>
    <w:p w:rsidRPr="00D52CB7" w:rsidR="00743467" w:rsidP="00743467" w:rsidRDefault="00743467" w14:paraId="0A27C293" w14:textId="77777777">
      <w:pPr>
        <w:pStyle w:val="ParaNORMAL"/>
      </w:pPr>
      <w:r w:rsidRPr="00D52CB7">
        <w:t>See</w:t>
      </w:r>
      <w:r w:rsidRPr="00D52CB7">
        <w:rPr>
          <w:smallCaps/>
        </w:rPr>
        <w:t xml:space="preserve"> “Appendix D—Forms of Bond Documents–</w:t>
      </w:r>
      <w:r w:rsidRPr="00D52CB7">
        <w:t>Indenture.”</w:t>
      </w:r>
    </w:p>
    <w:p w:rsidRPr="00D52CB7" w:rsidR="00743467" w:rsidP="00743467" w:rsidRDefault="00743467" w14:paraId="32603B2C" w14:textId="77777777">
      <w:pPr>
        <w:pStyle w:val="ParaNORMAL"/>
      </w:pPr>
      <w:r w:rsidRPr="00D52CB7">
        <w:rPr>
          <w:i/>
        </w:rPr>
        <w:t>Flow of Funds.</w:t>
      </w:r>
      <w:r w:rsidRPr="00D52CB7">
        <w:rPr>
          <w:b/>
          <w:i/>
        </w:rPr>
        <w:fldChar w:fldCharType="begin"/>
      </w:r>
      <w:r w:rsidRPr="00D52CB7">
        <w:instrText>tc "</w:instrText>
      </w:r>
      <w:bookmarkStart w:name="_Toc156025669" w:id="39"/>
      <w:bookmarkStart w:name="_Toc195093842" w:id="40"/>
      <w:r w:rsidRPr="00D52CB7">
        <w:instrText>Flow of Funds</w:instrText>
      </w:r>
      <w:bookmarkEnd w:id="39"/>
      <w:bookmarkEnd w:id="40"/>
      <w:r w:rsidRPr="00D52CB7">
        <w:instrText>" \f C \l 3</w:instrText>
      </w:r>
      <w:r w:rsidRPr="00D52CB7">
        <w:rPr>
          <w:b/>
          <w:i/>
        </w:rPr>
        <w:fldChar w:fldCharType="end"/>
      </w:r>
      <w:r w:rsidRPr="00D52CB7">
        <w:t xml:space="preserve">  Under the Loan Agreement, the Charter School covenants that it will direct the Treasurer of the State and the Utah Office of Education to disburse all State Payments directly to the Trustee and that it will not modify or revoke such direction so long as any obligation of the Charter School remains outstanding under the Loan Agreement.  Under the Indenture, there shall be deposited in the Revenue Fund as and when received, all Loan Payments and any other amounts to be paid by the Charter School under the Loan Agreement.</w:t>
      </w:r>
    </w:p>
    <w:p w:rsidRPr="00D52CB7" w:rsidR="00743467" w:rsidP="00743467" w:rsidRDefault="00743467" w14:paraId="30CAE28C" w14:textId="77777777">
      <w:pPr>
        <w:pStyle w:val="ParaNORMAL"/>
      </w:pPr>
      <w:r w:rsidRPr="00D52CB7">
        <w:t>Under the Indenture, all monies held on deposit in the Revenue Fund will be disbursed by the Trustee on the following dates in the following order of priority:</w:t>
      </w:r>
    </w:p>
    <w:p w:rsidRPr="00D52CB7" w:rsidR="00743467" w:rsidP="00743467" w:rsidRDefault="00743467" w14:paraId="7261ED59" w14:textId="77777777">
      <w:pPr>
        <w:pStyle w:val="SubParaLevel0"/>
        <w:rPr>
          <w:smallCaps/>
        </w:rPr>
      </w:pPr>
      <w:r w:rsidRPr="00D52CB7">
        <w:t>F</w:t>
      </w:r>
      <w:r w:rsidRPr="00D52CB7">
        <w:rPr>
          <w:smallCaps/>
        </w:rPr>
        <w:t>irst,</w:t>
      </w:r>
      <w:r w:rsidRPr="00D52CB7">
        <w:t xml:space="preserve"> on or before the 10th day of each month, an amount equal to the Accrued Debt Service on the Bonds shall be deposited into the Debt Service Account;</w:t>
      </w:r>
    </w:p>
    <w:p w:rsidRPr="00D52CB7" w:rsidR="00743467" w:rsidP="00743467" w:rsidRDefault="00743467" w14:paraId="31DB5D07" w14:textId="77777777">
      <w:pPr>
        <w:pStyle w:val="SubParaLevel0"/>
      </w:pPr>
      <w:r w:rsidRPr="00D52CB7">
        <w:rPr>
          <w:smallCaps/>
        </w:rPr>
        <w:t>Second</w:t>
      </w:r>
      <w:r w:rsidRPr="00D52CB7">
        <w:t xml:space="preserve">, on or before the 10th day of each month, (i) first, to the Debt Service Reserve Account, the amount required to restore the balance in the Debt Service Reserve Account to the Debt Service Reserve Requirement prior to November 1 of each year, in equal installments, and (ii) </w:t>
      </w:r>
      <w:r w:rsidRPr="00D52CB7">
        <w:rPr>
          <w:i/>
        </w:rPr>
        <w:t>second</w:t>
      </w:r>
      <w:r w:rsidRPr="00D52CB7">
        <w:t>, to the Issuer, the amount required, if any, to reimburse the State for appropriations made or other amounts paid to or by the Issuer under the Credit Enhancement Program for the benefit of the Borrower with respect to the Bonds;</w:t>
      </w:r>
    </w:p>
    <w:p w:rsidRPr="00D52CB7" w:rsidR="00743467" w:rsidP="00743467" w:rsidRDefault="00743467" w14:paraId="478CAC62" w14:textId="77777777">
      <w:pPr>
        <w:pStyle w:val="SubParaLevel0"/>
      </w:pPr>
      <w:r w:rsidRPr="00D52CB7">
        <w:rPr>
          <w:smallCaps/>
        </w:rPr>
        <w:t xml:space="preserve">Third, </w:t>
      </w:r>
      <w:r w:rsidRPr="00D52CB7">
        <w:t>on the last Business Day of every Rebate Year, and continuing until the full amount is so paid, to the Rebate Fund, any amount, as calculated by the Rebate Analyst, required of the Charter School to be deposited in the Rebate Fund;</w:t>
      </w:r>
    </w:p>
    <w:p w:rsidRPr="00D52CB7" w:rsidR="00743467" w:rsidP="00743467" w:rsidRDefault="00743467" w14:paraId="7ABE1971" w14:textId="77777777">
      <w:pPr>
        <w:pStyle w:val="SubParaLevel0"/>
        <w:rPr>
          <w:szCs w:val="24"/>
        </w:rPr>
      </w:pPr>
      <w:bookmarkStart w:name="_DV_M5" w:id="41"/>
      <w:bookmarkEnd w:id="41"/>
      <w:r w:rsidRPr="00D52CB7">
        <w:rPr>
          <w:smallCaps/>
          <w:szCs w:val="24"/>
        </w:rPr>
        <w:t>Fourth</w:t>
      </w:r>
      <w:r w:rsidRPr="00D52CB7">
        <w:rPr>
          <w:szCs w:val="24"/>
        </w:rPr>
        <w:t xml:space="preserve">, on or before the 10th day of each </w:t>
      </w:r>
      <w:bookmarkStart w:name="_DV_M6" w:id="42"/>
      <w:bookmarkEnd w:id="42"/>
      <w:r w:rsidRPr="00D52CB7">
        <w:rPr>
          <w:szCs w:val="24"/>
        </w:rPr>
        <w:t>month, to the Expense Fund</w:t>
      </w:r>
      <w:r w:rsidRPr="00D52CB7">
        <w:rPr>
          <w:color w:val="000000" w:themeColor="text1"/>
          <w:szCs w:val="24"/>
        </w:rPr>
        <w:t>,</w:t>
      </w:r>
      <w:bookmarkStart w:name="_DV_C7" w:id="43"/>
      <w:r w:rsidRPr="00D52CB7">
        <w:rPr>
          <w:rStyle w:val="DeltaViewInsertion"/>
          <w:color w:val="000000" w:themeColor="text1"/>
          <w:szCs w:val="24"/>
          <w:u w:val="none"/>
        </w:rPr>
        <w:t xml:space="preserve"> (i)</w:t>
      </w:r>
      <w:bookmarkStart w:name="_DV_M7" w:id="44"/>
      <w:bookmarkEnd w:id="43"/>
      <w:bookmarkEnd w:id="44"/>
      <w:r w:rsidRPr="00D52CB7">
        <w:rPr>
          <w:color w:val="000000" w:themeColor="text1"/>
          <w:szCs w:val="24"/>
        </w:rPr>
        <w:t xml:space="preserve"> </w:t>
      </w:r>
      <w:r w:rsidRPr="00D52CB7">
        <w:rPr>
          <w:szCs w:val="24"/>
        </w:rPr>
        <w:t>an amount equal to a fraction of the Trustee’s Fees and Trustee’s Expenses where the numerator is the Trustee’s Fees and Trustee’s Expenses and the denominator is the number of monthly Disbursement Dates that will occur during the period between the last date on which such fees were paid or, if such fees have not yet been paid, the Closing Date and the next Interest Payment Date, plus (ii</w:t>
      </w:r>
      <w:r w:rsidRPr="00D52CB7">
        <w:rPr>
          <w:color w:val="000000" w:themeColor="text1"/>
          <w:szCs w:val="24"/>
        </w:rPr>
        <w:t xml:space="preserve">) </w:t>
      </w:r>
      <w:bookmarkStart w:name="_DV_C8" w:id="45"/>
      <w:r w:rsidRPr="00D52CB7">
        <w:rPr>
          <w:rStyle w:val="DeltaViewInsertion"/>
          <w:color w:val="000000" w:themeColor="text1"/>
          <w:szCs w:val="24"/>
          <w:u w:val="none"/>
        </w:rPr>
        <w:t xml:space="preserve">an amount equal to one-twelfth of the Issuer’s Annual Fee due on the next invoiced date (or such other fraction, so as to cause the amount of the Issuer’s Annual Fee to be on deposit in the Expense Fund on the next invoiced date), plus </w:t>
      </w:r>
      <w:r w:rsidRPr="00D52CB7">
        <w:rPr>
          <w:rStyle w:val="DeltaViewInsertion"/>
          <w:color w:val="000000" w:themeColor="text1"/>
          <w:szCs w:val="24"/>
          <w:u w:val="none"/>
        </w:rPr>
        <w:lastRenderedPageBreak/>
        <w:t xml:space="preserve">(iii) </w:t>
      </w:r>
      <w:bookmarkStart w:name="_DV_M8" w:id="46"/>
      <w:bookmarkEnd w:id="45"/>
      <w:bookmarkEnd w:id="46"/>
      <w:r w:rsidRPr="00D52CB7">
        <w:rPr>
          <w:color w:val="000000" w:themeColor="text1"/>
          <w:szCs w:val="24"/>
        </w:rPr>
        <w:t xml:space="preserve">any amount previously due as </w:t>
      </w:r>
      <w:bookmarkStart w:name="_DV_C10" w:id="47"/>
      <w:r w:rsidRPr="00D52CB7">
        <w:rPr>
          <w:color w:val="000000" w:themeColor="text1"/>
          <w:szCs w:val="24"/>
        </w:rPr>
        <w:t>described under (i) above</w:t>
      </w:r>
      <w:r w:rsidRPr="00D52CB7">
        <w:rPr>
          <w:rStyle w:val="DeltaViewInsertion"/>
          <w:color w:val="000000" w:themeColor="text1"/>
          <w:szCs w:val="24"/>
          <w:u w:val="none"/>
        </w:rPr>
        <w:t xml:space="preserve"> in</w:t>
      </w:r>
      <w:bookmarkStart w:name="_DV_M9" w:id="48"/>
      <w:bookmarkEnd w:id="47"/>
      <w:bookmarkEnd w:id="48"/>
      <w:r w:rsidRPr="00D52CB7">
        <w:rPr>
          <w:color w:val="000000" w:themeColor="text1"/>
          <w:szCs w:val="24"/>
        </w:rPr>
        <w:t xml:space="preserve"> </w:t>
      </w:r>
      <w:r w:rsidRPr="00D52CB7">
        <w:rPr>
          <w:szCs w:val="24"/>
        </w:rPr>
        <w:t>this paragraph but that remains unpaid because of an insufficiency in Pledged Revenues available therefore;</w:t>
      </w:r>
    </w:p>
    <w:p w:rsidRPr="00D52CB7" w:rsidR="00E42FB5" w:rsidP="00E42FB5" w:rsidRDefault="00E42FB5" w14:paraId="3AB10F82" w14:textId="77777777">
      <w:pPr>
        <w:pStyle w:val="SubParaLevel0"/>
      </w:pPr>
      <w:r w:rsidRPr="00D52CB7">
        <w:rPr>
          <w:smallCaps/>
        </w:rPr>
        <w:t>Fifth</w:t>
      </w:r>
      <w:r w:rsidRPr="00D52CB7">
        <w:t xml:space="preserve">, on or before the 10th day of each month, the Repair and Replacement Monthly Deposit (defined below under the caption, </w:t>
      </w:r>
      <w:r w:rsidRPr="00D52CB7">
        <w:rPr>
          <w:i/>
        </w:rPr>
        <w:t>“Repair and Replacement Fund”</w:t>
      </w:r>
      <w:r w:rsidRPr="00D52CB7">
        <w:t>);</w:t>
      </w:r>
    </w:p>
    <w:p w:rsidRPr="00D52CB7" w:rsidR="00743467" w:rsidP="00743467" w:rsidRDefault="00E42FB5" w14:paraId="69E30F31" w14:textId="4FC2E68C">
      <w:pPr>
        <w:pStyle w:val="SubParaLevel0"/>
      </w:pPr>
      <w:r w:rsidRPr="00D52CB7">
        <w:rPr>
          <w:smallCaps/>
        </w:rPr>
        <w:t>Sixth</w:t>
      </w:r>
      <w:r w:rsidRPr="00D52CB7" w:rsidR="00743467">
        <w:t xml:space="preserve">, on or before the 10th day of each month to the Expense Fund, an amount equal to a fraction of any amount owed as payment for the services of the Rebate Analyst where the numerator is such amount and the denominator is the number of months that will pass during the period between the last date on which such amounts were paid or, if such fees have not yet been paid, the date of issuance of the </w:t>
      </w:r>
      <w:r w:rsidRPr="00D52CB7" w:rsidR="00B935C1">
        <w:t xml:space="preserve">Series </w:t>
      </w:r>
      <w:r w:rsidRPr="00D52CB7" w:rsidR="00D50213">
        <w:t>2025</w:t>
      </w:r>
      <w:r w:rsidRPr="00D52CB7" w:rsidR="00B935C1">
        <w:t xml:space="preserve"> Bond</w:t>
      </w:r>
      <w:r w:rsidRPr="00D52CB7" w:rsidR="00743467">
        <w:t>s and the next principal payment date;</w:t>
      </w:r>
    </w:p>
    <w:p w:rsidRPr="00D52CB7" w:rsidR="00743467" w:rsidP="00743467" w:rsidRDefault="007F1041" w14:paraId="46CAB07A" w14:textId="71197AE2">
      <w:pPr>
        <w:pStyle w:val="SubParaLevel0"/>
      </w:pPr>
      <w:r w:rsidRPr="00D52CB7">
        <w:rPr>
          <w:smallCaps/>
        </w:rPr>
        <w:t>Seventh</w:t>
      </w:r>
      <w:r w:rsidRPr="00D52CB7" w:rsidR="00743467">
        <w:t>, on or before the 10th day of each month to any third-party lender, any amount, as directed by Charter School to the Trustee, to make principal and interest payments on any outstanding Short-Term Debt; and</w:t>
      </w:r>
    </w:p>
    <w:p w:rsidRPr="00D52CB7" w:rsidR="00743467" w:rsidP="00743467" w:rsidRDefault="007F1041" w14:paraId="68E124D0" w14:textId="708D9F4B">
      <w:pPr>
        <w:pStyle w:val="SubParaLevel0"/>
      </w:pPr>
      <w:r w:rsidRPr="00D52CB7">
        <w:rPr>
          <w:smallCaps/>
        </w:rPr>
        <w:t>Eighth</w:t>
      </w:r>
      <w:r w:rsidRPr="00D52CB7" w:rsidR="00743467">
        <w:rPr>
          <w:smallCaps/>
        </w:rPr>
        <w:t>,</w:t>
      </w:r>
      <w:r w:rsidRPr="00D52CB7" w:rsidR="00743467">
        <w:t xml:space="preserve"> all amounts remaining on deposit in the Revenue Fund after the Trustee has made the disbursements required in </w:t>
      </w:r>
      <w:r w:rsidRPr="00D52CB7" w:rsidR="00743467">
        <w:rPr>
          <w:smallCaps/>
        </w:rPr>
        <w:t>First</w:t>
      </w:r>
      <w:r w:rsidRPr="00D52CB7" w:rsidR="00743467">
        <w:t xml:space="preserve"> through </w:t>
      </w:r>
      <w:r w:rsidRPr="00D52CB7" w:rsidR="00743467">
        <w:rPr>
          <w:smallCaps/>
        </w:rPr>
        <w:t>Sixth</w:t>
      </w:r>
      <w:r w:rsidRPr="00D52CB7" w:rsidR="00743467">
        <w:t xml:space="preserve"> above, to the Charter School, if not in default under the Agreement.</w:t>
      </w:r>
    </w:p>
    <w:p w:rsidRPr="00D52CB7" w:rsidR="00E76E29" w:rsidP="00E76E29" w:rsidRDefault="00E76E29" w14:paraId="1DBE1FED" w14:textId="059CA88B">
      <w:pPr>
        <w:pStyle w:val="ParaNORMAL"/>
      </w:pPr>
      <w:r w:rsidRPr="00D52CB7">
        <w:rPr>
          <w:i/>
        </w:rPr>
        <w:t>Debt Service Reserve Account.</w:t>
      </w:r>
      <w:r w:rsidRPr="00D52CB7">
        <w:rPr>
          <w:b/>
          <w:i/>
        </w:rPr>
        <w:fldChar w:fldCharType="begin"/>
      </w:r>
      <w:r w:rsidRPr="00D52CB7">
        <w:instrText>tc "</w:instrText>
      </w:r>
      <w:bookmarkStart w:name="_Toc195093843" w:id="49"/>
      <w:r w:rsidRPr="00D52CB7">
        <w:instrText>Debt Service Reserve Account</w:instrText>
      </w:r>
      <w:bookmarkEnd w:id="49"/>
      <w:r w:rsidRPr="00D52CB7">
        <w:instrText>" \f C \l 3</w:instrText>
      </w:r>
      <w:r w:rsidRPr="00D52CB7">
        <w:rPr>
          <w:b/>
          <w:i/>
        </w:rPr>
        <w:fldChar w:fldCharType="end"/>
      </w:r>
      <w:r w:rsidRPr="00D52CB7">
        <w:t xml:space="preserve">  The Indenture provides for the creation of a subaccount in the Debt Service Reserve Account with respect to the </w:t>
      </w:r>
      <w:r w:rsidRPr="00D52CB7" w:rsidR="00B935C1">
        <w:t xml:space="preserve">Series </w:t>
      </w:r>
      <w:r w:rsidRPr="00D52CB7" w:rsidR="00D50213">
        <w:t>2025</w:t>
      </w:r>
      <w:r w:rsidRPr="00D52CB7" w:rsidR="00B935C1">
        <w:t xml:space="preserve"> Bond</w:t>
      </w:r>
      <w:r w:rsidRPr="00D52CB7">
        <w:t xml:space="preserve">s (the </w:t>
      </w:r>
      <w:r w:rsidRPr="00D52CB7">
        <w:rPr>
          <w:i/>
        </w:rPr>
        <w:t xml:space="preserve">“Series </w:t>
      </w:r>
      <w:r w:rsidRPr="00D52CB7" w:rsidR="00D50213">
        <w:rPr>
          <w:i/>
        </w:rPr>
        <w:t>2025</w:t>
      </w:r>
      <w:r w:rsidRPr="00D52CB7">
        <w:rPr>
          <w:i/>
        </w:rPr>
        <w:t xml:space="preserve"> Debt Service Reserve Subaccount”</w:t>
      </w:r>
      <w:r w:rsidRPr="00D52CB7">
        <w:t xml:space="preserve">) in the custody of the Trustee, which is to be used for the payment of principal of and interest on the </w:t>
      </w:r>
      <w:r w:rsidRPr="00D52CB7" w:rsidR="00B935C1">
        <w:t xml:space="preserve">Series </w:t>
      </w:r>
      <w:r w:rsidRPr="00D52CB7" w:rsidR="00D50213">
        <w:t>2025</w:t>
      </w:r>
      <w:r w:rsidRPr="00D52CB7" w:rsidR="00B935C1">
        <w:t xml:space="preserve"> Bond</w:t>
      </w:r>
      <w:r w:rsidRPr="00D52CB7">
        <w:t xml:space="preserve">s in the event that moneys in the Debt Service Account are insufficient to make such payments when due, whether on an Interest Payment Date, redemption date, mandatory sinking fund redemption date, or maturity date, or otherwise in an amount necessary to cure an Event of Default.  The Series </w:t>
      </w:r>
      <w:r w:rsidRPr="00D52CB7" w:rsidR="00D50213">
        <w:t>2025</w:t>
      </w:r>
      <w:r w:rsidRPr="00D52CB7">
        <w:t xml:space="preserve"> Debt Service Reserve Subaccount shall be maintained in an amount equal to the Debt Service Reserve Requirement for the </w:t>
      </w:r>
      <w:r w:rsidRPr="00D52CB7" w:rsidR="00B935C1">
        <w:t xml:space="preserve">Series </w:t>
      </w:r>
      <w:r w:rsidRPr="00D52CB7" w:rsidR="00D50213">
        <w:t>2025</w:t>
      </w:r>
      <w:r w:rsidRPr="00D52CB7" w:rsidR="00B935C1">
        <w:t xml:space="preserve"> Bond</w:t>
      </w:r>
      <w:r w:rsidRPr="00D52CB7">
        <w:t>s.</w:t>
      </w:r>
    </w:p>
    <w:p w:rsidRPr="00D52CB7" w:rsidR="00743467" w:rsidP="00743467" w:rsidRDefault="00743467" w14:paraId="750812D6" w14:textId="1FD0E2B6">
      <w:pPr>
        <w:pStyle w:val="ParaNORMAL"/>
      </w:pPr>
      <w:r w:rsidRPr="00D52CB7">
        <w:t xml:space="preserve">The Debt Service Reserve Requirement for the </w:t>
      </w:r>
      <w:r w:rsidRPr="00D52CB7" w:rsidR="00B935C1">
        <w:t xml:space="preserve">Series </w:t>
      </w:r>
      <w:r w:rsidRPr="00D52CB7" w:rsidR="00D50213">
        <w:t>2025</w:t>
      </w:r>
      <w:r w:rsidRPr="00D52CB7" w:rsidR="00B935C1">
        <w:t xml:space="preserve"> Bond</w:t>
      </w:r>
      <w:r w:rsidRPr="00D52CB7">
        <w:t>s means (a) $</w:t>
      </w:r>
      <w:r w:rsidRPr="00D52CB7" w:rsidR="002835BA">
        <w:t>______</w:t>
      </w:r>
      <w:r w:rsidRPr="00D52CB7">
        <w:t xml:space="preserve">, which is equal to the maximum annual Debt Service of the </w:t>
      </w:r>
      <w:r w:rsidRPr="00D52CB7" w:rsidR="00B935C1">
        <w:t xml:space="preserve">Series </w:t>
      </w:r>
      <w:r w:rsidRPr="00D52CB7" w:rsidR="00D50213">
        <w:t>2025</w:t>
      </w:r>
      <w:r w:rsidRPr="00D52CB7" w:rsidR="00B935C1">
        <w:t xml:space="preserve"> Bond</w:t>
      </w:r>
      <w:r w:rsidRPr="00D52CB7">
        <w:t xml:space="preserve">s as of the date of issuance of the </w:t>
      </w:r>
      <w:r w:rsidRPr="00D52CB7" w:rsidR="00B935C1">
        <w:t xml:space="preserve">Series </w:t>
      </w:r>
      <w:r w:rsidRPr="00D52CB7" w:rsidR="00D50213">
        <w:t>2025</w:t>
      </w:r>
      <w:r w:rsidRPr="00D52CB7" w:rsidR="00B935C1">
        <w:t xml:space="preserve"> Bond</w:t>
      </w:r>
      <w:r w:rsidRPr="00D52CB7">
        <w:t xml:space="preserve">s, or (b) if less than the amount in (a), the maximum annual Debt Service of the </w:t>
      </w:r>
      <w:r w:rsidRPr="00D52CB7" w:rsidR="00B935C1">
        <w:t xml:space="preserve">Series </w:t>
      </w:r>
      <w:r w:rsidRPr="00D52CB7" w:rsidR="00D50213">
        <w:t>2025</w:t>
      </w:r>
      <w:r w:rsidRPr="00D52CB7" w:rsidR="00B935C1">
        <w:t xml:space="preserve"> Bond</w:t>
      </w:r>
      <w:r w:rsidRPr="00D52CB7">
        <w:t xml:space="preserve">s, calculated from time to time as of any date on which a portion of the </w:t>
      </w:r>
      <w:r w:rsidRPr="00D52CB7" w:rsidR="00B935C1">
        <w:t xml:space="preserve">Series </w:t>
      </w:r>
      <w:r w:rsidRPr="00D52CB7" w:rsidR="00D50213">
        <w:t>2025</w:t>
      </w:r>
      <w:r w:rsidRPr="00D52CB7" w:rsidR="00B935C1">
        <w:t xml:space="preserve"> Bond</w:t>
      </w:r>
      <w:r w:rsidRPr="00D52CB7">
        <w:t>s is refunded or defeased and deemed no longer Outstanding, as applicable.  Debt Service Reserve Requirement means with respect to a Series of Additional Bonds for which a separate subaccount is established in the Debt Service Reserve Account, the Debt Service Reserve Requirement established for that Series of Bonds in the related Supplemental Indenture.</w:t>
      </w:r>
    </w:p>
    <w:p w:rsidRPr="00D52CB7" w:rsidR="00743467" w:rsidP="00743467" w:rsidRDefault="00743467" w14:paraId="51C7A0E4" w14:textId="678913D4">
      <w:pPr>
        <w:pStyle w:val="ParaNORMAL"/>
      </w:pPr>
      <w:r w:rsidRPr="00D52CB7">
        <w:t xml:space="preserve">Upon the issuance of the </w:t>
      </w:r>
      <w:r w:rsidRPr="00D52CB7" w:rsidR="00B935C1">
        <w:t xml:space="preserve">Series </w:t>
      </w:r>
      <w:r w:rsidRPr="00D52CB7" w:rsidR="00D50213">
        <w:t>2025</w:t>
      </w:r>
      <w:r w:rsidRPr="00D52CB7" w:rsidR="00B935C1">
        <w:t xml:space="preserve"> Bond</w:t>
      </w:r>
      <w:r w:rsidRPr="00D52CB7">
        <w:t xml:space="preserve">s, the Debt Service Reserve Requirement for the </w:t>
      </w:r>
      <w:r w:rsidRPr="00D52CB7" w:rsidR="00B935C1">
        <w:t xml:space="preserve">Series </w:t>
      </w:r>
      <w:r w:rsidRPr="00D52CB7" w:rsidR="00D50213">
        <w:t>2025</w:t>
      </w:r>
      <w:r w:rsidRPr="00D52CB7" w:rsidR="00B935C1">
        <w:t xml:space="preserve"> Bond</w:t>
      </w:r>
      <w:r w:rsidRPr="00D52CB7">
        <w:t xml:space="preserve">s will be deposited into the Debt Service Reserve Subaccount for the </w:t>
      </w:r>
      <w:r w:rsidRPr="00D52CB7" w:rsidR="00B935C1">
        <w:t xml:space="preserve">Series </w:t>
      </w:r>
      <w:r w:rsidRPr="00D52CB7" w:rsidR="00D50213">
        <w:t>2025</w:t>
      </w:r>
      <w:r w:rsidRPr="00D52CB7" w:rsidR="00B935C1">
        <w:t xml:space="preserve"> Bond</w:t>
      </w:r>
      <w:r w:rsidRPr="00D52CB7">
        <w:t>s.</w:t>
      </w:r>
    </w:p>
    <w:p w:rsidRPr="00D52CB7" w:rsidR="00E76E29" w:rsidP="00E76E29" w:rsidRDefault="00E76E29" w14:paraId="344A8E02" w14:textId="77777777">
      <w:pPr>
        <w:pStyle w:val="ParaNORMAL"/>
      </w:pPr>
      <w:r w:rsidRPr="00D52CB7">
        <w:lastRenderedPageBreak/>
        <w:t xml:space="preserve">Under the Loan Agreement, in the event any monies are transferred out of the Debt Service Reserve Account, the Charter School will, commencing on the second Monthly Disbursement Date next succeeding the date of a withdrawal from the Debt Service Reserve Account and on each Monthly Disbursement thereafter, deposit or cause to be deposited equal monthly installments into the Debt Service Reserve Account, which installments together shall equal the amount required to cause the total amount in the Debt Service Reserve Account to equal the Debt Service Reserve Requirement by November 1 of the applicable Fiscal Year; </w:t>
      </w:r>
      <w:r w:rsidRPr="00D52CB7">
        <w:rPr>
          <w:i/>
        </w:rPr>
        <w:t>provided, however</w:t>
      </w:r>
      <w:r w:rsidRPr="00D52CB7">
        <w:t xml:space="preserve">, that if the Issuer or the State has made an appropriation to the Debt Service Reserve Account, the Borrower shall cause such Debt Service Reserve Account to be replenished as follows: The Borrower shall reimburse the Issuer for any appropriation made or any other amounts paid on behalf of the Borrower by the State or the Issuer under the Credit Enhancement Program to restore amounts on deposit in the Debt Service Reserve Account to the Debt Service Reserve Fund Requirement or for any other purpose.  Upon such appropriation or payment by the State or Issuer, the Trustee shall notify the Borrower and the Issuer, and the Borrower shall be required to immediately reimburse the Issuer the amount appropriated or paid on its behalf.  </w:t>
      </w:r>
    </w:p>
    <w:p w:rsidRPr="00D52CB7" w:rsidR="00ED6996" w:rsidP="00ED6996" w:rsidRDefault="00ED6996" w14:paraId="7191D700" w14:textId="77777777">
      <w:pPr>
        <w:pStyle w:val="ParaNORMAL"/>
      </w:pPr>
      <w:r w:rsidRPr="00D52CB7">
        <w:rPr>
          <w:i/>
        </w:rPr>
        <w:t>Repair and Replacement Fund.</w:t>
      </w:r>
      <w:r w:rsidRPr="00D52CB7">
        <w:rPr>
          <w:b/>
          <w:i/>
        </w:rPr>
        <w:fldChar w:fldCharType="begin"/>
      </w:r>
      <w:r w:rsidRPr="00D52CB7">
        <w:instrText>tc "</w:instrText>
      </w:r>
      <w:bookmarkStart w:name="_Toc156025671" w:id="50"/>
      <w:bookmarkStart w:name="_Toc14096851" w:id="51"/>
      <w:bookmarkStart w:name="_Toc195093844" w:id="52"/>
      <w:r w:rsidRPr="00D52CB7">
        <w:instrText>Repair and Replacement Fund</w:instrText>
      </w:r>
      <w:bookmarkEnd w:id="50"/>
      <w:bookmarkEnd w:id="51"/>
      <w:bookmarkEnd w:id="52"/>
      <w:r w:rsidRPr="00D52CB7">
        <w:instrText>" \f C \l 3</w:instrText>
      </w:r>
      <w:r w:rsidRPr="00D52CB7">
        <w:rPr>
          <w:b/>
          <w:i/>
        </w:rPr>
        <w:fldChar w:fldCharType="end"/>
      </w:r>
      <w:r w:rsidRPr="00D52CB7">
        <w:t xml:space="preserve">  The Indenture establishes a Repair and Replacement Fund in the custody of the Trustee.  The amounts in the Repair and Replacement Fund will, from time to time, be applied by the Charter School for the purpose of paying (i) the cost of extraordinary maintenance and replacements which may be required to keep the Facilities in sound condition, including but not limited to replacement of equipment, replacement of any roof or other structural component, exterior painting and the replacement of heating, air conditioning, plumbing and electrical equipment, (ii) other capital additions to the Facilities, or (iii) other Operating Expenses with respect to the Facilities.</w:t>
      </w:r>
    </w:p>
    <w:p w:rsidRPr="00D52CB7" w:rsidR="00ED6996" w:rsidP="00ED6996" w:rsidRDefault="00ED6996" w14:paraId="02F21104" w14:textId="48E09370">
      <w:pPr>
        <w:pStyle w:val="ParaNORMAL"/>
        <w:rPr>
          <w:b/>
        </w:rPr>
      </w:pPr>
      <w:r w:rsidRPr="00D52CB7">
        <w:rPr>
          <w:i/>
        </w:rPr>
        <w:t>“Repair and Replacement Requirement”</w:t>
      </w:r>
      <w:r w:rsidRPr="00D52CB7">
        <w:t xml:space="preserve"> means, initially, $</w:t>
      </w:r>
      <w:r w:rsidRPr="00D52CB7" w:rsidR="004A38ED">
        <w:t>100,000</w:t>
      </w:r>
      <w:r w:rsidRPr="00D52CB7">
        <w:t>, or such other amount as the Board shall determine from time to time by resolution of the Board.</w:t>
      </w:r>
    </w:p>
    <w:p w:rsidRPr="00D52CB7" w:rsidR="00ED6996" w:rsidP="00ED6996" w:rsidRDefault="00ED6996" w14:paraId="1B837D3A" w14:textId="48100B1B">
      <w:pPr>
        <w:pStyle w:val="ParaNORMAL"/>
      </w:pPr>
      <w:r w:rsidRPr="00D52CB7">
        <w:t xml:space="preserve">The initial Repair and Replacement Requirement will be funded on the date of issuance of the </w:t>
      </w:r>
      <w:r w:rsidRPr="00D52CB7" w:rsidR="00B935C1">
        <w:t xml:space="preserve">Series </w:t>
      </w:r>
      <w:r w:rsidRPr="00D52CB7" w:rsidR="00D50213">
        <w:t>2025</w:t>
      </w:r>
      <w:r w:rsidRPr="00D52CB7" w:rsidR="00B935C1">
        <w:t xml:space="preserve"> Bond</w:t>
      </w:r>
      <w:r w:rsidRPr="00D52CB7">
        <w:t xml:space="preserve">s from </w:t>
      </w:r>
      <w:r w:rsidRPr="00D52CB7" w:rsidR="00D77CE7">
        <w:t>Charter School funds</w:t>
      </w:r>
      <w:r w:rsidRPr="00D52CB7">
        <w:t xml:space="preserve">.  </w:t>
      </w:r>
    </w:p>
    <w:p w:rsidRPr="00D52CB7" w:rsidR="00ED6996" w:rsidP="00ED6996" w:rsidRDefault="00ED6996" w14:paraId="1E67EB72" w14:textId="242BF1BD">
      <w:pPr>
        <w:pStyle w:val="ParaNORMAL"/>
      </w:pPr>
      <w:r w:rsidRPr="00D52CB7">
        <w:t>If, after initially funding the Repair and Replacement Fund to an amount equal to the Repair and Replacement Requirement, the Trustee notifies Charter School that the amount on deposit in the Repair and Replacement Fund is less than the Repair and Replacement Requirement, the Charter School shall restore the required balance in not more than 24 equal installments beginning with the next succeeding Monthly Disbursement Date.</w:t>
      </w:r>
    </w:p>
    <w:p w:rsidRPr="00D52CB7" w:rsidR="00743467" w:rsidP="00743467" w:rsidRDefault="00743467" w14:paraId="6B67D489" w14:textId="1A8BF560">
      <w:pPr>
        <w:pStyle w:val="ParaNORMAL"/>
      </w:pPr>
      <w:r w:rsidRPr="00D52CB7">
        <w:rPr>
          <w:i/>
        </w:rPr>
        <w:t>Additional Bonds.</w:t>
      </w:r>
      <w:r w:rsidRPr="00D52CB7">
        <w:rPr>
          <w:b/>
          <w:i/>
        </w:rPr>
        <w:fldChar w:fldCharType="begin"/>
      </w:r>
      <w:r w:rsidRPr="00D52CB7">
        <w:instrText>tc "</w:instrText>
      </w:r>
      <w:bookmarkStart w:name="_Toc156025672" w:id="53"/>
      <w:bookmarkStart w:name="_Toc195093845" w:id="54"/>
      <w:r w:rsidRPr="00D52CB7">
        <w:instrText>Additional Bonds</w:instrText>
      </w:r>
      <w:bookmarkEnd w:id="53"/>
      <w:bookmarkEnd w:id="54"/>
      <w:r w:rsidRPr="00D52CB7">
        <w:instrText>" \f C \l 3</w:instrText>
      </w:r>
      <w:r w:rsidRPr="00D52CB7">
        <w:rPr>
          <w:b/>
          <w:i/>
        </w:rPr>
        <w:fldChar w:fldCharType="end"/>
      </w:r>
      <w:r w:rsidRPr="00D52CB7">
        <w:t xml:space="preserve">  Under the Indenture, Additional Bonds secured by and payable solely from the Trust Estate may be issued in one or more additional series, provided that the Trustee has received, in addition to certain other instruments required by the Indenture, the following instruments required by the Loan Agreement and the Indenture:</w:t>
      </w:r>
    </w:p>
    <w:p w:rsidRPr="00D52CB7" w:rsidR="00743467" w:rsidP="00743467" w:rsidRDefault="00743467" w14:paraId="09516E9B" w14:textId="77777777">
      <w:pPr>
        <w:pStyle w:val="SubParaLevel1"/>
      </w:pPr>
      <w:r w:rsidRPr="00D52CB7">
        <w:tab/>
        <w:t>(i)</w:t>
      </w:r>
      <w:r w:rsidRPr="00D52CB7">
        <w:tab/>
        <w:t>A certificate signed by an Authorized Representative of the Charter School stating that no Event of Default is then existing under the Indenture or any debt outstanding or any agreement entered into by the Charter School in conjunction with such debt; and</w:t>
      </w:r>
    </w:p>
    <w:p w:rsidRPr="00D52CB7" w:rsidR="00743467" w:rsidP="00743467" w:rsidRDefault="00743467" w14:paraId="140CD3E7" w14:textId="35E2AC03">
      <w:pPr>
        <w:pStyle w:val="SubParaLevel1"/>
      </w:pPr>
      <w:r w:rsidRPr="00D52CB7">
        <w:lastRenderedPageBreak/>
        <w:tab/>
        <w:t>(ii)</w:t>
      </w:r>
      <w:r w:rsidRPr="00D52CB7">
        <w:tab/>
        <w:t>A certificate signed by an Authorized Representative of the Charter School described in subsection (A)</w:t>
      </w:r>
      <w:r w:rsidRPr="00D52CB7" w:rsidR="009802B4">
        <w:t xml:space="preserve"> </w:t>
      </w:r>
      <w:r w:rsidRPr="00D52CB7">
        <w:t>or (</w:t>
      </w:r>
      <w:r w:rsidRPr="00D52CB7" w:rsidR="009802B4">
        <w:t>B</w:t>
      </w:r>
      <w:r w:rsidRPr="00D52CB7">
        <w:t>) below:</w:t>
      </w:r>
    </w:p>
    <w:p w:rsidRPr="00D52CB7" w:rsidR="00743467" w:rsidP="00743467" w:rsidRDefault="00743467" w14:paraId="4B2A031C" w14:textId="7637528D">
      <w:pPr>
        <w:pStyle w:val="SubParaLevel2"/>
      </w:pPr>
      <w:r w:rsidRPr="00D52CB7">
        <w:tab/>
        <w:t>(A)</w:t>
      </w:r>
      <w:r w:rsidRPr="00D52CB7">
        <w:tab/>
      </w:r>
      <w:r w:rsidRPr="00D52CB7">
        <w:rPr>
          <w:i/>
        </w:rPr>
        <w:t>Projected Coverage for Additional Debt</w:t>
      </w:r>
      <w:r w:rsidRPr="00D52CB7">
        <w:t xml:space="preserve">.  A certificate signed by an Authorized Representative of the Borrower stating that, for each of the Borrower’s first two full Fiscal Years beginning (i) the first full Fiscal Year following the estimated date of completion and initial use of all revenue producing facilities to be financed with such Long-Term Indebtedness, or (ii) if no new facilities are being financed with the proposed Debt, the first full Fiscal Year following the issuance of the proposed Long-Term Indebtedness investment income thereon or from other appropriated sources (other than Available Revenues), estimated Net Income Available for Debt Service equals at least </w:t>
      </w:r>
      <w:r w:rsidRPr="00D52CB7" w:rsidR="00B944DD">
        <w:t>_____</w:t>
      </w:r>
      <w:r w:rsidRPr="00D52CB7">
        <w:t xml:space="preserve"> times the Maximum Annual Debt Service on all Indebtedness to be outstanding upon the issuance of the proposed Long-Term Indebtedness (including the additional annual Debt Service requirements for the Long-Term Indebtedness to be issued); or</w:t>
      </w:r>
    </w:p>
    <w:p w:rsidRPr="00D52CB7" w:rsidR="00743467" w:rsidP="00743467" w:rsidRDefault="00743467" w14:paraId="3BDB4B8A" w14:textId="2CE0A5EB">
      <w:pPr>
        <w:pStyle w:val="SubParaLevel2"/>
      </w:pPr>
      <w:r w:rsidRPr="00D52CB7">
        <w:tab/>
        <w:t>(</w:t>
      </w:r>
      <w:r w:rsidRPr="00D52CB7" w:rsidR="009802B4">
        <w:t>B</w:t>
      </w:r>
      <w:r w:rsidRPr="00D52CB7">
        <w:t>)</w:t>
      </w:r>
      <w:r w:rsidRPr="00D52CB7">
        <w:tab/>
      </w:r>
      <w:r w:rsidRPr="00D52CB7">
        <w:rPr>
          <w:i/>
        </w:rPr>
        <w:t xml:space="preserve">Refunding Debt. </w:t>
      </w:r>
      <w:r w:rsidRPr="00D52CB7">
        <w:t>If Long-Term Indebtedness is being issued for the purpose of refunding any outstanding Indebtedness, such Indebtedness may be issued (as an alternative to satisfying the requirements of paragraph (A) above) upon the delivery of a certificate signed by an Authorized Representative of the Charter School stating that the annual Debt Service requirement of the Charter School will be reduced after the refunding of such Indebtedness for each year in which the proposed Long-Term Indebtedness is scheduled to be outstanding.</w:t>
      </w:r>
    </w:p>
    <w:p w:rsidRPr="00D52CB7" w:rsidR="00743467" w:rsidP="00743467" w:rsidRDefault="00743467" w14:paraId="66EDCA91" w14:textId="77777777">
      <w:pPr>
        <w:pStyle w:val="TitleLeft"/>
      </w:pPr>
      <w:r w:rsidRPr="00D52CB7">
        <w:t>Loan Agreement</w:t>
      </w:r>
      <w:r w:rsidRPr="00D52CB7">
        <w:fldChar w:fldCharType="begin"/>
      </w:r>
      <w:r w:rsidRPr="00D52CB7">
        <w:instrText>tc "</w:instrText>
      </w:r>
      <w:bookmarkStart w:name="_Toc156025673" w:id="55"/>
      <w:bookmarkStart w:name="_Toc195093846" w:id="56"/>
      <w:r w:rsidRPr="00D52CB7">
        <w:instrText>Loan Agreement</w:instrText>
      </w:r>
      <w:bookmarkEnd w:id="55"/>
      <w:bookmarkEnd w:id="56"/>
      <w:r w:rsidRPr="00D52CB7">
        <w:instrText>" \f C \l 2</w:instrText>
      </w:r>
      <w:r w:rsidRPr="00D52CB7">
        <w:fldChar w:fldCharType="end"/>
      </w:r>
    </w:p>
    <w:p w:rsidRPr="00D52CB7" w:rsidR="00743467" w:rsidP="00743467" w:rsidRDefault="00743467" w14:paraId="4B8109EC" w14:textId="132CB7DE">
      <w:pPr>
        <w:pStyle w:val="ParaNORMAL"/>
      </w:pPr>
      <w:r w:rsidRPr="00D52CB7">
        <w:rPr>
          <w:i/>
        </w:rPr>
        <w:t>General Obligation of the Charter School; Pledge of State Payments and Other Pledged Revenues.</w:t>
      </w:r>
      <w:r w:rsidRPr="00D52CB7">
        <w:rPr>
          <w:b/>
          <w:i/>
        </w:rPr>
        <w:fldChar w:fldCharType="begin"/>
      </w:r>
      <w:r w:rsidRPr="00D52CB7">
        <w:instrText>tc "</w:instrText>
      </w:r>
      <w:bookmarkStart w:name="_Toc195093847" w:id="57"/>
      <w:r w:rsidRPr="00D52CB7">
        <w:instrText>General Obligation of the Charter School; Pledge of State Payments and Other Pledged Revenues</w:instrText>
      </w:r>
      <w:bookmarkEnd w:id="57"/>
      <w:r w:rsidRPr="00D52CB7">
        <w:instrText>" \f C \l 3</w:instrText>
      </w:r>
      <w:r w:rsidRPr="00D52CB7">
        <w:rPr>
          <w:b/>
          <w:i/>
        </w:rPr>
        <w:fldChar w:fldCharType="end"/>
      </w:r>
      <w:r w:rsidRPr="00D52CB7">
        <w:t xml:space="preserve"> Under the Loan Agreement, the Issuer agrees to issue the </w:t>
      </w:r>
      <w:r w:rsidRPr="00D52CB7" w:rsidR="00B935C1">
        <w:t xml:space="preserve">Series </w:t>
      </w:r>
      <w:r w:rsidRPr="00D52CB7" w:rsidR="00D50213">
        <w:t>2025</w:t>
      </w:r>
      <w:r w:rsidRPr="00D52CB7" w:rsidR="00B935C1">
        <w:t xml:space="preserve"> Bond</w:t>
      </w:r>
      <w:r w:rsidRPr="00D52CB7">
        <w:t xml:space="preserve">s and to lend the proceeds of the </w:t>
      </w:r>
      <w:r w:rsidRPr="00D52CB7" w:rsidR="00B935C1">
        <w:t xml:space="preserve">Series </w:t>
      </w:r>
      <w:r w:rsidRPr="00D52CB7" w:rsidR="00D50213">
        <w:t>2025</w:t>
      </w:r>
      <w:r w:rsidRPr="00D52CB7" w:rsidR="00B935C1">
        <w:t xml:space="preserve"> Bond</w:t>
      </w:r>
      <w:r w:rsidRPr="00D52CB7">
        <w:t xml:space="preserve">s to the Charter School for the purposes described under </w:t>
      </w:r>
      <w:r w:rsidRPr="00D52CB7">
        <w:rPr>
          <w:smallCaps/>
        </w:rPr>
        <w:t xml:space="preserve">“Purpose of the </w:t>
      </w:r>
      <w:r w:rsidRPr="00D52CB7" w:rsidR="00B935C1">
        <w:rPr>
          <w:smallCaps/>
        </w:rPr>
        <w:t xml:space="preserve">Series </w:t>
      </w:r>
      <w:r w:rsidRPr="00D52CB7" w:rsidR="00D50213">
        <w:rPr>
          <w:smallCaps/>
        </w:rPr>
        <w:t>2025</w:t>
      </w:r>
      <w:r w:rsidRPr="00D52CB7" w:rsidR="00B935C1">
        <w:rPr>
          <w:smallCaps/>
        </w:rPr>
        <w:t xml:space="preserve"> Bond</w:t>
      </w:r>
      <w:r w:rsidRPr="00D52CB7">
        <w:rPr>
          <w:smallCaps/>
        </w:rPr>
        <w:t xml:space="preserve">s.” </w:t>
      </w:r>
      <w:r w:rsidRPr="00D52CB7">
        <w:t xml:space="preserve"> Under the Loan Agreement, the Charter School is unconditionally obligated to repay the loan in amounts sufficient, together with available funds held under the Indenture, to provide for the timely payment of the principal of and interest on the </w:t>
      </w:r>
      <w:r w:rsidRPr="00D52CB7" w:rsidR="00B935C1">
        <w:t xml:space="preserve">Series </w:t>
      </w:r>
      <w:r w:rsidRPr="00D52CB7" w:rsidR="00D50213">
        <w:t>2025</w:t>
      </w:r>
      <w:r w:rsidRPr="00D52CB7" w:rsidR="00B935C1">
        <w:t xml:space="preserve"> Bond</w:t>
      </w:r>
      <w:r w:rsidRPr="00D52CB7">
        <w:t>s when due, whether by maturity, mandatory sinking fund redemption or acceleration, and to perform certain other obligations set forth therein.</w:t>
      </w:r>
    </w:p>
    <w:p w:rsidRPr="00D52CB7" w:rsidR="00743467" w:rsidP="00743467" w:rsidRDefault="00743467" w14:paraId="30667621" w14:textId="6A18A9C8">
      <w:pPr>
        <w:pStyle w:val="ParaNORMAL"/>
        <w:keepNext/>
      </w:pPr>
      <w:r w:rsidRPr="00D52CB7">
        <w:t xml:space="preserve">Under the Loan Agreement, to secure the payment of the </w:t>
      </w:r>
      <w:r w:rsidRPr="00D52CB7" w:rsidR="00B935C1">
        <w:t xml:space="preserve">Series </w:t>
      </w:r>
      <w:r w:rsidRPr="00D52CB7" w:rsidR="00D50213">
        <w:t>2025</w:t>
      </w:r>
      <w:r w:rsidRPr="00D52CB7" w:rsidR="00B935C1">
        <w:t xml:space="preserve"> Bond</w:t>
      </w:r>
      <w:r w:rsidRPr="00D52CB7">
        <w:t>s, the Charter School pledges the following to the payment of the Loan and the Promissory Note securing such Loan:</w:t>
      </w:r>
    </w:p>
    <w:p w:rsidRPr="00D52CB7" w:rsidR="00743467" w:rsidP="00743467" w:rsidRDefault="00743467" w14:paraId="65CEB032" w14:textId="77777777">
      <w:pPr>
        <w:pStyle w:val="SubParaLevel1"/>
      </w:pPr>
      <w:r w:rsidRPr="00D52CB7">
        <w:tab/>
        <w:t>(a)</w:t>
      </w:r>
      <w:r w:rsidRPr="00D52CB7">
        <w:tab/>
        <w:t>all of the Charter School’s right, title and interest in and to the Facilities, including all related additions, replacements, substitutions and proceeds for the purposes of securing the Loan;</w:t>
      </w:r>
    </w:p>
    <w:p w:rsidRPr="00D52CB7" w:rsidR="00743467" w:rsidP="00743467" w:rsidRDefault="00743467" w14:paraId="454A50B2" w14:textId="77777777">
      <w:pPr>
        <w:pStyle w:val="SubParaLevel1"/>
      </w:pPr>
      <w:r w:rsidRPr="00D52CB7">
        <w:tab/>
        <w:t>(b)</w:t>
      </w:r>
      <w:r w:rsidRPr="00D52CB7">
        <w:tab/>
        <w:t>all Pledged Revenues; and</w:t>
      </w:r>
    </w:p>
    <w:p w:rsidRPr="00D52CB7" w:rsidR="00743467" w:rsidP="00743467" w:rsidRDefault="00743467" w14:paraId="4F069108" w14:textId="77777777">
      <w:pPr>
        <w:pStyle w:val="SubParaLevel1"/>
      </w:pPr>
      <w:r w:rsidRPr="00D52CB7">
        <w:lastRenderedPageBreak/>
        <w:tab/>
        <w:t>(c)</w:t>
      </w:r>
      <w:r w:rsidRPr="00D52CB7">
        <w:tab/>
        <w:t>any and all other interests in real or personal property of every name and nature from time to time hereafter by delivery or by writing of any kind specifically mortgaged, pledged or hypothecated, as and for additional security for the Loan by the Charter School or by anyone on its behalf.</w:t>
      </w:r>
    </w:p>
    <w:p w:rsidRPr="00D52CB7" w:rsidR="00743467" w:rsidP="00743467" w:rsidRDefault="00743467" w14:paraId="49F6CDFA" w14:textId="77777777">
      <w:pPr>
        <w:pStyle w:val="ParaNORMAL"/>
      </w:pPr>
      <w:r w:rsidRPr="00D52CB7">
        <w:t>Under the Loan Agreement, the Charter School covenants that it will direct the Treasurer of the State and the Utah Office of Education to disburse all State Payments directly to the Trustee and that it will not modify or revoke such direction so long as any obligation of the Charter School remains outstanding under the Loan Agreement.</w:t>
      </w:r>
    </w:p>
    <w:p w:rsidRPr="00D52CB7" w:rsidR="00743467" w:rsidP="00743467" w:rsidRDefault="00743467" w14:paraId="1C48C325" w14:textId="77777777">
      <w:pPr>
        <w:pStyle w:val="ParaNORMAL"/>
        <w:rPr>
          <w:b/>
        </w:rPr>
      </w:pPr>
      <w:r w:rsidRPr="00D52CB7">
        <w:t>Under the Loan Agreement, the Charter School covenants (i) to manage the Facilities in a manner that permits it to meet its obligations under the Loan Agreement and (ii) not to create, assume, incur or suffer to be created, assumed or incurred any Liens (other than Permitted Encumbrances) on all or any portion of the Facilities or the Pledged Revenues.</w:t>
      </w:r>
    </w:p>
    <w:p w:rsidRPr="00D52CB7" w:rsidR="00743467" w:rsidP="00743467" w:rsidRDefault="00743467" w14:paraId="2E731552" w14:textId="738AB4CA">
      <w:pPr>
        <w:pStyle w:val="ParaNORMAL"/>
      </w:pPr>
      <w:r w:rsidRPr="00D52CB7">
        <w:t xml:space="preserve">The obligation of the Charter School to make Loan Payments under the Loan Agreement sufficient to pay the </w:t>
      </w:r>
      <w:r w:rsidRPr="00D52CB7" w:rsidR="00B935C1">
        <w:t xml:space="preserve">Series </w:t>
      </w:r>
      <w:r w:rsidRPr="00D52CB7" w:rsidR="00D50213">
        <w:t>2025</w:t>
      </w:r>
      <w:r w:rsidRPr="00D52CB7" w:rsidR="00B935C1">
        <w:t xml:space="preserve"> Bond</w:t>
      </w:r>
      <w:r w:rsidRPr="00D52CB7">
        <w:t>s is an absolute and unconditional obligation of the Charter School; provided, however, that the ability of the Charter School to generate additional revenues is limited in the event State Payments are insufficient.</w:t>
      </w:r>
    </w:p>
    <w:p w:rsidRPr="00D52CB7" w:rsidR="00743467" w:rsidP="00743467" w:rsidRDefault="00743467" w14:paraId="1005AB15" w14:textId="4FD39D73">
      <w:pPr>
        <w:pStyle w:val="ParaNORMAL"/>
      </w:pPr>
      <w:r w:rsidRPr="00D52CB7">
        <w:t>Pursuant to the terms of the Loan Agreement, the Deed of Trust, and certain financing statements, the Charter School will (a) grant to the Issuer a deed of trust on the Facilities, subject to Permitted Encumbrances; and (b) grant to the Trustee a security interest, with respect to the Pledged Revenues governed by the Uniform Commercial Code and, to the extent permitted by law, in the Pledged Revenues received by the Trustee.  The liens and security interests created by the Indenture, the Loan Agreement, and the Deed of Trust are for the equal and ratable benefit of the Owners of the Bonds.  See “</w:t>
      </w:r>
      <w:r w:rsidRPr="00D52CB7">
        <w:rPr>
          <w:smallCaps/>
        </w:rPr>
        <w:t>Risk Factors</w:t>
      </w:r>
      <w:r w:rsidRPr="00D52CB7">
        <w:t xml:space="preserve">” for a discussion of certain limitations on the enforceability of the security for the </w:t>
      </w:r>
      <w:r w:rsidRPr="00D52CB7" w:rsidR="00B935C1">
        <w:t xml:space="preserve">Series </w:t>
      </w:r>
      <w:r w:rsidRPr="00D52CB7" w:rsidR="00D50213">
        <w:t>2025</w:t>
      </w:r>
      <w:r w:rsidRPr="00D52CB7" w:rsidR="00B935C1">
        <w:t xml:space="preserve"> Bond</w:t>
      </w:r>
      <w:r w:rsidRPr="00D52CB7">
        <w:t>s.</w:t>
      </w:r>
    </w:p>
    <w:p w:rsidRPr="00D52CB7" w:rsidR="00743467" w:rsidP="00743467" w:rsidRDefault="00743467" w14:paraId="4480F243" w14:textId="785BF844">
      <w:pPr>
        <w:pStyle w:val="ParaNORMAL"/>
      </w:pPr>
      <w:r w:rsidRPr="00D52CB7">
        <w:rPr>
          <w:i/>
        </w:rPr>
        <w:t>Limitations on Additional Indebtedness.</w:t>
      </w:r>
      <w:r w:rsidRPr="00D52CB7">
        <w:rPr>
          <w:b/>
          <w:i/>
        </w:rPr>
        <w:fldChar w:fldCharType="begin"/>
      </w:r>
      <w:r w:rsidRPr="00D52CB7">
        <w:instrText>tc "</w:instrText>
      </w:r>
      <w:bookmarkStart w:name="_Toc156025674" w:id="58"/>
      <w:bookmarkStart w:name="_Toc195093848" w:id="59"/>
      <w:r w:rsidRPr="00D52CB7">
        <w:instrText>Limitations on Additional Indebtedness</w:instrText>
      </w:r>
      <w:bookmarkEnd w:id="58"/>
      <w:bookmarkEnd w:id="59"/>
      <w:r w:rsidRPr="00D52CB7">
        <w:instrText>" \f C \l 3</w:instrText>
      </w:r>
      <w:r w:rsidRPr="00D52CB7">
        <w:rPr>
          <w:b/>
          <w:i/>
        </w:rPr>
        <w:fldChar w:fldCharType="end"/>
      </w:r>
      <w:r w:rsidRPr="00D52CB7">
        <w:t xml:space="preserve">  Under the Loan Agreement, the Charter School is prohibited from incurring additional Long-Term Indebtedness secured by a Lien on the Facilities or the Pledged Revenues that is senior to the Deed of Trust and the security interest in the Pledged Revenues granted by the Loan Agreement or the Indenture.  The Charter School may incur other Long-Term Indebtedness if it furnishes to the Trustee the instruments, or satisfies the requirements, as applicable, described above under the caption, “</w:t>
      </w:r>
      <w:r w:rsidRPr="00D52CB7">
        <w:rPr>
          <w:smallCaps/>
        </w:rPr>
        <w:t xml:space="preserve">Security for the </w:t>
      </w:r>
      <w:r w:rsidRPr="00D52CB7" w:rsidR="00B935C1">
        <w:rPr>
          <w:smallCaps/>
        </w:rPr>
        <w:t xml:space="preserve">Series </w:t>
      </w:r>
      <w:r w:rsidRPr="00D52CB7" w:rsidR="00D50213">
        <w:rPr>
          <w:smallCaps/>
        </w:rPr>
        <w:t>2025</w:t>
      </w:r>
      <w:r w:rsidRPr="00D52CB7" w:rsidR="00B935C1">
        <w:rPr>
          <w:smallCaps/>
        </w:rPr>
        <w:t xml:space="preserve"> Bond</w:t>
      </w:r>
      <w:r w:rsidRPr="00D52CB7">
        <w:rPr>
          <w:smallCaps/>
        </w:rPr>
        <w:t>s</w:t>
      </w:r>
      <w:r w:rsidRPr="00D52CB7">
        <w:t>–Indenture–</w:t>
      </w:r>
      <w:r w:rsidRPr="00D52CB7">
        <w:rPr>
          <w:i/>
        </w:rPr>
        <w:t>Additional Bonds</w:t>
      </w:r>
      <w:r w:rsidRPr="00D52CB7">
        <w:t>.”</w:t>
      </w:r>
    </w:p>
    <w:p w:rsidRPr="00D52CB7" w:rsidR="00743467" w:rsidP="00743467" w:rsidRDefault="00743467" w14:paraId="21DABF92" w14:textId="0E19F415">
      <w:pPr>
        <w:pStyle w:val="ParaNORMAL"/>
      </w:pPr>
      <w:r w:rsidRPr="00D52CB7">
        <w:rPr>
          <w:i/>
        </w:rPr>
        <w:t>Covenant as to Cash on Hand.</w:t>
      </w:r>
      <w:r w:rsidRPr="00D52CB7">
        <w:rPr>
          <w:b/>
          <w:i/>
        </w:rPr>
        <w:fldChar w:fldCharType="begin"/>
      </w:r>
      <w:r w:rsidRPr="00D52CB7">
        <w:instrText>tc "</w:instrText>
      </w:r>
      <w:bookmarkStart w:name="_Toc195093849" w:id="60"/>
      <w:r w:rsidRPr="00D52CB7">
        <w:instrText>Covenant as to Cash on Hand</w:instrText>
      </w:r>
      <w:bookmarkEnd w:id="60"/>
      <w:r w:rsidRPr="00D52CB7">
        <w:instrText>" \f C \l 3</w:instrText>
      </w:r>
      <w:r w:rsidRPr="00D52CB7">
        <w:rPr>
          <w:b/>
          <w:i/>
        </w:rPr>
        <w:fldChar w:fldCharType="end"/>
      </w:r>
      <w:r w:rsidRPr="00D52CB7">
        <w:rPr>
          <w:b/>
          <w:i/>
        </w:rPr>
        <w:t xml:space="preserve">  </w:t>
      </w:r>
      <w:r w:rsidRPr="00D52CB7">
        <w:t xml:space="preserve">The Charter School covenants in the Loan Agreement to maintain a cash, liquid investment, or accounts receivable balance (provided such accounts receivable are from the State) sufficient to cover at least </w:t>
      </w:r>
      <w:r w:rsidRPr="00D52CB7" w:rsidR="00DD2CB3">
        <w:t>___</w:t>
      </w:r>
      <w:r w:rsidRPr="00D52CB7">
        <w:t xml:space="preserve"> days of the sum resulting from the Operating Expenses.  This covenant will be tested annually based upon the results included in the annual audited financial statements of the Charter School.</w:t>
      </w:r>
    </w:p>
    <w:p w:rsidRPr="00D52CB7" w:rsidR="00743467" w:rsidP="00743467" w:rsidRDefault="00743467" w14:paraId="5FF4059A" w14:textId="0C117D18">
      <w:pPr>
        <w:pStyle w:val="ParaNORMAL"/>
      </w:pPr>
      <w:r w:rsidRPr="00D52CB7">
        <w:t xml:space="preserve">In the event that the Charter School is unable to comply with the requirements of the above covenant within 12 months of the initial non-compliance, then the Beneficial Owners of </w:t>
      </w:r>
      <w:r w:rsidRPr="00D52CB7" w:rsidR="006B2B25">
        <w:t>at least a majority</w:t>
      </w:r>
      <w:r w:rsidRPr="00D52CB7">
        <w:t xml:space="preserve"> of the Outstanding Bonds or the Issuer have the right to direct the Trustee to require the </w:t>
      </w:r>
      <w:r w:rsidRPr="00D52CB7">
        <w:lastRenderedPageBreak/>
        <w:t>Charter School to engage, at the Charter School’s expense, a Management Consultant, which shall deliver a written report within 75 days of engagement to the Trustee, the Beneficial Owners, the Issuer and the Charter School containing such recommendations regarding the operation and administration of the Charter School and its facilities as such Management Consultant deems appropriate.</w:t>
      </w:r>
    </w:p>
    <w:p w:rsidRPr="00D52CB7" w:rsidR="00743467" w:rsidP="00743467" w:rsidRDefault="00743467" w14:paraId="2F87BC50" w14:textId="77777777">
      <w:pPr>
        <w:pStyle w:val="ParaNORMAL"/>
      </w:pPr>
      <w:r w:rsidRPr="00D52CB7">
        <w:t>Upon submission of the Management Consultant’s report, the Charter School is required to arrange for payment of the amount owed to the Management Consultant and issue a written certificate to the Trustee and the Issuer indicating its acceptance or rejection of all or any material portion of the recommendations of the consultant within 30 days of receiving the report of the Management Consultant.  The Beneficial Owners of 2/3rds of the Outstanding Bonds or the Issuer shall have the right to require the Charter School to comply with any reasonable recommendation of the Management Consultant.  The Charter School shall work with the Beneficial Owners or the Issuer to follow the recommendations.</w:t>
      </w:r>
    </w:p>
    <w:p w:rsidRPr="00D52CB7" w:rsidR="002C1361" w:rsidP="002C1361" w:rsidRDefault="002C1361" w14:paraId="682259A3" w14:textId="77777777">
      <w:pPr>
        <w:pStyle w:val="ParaNORMAL"/>
        <w:rPr>
          <w:i/>
        </w:rPr>
      </w:pPr>
      <w:r w:rsidRPr="00D52CB7">
        <w:rPr>
          <w:i/>
        </w:rPr>
        <w:t>Repair and Replacement Fund Deposits.</w:t>
      </w:r>
      <w:r w:rsidRPr="00D52CB7">
        <w:rPr>
          <w:b/>
          <w:i/>
        </w:rPr>
        <w:fldChar w:fldCharType="begin"/>
      </w:r>
      <w:r w:rsidRPr="00D52CB7">
        <w:instrText>tc "</w:instrText>
      </w:r>
      <w:bookmarkStart w:name="_Toc14096857" w:id="61"/>
      <w:bookmarkStart w:name="_Toc195093850" w:id="62"/>
      <w:r w:rsidRPr="00D52CB7">
        <w:instrText>Repair and Replacement Fund Deposits</w:instrText>
      </w:r>
      <w:bookmarkEnd w:id="61"/>
      <w:bookmarkEnd w:id="62"/>
      <w:r w:rsidRPr="00D52CB7">
        <w:instrText>" \f C \l 3</w:instrText>
      </w:r>
      <w:r w:rsidRPr="00D52CB7">
        <w:rPr>
          <w:b/>
          <w:i/>
        </w:rPr>
        <w:fldChar w:fldCharType="end"/>
      </w:r>
      <w:r w:rsidRPr="00D52CB7">
        <w:rPr>
          <w:b/>
          <w:i/>
        </w:rPr>
        <w:t xml:space="preserve">  </w:t>
      </w:r>
      <w:r w:rsidRPr="00D52CB7">
        <w:t>The Charter School covenants in the Loan Agreement that, unless the amount on deposit in the Repair and Replacement Fund equals or exceeds the Repair and Replacement Requirement (in which case no additional deposits are required), the Charter School shall pay or cause to be paid to the Trustee, for deposit to the Repair and Replacement Fund the amounts described above under “Indenture–Repair and Replacement Fund.”</w:t>
      </w:r>
    </w:p>
    <w:p w:rsidRPr="00D52CB7" w:rsidR="00743467" w:rsidP="00743467" w:rsidRDefault="00743467" w14:paraId="05501AF7" w14:textId="51E6F990">
      <w:pPr>
        <w:pStyle w:val="ParaNORMAL"/>
      </w:pPr>
      <w:r w:rsidRPr="00D52CB7">
        <w:rPr>
          <w:i/>
        </w:rPr>
        <w:t>Coverage Ratio Covenant.</w:t>
      </w:r>
      <w:r w:rsidRPr="00D52CB7">
        <w:rPr>
          <w:b/>
          <w:i/>
        </w:rPr>
        <w:fldChar w:fldCharType="begin"/>
      </w:r>
      <w:r w:rsidRPr="00D52CB7">
        <w:instrText>tc "</w:instrText>
      </w:r>
      <w:bookmarkStart w:name="_Toc274248178" w:id="63"/>
      <w:bookmarkStart w:name="_Toc195093851" w:id="64"/>
      <w:r w:rsidRPr="00D52CB7">
        <w:instrText>Coverage Ratio Covenant</w:instrText>
      </w:r>
      <w:bookmarkEnd w:id="63"/>
      <w:bookmarkEnd w:id="64"/>
      <w:r w:rsidRPr="00D52CB7">
        <w:instrText>" \f C \l 3</w:instrText>
      </w:r>
      <w:r w:rsidRPr="00D52CB7">
        <w:rPr>
          <w:b/>
          <w:i/>
        </w:rPr>
        <w:fldChar w:fldCharType="end"/>
      </w:r>
      <w:r w:rsidRPr="00D52CB7">
        <w:rPr>
          <w:b/>
          <w:i/>
        </w:rPr>
        <w:t xml:space="preserve">  </w:t>
      </w:r>
      <w:r w:rsidRPr="00D52CB7">
        <w:t xml:space="preserve">The Charter School covenants in the Loan Agreement to budget and set Operating Expenses and operate its Facilities in such a manner as will enable it to reasonably expect Net Income Available for Debt Service to equal at least </w:t>
      </w:r>
      <w:r w:rsidRPr="00D52CB7" w:rsidR="00DD2CB3">
        <w:t>____</w:t>
      </w:r>
      <w:r w:rsidRPr="00D52CB7">
        <w:t xml:space="preserve">% of the annual Debt Service for the applicable Fiscal Year on Indebtedness then Outstanding (the </w:t>
      </w:r>
      <w:r w:rsidRPr="00D52CB7">
        <w:rPr>
          <w:i/>
        </w:rPr>
        <w:t>“Debt Service Coverage Requirement”</w:t>
      </w:r>
      <w:r w:rsidRPr="00D52CB7">
        <w:t>).</w:t>
      </w:r>
    </w:p>
    <w:p w:rsidRPr="00D52CB7" w:rsidR="00743467" w:rsidP="00743467" w:rsidRDefault="00743467" w14:paraId="6D27174C" w14:textId="77777777">
      <w:pPr>
        <w:pStyle w:val="ParaNORMAL"/>
      </w:pPr>
      <w:r w:rsidRPr="00D52CB7">
        <w:t>The Charter School is required to deliver to the Trustee and the Issuer, within 180 days after the end of each fiscal year, a certificate of an Authorized Charter School Representative confirming that the Charter School satisfied the Debt Service Coverage Requirement for such fiscal year;</w:t>
      </w:r>
      <w:r w:rsidRPr="00D52CB7">
        <w:rPr>
          <w:i/>
        </w:rPr>
        <w:t xml:space="preserve"> provided, however, </w:t>
      </w:r>
      <w:r w:rsidRPr="00D52CB7">
        <w:t>that no Event of Default is required to occur, except as provided below, if the Charter School complies with the following paragraph.  In the event the Charter School’s Net Income Available for Debt Service is less than the Debt Service Coverage Requirement for any fiscal year, the Charter School is required to report the Debt Service coverage calculation to the Issuer and the Trustee immediately upon completion of such calculation and, in no event, later than the date by which the certification described above in this paragraph is required.</w:t>
      </w:r>
    </w:p>
    <w:p w:rsidRPr="00D52CB7" w:rsidR="00743467" w:rsidP="00743467" w:rsidRDefault="00743467" w14:paraId="0FB5A6D7" w14:textId="77777777">
      <w:pPr>
        <w:pStyle w:val="ParaNORMAL"/>
        <w:rPr>
          <w:b/>
          <w:i/>
        </w:rPr>
      </w:pPr>
      <w:r w:rsidRPr="00D52CB7">
        <w:t xml:space="preserve">If the Charter School fails to maintain Net Income Available for Debt Service at least equal to the Debt Service Coverage Requirement for any fiscal year, the Charter School is required to, within 60 days after the date required for the delivery of the certificate in the previous paragraph, (1) obtain recommendations from a Management Consultant as to revisions of the Charter School’s budget for the then-current fiscal year necessary to provide for Net Income Available for Debt Service sufficient to satisfy the Debt Service Coverage Requirement, and (2) on the basis of such recommendations, revise its budget and Operating Expenses for the then-current fiscal year to </w:t>
      </w:r>
      <w:r w:rsidRPr="00D52CB7">
        <w:lastRenderedPageBreak/>
        <w:t>provide for Net Income Available for Debt Service sufficient to satisfy the Debt Service Coverage Requirement for such year.</w:t>
      </w:r>
    </w:p>
    <w:p w:rsidRPr="00D52CB7" w:rsidR="00743467" w:rsidP="00743467" w:rsidRDefault="00743467" w14:paraId="46CE2CB2" w14:textId="77777777">
      <w:pPr>
        <w:pStyle w:val="ParaNORMAL"/>
      </w:pPr>
      <w:r w:rsidRPr="00D52CB7">
        <w:t>Failure to maintain Net Income Available for Debt Service equal to at least 100% of Debt Service for the applicable period shall constitute an Event of Default hereunder.</w:t>
      </w:r>
    </w:p>
    <w:p w:rsidRPr="00D52CB7" w:rsidR="00743467" w:rsidP="00743467" w:rsidRDefault="00743467" w14:paraId="6E95710B" w14:textId="77777777">
      <w:pPr>
        <w:pStyle w:val="TitleLeft"/>
      </w:pPr>
      <w:r w:rsidRPr="00D52CB7">
        <w:t>Deed of Trust</w:t>
      </w:r>
      <w:r w:rsidRPr="00D52CB7">
        <w:fldChar w:fldCharType="begin"/>
      </w:r>
      <w:r w:rsidRPr="00D52CB7">
        <w:instrText>tc "</w:instrText>
      </w:r>
      <w:bookmarkStart w:name="_Toc195093852" w:id="65"/>
      <w:r w:rsidRPr="00D52CB7">
        <w:instrText>Deed of Trust</w:instrText>
      </w:r>
      <w:bookmarkEnd w:id="65"/>
      <w:r w:rsidRPr="00D52CB7">
        <w:instrText>" \f C \l 2</w:instrText>
      </w:r>
      <w:r w:rsidRPr="00D52CB7">
        <w:fldChar w:fldCharType="end"/>
      </w:r>
    </w:p>
    <w:p w:rsidRPr="00D52CB7" w:rsidR="00743467" w:rsidP="00743467" w:rsidRDefault="00743467" w14:paraId="761E9EAA" w14:textId="4E5248C2">
      <w:pPr>
        <w:pStyle w:val="ParaNORMAL"/>
      </w:pPr>
      <w:r w:rsidRPr="00D52CB7">
        <w:t xml:space="preserve">Pursuant to the Deed of Trust to be executed by the Charter School in favor of the Issuer, as beneficiary, and assigned by the Issuer to the Trustee, the payment of the principal of and interest on the </w:t>
      </w:r>
      <w:r w:rsidRPr="00D52CB7" w:rsidR="00B935C1">
        <w:t xml:space="preserve">Series </w:t>
      </w:r>
      <w:r w:rsidRPr="00D52CB7" w:rsidR="00D50213">
        <w:t>2025</w:t>
      </w:r>
      <w:r w:rsidRPr="00D52CB7" w:rsidR="00B935C1">
        <w:t xml:space="preserve"> Bond</w:t>
      </w:r>
      <w:r w:rsidRPr="00D52CB7">
        <w:t xml:space="preserve">s will be secured by a mortgage on, and security interest in, the Facilities, subject to certain Permitted Encumbrances (as defined in </w:t>
      </w:r>
      <w:r w:rsidRPr="00D52CB7">
        <w:rPr>
          <w:smallCaps/>
        </w:rPr>
        <w:t>Appendix D)</w:t>
      </w:r>
      <w:r w:rsidRPr="00D52CB7">
        <w:t>.  See “</w:t>
      </w:r>
      <w:r w:rsidRPr="00D52CB7">
        <w:rPr>
          <w:smallCaps/>
        </w:rPr>
        <w:t>Appendix D—Forms of Bond Documents–</w:t>
      </w:r>
      <w:r w:rsidRPr="00D52CB7">
        <w:t>Deed of Trust</w:t>
      </w:r>
      <w:r w:rsidRPr="00D52CB7">
        <w:rPr>
          <w:smallCaps/>
        </w:rPr>
        <w:t xml:space="preserve">” </w:t>
      </w:r>
      <w:r w:rsidRPr="00D52CB7">
        <w:t>for a summary of certain provisions of the Deed of Trust.</w:t>
      </w:r>
    </w:p>
    <w:p w:rsidRPr="00D52CB7" w:rsidR="00743467" w:rsidP="00743467" w:rsidRDefault="00743467" w14:paraId="0FB9E0B6" w14:textId="77777777">
      <w:pPr>
        <w:pStyle w:val="TitleLeft"/>
      </w:pPr>
      <w:r w:rsidRPr="00D52CB7">
        <w:t>Charter School Credit Enhancement Program</w:t>
      </w:r>
      <w:r w:rsidRPr="00D52CB7">
        <w:fldChar w:fldCharType="begin"/>
      </w:r>
      <w:r w:rsidRPr="00D52CB7">
        <w:instrText xml:space="preserve"> TC "</w:instrText>
      </w:r>
      <w:bookmarkStart w:name="_Toc463342399" w:id="66"/>
      <w:bookmarkStart w:name="_Toc195093853" w:id="67"/>
      <w:r w:rsidRPr="00D52CB7">
        <w:instrText>Charter School Credit Enhancement Program</w:instrText>
      </w:r>
      <w:bookmarkEnd w:id="66"/>
      <w:bookmarkEnd w:id="67"/>
      <w:r w:rsidRPr="00D52CB7">
        <w:instrText xml:space="preserve">" \f C \l "2" </w:instrText>
      </w:r>
      <w:r w:rsidRPr="00D52CB7">
        <w:fldChar w:fldCharType="end"/>
      </w:r>
    </w:p>
    <w:p w:rsidRPr="00D52CB7" w:rsidR="00743467" w:rsidP="00743467" w:rsidRDefault="00743467" w14:paraId="68EE70D2" w14:textId="77777777">
      <w:pPr>
        <w:pStyle w:val="ParaNORMAL"/>
      </w:pPr>
      <w:r w:rsidRPr="00D52CB7">
        <w:rPr>
          <w:i/>
          <w:szCs w:val="21"/>
        </w:rPr>
        <w:t>Generally</w:t>
      </w:r>
      <w:r w:rsidRPr="00D52CB7">
        <w:rPr>
          <w:szCs w:val="21"/>
        </w:rPr>
        <w:t xml:space="preserve">.  </w:t>
      </w:r>
      <w:r w:rsidRPr="00D52CB7">
        <w:t>The CSCE Program requires that the amount on deposit in the Debt Service Reserve Account be not less than the maximum annual debt service on each applicable Series of Bonds (which amount includes both the principal of and interest on the Bonds due in any calendar year).</w:t>
      </w:r>
    </w:p>
    <w:p w:rsidRPr="00D52CB7" w:rsidR="00743467" w:rsidP="00743467" w:rsidRDefault="00743467" w14:paraId="1E6B05CD" w14:textId="77777777">
      <w:pPr>
        <w:pStyle w:val="ParaNORMAL"/>
      </w:pPr>
      <w:r w:rsidRPr="00D52CB7">
        <w:t>Pursuant to the Loan Agreement, the Charter School covenants to make pro rata monthly Loan Payments on the fifth day of each calendar month that are sufficient to pay the interest on the Bonds (due semi</w:t>
      </w:r>
      <w:r w:rsidRPr="00D52CB7">
        <w:noBreakHyphen/>
        <w:t>annually on April 15 and October 15 of each year) and the principal of the Bonds (due or subject to sinking fund redemption on October 15 of each applicable year).</w:t>
      </w:r>
    </w:p>
    <w:p w:rsidRPr="00D52CB7" w:rsidR="00743467" w:rsidP="00743467" w:rsidRDefault="00743467" w14:paraId="0ACA5754" w14:textId="3F506F44">
      <w:pPr>
        <w:pStyle w:val="ParaNORMAL"/>
      </w:pPr>
      <w:r w:rsidRPr="00D52CB7">
        <w:t xml:space="preserve">In the event that the amount on deposit in the Debt Service Account is not sufficient to pay the interest on and principal of the Bonds when due, the Trustee is required to transfer money from the Debt Service Reserve Account to cover any insufficiency in the Debt Service Account.  By November 1 of each year, the Trustee is required to notify the Issuer of the amount, referred to hereafter as the </w:t>
      </w:r>
      <w:r w:rsidRPr="00D52CB7">
        <w:rPr>
          <w:i/>
        </w:rPr>
        <w:t>“Shortfall Replenishment,”</w:t>
      </w:r>
      <w:r w:rsidRPr="00D52CB7">
        <w:t xml:space="preserve"> which is necessary to restore the Debt Service Reserve Account to the required amount (which amount is with respect to each Series of Bonds, equal to the maximum annual debt service on such Series of Bonds).  The Issuer has covenanted to certify, by December 1, the Shortfall Replenishment amount to the Governor of Utah, and the Governor is required, under the</w:t>
      </w:r>
      <w:r w:rsidRPr="00D52CB7" w:rsidR="002B007E">
        <w:t xml:space="preserve"> Charter School</w:t>
      </w:r>
      <w:r w:rsidRPr="00D52CB7">
        <w:t xml:space="preserve"> Act, to request from the State Legislature an appropriation of the amount to be deposited into the Debt Service Reserve Account.  Under the </w:t>
      </w:r>
      <w:r w:rsidRPr="00D52CB7" w:rsidR="002B007E">
        <w:t xml:space="preserve">Charter School </w:t>
      </w:r>
      <w:r w:rsidRPr="00D52CB7">
        <w:t>Act, the State Legislature may, but is not required, to appropriate sufficient moneys for the Shortfall Replenishment.</w:t>
      </w:r>
    </w:p>
    <w:p w:rsidRPr="00D52CB7" w:rsidR="00743467" w:rsidP="00743467" w:rsidRDefault="00743467" w14:paraId="0F84DA6E" w14:textId="46A547D3">
      <w:pPr>
        <w:pStyle w:val="ParaNORMAL"/>
      </w:pPr>
      <w:r w:rsidRPr="00D52CB7">
        <w:t xml:space="preserve">Annual general sessions of the State Legislature begin on the fourth Monday in January and, with certain exceptions, do not exceed 45 calendar days.  The enabling legislation for the CSCE Program created a Charter School Reserve Account and initially funded the account in the amount of $3 million. </w:t>
      </w:r>
      <w:r w:rsidRPr="00D52CB7" w:rsidR="006E5AF4">
        <w:t xml:space="preserve"> Amending legislation enacted in 2025 subsequen</w:t>
      </w:r>
      <w:r w:rsidRPr="00D52CB7" w:rsidR="00E1361B">
        <w:t>tly funded an additional deposit in to the Charter School Reserve Account</w:t>
      </w:r>
      <w:r w:rsidRPr="00D52CB7" w:rsidR="002B7C19">
        <w:t xml:space="preserve">.  As of [June 1, 2025], the amount in the Charter School Reserve Account, including such deposits and additional interest and fees collected for </w:t>
      </w:r>
      <w:r w:rsidRPr="00D52CB7" w:rsidR="002B7C19">
        <w:lastRenderedPageBreak/>
        <w:t>deposit into the account, equal</w:t>
      </w:r>
      <w:r w:rsidRPr="00D52CB7" w:rsidR="0002754A">
        <w:t xml:space="preserve">s $_____.  </w:t>
      </w:r>
      <w:r w:rsidRPr="00D52CB7" w:rsidR="00E1361B">
        <w:t xml:space="preserve"> </w:t>
      </w:r>
      <w:r w:rsidRPr="00D52CB7">
        <w:t xml:space="preserve"> Moneys in the Charter School Reserve Account are not pledged as security for the </w:t>
      </w:r>
      <w:r w:rsidRPr="00D52CB7" w:rsidR="00B935C1">
        <w:t xml:space="preserve">Series </w:t>
      </w:r>
      <w:r w:rsidRPr="00D52CB7" w:rsidR="00D50213">
        <w:t>2025</w:t>
      </w:r>
      <w:r w:rsidRPr="00D52CB7" w:rsidR="00B935C1">
        <w:t xml:space="preserve"> Bond</w:t>
      </w:r>
      <w:r w:rsidRPr="00D52CB7">
        <w:t>s, but are, among other purposes described hereafter, available for appropriation by the State Legislature for the funding of the Shortfall Replenishment.</w:t>
      </w:r>
    </w:p>
    <w:p w:rsidRPr="00D52CB7" w:rsidR="00743467" w:rsidP="00743467" w:rsidRDefault="00743467" w14:paraId="76BC682D" w14:textId="58FDA1F5">
      <w:pPr>
        <w:pStyle w:val="ParaNORMAL"/>
      </w:pPr>
      <w:r w:rsidRPr="00D52CB7">
        <w:t xml:space="preserve">Upon appropriation by the State Legislature for any Shortfall Replenishment, the Charter School is required to repay the State in the time and manner required by the Issuer.  Additionally, until such time as that the obligations of the Charter School owing to the Issuer and the State for any Shortfall Replenishment have been repaid in full, the Issuer may exercise certain rights, including the acceleration and redemption at par, in whole, of the </w:t>
      </w:r>
      <w:r w:rsidRPr="00D52CB7" w:rsidR="00B935C1">
        <w:t xml:space="preserve">Series </w:t>
      </w:r>
      <w:r w:rsidRPr="00D52CB7" w:rsidR="00D50213">
        <w:t>2025</w:t>
      </w:r>
      <w:r w:rsidRPr="00D52CB7" w:rsidR="00B935C1">
        <w:t xml:space="preserve"> Bond</w:t>
      </w:r>
      <w:r w:rsidRPr="00D52CB7">
        <w:t>s, but only to the extent that there are sufficient moneys on deposit with the Trustee for such redemption.</w:t>
      </w:r>
    </w:p>
    <w:p w:rsidRPr="00D52CB7" w:rsidR="00743467" w:rsidP="00743467" w:rsidRDefault="00743467" w14:paraId="34F58BB9" w14:textId="493E5656">
      <w:pPr>
        <w:pStyle w:val="ParaNORMAL"/>
      </w:pPr>
      <w:r w:rsidRPr="00D52CB7">
        <w:rPr>
          <w:i/>
        </w:rPr>
        <w:t>The CSCE Program</w:t>
      </w:r>
      <w:r w:rsidRPr="00D52CB7">
        <w:t xml:space="preserve">.  The Charter School has been designated a “qualifying charter school” by the Issuer pursuant to </w:t>
      </w:r>
      <w:r w:rsidRPr="00D52CB7" w:rsidR="002B007E">
        <w:t>the Charter School Act</w:t>
      </w:r>
      <w:r w:rsidRPr="00D52CB7">
        <w:t xml:space="preserve"> and the guidelines of the Issuer promulgated thereunder, and accordingly, the </w:t>
      </w:r>
      <w:r w:rsidRPr="00D52CB7" w:rsidR="00B935C1">
        <w:t xml:space="preserve">Series </w:t>
      </w:r>
      <w:r w:rsidRPr="00D52CB7" w:rsidR="00D50213">
        <w:t>2025</w:t>
      </w:r>
      <w:r w:rsidRPr="00D52CB7" w:rsidR="00B935C1">
        <w:t xml:space="preserve"> Bond</w:t>
      </w:r>
      <w:r w:rsidRPr="00D52CB7">
        <w:t>s are to be issued under the CSCE Program.</w:t>
      </w:r>
    </w:p>
    <w:p w:rsidRPr="00D52CB7" w:rsidR="00E76E29" w:rsidP="00E76E29" w:rsidRDefault="00E76E29" w14:paraId="74F844E1" w14:textId="1F83B3FC">
      <w:pPr>
        <w:pStyle w:val="ParaNORMAL"/>
      </w:pPr>
      <w:r w:rsidRPr="00D52CB7">
        <w:t xml:space="preserve">As described above, by December 1 of each year, the Issuer is required, pursuant to </w:t>
      </w:r>
      <w:r w:rsidRPr="00D52CB7" w:rsidR="002B007E">
        <w:t>the Charter School Act</w:t>
      </w:r>
      <w:r w:rsidRPr="00D52CB7">
        <w:t xml:space="preserve">, to certify to the Governor of the State the amount required, if any, to restore amounts on deposit in the debt service reserve funds with respect to all bonds issued under the CSCE Program, including the Series </w:t>
      </w:r>
      <w:r w:rsidRPr="00D52CB7" w:rsidR="00D50213">
        <w:t>2025</w:t>
      </w:r>
      <w:r w:rsidRPr="00D52CB7">
        <w:t xml:space="preserve"> Debt Service Reserve Subaccount established in connection with the </w:t>
      </w:r>
      <w:r w:rsidRPr="00D52CB7" w:rsidR="00B935C1">
        <w:t xml:space="preserve">Series </w:t>
      </w:r>
      <w:r w:rsidRPr="00D52CB7" w:rsidR="00D50213">
        <w:t>2025</w:t>
      </w:r>
      <w:r w:rsidRPr="00D52CB7" w:rsidR="00B935C1">
        <w:t xml:space="preserve"> Bond</w:t>
      </w:r>
      <w:r w:rsidRPr="00D52CB7">
        <w:t xml:space="preserve">s, to the respective debt service reserve requirements.  The Governor is then required to request from the State Legislature an appropriation of the certified amount to restore such debt service reserve funds to the respective debt service reserve requirements.  The State Legislature may, but is not required to, appropriate moneys, including from amounts on deposit in the Charter School Reserve Account created pursuant to </w:t>
      </w:r>
      <w:r w:rsidRPr="00D52CB7" w:rsidR="00BB3FAE">
        <w:t>the Charter School Act</w:t>
      </w:r>
      <w:r w:rsidRPr="00D52CB7" w:rsidR="00010D03">
        <w:t>,</w:t>
      </w:r>
      <w:r w:rsidRPr="00D52CB7">
        <w:t xml:space="preserve"> to restore amounts on deposit in any such debt service reserve fund to the respective debt service reserve requirement.  Moneys on deposit in the Charter School Reserve Account may also be appropriated by the State Legislature to pay fees and expenses of the Issuer, pay the principal of and interest on bonds issued under the CSCE Program, or otherwise provide financial assistance to a qualifying charter school participating in the CSCE Program.  The Charter School Reserve Account held by the State is funded from </w:t>
      </w:r>
      <w:r w:rsidRPr="00D52CB7" w:rsidR="0002754A">
        <w:t>the</w:t>
      </w:r>
      <w:r w:rsidRPr="00D52CB7">
        <w:t xml:space="preserve"> appropriation</w:t>
      </w:r>
      <w:r w:rsidRPr="00D52CB7" w:rsidR="0002754A">
        <w:t>s</w:t>
      </w:r>
      <w:r w:rsidRPr="00D52CB7">
        <w:t xml:space="preserve"> by the State Legislature in 2012</w:t>
      </w:r>
      <w:r w:rsidRPr="00D52CB7" w:rsidR="004C4629">
        <w:t xml:space="preserve"> and 2025</w:t>
      </w:r>
      <w:r w:rsidRPr="00D52CB7">
        <w:t xml:space="preserve"> of $3,000,000</w:t>
      </w:r>
      <w:r w:rsidRPr="00D52CB7" w:rsidR="004C4629">
        <w:t xml:space="preserve"> and $4,000,000, respectively</w:t>
      </w:r>
      <w:r w:rsidRPr="00D52CB7">
        <w:t xml:space="preserve">, certain interest earnings, and amounts that have been or will be contributed by the qualifying charter schools that participate in the CSCE Program, in amounts determined by the Issuer.  Amounts in the Charter School Reserve Account are available to replenish, at the discretion of the State Legislature, the Series </w:t>
      </w:r>
      <w:r w:rsidRPr="00D52CB7" w:rsidR="00D50213">
        <w:t>2025</w:t>
      </w:r>
      <w:r w:rsidRPr="00D52CB7">
        <w:t xml:space="preserve"> Debt Service Reserve Subaccount and any other debt service reserve fund created to secure bonds issued pursuant to the CSCE Program, if depleted and not replenished.</w:t>
      </w:r>
    </w:p>
    <w:p w:rsidRPr="00D52CB7" w:rsidR="00743467" w:rsidP="00743467" w:rsidRDefault="00743467" w14:paraId="0C1ED50A" w14:textId="75A0FD6A">
      <w:pPr>
        <w:pStyle w:val="ParaNORMAL"/>
      </w:pPr>
      <w:r w:rsidRPr="00D52CB7">
        <w:t xml:space="preserve">The </w:t>
      </w:r>
      <w:r w:rsidRPr="00D52CB7" w:rsidR="00B935C1">
        <w:t xml:space="preserve">Series </w:t>
      </w:r>
      <w:r w:rsidRPr="00D52CB7" w:rsidR="00D50213">
        <w:t>2025</w:t>
      </w:r>
      <w:r w:rsidRPr="00D52CB7" w:rsidR="00B935C1">
        <w:t xml:space="preserve"> Bond</w:t>
      </w:r>
      <w:r w:rsidRPr="00D52CB7">
        <w:t>s are not secured by amounts on deposit in the Charter School Reserve Account, and the State Legislature is not required to appropriate moneys requested by the Governor for Shortfall Replenishment from amounts in the Charter School Reserve Account or from other amounts.</w:t>
      </w:r>
    </w:p>
    <w:p w:rsidRPr="00D52CB7" w:rsidR="00743467" w:rsidP="00743467" w:rsidRDefault="006E43D0" w14:paraId="15DFA259" w14:textId="6EE78877">
      <w:pPr>
        <w:pStyle w:val="ParaNORMAL"/>
      </w:pPr>
      <w:r w:rsidRPr="00D52CB7">
        <w:rPr>
          <w:rFonts w:cs="Calibri"/>
          <w:color w:val="212121"/>
        </w:rPr>
        <w:t xml:space="preserve">The total par amount of bonds that may be issued by the Issuer under the </w:t>
      </w:r>
      <w:r w:rsidRPr="00D52CB7" w:rsidR="005E7D21">
        <w:rPr>
          <w:rFonts w:cs="Calibri"/>
          <w:color w:val="212121"/>
        </w:rPr>
        <w:t>CSCE</w:t>
      </w:r>
      <w:r w:rsidRPr="00D52CB7">
        <w:rPr>
          <w:rFonts w:cs="Calibri"/>
          <w:color w:val="212121"/>
        </w:rPr>
        <w:t xml:space="preserve"> Program is limited as set forth in Section 53G-5-609 of </w:t>
      </w:r>
      <w:r w:rsidRPr="00D52CB7" w:rsidR="00BB3FAE">
        <w:rPr>
          <w:rFonts w:cs="Calibri"/>
          <w:color w:val="212121"/>
        </w:rPr>
        <w:t>the Charter School Act</w:t>
      </w:r>
      <w:r w:rsidRPr="00D52CB7">
        <w:rPr>
          <w:rFonts w:cs="Calibri"/>
          <w:color w:val="212121"/>
        </w:rPr>
        <w:t xml:space="preserve">. On or before January 1 of each year, the </w:t>
      </w:r>
      <w:r w:rsidRPr="00D52CB7" w:rsidR="00670754">
        <w:rPr>
          <w:rFonts w:cs="Calibri"/>
          <w:color w:val="212121"/>
        </w:rPr>
        <w:t>Issuer</w:t>
      </w:r>
      <w:r w:rsidRPr="00D52CB7">
        <w:rPr>
          <w:rFonts w:cs="Calibri"/>
          <w:color w:val="212121"/>
        </w:rPr>
        <w:t xml:space="preserve"> is required to determine the bond issuance limitation pursuant to Section 53G-5-609, and the </w:t>
      </w:r>
      <w:r w:rsidRPr="00D52CB7" w:rsidR="00670754">
        <w:rPr>
          <w:rFonts w:cs="Calibri"/>
          <w:color w:val="212121"/>
        </w:rPr>
        <w:t>Issuer</w:t>
      </w:r>
      <w:r w:rsidRPr="00D52CB7">
        <w:rPr>
          <w:rFonts w:cs="Calibri"/>
          <w:color w:val="212121"/>
        </w:rPr>
        <w:t xml:space="preserve"> may not issue bonds under the </w:t>
      </w:r>
      <w:r w:rsidRPr="00D52CB7" w:rsidR="005E7D21">
        <w:rPr>
          <w:rFonts w:cs="Calibri"/>
          <w:color w:val="212121"/>
        </w:rPr>
        <w:t xml:space="preserve">CSCE </w:t>
      </w:r>
      <w:r w:rsidRPr="00D52CB7">
        <w:rPr>
          <w:rFonts w:cs="Calibri"/>
          <w:color w:val="212121"/>
        </w:rPr>
        <w:t xml:space="preserve">Program if the total par amount </w:t>
      </w:r>
      <w:r w:rsidRPr="00D52CB7">
        <w:rPr>
          <w:rFonts w:cs="Calibri"/>
          <w:color w:val="212121"/>
        </w:rPr>
        <w:lastRenderedPageBreak/>
        <w:t xml:space="preserve">outstanding under the </w:t>
      </w:r>
      <w:r w:rsidRPr="00D52CB7" w:rsidR="005E7D21">
        <w:rPr>
          <w:rFonts w:cs="Calibri"/>
          <w:color w:val="212121"/>
        </w:rPr>
        <w:t xml:space="preserve">CSCE </w:t>
      </w:r>
      <w:r w:rsidRPr="00D52CB7">
        <w:rPr>
          <w:rFonts w:cs="Calibri"/>
          <w:color w:val="212121"/>
        </w:rPr>
        <w:t>Program would exceed such limitation</w:t>
      </w:r>
      <w:r w:rsidRPr="00D52CB7" w:rsidR="00743467">
        <w:t xml:space="preserve">. </w:t>
      </w:r>
      <w:r w:rsidRPr="00D52CB7" w:rsidR="00E4139E">
        <w:t xml:space="preserve"> </w:t>
      </w:r>
      <w:r w:rsidRPr="00D52CB7" w:rsidR="00F84486">
        <w:t>As of</w:t>
      </w:r>
      <w:r w:rsidRPr="00D52CB7" w:rsidR="00743467">
        <w:rPr>
          <w:szCs w:val="22"/>
        </w:rPr>
        <w:t xml:space="preserve"> </w:t>
      </w:r>
      <w:r w:rsidR="00631E13">
        <w:rPr>
          <w:szCs w:val="22"/>
        </w:rPr>
        <w:t>November 1, 2025</w:t>
      </w:r>
      <w:r w:rsidRPr="00D52CB7" w:rsidR="00743467">
        <w:rPr>
          <w:szCs w:val="22"/>
        </w:rPr>
        <w:t xml:space="preserve">, the total par amount of bonds that </w:t>
      </w:r>
      <w:r w:rsidRPr="00D52CB7" w:rsidR="00911952">
        <w:rPr>
          <w:szCs w:val="22"/>
        </w:rPr>
        <w:t>may</w:t>
      </w:r>
      <w:r w:rsidRPr="00D52CB7" w:rsidR="00743467">
        <w:rPr>
          <w:szCs w:val="22"/>
        </w:rPr>
        <w:t xml:space="preserve"> be issued by the Issuer under the </w:t>
      </w:r>
      <w:r w:rsidRPr="00D52CB7" w:rsidR="005E7D21">
        <w:rPr>
          <w:rFonts w:cs="Calibri"/>
          <w:color w:val="212121"/>
        </w:rPr>
        <w:t xml:space="preserve">CSCE </w:t>
      </w:r>
      <w:r w:rsidRPr="00D52CB7" w:rsidR="00743467">
        <w:rPr>
          <w:szCs w:val="22"/>
        </w:rPr>
        <w:t>Program</w:t>
      </w:r>
      <w:r w:rsidRPr="00D52CB7" w:rsidR="00911952">
        <w:rPr>
          <w:szCs w:val="22"/>
        </w:rPr>
        <w:t xml:space="preserve"> pursuant to </w:t>
      </w:r>
      <w:r w:rsidRPr="00D52CB7" w:rsidR="00BB3FAE">
        <w:rPr>
          <w:szCs w:val="22"/>
        </w:rPr>
        <w:t>the Charter School Act</w:t>
      </w:r>
      <w:r w:rsidRPr="00D52CB7" w:rsidR="00911952">
        <w:rPr>
          <w:szCs w:val="22"/>
        </w:rPr>
        <w:t>,</w:t>
      </w:r>
      <w:r w:rsidRPr="00D52CB7" w:rsidR="00743467">
        <w:rPr>
          <w:szCs w:val="22"/>
        </w:rPr>
        <w:t xml:space="preserve"> </w:t>
      </w:r>
      <w:r w:rsidRPr="00D52CB7" w:rsidR="00911952">
        <w:rPr>
          <w:szCs w:val="22"/>
        </w:rPr>
        <w:t xml:space="preserve">will </w:t>
      </w:r>
      <w:r w:rsidRPr="00D52CB7" w:rsidR="00F84486">
        <w:rPr>
          <w:szCs w:val="22"/>
        </w:rPr>
        <w:t xml:space="preserve">be </w:t>
      </w:r>
      <w:r w:rsidRPr="00D52CB7" w:rsidR="00C75874">
        <w:rPr>
          <w:szCs w:val="22"/>
        </w:rPr>
        <w:t>$</w:t>
      </w:r>
      <w:r w:rsidRPr="00D52CB7" w:rsidR="00911952">
        <w:rPr>
          <w:szCs w:val="22"/>
        </w:rPr>
        <w:t>________</w:t>
      </w:r>
      <w:r w:rsidRPr="00D52CB7" w:rsidR="00E1113B">
        <w:rPr>
          <w:szCs w:val="22"/>
        </w:rPr>
        <w:t xml:space="preserve">, </w:t>
      </w:r>
      <w:r w:rsidRPr="00D52CB7" w:rsidR="00743467">
        <w:rPr>
          <w:szCs w:val="22"/>
        </w:rPr>
        <w:t xml:space="preserve">and the </w:t>
      </w:r>
      <w:r w:rsidRPr="00D52CB7" w:rsidR="00911952">
        <w:rPr>
          <w:szCs w:val="22"/>
        </w:rPr>
        <w:t xml:space="preserve">currently </w:t>
      </w:r>
      <w:r w:rsidRPr="00D52CB7" w:rsidR="00743467">
        <w:rPr>
          <w:szCs w:val="22"/>
        </w:rPr>
        <w:t xml:space="preserve">outstanding par amount of bonds issued under the </w:t>
      </w:r>
      <w:r w:rsidRPr="00D52CB7" w:rsidR="005E7D21">
        <w:rPr>
          <w:rFonts w:cs="Calibri"/>
          <w:color w:val="212121"/>
        </w:rPr>
        <w:t xml:space="preserve">CSCE </w:t>
      </w:r>
      <w:r w:rsidRPr="00D52CB7" w:rsidR="00743467">
        <w:rPr>
          <w:szCs w:val="22"/>
        </w:rPr>
        <w:t>Program</w:t>
      </w:r>
      <w:r w:rsidRPr="00D52CB7" w:rsidR="00F84486">
        <w:rPr>
          <w:szCs w:val="22"/>
        </w:rPr>
        <w:t xml:space="preserve"> (excluding the Series 2025 Bonds)</w:t>
      </w:r>
      <w:r w:rsidRPr="00D52CB7" w:rsidR="00743467">
        <w:rPr>
          <w:szCs w:val="22"/>
        </w:rPr>
        <w:t xml:space="preserve"> </w:t>
      </w:r>
      <w:r w:rsidRPr="00D52CB7" w:rsidR="00911952">
        <w:rPr>
          <w:szCs w:val="22"/>
        </w:rPr>
        <w:t>is</w:t>
      </w:r>
      <w:r w:rsidRPr="00D52CB7" w:rsidR="00743467">
        <w:rPr>
          <w:szCs w:val="22"/>
        </w:rPr>
        <w:t xml:space="preserve"> </w:t>
      </w:r>
      <w:r w:rsidRPr="00D52CB7" w:rsidR="00E1113B">
        <w:rPr>
          <w:szCs w:val="22"/>
        </w:rPr>
        <w:t>$</w:t>
      </w:r>
      <w:r w:rsidRPr="00D52CB7" w:rsidR="00911952">
        <w:rPr>
          <w:szCs w:val="22"/>
        </w:rPr>
        <w:t>________</w:t>
      </w:r>
      <w:r w:rsidRPr="00D52CB7" w:rsidR="00743467">
        <w:rPr>
          <w:szCs w:val="22"/>
        </w:rPr>
        <w:t>.</w:t>
      </w:r>
    </w:p>
    <w:p w:rsidRPr="00D52CB7" w:rsidR="00743467" w:rsidP="00743467" w:rsidRDefault="00743467" w14:paraId="3F63EF46" w14:textId="77777777">
      <w:pPr>
        <w:pStyle w:val="ParaNORMAL"/>
      </w:pPr>
      <w:r w:rsidRPr="00D52CB7">
        <w:rPr>
          <w:i/>
          <w:szCs w:val="21"/>
        </w:rPr>
        <w:t>Provisions in the Indenture and the Loan Agreement Relating to the Credit Enhancement Program.</w:t>
      </w:r>
      <w:r w:rsidRPr="00D52CB7">
        <w:rPr>
          <w:szCs w:val="21"/>
        </w:rPr>
        <w:t xml:space="preserve">  </w:t>
      </w:r>
      <w:r w:rsidRPr="00D52CB7">
        <w:t>Notwithstanding any other provision of the Indenture or Loan Agreement to the contrary, so long as any Bonds remain outstanding and there has not been a Non</w:t>
      </w:r>
      <w:r w:rsidRPr="00D52CB7">
        <w:noBreakHyphen/>
        <w:t>Appropriation that is continuing the following provisions shall apply:</w:t>
      </w:r>
    </w:p>
    <w:p w:rsidRPr="00D52CB7" w:rsidR="00743467" w:rsidP="00743467" w:rsidRDefault="00743467" w14:paraId="77DF1A15" w14:textId="5E49AC4D">
      <w:pPr>
        <w:pStyle w:val="SubParaLevel1"/>
      </w:pPr>
      <w:r w:rsidRPr="00D52CB7">
        <w:tab/>
        <w:t>(a)</w:t>
      </w:r>
      <w:r w:rsidRPr="00D52CB7">
        <w:tab/>
        <w:t xml:space="preserve">The maturity of the </w:t>
      </w:r>
      <w:r w:rsidRPr="00D52CB7" w:rsidR="00B935C1">
        <w:t xml:space="preserve">Series </w:t>
      </w:r>
      <w:r w:rsidRPr="00D52CB7" w:rsidR="00D50213">
        <w:t>2025</w:t>
      </w:r>
      <w:r w:rsidRPr="00D52CB7" w:rsidR="00B935C1">
        <w:t xml:space="preserve"> Bond</w:t>
      </w:r>
      <w:r w:rsidRPr="00D52CB7">
        <w:t xml:space="preserve">s shall not be accelerated or the </w:t>
      </w:r>
      <w:r w:rsidRPr="00D52CB7" w:rsidR="00B935C1">
        <w:t xml:space="preserve">Series </w:t>
      </w:r>
      <w:r w:rsidRPr="00D52CB7" w:rsidR="00D50213">
        <w:t>2025</w:t>
      </w:r>
      <w:r w:rsidRPr="00D52CB7" w:rsidR="00B935C1">
        <w:t xml:space="preserve"> Bond</w:t>
      </w:r>
      <w:r w:rsidRPr="00D52CB7">
        <w:t xml:space="preserve">s redeemed pursuant to the Indenture, nor shall the maturity of the loan with respect to the </w:t>
      </w:r>
      <w:r w:rsidRPr="00D52CB7" w:rsidR="00B935C1">
        <w:t xml:space="preserve">Series </w:t>
      </w:r>
      <w:r w:rsidRPr="00D52CB7" w:rsidR="00D50213">
        <w:t>2025</w:t>
      </w:r>
      <w:r w:rsidRPr="00D52CB7" w:rsidR="00B935C1">
        <w:t xml:space="preserve"> Bond</w:t>
      </w:r>
      <w:r w:rsidRPr="00D52CB7">
        <w:t>s be accelerated pursuant to the Loan Agreement, without the prior written consent of the Issuer.</w:t>
      </w:r>
    </w:p>
    <w:p w:rsidRPr="00D52CB7" w:rsidR="00743467" w:rsidP="00743467" w:rsidRDefault="00743467" w14:paraId="44F886AC" w14:textId="7DC250FB">
      <w:pPr>
        <w:pStyle w:val="SubParaLevel1"/>
      </w:pPr>
      <w:r w:rsidRPr="00D52CB7">
        <w:tab/>
        <w:t>(b)</w:t>
      </w:r>
      <w:r w:rsidRPr="00D52CB7">
        <w:tab/>
        <w:t xml:space="preserve">If there has been an appropriation under the CSCE Program for the benefit of the Charter School that has not been reimbursed by the Charter School, the Issuer shall be deemed to be the sole Owner of the </w:t>
      </w:r>
      <w:r w:rsidRPr="00D52CB7" w:rsidR="00B935C1">
        <w:t xml:space="preserve">Series </w:t>
      </w:r>
      <w:r w:rsidRPr="00D52CB7" w:rsidR="00D50213">
        <w:t>2025</w:t>
      </w:r>
      <w:r w:rsidRPr="00D52CB7" w:rsidR="00B935C1">
        <w:t xml:space="preserve"> Bond</w:t>
      </w:r>
      <w:r w:rsidRPr="00D52CB7">
        <w:t xml:space="preserve">s for the purpose of exercising any voting right or privilege or giving any consent or direction or taking any other action that the Owners of the </w:t>
      </w:r>
      <w:r w:rsidRPr="00D52CB7" w:rsidR="00B935C1">
        <w:t xml:space="preserve">Series </w:t>
      </w:r>
      <w:r w:rsidRPr="00D52CB7" w:rsidR="00D50213">
        <w:t>2025</w:t>
      </w:r>
      <w:r w:rsidRPr="00D52CB7" w:rsidR="00B935C1">
        <w:t xml:space="preserve"> Bond</w:t>
      </w:r>
      <w:r w:rsidRPr="00D52CB7">
        <w:t>s are entitled to take pursuant to the Loan Agreement, the Deed of Trust, and any other document related thereto.</w:t>
      </w:r>
    </w:p>
    <w:p w:rsidRPr="00D52CB7" w:rsidR="00743467" w:rsidP="00743467" w:rsidRDefault="00743467" w14:paraId="0D5355D2" w14:textId="77777777">
      <w:pPr>
        <w:pStyle w:val="SubParaLevel1"/>
      </w:pPr>
      <w:r w:rsidRPr="00D52CB7">
        <w:tab/>
        <w:t>(c)</w:t>
      </w:r>
      <w:r w:rsidRPr="00D52CB7">
        <w:tab/>
        <w:t>To the extent not otherwise required, the Charter School shall pay or reimburse the Issuer any and all charges, fees, costs and expenses which the Issuer may reasonably pay or incur in connection with (i) the administration, enforcement, defense, or preservation of any rights or security in the Indenture or Loan Agreement, (ii) the pursuit of any remedies under the Indenture, the Loan Agreement, or any other related document or otherwise afforded by law or equity, (iii) any amendment, waiver or other action with respect to, or related to, the Indenture, the Loan Agreement or any other related document, whether or not executed or completed, or (iv) any litigation or other dispute in connection with the Indenture, the Loan Agreement or the transactions contemplated thereby.</w:t>
      </w:r>
    </w:p>
    <w:p w:rsidRPr="00D52CB7" w:rsidR="00743467" w:rsidP="00743467" w:rsidRDefault="00743467" w14:paraId="51100AE4" w14:textId="77777777">
      <w:pPr>
        <w:pStyle w:val="SubParaLevel1"/>
      </w:pPr>
      <w:r w:rsidRPr="00D52CB7">
        <w:tab/>
        <w:t>(d)</w:t>
      </w:r>
      <w:r w:rsidRPr="00D52CB7">
        <w:tab/>
        <w:t>The Indenture shall not be discharged and the Loan Agreement shall not be terminated until all obligations of the Charter School owing to the Issuer or the State under the CSCE Program or otherwise shall have been paid in full.  The Charter School’s obligation to pay such amounts shall expressly survive payment in full of the Bonds.</w:t>
      </w:r>
    </w:p>
    <w:p w:rsidRPr="00D52CB7" w:rsidR="00743467" w:rsidP="00743467" w:rsidRDefault="00743467" w14:paraId="6F7EB01B" w14:textId="77777777">
      <w:pPr>
        <w:pStyle w:val="TitleCenterBold"/>
      </w:pPr>
      <w:r w:rsidRPr="00D52CB7">
        <w:t>Plan of Refunding</w:t>
      </w:r>
      <w:r w:rsidRPr="00D52CB7">
        <w:fldChar w:fldCharType="begin"/>
      </w:r>
      <w:r w:rsidRPr="00D52CB7">
        <w:instrText>tc "</w:instrText>
      </w:r>
      <w:bookmarkStart w:name="_Toc195093854" w:id="68"/>
      <w:r w:rsidRPr="00D52CB7">
        <w:instrText>Plan of Refunding</w:instrText>
      </w:r>
      <w:bookmarkEnd w:id="68"/>
      <w:r w:rsidRPr="00D52CB7">
        <w:instrText>" \f C \l 1</w:instrText>
      </w:r>
      <w:r w:rsidRPr="00D52CB7">
        <w:fldChar w:fldCharType="end"/>
      </w:r>
    </w:p>
    <w:p w:rsidRPr="00D52CB7" w:rsidR="00490BB2" w:rsidP="00490BB2" w:rsidRDefault="00743467" w14:paraId="1FF9588F" w14:textId="7E9924A6">
      <w:pPr>
        <w:pStyle w:val="ParaNORMAL"/>
      </w:pPr>
      <w:r w:rsidRPr="00D52CB7">
        <w:t xml:space="preserve">The Refunded </w:t>
      </w:r>
      <w:r w:rsidRPr="00D52CB7" w:rsidR="00C00CA1">
        <w:t>Bonds</w:t>
      </w:r>
      <w:r w:rsidRPr="00D52CB7">
        <w:t xml:space="preserve"> are currently outstanding in the aggregate principal amount of $</w:t>
      </w:r>
      <w:r w:rsidRPr="00D52CB7" w:rsidR="00C00CA1">
        <w:t>_________</w:t>
      </w:r>
      <w:r w:rsidRPr="00D52CB7">
        <w:t xml:space="preserve">.  A portion of the proceeds of the </w:t>
      </w:r>
      <w:r w:rsidRPr="00D52CB7" w:rsidR="00B935C1">
        <w:t xml:space="preserve">Series </w:t>
      </w:r>
      <w:r w:rsidRPr="00D52CB7" w:rsidR="00D50213">
        <w:t>2025</w:t>
      </w:r>
      <w:r w:rsidRPr="00D52CB7" w:rsidR="00B935C1">
        <w:t xml:space="preserve"> Bond</w:t>
      </w:r>
      <w:r w:rsidRPr="00D52CB7">
        <w:t xml:space="preserve">s will be </w:t>
      </w:r>
      <w:r w:rsidRPr="00D52CB7" w:rsidR="00C731B7">
        <w:t>used</w:t>
      </w:r>
      <w:r w:rsidRPr="00D52CB7">
        <w:t xml:space="preserve"> to</w:t>
      </w:r>
      <w:r w:rsidRPr="00D52CB7" w:rsidR="0062157B">
        <w:t xml:space="preserve"> refund the </w:t>
      </w:r>
      <w:r w:rsidRPr="00D52CB7" w:rsidR="00C00CA1">
        <w:t>Refunded Bonds</w:t>
      </w:r>
      <w:r w:rsidRPr="00D52CB7" w:rsidR="0062157B">
        <w:t xml:space="preserve"> by</w:t>
      </w:r>
      <w:r w:rsidRPr="00D52CB7">
        <w:t xml:space="preserve"> pay</w:t>
      </w:r>
      <w:r w:rsidRPr="00D52CB7" w:rsidR="00352E2B">
        <w:t>ing the</w:t>
      </w:r>
      <w:r w:rsidRPr="00D52CB7">
        <w:t xml:space="preserve"> principal of and </w:t>
      </w:r>
      <w:r w:rsidRPr="00D52CB7" w:rsidR="00352E2B">
        <w:t xml:space="preserve">accrued </w:t>
      </w:r>
      <w:r w:rsidRPr="00D52CB7">
        <w:t xml:space="preserve">interest on the </w:t>
      </w:r>
      <w:r w:rsidRPr="00D52CB7" w:rsidR="00C00CA1">
        <w:t>Refunded Bonds</w:t>
      </w:r>
      <w:r w:rsidRPr="00D52CB7">
        <w:t xml:space="preserve"> </w:t>
      </w:r>
      <w:r w:rsidRPr="00D52CB7" w:rsidR="00352E2B">
        <w:t xml:space="preserve">on the date of issuance of the </w:t>
      </w:r>
      <w:r w:rsidRPr="00D52CB7" w:rsidR="00B935C1">
        <w:t xml:space="preserve">Series </w:t>
      </w:r>
      <w:r w:rsidRPr="00D52CB7" w:rsidR="00D50213">
        <w:t>2025</w:t>
      </w:r>
      <w:r w:rsidRPr="00D52CB7" w:rsidR="00B935C1">
        <w:t xml:space="preserve"> Bond</w:t>
      </w:r>
      <w:r w:rsidRPr="00D52CB7" w:rsidR="003250E7">
        <w:t>s</w:t>
      </w:r>
      <w:r w:rsidRPr="00D52CB7" w:rsidR="00352E2B">
        <w:t xml:space="preserve">. </w:t>
      </w:r>
    </w:p>
    <w:p w:rsidRPr="00D52CB7" w:rsidR="00743467" w:rsidP="00743467" w:rsidRDefault="00743467" w14:paraId="588EC65C" w14:textId="77777777">
      <w:pPr>
        <w:pStyle w:val="TitleCenterBold"/>
      </w:pPr>
      <w:r w:rsidRPr="00D52CB7">
        <w:lastRenderedPageBreak/>
        <w:t>Sources and Uses of Funds</w:t>
      </w:r>
      <w:r w:rsidRPr="00D52CB7">
        <w:fldChar w:fldCharType="begin"/>
      </w:r>
      <w:r w:rsidRPr="00D52CB7">
        <w:instrText>tc "</w:instrText>
      </w:r>
      <w:bookmarkStart w:name="_Toc156025677" w:id="69"/>
      <w:bookmarkStart w:name="_Toc195093855" w:id="70"/>
      <w:r w:rsidRPr="00D52CB7">
        <w:instrText>Sources and Uses of Funds</w:instrText>
      </w:r>
      <w:bookmarkEnd w:id="69"/>
      <w:bookmarkEnd w:id="70"/>
      <w:r w:rsidRPr="00D52CB7">
        <w:instrText>" \f C \l 1</w:instrText>
      </w:r>
      <w:r w:rsidRPr="00D52CB7">
        <w:fldChar w:fldCharType="end"/>
      </w:r>
    </w:p>
    <w:p w:rsidRPr="00D52CB7" w:rsidR="00743467" w:rsidP="00743467" w:rsidRDefault="00743467" w14:paraId="785C8E7C" w14:textId="0DFC1318">
      <w:pPr>
        <w:pStyle w:val="ParaNORMAL"/>
        <w:keepNext/>
        <w:keepLines/>
      </w:pPr>
      <w:r w:rsidRPr="00D52CB7">
        <w:t xml:space="preserve">The following table sets forth the estimated sources and uses of funds from the proceeds of sale of the </w:t>
      </w:r>
      <w:r w:rsidRPr="00D52CB7" w:rsidR="00B935C1">
        <w:t xml:space="preserve">Series </w:t>
      </w:r>
      <w:r w:rsidRPr="00D52CB7" w:rsidR="00D50213">
        <w:t>2025</w:t>
      </w:r>
      <w:r w:rsidRPr="00D52CB7" w:rsidR="00B935C1">
        <w:t xml:space="preserve"> Bond</w:t>
      </w:r>
      <w:r w:rsidRPr="00D52CB7">
        <w:t>s and other sources:</w:t>
      </w:r>
    </w:p>
    <w:p w:rsidRPr="00D52CB7" w:rsidR="00743467" w:rsidP="00743467" w:rsidRDefault="00743467" w14:paraId="11D32DCD" w14:textId="77777777">
      <w:pPr>
        <w:pStyle w:val="TitleLeft"/>
        <w:keepLines/>
        <w:spacing w:before="200"/>
        <w:rPr>
          <w:smallCaps w:val="0"/>
        </w:rPr>
      </w:pPr>
      <w:bookmarkStart w:name="_DV_C138" w:id="71"/>
      <w:r w:rsidRPr="00D52CB7">
        <w:rPr>
          <w:rStyle w:val="DeltaViewDeletion"/>
          <w:strike w:val="0"/>
          <w:color w:val="000000"/>
        </w:rPr>
        <w:t>Sources:</w:t>
      </w:r>
      <w:bookmarkEnd w:id="71"/>
    </w:p>
    <w:p w:rsidRPr="00D52CB7" w:rsidR="00743467" w:rsidP="00743467" w:rsidRDefault="00743467" w14:paraId="6D90C399" w14:textId="77777777">
      <w:pPr>
        <w:keepNext/>
        <w:keepLines/>
        <w:rPr>
          <w:rFonts w:ascii="Times" w:hAnsi="Times"/>
        </w:rPr>
      </w:pPr>
    </w:p>
    <w:tbl>
      <w:tblPr>
        <w:tblW w:w="11070" w:type="dxa"/>
        <w:tblInd w:w="-540" w:type="dxa"/>
        <w:tblLayout w:type="fixed"/>
        <w:tblCellMar>
          <w:left w:w="80" w:type="dxa"/>
          <w:right w:w="80" w:type="dxa"/>
        </w:tblCellMar>
        <w:tblLook w:val="0000" w:firstRow="0" w:lastRow="0" w:firstColumn="0" w:lastColumn="0" w:noHBand="0" w:noVBand="0"/>
      </w:tblPr>
      <w:tblGrid>
        <w:gridCol w:w="6750"/>
        <w:gridCol w:w="2160"/>
        <w:gridCol w:w="2160"/>
      </w:tblGrid>
      <w:tr w:rsidRPr="00D52CB7" w:rsidR="00570A77" w:rsidTr="00570A77" w14:paraId="15FE09A8" w14:textId="046C1779">
        <w:tc>
          <w:tcPr>
            <w:tcW w:w="6750" w:type="dxa"/>
          </w:tcPr>
          <w:p w:rsidRPr="00D52CB7" w:rsidR="00570A77" w:rsidP="00FB7E2D" w:rsidRDefault="00570A77" w14:paraId="65ACB246" w14:textId="77777777">
            <w:pPr>
              <w:keepNext/>
              <w:keepLines/>
              <w:tabs>
                <w:tab w:val="left" w:pos="5856"/>
              </w:tabs>
              <w:ind w:left="366" w:hanging="360"/>
              <w:rPr>
                <w:rFonts w:ascii="Times" w:hAnsi="Times"/>
              </w:rPr>
            </w:pPr>
          </w:p>
        </w:tc>
        <w:tc>
          <w:tcPr>
            <w:tcW w:w="2160" w:type="dxa"/>
          </w:tcPr>
          <w:p w:rsidRPr="00D52CB7" w:rsidR="00570A77" w:rsidP="00FB7E2D" w:rsidRDefault="00570A77" w14:paraId="2D4024A3" w14:textId="2A95C2A7">
            <w:pPr>
              <w:jc w:val="center"/>
              <w:rPr>
                <w:rFonts w:ascii="Times" w:hAnsi="Times"/>
                <w:b/>
                <w:bCs/>
              </w:rPr>
            </w:pPr>
            <w:r w:rsidRPr="00D52CB7">
              <w:rPr>
                <w:rFonts w:ascii="Times" w:hAnsi="Times"/>
                <w:b/>
                <w:bCs/>
              </w:rPr>
              <w:t>Series 2025A</w:t>
            </w:r>
          </w:p>
        </w:tc>
        <w:tc>
          <w:tcPr>
            <w:tcW w:w="2160" w:type="dxa"/>
          </w:tcPr>
          <w:p w:rsidRPr="00D52CB7" w:rsidR="00570A77" w:rsidP="00FB7E2D" w:rsidRDefault="00570A77" w14:paraId="41CD2BB6" w14:textId="10907687">
            <w:pPr>
              <w:jc w:val="center"/>
              <w:rPr>
                <w:rFonts w:ascii="Times" w:hAnsi="Times"/>
                <w:b/>
                <w:bCs/>
              </w:rPr>
            </w:pPr>
            <w:r w:rsidRPr="00D52CB7">
              <w:rPr>
                <w:rFonts w:ascii="Times" w:hAnsi="Times"/>
                <w:b/>
                <w:bCs/>
              </w:rPr>
              <w:t>Series 2025B</w:t>
            </w:r>
          </w:p>
        </w:tc>
      </w:tr>
      <w:tr w:rsidRPr="00D52CB7" w:rsidR="00570A77" w:rsidTr="00570A77" w14:paraId="64FB66C5" w14:textId="7712CC24">
        <w:tc>
          <w:tcPr>
            <w:tcW w:w="6750" w:type="dxa"/>
          </w:tcPr>
          <w:p w:rsidRPr="00D52CB7" w:rsidR="00570A77" w:rsidP="00570A77" w:rsidRDefault="00570A77" w14:paraId="4DC53132" w14:textId="1EBDE561">
            <w:pPr>
              <w:keepNext/>
              <w:keepLines/>
              <w:tabs>
                <w:tab w:val="left" w:leader="dot" w:pos="6482"/>
              </w:tabs>
              <w:ind w:left="366" w:hanging="360"/>
              <w:rPr>
                <w:rFonts w:ascii="Times" w:hAnsi="Times"/>
              </w:rPr>
            </w:pPr>
            <w:r w:rsidRPr="00D52CB7">
              <w:rPr>
                <w:rFonts w:ascii="Times" w:hAnsi="Times"/>
              </w:rPr>
              <w:t>Principal Amount of Series 2025 Bonds</w:t>
            </w:r>
            <w:r w:rsidRPr="00D52CB7">
              <w:rPr>
                <w:rFonts w:ascii="Times" w:hAnsi="Times"/>
              </w:rPr>
              <w:tab/>
            </w:r>
          </w:p>
        </w:tc>
        <w:tc>
          <w:tcPr>
            <w:tcW w:w="2160" w:type="dxa"/>
          </w:tcPr>
          <w:p w:rsidRPr="00D52CB7" w:rsidR="00570A77" w:rsidP="00570A77" w:rsidRDefault="00570A77" w14:paraId="20FD29BA" w14:textId="19EBEDE4">
            <w:pPr>
              <w:tabs>
                <w:tab w:val="decimal" w:pos="1360"/>
              </w:tabs>
              <w:rPr>
                <w:rFonts w:ascii="Times" w:hAnsi="Times"/>
              </w:rPr>
            </w:pPr>
            <w:r w:rsidRPr="00D52CB7">
              <w:rPr>
                <w:rFonts w:ascii="Times" w:hAnsi="Times"/>
              </w:rPr>
              <w:t xml:space="preserve">$  </w:t>
            </w:r>
          </w:p>
        </w:tc>
        <w:tc>
          <w:tcPr>
            <w:tcW w:w="2160" w:type="dxa"/>
          </w:tcPr>
          <w:p w:rsidRPr="00D52CB7" w:rsidR="00570A77" w:rsidP="00570A77" w:rsidRDefault="00570A77" w14:paraId="272E77EB" w14:textId="406BE05D">
            <w:pPr>
              <w:tabs>
                <w:tab w:val="decimal" w:pos="1360"/>
              </w:tabs>
              <w:rPr>
                <w:rFonts w:ascii="Times" w:hAnsi="Times"/>
              </w:rPr>
            </w:pPr>
            <w:r w:rsidRPr="00D52CB7">
              <w:rPr>
                <w:rFonts w:ascii="Times" w:hAnsi="Times"/>
              </w:rPr>
              <w:t xml:space="preserve">$  </w:t>
            </w:r>
          </w:p>
        </w:tc>
      </w:tr>
      <w:tr w:rsidRPr="00D52CB7" w:rsidR="00570A77" w:rsidTr="00570A77" w14:paraId="623CBF12" w14:textId="3CBB28FF">
        <w:tc>
          <w:tcPr>
            <w:tcW w:w="6750" w:type="dxa"/>
          </w:tcPr>
          <w:p w:rsidRPr="00D52CB7" w:rsidR="00570A77" w:rsidP="00570A77" w:rsidRDefault="00570A77" w14:paraId="1BA27966" w14:textId="4E9AEE6C">
            <w:pPr>
              <w:keepNext/>
              <w:keepLines/>
              <w:tabs>
                <w:tab w:val="left" w:leader="dot" w:pos="6482"/>
              </w:tabs>
              <w:ind w:left="366" w:hanging="360"/>
              <w:rPr>
                <w:rFonts w:ascii="Times" w:hAnsi="Times"/>
              </w:rPr>
            </w:pPr>
            <w:r w:rsidRPr="00D52CB7">
              <w:rPr>
                <w:rFonts w:ascii="Times" w:hAnsi="Times"/>
              </w:rPr>
              <w:t>Transfers with respect to the Refunded Bonds</w:t>
            </w:r>
            <w:r w:rsidRPr="00D52CB7">
              <w:rPr>
                <w:rFonts w:ascii="Times" w:hAnsi="Times"/>
              </w:rPr>
              <w:tab/>
            </w:r>
          </w:p>
        </w:tc>
        <w:tc>
          <w:tcPr>
            <w:tcW w:w="2160" w:type="dxa"/>
          </w:tcPr>
          <w:p w:rsidRPr="00D52CB7" w:rsidR="00570A77" w:rsidP="00570A77" w:rsidRDefault="00570A77" w14:paraId="4317EBC3" w14:textId="4E48BA7A">
            <w:pPr>
              <w:tabs>
                <w:tab w:val="decimal" w:pos="1360"/>
              </w:tabs>
              <w:rPr>
                <w:rFonts w:ascii="Times" w:hAnsi="Times"/>
                <w:u w:val="single"/>
              </w:rPr>
            </w:pPr>
            <w:r w:rsidRPr="00D52CB7">
              <w:rPr>
                <w:rFonts w:ascii="Times" w:hAnsi="Times"/>
                <w:u w:val="single"/>
              </w:rPr>
              <w:t xml:space="preserve"> </w:t>
            </w:r>
          </w:p>
        </w:tc>
        <w:tc>
          <w:tcPr>
            <w:tcW w:w="2160" w:type="dxa"/>
          </w:tcPr>
          <w:p w:rsidRPr="00D52CB7" w:rsidR="00570A77" w:rsidP="00570A77" w:rsidRDefault="00570A77" w14:paraId="73208212" w14:textId="058B35B1">
            <w:pPr>
              <w:tabs>
                <w:tab w:val="decimal" w:pos="1360"/>
              </w:tabs>
              <w:rPr>
                <w:rFonts w:ascii="Times" w:hAnsi="Times"/>
                <w:u w:val="single"/>
              </w:rPr>
            </w:pPr>
            <w:r w:rsidRPr="00D52CB7">
              <w:rPr>
                <w:rFonts w:ascii="Times" w:hAnsi="Times"/>
                <w:u w:val="single"/>
              </w:rPr>
              <w:t xml:space="preserve"> </w:t>
            </w:r>
          </w:p>
        </w:tc>
      </w:tr>
      <w:tr w:rsidRPr="00D52CB7" w:rsidR="00570A77" w:rsidTr="00570A77" w14:paraId="1E07244D" w14:textId="412AD8A9">
        <w:trPr>
          <w:trHeight w:val="432"/>
        </w:trPr>
        <w:tc>
          <w:tcPr>
            <w:tcW w:w="6750" w:type="dxa"/>
          </w:tcPr>
          <w:p w:rsidRPr="00D52CB7" w:rsidR="00570A77" w:rsidP="00570A77" w:rsidRDefault="00570A77" w14:paraId="2BB37E73" w14:textId="77777777">
            <w:pPr>
              <w:keepNext/>
              <w:keepLines/>
              <w:tabs>
                <w:tab w:val="left" w:pos="1440"/>
                <w:tab w:val="left" w:leader="dot" w:pos="6482"/>
              </w:tabs>
              <w:spacing w:before="140" w:after="40"/>
              <w:ind w:left="1356"/>
              <w:rPr>
                <w:rFonts w:ascii="Times" w:hAnsi="Times"/>
                <w:smallCaps/>
              </w:rPr>
            </w:pPr>
            <w:r w:rsidRPr="00D52CB7">
              <w:rPr>
                <w:rFonts w:ascii="Times" w:hAnsi="Times"/>
                <w:smallCaps/>
              </w:rPr>
              <w:t>Total</w:t>
            </w:r>
            <w:r w:rsidRPr="00D52CB7">
              <w:rPr>
                <w:rFonts w:ascii="Times" w:hAnsi="Times"/>
                <w:smallCaps/>
              </w:rPr>
              <w:tab/>
            </w:r>
          </w:p>
        </w:tc>
        <w:tc>
          <w:tcPr>
            <w:tcW w:w="2160" w:type="dxa"/>
          </w:tcPr>
          <w:p w:rsidRPr="00D52CB7" w:rsidR="00570A77" w:rsidP="00570A77" w:rsidRDefault="00570A77" w14:paraId="2006CF08" w14:textId="0FFC7F90">
            <w:pPr>
              <w:tabs>
                <w:tab w:val="decimal" w:pos="1360"/>
              </w:tabs>
              <w:spacing w:before="140" w:after="40"/>
              <w:ind w:right="10"/>
              <w:rPr>
                <w:rFonts w:ascii="Times" w:hAnsi="Times"/>
                <w:u w:val="double"/>
              </w:rPr>
            </w:pPr>
            <w:r w:rsidRPr="00D52CB7">
              <w:rPr>
                <w:rFonts w:ascii="Times" w:hAnsi="Times"/>
              </w:rPr>
              <w:t>$</w:t>
            </w:r>
          </w:p>
        </w:tc>
        <w:tc>
          <w:tcPr>
            <w:tcW w:w="2160" w:type="dxa"/>
          </w:tcPr>
          <w:p w:rsidRPr="00D52CB7" w:rsidR="00570A77" w:rsidP="00570A77" w:rsidRDefault="00570A77" w14:paraId="23C6A96E" w14:textId="48977BFA">
            <w:pPr>
              <w:tabs>
                <w:tab w:val="decimal" w:pos="1360"/>
              </w:tabs>
              <w:spacing w:before="140" w:after="40"/>
              <w:ind w:right="10"/>
              <w:rPr>
                <w:rFonts w:ascii="Times" w:hAnsi="Times"/>
              </w:rPr>
            </w:pPr>
            <w:r w:rsidRPr="00D52CB7">
              <w:rPr>
                <w:rFonts w:ascii="Times" w:hAnsi="Times"/>
              </w:rPr>
              <w:t>$</w:t>
            </w:r>
          </w:p>
        </w:tc>
      </w:tr>
    </w:tbl>
    <w:p w:rsidRPr="00D52CB7" w:rsidR="00743467" w:rsidP="00743467" w:rsidRDefault="00743467" w14:paraId="130853A0" w14:textId="77777777">
      <w:pPr>
        <w:pStyle w:val="TitleLeft"/>
        <w:keepLines/>
        <w:tabs>
          <w:tab w:val="left" w:leader="dot" w:pos="5760"/>
        </w:tabs>
        <w:spacing w:before="200"/>
      </w:pPr>
      <w:r w:rsidRPr="00D52CB7">
        <w:t>Uses:</w:t>
      </w:r>
    </w:p>
    <w:p w:rsidRPr="00D52CB7" w:rsidR="00743467" w:rsidP="00743467" w:rsidRDefault="00743467" w14:paraId="417CD6B3" w14:textId="77777777">
      <w:pPr>
        <w:keepNext/>
        <w:keepLines/>
        <w:rPr>
          <w:rFonts w:ascii="Times" w:hAnsi="Times"/>
        </w:rPr>
      </w:pPr>
    </w:p>
    <w:tbl>
      <w:tblPr>
        <w:tblW w:w="11070" w:type="dxa"/>
        <w:tblInd w:w="-540" w:type="dxa"/>
        <w:tblLayout w:type="fixed"/>
        <w:tblCellMar>
          <w:left w:w="80" w:type="dxa"/>
          <w:right w:w="80" w:type="dxa"/>
        </w:tblCellMar>
        <w:tblLook w:val="0000" w:firstRow="0" w:lastRow="0" w:firstColumn="0" w:lastColumn="0" w:noHBand="0" w:noVBand="0"/>
      </w:tblPr>
      <w:tblGrid>
        <w:gridCol w:w="6750"/>
        <w:gridCol w:w="2160"/>
        <w:gridCol w:w="2160"/>
      </w:tblGrid>
      <w:tr w:rsidRPr="00D52CB7" w:rsidR="00570A77" w:rsidTr="00570A77" w14:paraId="5AA244A0" w14:textId="2532D3A1">
        <w:tc>
          <w:tcPr>
            <w:tcW w:w="6750" w:type="dxa"/>
          </w:tcPr>
          <w:p w:rsidRPr="00D52CB7" w:rsidR="00570A77" w:rsidP="00174973" w:rsidRDefault="00570A77" w14:paraId="6D4565FE" w14:textId="2DCE2C55">
            <w:pPr>
              <w:keepNext/>
              <w:keepLines/>
              <w:tabs>
                <w:tab w:val="left" w:leader="dot" w:pos="6482"/>
              </w:tabs>
              <w:ind w:left="-258" w:firstLine="267"/>
              <w:rPr>
                <w:rFonts w:ascii="Times" w:hAnsi="Times"/>
              </w:rPr>
            </w:pPr>
            <w:r w:rsidRPr="00D52CB7">
              <w:rPr>
                <w:rFonts w:ascii="Times" w:hAnsi="Times"/>
              </w:rPr>
              <w:t>Refund Refunded Bonds</w:t>
            </w:r>
            <w:r w:rsidRPr="00D52CB7">
              <w:rPr>
                <w:rFonts w:ascii="Times" w:hAnsi="Times"/>
              </w:rPr>
              <w:tab/>
            </w:r>
          </w:p>
        </w:tc>
        <w:tc>
          <w:tcPr>
            <w:tcW w:w="2160" w:type="dxa"/>
          </w:tcPr>
          <w:p w:rsidRPr="00D52CB7" w:rsidR="00570A77" w:rsidP="00FB7E2D" w:rsidRDefault="00570A77" w14:paraId="1A66C0BB" w14:textId="64B666AA">
            <w:pPr>
              <w:tabs>
                <w:tab w:val="decimal" w:pos="1360"/>
              </w:tabs>
              <w:rPr>
                <w:rFonts w:ascii="Times" w:hAnsi="Times"/>
              </w:rPr>
            </w:pPr>
            <w:r w:rsidRPr="00D52CB7">
              <w:rPr>
                <w:rFonts w:ascii="Times" w:hAnsi="Times"/>
              </w:rPr>
              <w:t>$</w:t>
            </w:r>
          </w:p>
        </w:tc>
        <w:tc>
          <w:tcPr>
            <w:tcW w:w="2160" w:type="dxa"/>
          </w:tcPr>
          <w:p w:rsidRPr="00D52CB7" w:rsidR="00570A77" w:rsidP="00FB7E2D" w:rsidRDefault="00570A77" w14:paraId="29ED7CEA" w14:textId="651BD4A0">
            <w:pPr>
              <w:tabs>
                <w:tab w:val="decimal" w:pos="1360"/>
              </w:tabs>
              <w:rPr>
                <w:rFonts w:ascii="Times" w:hAnsi="Times"/>
              </w:rPr>
            </w:pPr>
            <w:r w:rsidRPr="00D52CB7">
              <w:rPr>
                <w:rFonts w:ascii="Times" w:hAnsi="Times"/>
              </w:rPr>
              <w:t>$</w:t>
            </w:r>
          </w:p>
        </w:tc>
      </w:tr>
      <w:tr w:rsidRPr="00D52CB7" w:rsidR="00570A77" w:rsidTr="00570A77" w14:paraId="7307CE85" w14:textId="16DDE40B">
        <w:tc>
          <w:tcPr>
            <w:tcW w:w="6750" w:type="dxa"/>
          </w:tcPr>
          <w:p w:rsidRPr="00D52CB7" w:rsidR="00570A77" w:rsidP="00174973" w:rsidRDefault="00145A72" w14:paraId="1E2F9AD9" w14:textId="4BE07313">
            <w:pPr>
              <w:keepNext/>
              <w:keepLines/>
              <w:tabs>
                <w:tab w:val="left" w:leader="dot" w:pos="6482"/>
              </w:tabs>
              <w:rPr>
                <w:rFonts w:ascii="Times" w:hAnsi="Times"/>
              </w:rPr>
            </w:pPr>
            <w:r w:rsidRPr="00D52CB7">
              <w:rPr>
                <w:rFonts w:ascii="Times" w:hAnsi="Times"/>
              </w:rPr>
              <w:t xml:space="preserve">Series </w:t>
            </w:r>
            <w:r w:rsidRPr="00D52CB7" w:rsidR="00570A77">
              <w:rPr>
                <w:rFonts w:ascii="Times" w:hAnsi="Times"/>
              </w:rPr>
              <w:t>2025 Project</w:t>
            </w:r>
            <w:r w:rsidRPr="00D52CB7" w:rsidR="00570A77">
              <w:rPr>
                <w:rFonts w:ascii="Times" w:hAnsi="Times"/>
              </w:rPr>
              <w:tab/>
            </w:r>
          </w:p>
        </w:tc>
        <w:tc>
          <w:tcPr>
            <w:tcW w:w="2160" w:type="dxa"/>
          </w:tcPr>
          <w:p w:rsidRPr="00D52CB7" w:rsidR="00570A77" w:rsidP="00FB7E2D" w:rsidRDefault="00570A77" w14:paraId="23543FD0" w14:textId="448D802B">
            <w:pPr>
              <w:tabs>
                <w:tab w:val="decimal" w:pos="1360"/>
              </w:tabs>
              <w:rPr>
                <w:rFonts w:ascii="Times" w:hAnsi="Times"/>
              </w:rPr>
            </w:pPr>
          </w:p>
        </w:tc>
        <w:tc>
          <w:tcPr>
            <w:tcW w:w="2160" w:type="dxa"/>
          </w:tcPr>
          <w:p w:rsidRPr="00D52CB7" w:rsidR="00570A77" w:rsidP="00FB7E2D" w:rsidRDefault="00570A77" w14:paraId="598234F7" w14:textId="77777777">
            <w:pPr>
              <w:tabs>
                <w:tab w:val="decimal" w:pos="1360"/>
              </w:tabs>
              <w:rPr>
                <w:rFonts w:ascii="Times" w:hAnsi="Times"/>
              </w:rPr>
            </w:pPr>
          </w:p>
        </w:tc>
      </w:tr>
      <w:tr w:rsidRPr="00D52CB7" w:rsidR="00570A77" w:rsidTr="00570A77" w14:paraId="5B00302E" w14:textId="7336BFB2">
        <w:trPr>
          <w:trHeight w:val="306"/>
        </w:trPr>
        <w:tc>
          <w:tcPr>
            <w:tcW w:w="6750" w:type="dxa"/>
          </w:tcPr>
          <w:p w:rsidRPr="00D52CB7" w:rsidR="00570A77" w:rsidP="00174973" w:rsidRDefault="00570A77" w14:paraId="0D8AB157" w14:textId="6F73513D">
            <w:pPr>
              <w:keepNext/>
              <w:keepLines/>
              <w:tabs>
                <w:tab w:val="left" w:leader="dot" w:pos="6482"/>
              </w:tabs>
              <w:rPr>
                <w:rFonts w:ascii="Times" w:hAnsi="Times"/>
              </w:rPr>
            </w:pPr>
            <w:r w:rsidRPr="00D52CB7">
              <w:rPr>
                <w:rFonts w:ascii="Times" w:hAnsi="Times"/>
              </w:rPr>
              <w:t>Series 2025 Debt Service Reserve Subaccount</w:t>
            </w:r>
            <w:r w:rsidRPr="00D52CB7">
              <w:rPr>
                <w:rFonts w:ascii="Times" w:hAnsi="Times"/>
              </w:rPr>
              <w:tab/>
            </w:r>
          </w:p>
        </w:tc>
        <w:tc>
          <w:tcPr>
            <w:tcW w:w="2160" w:type="dxa"/>
          </w:tcPr>
          <w:p w:rsidRPr="00D52CB7" w:rsidR="00570A77" w:rsidP="00FB7E2D" w:rsidRDefault="00570A77" w14:paraId="1CC2152C" w14:textId="037AC77E">
            <w:pPr>
              <w:tabs>
                <w:tab w:val="decimal" w:pos="1360"/>
              </w:tabs>
              <w:rPr>
                <w:rFonts w:ascii="Times" w:hAnsi="Times"/>
              </w:rPr>
            </w:pPr>
          </w:p>
        </w:tc>
        <w:tc>
          <w:tcPr>
            <w:tcW w:w="2160" w:type="dxa"/>
          </w:tcPr>
          <w:p w:rsidRPr="00D52CB7" w:rsidR="00570A77" w:rsidP="00FB7E2D" w:rsidRDefault="00570A77" w14:paraId="1664F2F2" w14:textId="77777777">
            <w:pPr>
              <w:tabs>
                <w:tab w:val="decimal" w:pos="1360"/>
              </w:tabs>
              <w:rPr>
                <w:rFonts w:ascii="Times" w:hAnsi="Times"/>
              </w:rPr>
            </w:pPr>
          </w:p>
        </w:tc>
      </w:tr>
      <w:tr w:rsidRPr="00D52CB7" w:rsidR="00570A77" w:rsidTr="00570A77" w14:paraId="5E39272D" w14:textId="39C8FB51">
        <w:trPr>
          <w:trHeight w:val="306"/>
        </w:trPr>
        <w:tc>
          <w:tcPr>
            <w:tcW w:w="6750" w:type="dxa"/>
          </w:tcPr>
          <w:p w:rsidRPr="00D52CB7" w:rsidR="00570A77" w:rsidP="00174973" w:rsidRDefault="00570A77" w14:paraId="1DD26C9A" w14:textId="464CA7BD">
            <w:pPr>
              <w:keepNext/>
              <w:keepLines/>
              <w:tabs>
                <w:tab w:val="left" w:leader="dot" w:pos="6482"/>
              </w:tabs>
              <w:rPr>
                <w:rFonts w:ascii="Times" w:hAnsi="Times"/>
              </w:rPr>
            </w:pPr>
            <w:r w:rsidRPr="00D52CB7">
              <w:rPr>
                <w:rFonts w:ascii="Times" w:hAnsi="Times"/>
              </w:rPr>
              <w:t>Repair and Replacement Fund</w:t>
            </w:r>
            <w:r w:rsidRPr="00D52CB7">
              <w:rPr>
                <w:rFonts w:ascii="Times" w:hAnsi="Times"/>
              </w:rPr>
              <w:tab/>
            </w:r>
          </w:p>
        </w:tc>
        <w:tc>
          <w:tcPr>
            <w:tcW w:w="2160" w:type="dxa"/>
          </w:tcPr>
          <w:p w:rsidRPr="00D52CB7" w:rsidR="00570A77" w:rsidP="00FB7E2D" w:rsidRDefault="00570A77" w14:paraId="2C9D0F69" w14:textId="1843E665">
            <w:pPr>
              <w:tabs>
                <w:tab w:val="decimal" w:pos="1360"/>
              </w:tabs>
              <w:rPr>
                <w:rFonts w:ascii="Times" w:hAnsi="Times"/>
              </w:rPr>
            </w:pPr>
          </w:p>
        </w:tc>
        <w:tc>
          <w:tcPr>
            <w:tcW w:w="2160" w:type="dxa"/>
          </w:tcPr>
          <w:p w:rsidRPr="00D52CB7" w:rsidR="00570A77" w:rsidP="00FB7E2D" w:rsidRDefault="00570A77" w14:paraId="6E5E1E40" w14:textId="77777777">
            <w:pPr>
              <w:tabs>
                <w:tab w:val="decimal" w:pos="1360"/>
              </w:tabs>
              <w:rPr>
                <w:rFonts w:ascii="Times" w:hAnsi="Times"/>
              </w:rPr>
            </w:pPr>
          </w:p>
        </w:tc>
      </w:tr>
      <w:tr w:rsidRPr="00D52CB7" w:rsidR="00570A77" w:rsidTr="00570A77" w14:paraId="43DF2B28" w14:textId="2BBB768F">
        <w:tc>
          <w:tcPr>
            <w:tcW w:w="6750" w:type="dxa"/>
          </w:tcPr>
          <w:p w:rsidRPr="00D52CB7" w:rsidR="00570A77" w:rsidP="00174973" w:rsidRDefault="00570A77" w14:paraId="31453405" w14:textId="46DE060D">
            <w:pPr>
              <w:keepNext/>
              <w:keepLines/>
              <w:tabs>
                <w:tab w:val="left" w:pos="1440"/>
                <w:tab w:val="left" w:leader="dot" w:pos="6482"/>
              </w:tabs>
              <w:rPr>
                <w:rFonts w:ascii="Times" w:hAnsi="Times"/>
              </w:rPr>
            </w:pPr>
            <w:r w:rsidRPr="00D52CB7">
              <w:rPr>
                <w:rFonts w:ascii="Times" w:hAnsi="Times"/>
              </w:rPr>
              <w:t>Costs of Issuance*</w:t>
            </w:r>
            <w:r w:rsidRPr="00D52CB7">
              <w:rPr>
                <w:rFonts w:ascii="Times" w:hAnsi="Times"/>
              </w:rPr>
              <w:tab/>
            </w:r>
          </w:p>
        </w:tc>
        <w:tc>
          <w:tcPr>
            <w:tcW w:w="2160" w:type="dxa"/>
          </w:tcPr>
          <w:p w:rsidRPr="00D52CB7" w:rsidR="00570A77" w:rsidP="00FB7E2D" w:rsidRDefault="00570A77" w14:paraId="46E97F74" w14:textId="7FEA7E50">
            <w:pPr>
              <w:tabs>
                <w:tab w:val="decimal" w:pos="1360"/>
              </w:tabs>
              <w:ind w:right="10"/>
              <w:rPr>
                <w:rFonts w:ascii="Times" w:hAnsi="Times"/>
              </w:rPr>
            </w:pPr>
          </w:p>
        </w:tc>
        <w:tc>
          <w:tcPr>
            <w:tcW w:w="2160" w:type="dxa"/>
          </w:tcPr>
          <w:p w:rsidRPr="00D52CB7" w:rsidR="00570A77" w:rsidP="00FB7E2D" w:rsidRDefault="00570A77" w14:paraId="51C028C9" w14:textId="77777777">
            <w:pPr>
              <w:tabs>
                <w:tab w:val="decimal" w:pos="1360"/>
              </w:tabs>
              <w:ind w:right="10"/>
              <w:rPr>
                <w:rFonts w:ascii="Times" w:hAnsi="Times"/>
              </w:rPr>
            </w:pPr>
          </w:p>
        </w:tc>
      </w:tr>
      <w:tr w:rsidRPr="00D52CB7" w:rsidR="00570A77" w:rsidTr="00570A77" w14:paraId="00F2D15D" w14:textId="53E982E1">
        <w:tc>
          <w:tcPr>
            <w:tcW w:w="6750" w:type="dxa"/>
          </w:tcPr>
          <w:p w:rsidRPr="00D52CB7" w:rsidR="00570A77" w:rsidP="00174973" w:rsidRDefault="00570A77" w14:paraId="638774BF" w14:textId="0C638C09">
            <w:pPr>
              <w:keepNext/>
              <w:keepLines/>
              <w:tabs>
                <w:tab w:val="left" w:leader="dot" w:pos="6482"/>
              </w:tabs>
              <w:rPr>
                <w:rFonts w:ascii="Times" w:hAnsi="Times"/>
              </w:rPr>
            </w:pPr>
            <w:r w:rsidRPr="00D52CB7">
              <w:rPr>
                <w:rFonts w:ascii="Times" w:hAnsi="Times"/>
              </w:rPr>
              <w:t>Issuer Fee</w:t>
            </w:r>
            <w:r w:rsidRPr="00D52CB7">
              <w:rPr>
                <w:rFonts w:ascii="Times" w:hAnsi="Times"/>
              </w:rPr>
              <w:tab/>
            </w:r>
          </w:p>
        </w:tc>
        <w:tc>
          <w:tcPr>
            <w:tcW w:w="2160" w:type="dxa"/>
          </w:tcPr>
          <w:p w:rsidRPr="00D52CB7" w:rsidR="00570A77" w:rsidP="00FB7E2D" w:rsidRDefault="00570A77" w14:paraId="5E96ADB5" w14:textId="61FCCA28">
            <w:pPr>
              <w:tabs>
                <w:tab w:val="decimal" w:pos="1360"/>
              </w:tabs>
              <w:ind w:right="10"/>
              <w:rPr>
                <w:rFonts w:ascii="Times" w:hAnsi="Times"/>
                <w:u w:val="single"/>
              </w:rPr>
            </w:pPr>
            <w:r w:rsidRPr="00D52CB7">
              <w:rPr>
                <w:rFonts w:ascii="Times" w:hAnsi="Times"/>
                <w:u w:val="single"/>
              </w:rPr>
              <w:t xml:space="preserve"> </w:t>
            </w:r>
          </w:p>
        </w:tc>
        <w:tc>
          <w:tcPr>
            <w:tcW w:w="2160" w:type="dxa"/>
          </w:tcPr>
          <w:p w:rsidRPr="00D52CB7" w:rsidR="00570A77" w:rsidP="00FB7E2D" w:rsidRDefault="00570A77" w14:paraId="404EE61A" w14:textId="77777777">
            <w:pPr>
              <w:tabs>
                <w:tab w:val="decimal" w:pos="1360"/>
              </w:tabs>
              <w:ind w:right="10"/>
              <w:rPr>
                <w:rFonts w:ascii="Times" w:hAnsi="Times"/>
                <w:u w:val="single"/>
              </w:rPr>
            </w:pPr>
          </w:p>
        </w:tc>
      </w:tr>
      <w:tr w:rsidRPr="00D52CB7" w:rsidR="00570A77" w:rsidTr="00570A77" w14:paraId="76FC30D7" w14:textId="2DDE50A8">
        <w:trPr>
          <w:trHeight w:val="432"/>
        </w:trPr>
        <w:tc>
          <w:tcPr>
            <w:tcW w:w="6750" w:type="dxa"/>
          </w:tcPr>
          <w:p w:rsidRPr="00D52CB7" w:rsidR="00570A77" w:rsidP="00174973" w:rsidRDefault="00570A77" w14:paraId="7E568A57" w14:textId="77777777">
            <w:pPr>
              <w:keepNext/>
              <w:keepLines/>
              <w:tabs>
                <w:tab w:val="left" w:pos="1440"/>
                <w:tab w:val="left" w:leader="dot" w:pos="6482"/>
              </w:tabs>
              <w:spacing w:before="140" w:after="40"/>
              <w:ind w:left="1356"/>
              <w:rPr>
                <w:rFonts w:ascii="Times" w:hAnsi="Times"/>
                <w:smallCaps/>
              </w:rPr>
            </w:pPr>
            <w:r w:rsidRPr="00D52CB7">
              <w:rPr>
                <w:rFonts w:ascii="Times" w:hAnsi="Times"/>
                <w:smallCaps/>
              </w:rPr>
              <w:t>Total</w:t>
            </w:r>
            <w:r w:rsidRPr="00D52CB7">
              <w:rPr>
                <w:rFonts w:ascii="Times" w:hAnsi="Times"/>
                <w:smallCaps/>
              </w:rPr>
              <w:tab/>
            </w:r>
          </w:p>
        </w:tc>
        <w:tc>
          <w:tcPr>
            <w:tcW w:w="2160" w:type="dxa"/>
          </w:tcPr>
          <w:p w:rsidRPr="00D52CB7" w:rsidR="00570A77" w:rsidP="00FB7E2D" w:rsidRDefault="00570A77" w14:paraId="5906163A" w14:textId="39E44D8D">
            <w:pPr>
              <w:tabs>
                <w:tab w:val="decimal" w:pos="1360"/>
              </w:tabs>
              <w:spacing w:before="140" w:after="40"/>
              <w:ind w:right="10"/>
              <w:rPr>
                <w:rFonts w:ascii="Times" w:hAnsi="Times"/>
              </w:rPr>
            </w:pPr>
            <w:r w:rsidRPr="00D52CB7">
              <w:rPr>
                <w:rFonts w:ascii="Times" w:hAnsi="Times"/>
              </w:rPr>
              <w:t>$</w:t>
            </w:r>
          </w:p>
        </w:tc>
        <w:tc>
          <w:tcPr>
            <w:tcW w:w="2160" w:type="dxa"/>
          </w:tcPr>
          <w:p w:rsidRPr="00D52CB7" w:rsidR="00570A77" w:rsidP="00FB7E2D" w:rsidRDefault="00570A77" w14:paraId="44C9155F" w14:textId="77B8EBAB">
            <w:pPr>
              <w:tabs>
                <w:tab w:val="decimal" w:pos="1360"/>
              </w:tabs>
              <w:spacing w:before="140" w:after="40"/>
              <w:ind w:right="10"/>
              <w:rPr>
                <w:rFonts w:ascii="Times" w:hAnsi="Times"/>
              </w:rPr>
            </w:pPr>
            <w:r w:rsidRPr="00D52CB7">
              <w:rPr>
                <w:rFonts w:ascii="Times" w:hAnsi="Times"/>
              </w:rPr>
              <w:t>$</w:t>
            </w:r>
          </w:p>
        </w:tc>
      </w:tr>
    </w:tbl>
    <w:p w:rsidRPr="00D52CB7" w:rsidR="00743467" w:rsidP="005562D4" w:rsidRDefault="005562D4" w14:paraId="43EAB14D" w14:textId="17A7C497">
      <w:pPr>
        <w:keepNext/>
        <w:keepLines/>
        <w:spacing w:after="120"/>
        <w:rPr>
          <w:rFonts w:ascii="Times" w:hAnsi="Times"/>
        </w:rPr>
      </w:pPr>
      <w:r w:rsidRPr="00D52CB7">
        <w:rPr>
          <w:rFonts w:ascii="Times" w:hAnsi="Times"/>
        </w:rPr>
        <w:t>_______________</w:t>
      </w:r>
    </w:p>
    <w:p w:rsidRPr="00D52CB7" w:rsidR="00743467" w:rsidP="005562D4" w:rsidRDefault="00360158" w14:paraId="1DA0A0EE" w14:textId="0DF4DD28">
      <w:pPr>
        <w:spacing w:before="120" w:line="220" w:lineRule="exact"/>
        <w:ind w:left="360" w:hanging="360"/>
        <w:jc w:val="both"/>
        <w:rPr>
          <w:rFonts w:ascii="Times" w:hAnsi="Times"/>
          <w:sz w:val="20"/>
        </w:rPr>
      </w:pPr>
      <w:r w:rsidRPr="00D52CB7">
        <w:rPr>
          <w:rFonts w:ascii="Times" w:hAnsi="Times"/>
          <w:sz w:val="20"/>
        </w:rPr>
        <w:t>*</w:t>
      </w:r>
      <w:r w:rsidRPr="00D52CB7" w:rsidR="005562D4">
        <w:rPr>
          <w:rFonts w:ascii="Times" w:hAnsi="Times"/>
          <w:sz w:val="20"/>
        </w:rPr>
        <w:tab/>
      </w:r>
      <w:r w:rsidRPr="00D52CB7" w:rsidR="00743467">
        <w:rPr>
          <w:rFonts w:ascii="Times" w:hAnsi="Times"/>
          <w:sz w:val="20"/>
        </w:rPr>
        <w:t>Includes Underwriter’s discount, financial advisor fees, legal fees, Trustee fees, and printing and other miscellaneous costs of issuance.</w:t>
      </w:r>
    </w:p>
    <w:p w:rsidRPr="00D52CB7" w:rsidR="00743467" w:rsidP="00743467" w:rsidRDefault="00743467" w14:paraId="364A88A7" w14:textId="77777777">
      <w:pPr>
        <w:pStyle w:val="TitleCenterBold"/>
        <w:keepLines/>
      </w:pPr>
      <w:r w:rsidRPr="00D52CB7">
        <w:br w:type="page"/>
      </w:r>
      <w:r w:rsidRPr="00D52CB7">
        <w:lastRenderedPageBreak/>
        <w:t>Debt Service Requirements</w:t>
      </w:r>
      <w:r w:rsidRPr="00D52CB7">
        <w:fldChar w:fldCharType="begin"/>
      </w:r>
      <w:r w:rsidRPr="00D52CB7">
        <w:instrText>tc "</w:instrText>
      </w:r>
      <w:bookmarkStart w:name="_Toc156025680" w:id="72"/>
      <w:bookmarkStart w:name="_Toc195093856" w:id="73"/>
      <w:r w:rsidRPr="00D52CB7">
        <w:instrText>Debt Service Requirements</w:instrText>
      </w:r>
      <w:bookmarkEnd w:id="72"/>
      <w:bookmarkEnd w:id="73"/>
      <w:r w:rsidRPr="00D52CB7">
        <w:instrText>" \f C \l 1</w:instrText>
      </w:r>
      <w:r w:rsidRPr="00D52CB7">
        <w:fldChar w:fldCharType="end"/>
      </w:r>
    </w:p>
    <w:p w:rsidRPr="00D52CB7" w:rsidR="00743467" w:rsidP="006A7FD4" w:rsidRDefault="00743467" w14:paraId="34B0C4AD" w14:textId="19613A89">
      <w:pPr>
        <w:pStyle w:val="ParaNORMAL"/>
        <w:keepNext/>
        <w:keepLines/>
        <w:spacing w:before="160" w:after="160"/>
      </w:pPr>
      <w:r w:rsidRPr="00D52CB7">
        <w:t xml:space="preserve">The following table sets forth the debt service requirements for the </w:t>
      </w:r>
      <w:r w:rsidRPr="00D52CB7" w:rsidR="00B935C1">
        <w:t xml:space="preserve">Series </w:t>
      </w:r>
      <w:r w:rsidRPr="00D52CB7" w:rsidR="00D50213">
        <w:t>2025</w:t>
      </w:r>
      <w:r w:rsidRPr="00D52CB7" w:rsidR="00B935C1">
        <w:t xml:space="preserve"> Bond</w:t>
      </w:r>
      <w:r w:rsidRPr="00D52CB7">
        <w:t>s.</w:t>
      </w:r>
    </w:p>
    <w:tbl>
      <w:tblPr>
        <w:tblW w:w="9360" w:type="dxa"/>
        <w:tblLayout w:type="fixed"/>
        <w:tblCellMar>
          <w:left w:w="115" w:type="dxa"/>
          <w:right w:w="115" w:type="dxa"/>
        </w:tblCellMar>
        <w:tblLook w:val="04A0" w:firstRow="1" w:lastRow="0" w:firstColumn="1" w:lastColumn="0" w:noHBand="0" w:noVBand="1"/>
      </w:tblPr>
      <w:tblGrid>
        <w:gridCol w:w="2340"/>
        <w:gridCol w:w="2340"/>
        <w:gridCol w:w="2340"/>
        <w:gridCol w:w="2340"/>
      </w:tblGrid>
      <w:tr w:rsidRPr="00D52CB7" w:rsidR="004A152E" w:rsidTr="0022274F" w14:paraId="7D37FDE0" w14:textId="77777777">
        <w:tc>
          <w:tcPr>
            <w:tcW w:w="2340" w:type="dxa"/>
          </w:tcPr>
          <w:p w:rsidRPr="00D52CB7" w:rsidR="004A152E" w:rsidP="004A152E" w:rsidRDefault="004A152E" w14:paraId="7C75FE48" w14:textId="77777777">
            <w:pPr>
              <w:spacing w:after="40" w:line="280" w:lineRule="exact"/>
              <w:jc w:val="center"/>
              <w:rPr>
                <w:rFonts w:ascii="Times" w:hAnsi="Times"/>
                <w:smallCaps/>
              </w:rPr>
            </w:pPr>
          </w:p>
        </w:tc>
        <w:tc>
          <w:tcPr>
            <w:tcW w:w="4680" w:type="dxa"/>
            <w:gridSpan w:val="2"/>
          </w:tcPr>
          <w:p w:rsidRPr="00D52CB7" w:rsidR="004A152E" w:rsidP="004A152E" w:rsidRDefault="004A152E" w14:paraId="55A8FD67" w14:textId="53FEEBF5">
            <w:pPr>
              <w:pBdr>
                <w:bottom w:val="single" w:color="auto" w:sz="4" w:space="1"/>
              </w:pBdr>
              <w:spacing w:line="280" w:lineRule="exact"/>
              <w:jc w:val="center"/>
              <w:rPr>
                <w:rFonts w:ascii="Times" w:hAnsi="Times"/>
                <w:smallCaps/>
              </w:rPr>
            </w:pPr>
            <w:r w:rsidRPr="00D52CB7">
              <w:rPr>
                <w:rFonts w:ascii="Times" w:hAnsi="Times"/>
                <w:smallCaps/>
              </w:rPr>
              <w:t xml:space="preserve">Series </w:t>
            </w:r>
            <w:r w:rsidRPr="00D52CB7" w:rsidR="00D50213">
              <w:rPr>
                <w:rFonts w:ascii="Times" w:hAnsi="Times"/>
                <w:smallCaps/>
              </w:rPr>
              <w:t>2025</w:t>
            </w:r>
          </w:p>
        </w:tc>
        <w:tc>
          <w:tcPr>
            <w:tcW w:w="2340" w:type="dxa"/>
          </w:tcPr>
          <w:p w:rsidRPr="00D52CB7" w:rsidR="004A152E" w:rsidP="004A152E" w:rsidRDefault="004A152E" w14:paraId="6DB96A82" w14:textId="77777777">
            <w:pPr>
              <w:spacing w:after="40" w:line="280" w:lineRule="exact"/>
              <w:jc w:val="center"/>
              <w:rPr>
                <w:rFonts w:ascii="Times" w:hAnsi="Times"/>
                <w:smallCaps/>
              </w:rPr>
            </w:pPr>
          </w:p>
        </w:tc>
      </w:tr>
      <w:tr w:rsidRPr="00D52CB7" w:rsidR="00976B24" w:rsidTr="00976B24" w14:paraId="3FBBC0F6" w14:textId="77777777">
        <w:tc>
          <w:tcPr>
            <w:tcW w:w="2340" w:type="dxa"/>
          </w:tcPr>
          <w:p w:rsidRPr="00D52CB7" w:rsidR="00976B24" w:rsidP="004A152E" w:rsidRDefault="00976B24" w14:paraId="681375EE" w14:textId="77777777">
            <w:pPr>
              <w:pBdr>
                <w:bottom w:val="single" w:color="auto" w:sz="4" w:space="1"/>
              </w:pBdr>
              <w:spacing w:after="40" w:line="280" w:lineRule="exact"/>
              <w:jc w:val="center"/>
              <w:rPr>
                <w:rFonts w:ascii="Times" w:hAnsi="Times"/>
                <w:smallCaps/>
              </w:rPr>
            </w:pPr>
            <w:r w:rsidRPr="00D52CB7">
              <w:rPr>
                <w:rFonts w:ascii="Times" w:hAnsi="Times"/>
                <w:smallCaps/>
              </w:rPr>
              <w:t>Fiscal Year</w:t>
            </w:r>
            <w:r w:rsidRPr="00D52CB7">
              <w:rPr>
                <w:rFonts w:ascii="Times" w:hAnsi="Times"/>
                <w:smallCaps/>
              </w:rPr>
              <w:br/>
              <w:t>Ending June 30</w:t>
            </w:r>
          </w:p>
        </w:tc>
        <w:tc>
          <w:tcPr>
            <w:tcW w:w="2340" w:type="dxa"/>
          </w:tcPr>
          <w:p w:rsidRPr="00D52CB7" w:rsidR="00976B24" w:rsidP="004A152E" w:rsidRDefault="00976B24" w14:paraId="4DA01988" w14:textId="48414669">
            <w:pPr>
              <w:pBdr>
                <w:bottom w:val="single" w:color="auto" w:sz="4" w:space="1"/>
              </w:pBdr>
              <w:spacing w:after="40" w:line="280" w:lineRule="exact"/>
              <w:jc w:val="center"/>
              <w:rPr>
                <w:rFonts w:ascii="Times" w:hAnsi="Times"/>
                <w:smallCaps/>
              </w:rPr>
            </w:pPr>
            <w:r w:rsidRPr="00D52CB7">
              <w:rPr>
                <w:rFonts w:ascii="Times" w:hAnsi="Times"/>
                <w:smallCaps/>
              </w:rPr>
              <w:br/>
              <w:t>Principal</w:t>
            </w:r>
          </w:p>
        </w:tc>
        <w:tc>
          <w:tcPr>
            <w:tcW w:w="2340" w:type="dxa"/>
          </w:tcPr>
          <w:p w:rsidRPr="00D52CB7" w:rsidR="00976B24" w:rsidP="004A152E" w:rsidRDefault="00976B24" w14:paraId="120049BB" w14:textId="77777777">
            <w:pPr>
              <w:pBdr>
                <w:bottom w:val="single" w:color="auto" w:sz="4" w:space="1"/>
              </w:pBdr>
              <w:spacing w:line="280" w:lineRule="exact"/>
              <w:jc w:val="center"/>
              <w:rPr>
                <w:rFonts w:ascii="Times" w:hAnsi="Times"/>
                <w:smallCaps/>
              </w:rPr>
            </w:pPr>
          </w:p>
          <w:p w:rsidRPr="00D52CB7" w:rsidR="00976B24" w:rsidP="004A152E" w:rsidRDefault="00976B24" w14:paraId="30193DD0" w14:textId="77777777">
            <w:pPr>
              <w:pBdr>
                <w:bottom w:val="single" w:color="auto" w:sz="4" w:space="1"/>
              </w:pBdr>
              <w:spacing w:line="280" w:lineRule="exact"/>
              <w:jc w:val="center"/>
              <w:rPr>
                <w:rFonts w:ascii="Times" w:hAnsi="Times"/>
                <w:smallCaps/>
              </w:rPr>
            </w:pPr>
            <w:r w:rsidRPr="00D52CB7">
              <w:rPr>
                <w:rFonts w:ascii="Times" w:hAnsi="Times"/>
                <w:smallCaps/>
              </w:rPr>
              <w:t>Interest</w:t>
            </w:r>
          </w:p>
        </w:tc>
        <w:tc>
          <w:tcPr>
            <w:tcW w:w="2340" w:type="dxa"/>
          </w:tcPr>
          <w:p w:rsidRPr="00D52CB7" w:rsidR="00976B24" w:rsidP="004A152E" w:rsidRDefault="00976B24" w14:paraId="31A5C678" w14:textId="77777777">
            <w:pPr>
              <w:pBdr>
                <w:bottom w:val="single" w:color="auto" w:sz="4" w:space="1"/>
              </w:pBdr>
              <w:spacing w:after="40" w:line="280" w:lineRule="exact"/>
              <w:jc w:val="center"/>
              <w:rPr>
                <w:rFonts w:ascii="Times" w:hAnsi="Times"/>
                <w:smallCaps/>
              </w:rPr>
            </w:pPr>
            <w:r w:rsidRPr="00D52CB7">
              <w:rPr>
                <w:rFonts w:ascii="Times" w:hAnsi="Times"/>
                <w:smallCaps/>
              </w:rPr>
              <w:br/>
              <w:t>Total</w:t>
            </w:r>
          </w:p>
        </w:tc>
      </w:tr>
      <w:tr w:rsidRPr="00D52CB7" w:rsidR="00145A72" w:rsidTr="004A0D4E" w14:paraId="0867B7DA" w14:textId="77777777">
        <w:trPr>
          <w:trHeight w:val="20"/>
        </w:trPr>
        <w:tc>
          <w:tcPr>
            <w:tcW w:w="2340" w:type="dxa"/>
            <w:vAlign w:val="bottom"/>
          </w:tcPr>
          <w:p w:rsidRPr="00D52CB7" w:rsidR="00145A72" w:rsidP="00145A72" w:rsidRDefault="00145A72" w14:paraId="2EA3B5E8" w14:textId="718E31D1">
            <w:pPr>
              <w:spacing w:line="280" w:lineRule="exact"/>
              <w:jc w:val="center"/>
              <w:rPr>
                <w:rFonts w:ascii="Times" w:hAnsi="Times"/>
              </w:rPr>
            </w:pPr>
          </w:p>
        </w:tc>
        <w:tc>
          <w:tcPr>
            <w:tcW w:w="2340" w:type="dxa"/>
            <w:vAlign w:val="bottom"/>
          </w:tcPr>
          <w:p w:rsidRPr="00D52CB7" w:rsidR="00145A72" w:rsidP="00145A72" w:rsidRDefault="00145A72" w14:paraId="59864E2F" w14:textId="1BAFD880">
            <w:pPr>
              <w:tabs>
                <w:tab w:val="decimal" w:pos="1416"/>
              </w:tabs>
              <w:spacing w:line="280" w:lineRule="exact"/>
              <w:rPr>
                <w:rFonts w:ascii="Times" w:hAnsi="Times"/>
              </w:rPr>
            </w:pPr>
          </w:p>
        </w:tc>
        <w:tc>
          <w:tcPr>
            <w:tcW w:w="2340" w:type="dxa"/>
            <w:vAlign w:val="bottom"/>
          </w:tcPr>
          <w:p w:rsidRPr="00D52CB7" w:rsidR="00145A72" w:rsidP="00145A72" w:rsidRDefault="00145A72" w14:paraId="1072572A" w14:textId="4DD5BC91">
            <w:pPr>
              <w:tabs>
                <w:tab w:val="decimal" w:pos="1410"/>
              </w:tabs>
              <w:spacing w:line="280" w:lineRule="exact"/>
              <w:rPr>
                <w:rFonts w:ascii="Times" w:hAnsi="Times"/>
              </w:rPr>
            </w:pPr>
          </w:p>
        </w:tc>
        <w:tc>
          <w:tcPr>
            <w:tcW w:w="2340" w:type="dxa"/>
            <w:vAlign w:val="bottom"/>
          </w:tcPr>
          <w:p w:rsidRPr="00D52CB7" w:rsidR="00145A72" w:rsidP="00145A72" w:rsidRDefault="00145A72" w14:paraId="48AF4E9D" w14:textId="5FC96FE0">
            <w:pPr>
              <w:tabs>
                <w:tab w:val="decimal" w:pos="1504"/>
              </w:tabs>
              <w:spacing w:line="280" w:lineRule="exact"/>
              <w:rPr>
                <w:rFonts w:ascii="Times" w:hAnsi="Times"/>
              </w:rPr>
            </w:pPr>
          </w:p>
        </w:tc>
      </w:tr>
      <w:tr w:rsidRPr="00D52CB7" w:rsidR="00145A72" w:rsidTr="004A0D4E" w14:paraId="41AC8DD2" w14:textId="77777777">
        <w:trPr>
          <w:trHeight w:val="20"/>
        </w:trPr>
        <w:tc>
          <w:tcPr>
            <w:tcW w:w="2340" w:type="dxa"/>
            <w:vAlign w:val="bottom"/>
          </w:tcPr>
          <w:p w:rsidRPr="00D52CB7" w:rsidR="00145A72" w:rsidP="00145A72" w:rsidRDefault="00145A72" w14:paraId="0E04EAD5" w14:textId="771A1084">
            <w:pPr>
              <w:spacing w:line="280" w:lineRule="exact"/>
              <w:jc w:val="center"/>
              <w:rPr>
                <w:rFonts w:ascii="Times" w:hAnsi="Times"/>
              </w:rPr>
            </w:pPr>
          </w:p>
        </w:tc>
        <w:tc>
          <w:tcPr>
            <w:tcW w:w="2340" w:type="dxa"/>
            <w:vAlign w:val="bottom"/>
          </w:tcPr>
          <w:p w:rsidRPr="00D52CB7" w:rsidR="00145A72" w:rsidP="00145A72" w:rsidRDefault="00145A72" w14:paraId="6DB1AF8A" w14:textId="4323E7DF">
            <w:pPr>
              <w:tabs>
                <w:tab w:val="decimal" w:pos="1416"/>
              </w:tabs>
              <w:spacing w:line="280" w:lineRule="exact"/>
              <w:rPr>
                <w:rFonts w:ascii="Times" w:hAnsi="Times"/>
              </w:rPr>
            </w:pPr>
          </w:p>
        </w:tc>
        <w:tc>
          <w:tcPr>
            <w:tcW w:w="2340" w:type="dxa"/>
            <w:vAlign w:val="bottom"/>
          </w:tcPr>
          <w:p w:rsidRPr="00D52CB7" w:rsidR="00145A72" w:rsidP="00145A72" w:rsidRDefault="00145A72" w14:paraId="54A829E2" w14:textId="6ABB0636">
            <w:pPr>
              <w:tabs>
                <w:tab w:val="decimal" w:pos="1410"/>
              </w:tabs>
              <w:spacing w:line="280" w:lineRule="exact"/>
              <w:rPr>
                <w:rFonts w:ascii="Times" w:hAnsi="Times"/>
              </w:rPr>
            </w:pPr>
          </w:p>
        </w:tc>
        <w:tc>
          <w:tcPr>
            <w:tcW w:w="2340" w:type="dxa"/>
            <w:vAlign w:val="bottom"/>
          </w:tcPr>
          <w:p w:rsidRPr="00D52CB7" w:rsidR="00145A72" w:rsidP="00145A72" w:rsidRDefault="00145A72" w14:paraId="26A27699" w14:textId="44116777">
            <w:pPr>
              <w:tabs>
                <w:tab w:val="decimal" w:pos="1504"/>
              </w:tabs>
              <w:spacing w:line="280" w:lineRule="exact"/>
              <w:rPr>
                <w:rFonts w:ascii="Times" w:hAnsi="Times"/>
              </w:rPr>
            </w:pPr>
          </w:p>
        </w:tc>
      </w:tr>
      <w:tr w:rsidRPr="00D52CB7" w:rsidR="00145A72" w:rsidTr="004A0D4E" w14:paraId="29DC4C7D" w14:textId="77777777">
        <w:trPr>
          <w:trHeight w:val="20"/>
        </w:trPr>
        <w:tc>
          <w:tcPr>
            <w:tcW w:w="2340" w:type="dxa"/>
            <w:vAlign w:val="bottom"/>
          </w:tcPr>
          <w:p w:rsidRPr="00D52CB7" w:rsidR="00145A72" w:rsidP="00145A72" w:rsidRDefault="00145A72" w14:paraId="13C97AA6" w14:textId="3DF87FE1">
            <w:pPr>
              <w:spacing w:line="280" w:lineRule="exact"/>
              <w:jc w:val="center"/>
              <w:rPr>
                <w:rFonts w:ascii="Times" w:hAnsi="Times"/>
              </w:rPr>
            </w:pPr>
          </w:p>
        </w:tc>
        <w:tc>
          <w:tcPr>
            <w:tcW w:w="2340" w:type="dxa"/>
            <w:vAlign w:val="bottom"/>
          </w:tcPr>
          <w:p w:rsidRPr="00D52CB7" w:rsidR="00145A72" w:rsidP="00145A72" w:rsidRDefault="00145A72" w14:paraId="3372DF1D" w14:textId="53833385">
            <w:pPr>
              <w:tabs>
                <w:tab w:val="decimal" w:pos="1416"/>
              </w:tabs>
              <w:spacing w:line="280" w:lineRule="exact"/>
              <w:rPr>
                <w:rFonts w:ascii="Times" w:hAnsi="Times"/>
              </w:rPr>
            </w:pPr>
          </w:p>
        </w:tc>
        <w:tc>
          <w:tcPr>
            <w:tcW w:w="2340" w:type="dxa"/>
            <w:vAlign w:val="bottom"/>
          </w:tcPr>
          <w:p w:rsidRPr="00D52CB7" w:rsidR="00145A72" w:rsidP="00145A72" w:rsidRDefault="00145A72" w14:paraId="58E626D6" w14:textId="6B85B1FB">
            <w:pPr>
              <w:tabs>
                <w:tab w:val="decimal" w:pos="1410"/>
              </w:tabs>
              <w:spacing w:line="280" w:lineRule="exact"/>
              <w:rPr>
                <w:rFonts w:ascii="Times" w:hAnsi="Times"/>
              </w:rPr>
            </w:pPr>
          </w:p>
        </w:tc>
        <w:tc>
          <w:tcPr>
            <w:tcW w:w="2340" w:type="dxa"/>
            <w:vAlign w:val="bottom"/>
          </w:tcPr>
          <w:p w:rsidRPr="00D52CB7" w:rsidR="00145A72" w:rsidP="00145A72" w:rsidRDefault="00145A72" w14:paraId="6AAA7F23" w14:textId="23EA387C">
            <w:pPr>
              <w:tabs>
                <w:tab w:val="decimal" w:pos="1504"/>
              </w:tabs>
              <w:spacing w:line="280" w:lineRule="exact"/>
              <w:rPr>
                <w:rFonts w:ascii="Times" w:hAnsi="Times"/>
              </w:rPr>
            </w:pPr>
          </w:p>
        </w:tc>
      </w:tr>
      <w:tr w:rsidRPr="00D52CB7" w:rsidR="00145A72" w:rsidTr="004A0D4E" w14:paraId="08388AAE" w14:textId="77777777">
        <w:trPr>
          <w:trHeight w:val="20"/>
        </w:trPr>
        <w:tc>
          <w:tcPr>
            <w:tcW w:w="2340" w:type="dxa"/>
            <w:vAlign w:val="bottom"/>
          </w:tcPr>
          <w:p w:rsidRPr="00D52CB7" w:rsidR="00145A72" w:rsidP="00145A72" w:rsidRDefault="00145A72" w14:paraId="036F2B09" w14:textId="014EB22F">
            <w:pPr>
              <w:spacing w:line="280" w:lineRule="exact"/>
              <w:jc w:val="center"/>
              <w:rPr>
                <w:rFonts w:ascii="Times" w:hAnsi="Times"/>
              </w:rPr>
            </w:pPr>
          </w:p>
        </w:tc>
        <w:tc>
          <w:tcPr>
            <w:tcW w:w="2340" w:type="dxa"/>
            <w:vAlign w:val="bottom"/>
          </w:tcPr>
          <w:p w:rsidRPr="00D52CB7" w:rsidR="00145A72" w:rsidP="00145A72" w:rsidRDefault="00145A72" w14:paraId="5AD2A0A8" w14:textId="6B5C6987">
            <w:pPr>
              <w:tabs>
                <w:tab w:val="decimal" w:pos="1416"/>
              </w:tabs>
              <w:spacing w:line="280" w:lineRule="exact"/>
              <w:rPr>
                <w:rFonts w:ascii="Times" w:hAnsi="Times"/>
              </w:rPr>
            </w:pPr>
          </w:p>
        </w:tc>
        <w:tc>
          <w:tcPr>
            <w:tcW w:w="2340" w:type="dxa"/>
            <w:vAlign w:val="bottom"/>
          </w:tcPr>
          <w:p w:rsidRPr="00D52CB7" w:rsidR="00145A72" w:rsidP="00145A72" w:rsidRDefault="00145A72" w14:paraId="5D6A2333" w14:textId="2952E4B0">
            <w:pPr>
              <w:tabs>
                <w:tab w:val="decimal" w:pos="1410"/>
              </w:tabs>
              <w:spacing w:line="280" w:lineRule="exact"/>
              <w:rPr>
                <w:rFonts w:ascii="Times" w:hAnsi="Times"/>
              </w:rPr>
            </w:pPr>
          </w:p>
        </w:tc>
        <w:tc>
          <w:tcPr>
            <w:tcW w:w="2340" w:type="dxa"/>
            <w:vAlign w:val="bottom"/>
          </w:tcPr>
          <w:p w:rsidRPr="00D52CB7" w:rsidR="00145A72" w:rsidP="00145A72" w:rsidRDefault="00145A72" w14:paraId="73CFDC04" w14:textId="0309C839">
            <w:pPr>
              <w:tabs>
                <w:tab w:val="decimal" w:pos="1504"/>
              </w:tabs>
              <w:spacing w:line="280" w:lineRule="exact"/>
              <w:rPr>
                <w:rFonts w:ascii="Times" w:hAnsi="Times"/>
              </w:rPr>
            </w:pPr>
          </w:p>
        </w:tc>
      </w:tr>
      <w:tr w:rsidRPr="00D52CB7" w:rsidR="00145A72" w:rsidTr="004A0D4E" w14:paraId="5C576D15" w14:textId="77777777">
        <w:trPr>
          <w:trHeight w:val="20"/>
        </w:trPr>
        <w:tc>
          <w:tcPr>
            <w:tcW w:w="2340" w:type="dxa"/>
            <w:vAlign w:val="bottom"/>
          </w:tcPr>
          <w:p w:rsidRPr="00D52CB7" w:rsidR="00145A72" w:rsidP="00145A72" w:rsidRDefault="00145A72" w14:paraId="7C2CE72F" w14:textId="43166793">
            <w:pPr>
              <w:spacing w:line="280" w:lineRule="exact"/>
              <w:jc w:val="center"/>
              <w:rPr>
                <w:rFonts w:ascii="Times" w:hAnsi="Times"/>
              </w:rPr>
            </w:pPr>
          </w:p>
        </w:tc>
        <w:tc>
          <w:tcPr>
            <w:tcW w:w="2340" w:type="dxa"/>
            <w:vAlign w:val="bottom"/>
          </w:tcPr>
          <w:p w:rsidRPr="00D52CB7" w:rsidR="00145A72" w:rsidP="00145A72" w:rsidRDefault="00145A72" w14:paraId="61ADFC32" w14:textId="534955AE">
            <w:pPr>
              <w:tabs>
                <w:tab w:val="decimal" w:pos="1416"/>
              </w:tabs>
              <w:spacing w:line="280" w:lineRule="exact"/>
              <w:rPr>
                <w:rFonts w:ascii="Times" w:hAnsi="Times"/>
              </w:rPr>
            </w:pPr>
          </w:p>
        </w:tc>
        <w:tc>
          <w:tcPr>
            <w:tcW w:w="2340" w:type="dxa"/>
            <w:vAlign w:val="bottom"/>
          </w:tcPr>
          <w:p w:rsidRPr="00D52CB7" w:rsidR="00145A72" w:rsidP="00145A72" w:rsidRDefault="00145A72" w14:paraId="6AB0E965" w14:textId="066CCBF8">
            <w:pPr>
              <w:tabs>
                <w:tab w:val="decimal" w:pos="1410"/>
              </w:tabs>
              <w:spacing w:line="280" w:lineRule="exact"/>
              <w:rPr>
                <w:rFonts w:ascii="Times" w:hAnsi="Times"/>
              </w:rPr>
            </w:pPr>
          </w:p>
        </w:tc>
        <w:tc>
          <w:tcPr>
            <w:tcW w:w="2340" w:type="dxa"/>
            <w:vAlign w:val="bottom"/>
          </w:tcPr>
          <w:p w:rsidRPr="00D52CB7" w:rsidR="00145A72" w:rsidP="00145A72" w:rsidRDefault="00145A72" w14:paraId="040C0639" w14:textId="6C1BED55">
            <w:pPr>
              <w:tabs>
                <w:tab w:val="decimal" w:pos="1504"/>
              </w:tabs>
              <w:spacing w:line="280" w:lineRule="exact"/>
              <w:rPr>
                <w:rFonts w:ascii="Times" w:hAnsi="Times"/>
              </w:rPr>
            </w:pPr>
          </w:p>
        </w:tc>
      </w:tr>
      <w:tr w:rsidRPr="00D52CB7" w:rsidR="00145A72" w:rsidTr="004A0D4E" w14:paraId="7901133A" w14:textId="77777777">
        <w:trPr>
          <w:trHeight w:val="20"/>
        </w:trPr>
        <w:tc>
          <w:tcPr>
            <w:tcW w:w="2340" w:type="dxa"/>
            <w:vAlign w:val="bottom"/>
          </w:tcPr>
          <w:p w:rsidRPr="00D52CB7" w:rsidR="00145A72" w:rsidP="00145A72" w:rsidRDefault="00145A72" w14:paraId="21009732" w14:textId="4D905C94">
            <w:pPr>
              <w:spacing w:line="280" w:lineRule="exact"/>
              <w:jc w:val="center"/>
              <w:rPr>
                <w:rFonts w:ascii="Times" w:hAnsi="Times"/>
              </w:rPr>
            </w:pPr>
          </w:p>
        </w:tc>
        <w:tc>
          <w:tcPr>
            <w:tcW w:w="2340" w:type="dxa"/>
            <w:vAlign w:val="bottom"/>
          </w:tcPr>
          <w:p w:rsidRPr="00D52CB7" w:rsidR="00145A72" w:rsidP="00145A72" w:rsidRDefault="00145A72" w14:paraId="2EB52777" w14:textId="3F68D4CB">
            <w:pPr>
              <w:tabs>
                <w:tab w:val="decimal" w:pos="1416"/>
              </w:tabs>
              <w:spacing w:line="280" w:lineRule="exact"/>
              <w:rPr>
                <w:rFonts w:ascii="Times" w:hAnsi="Times"/>
              </w:rPr>
            </w:pPr>
          </w:p>
        </w:tc>
        <w:tc>
          <w:tcPr>
            <w:tcW w:w="2340" w:type="dxa"/>
            <w:vAlign w:val="bottom"/>
          </w:tcPr>
          <w:p w:rsidRPr="00D52CB7" w:rsidR="00145A72" w:rsidP="00145A72" w:rsidRDefault="00145A72" w14:paraId="76B7D2F3" w14:textId="36DF4D20">
            <w:pPr>
              <w:tabs>
                <w:tab w:val="decimal" w:pos="1410"/>
              </w:tabs>
              <w:spacing w:line="280" w:lineRule="exact"/>
              <w:rPr>
                <w:rFonts w:ascii="Times" w:hAnsi="Times"/>
              </w:rPr>
            </w:pPr>
          </w:p>
        </w:tc>
        <w:tc>
          <w:tcPr>
            <w:tcW w:w="2340" w:type="dxa"/>
            <w:vAlign w:val="bottom"/>
          </w:tcPr>
          <w:p w:rsidRPr="00D52CB7" w:rsidR="00145A72" w:rsidP="00145A72" w:rsidRDefault="00145A72" w14:paraId="25A9AA90" w14:textId="16D9A6C3">
            <w:pPr>
              <w:tabs>
                <w:tab w:val="decimal" w:pos="1504"/>
              </w:tabs>
              <w:spacing w:line="280" w:lineRule="exact"/>
              <w:rPr>
                <w:rFonts w:ascii="Times" w:hAnsi="Times"/>
              </w:rPr>
            </w:pPr>
          </w:p>
        </w:tc>
      </w:tr>
      <w:tr w:rsidRPr="00D52CB7" w:rsidR="00145A72" w:rsidTr="004A0D4E" w14:paraId="49C26D49" w14:textId="77777777">
        <w:trPr>
          <w:trHeight w:val="20"/>
        </w:trPr>
        <w:tc>
          <w:tcPr>
            <w:tcW w:w="2340" w:type="dxa"/>
            <w:vAlign w:val="bottom"/>
          </w:tcPr>
          <w:p w:rsidRPr="00D52CB7" w:rsidR="00145A72" w:rsidP="00145A72" w:rsidRDefault="00145A72" w14:paraId="394B8BC3" w14:textId="363C6778">
            <w:pPr>
              <w:spacing w:line="280" w:lineRule="exact"/>
              <w:jc w:val="center"/>
              <w:rPr>
                <w:rFonts w:ascii="Times" w:hAnsi="Times"/>
              </w:rPr>
            </w:pPr>
          </w:p>
        </w:tc>
        <w:tc>
          <w:tcPr>
            <w:tcW w:w="2340" w:type="dxa"/>
            <w:vAlign w:val="bottom"/>
          </w:tcPr>
          <w:p w:rsidRPr="00D52CB7" w:rsidR="00145A72" w:rsidP="00145A72" w:rsidRDefault="00145A72" w14:paraId="223D7CB3" w14:textId="33B84EC2">
            <w:pPr>
              <w:tabs>
                <w:tab w:val="decimal" w:pos="1416"/>
              </w:tabs>
              <w:spacing w:line="280" w:lineRule="exact"/>
              <w:rPr>
                <w:rFonts w:ascii="Times" w:hAnsi="Times"/>
              </w:rPr>
            </w:pPr>
          </w:p>
        </w:tc>
        <w:tc>
          <w:tcPr>
            <w:tcW w:w="2340" w:type="dxa"/>
            <w:vAlign w:val="bottom"/>
          </w:tcPr>
          <w:p w:rsidRPr="00D52CB7" w:rsidR="00145A72" w:rsidP="00145A72" w:rsidRDefault="00145A72" w14:paraId="2BE5B618" w14:textId="6F9FF606">
            <w:pPr>
              <w:tabs>
                <w:tab w:val="decimal" w:pos="1410"/>
              </w:tabs>
              <w:spacing w:line="280" w:lineRule="exact"/>
              <w:rPr>
                <w:rFonts w:ascii="Times" w:hAnsi="Times"/>
              </w:rPr>
            </w:pPr>
          </w:p>
        </w:tc>
        <w:tc>
          <w:tcPr>
            <w:tcW w:w="2340" w:type="dxa"/>
            <w:vAlign w:val="bottom"/>
          </w:tcPr>
          <w:p w:rsidRPr="00D52CB7" w:rsidR="00145A72" w:rsidP="00145A72" w:rsidRDefault="00145A72" w14:paraId="7709B06E" w14:textId="2F9E86A3">
            <w:pPr>
              <w:tabs>
                <w:tab w:val="decimal" w:pos="1504"/>
              </w:tabs>
              <w:spacing w:line="280" w:lineRule="exact"/>
              <w:rPr>
                <w:rFonts w:ascii="Times" w:hAnsi="Times"/>
              </w:rPr>
            </w:pPr>
          </w:p>
        </w:tc>
      </w:tr>
      <w:tr w:rsidRPr="00D52CB7" w:rsidR="00145A72" w:rsidTr="004A0D4E" w14:paraId="1158A503" w14:textId="77777777">
        <w:trPr>
          <w:trHeight w:val="20"/>
        </w:trPr>
        <w:tc>
          <w:tcPr>
            <w:tcW w:w="2340" w:type="dxa"/>
            <w:vAlign w:val="bottom"/>
          </w:tcPr>
          <w:p w:rsidRPr="00D52CB7" w:rsidR="00145A72" w:rsidP="00145A72" w:rsidRDefault="00145A72" w14:paraId="42E77724" w14:textId="465A27EE">
            <w:pPr>
              <w:spacing w:line="280" w:lineRule="exact"/>
              <w:jc w:val="center"/>
              <w:rPr>
                <w:rFonts w:ascii="Times" w:hAnsi="Times"/>
              </w:rPr>
            </w:pPr>
          </w:p>
        </w:tc>
        <w:tc>
          <w:tcPr>
            <w:tcW w:w="2340" w:type="dxa"/>
            <w:vAlign w:val="bottom"/>
          </w:tcPr>
          <w:p w:rsidRPr="00D52CB7" w:rsidR="00145A72" w:rsidP="00145A72" w:rsidRDefault="00145A72" w14:paraId="44D26FF4" w14:textId="40B2283E">
            <w:pPr>
              <w:tabs>
                <w:tab w:val="decimal" w:pos="1416"/>
              </w:tabs>
              <w:spacing w:line="280" w:lineRule="exact"/>
              <w:rPr>
                <w:rFonts w:ascii="Times" w:hAnsi="Times"/>
              </w:rPr>
            </w:pPr>
          </w:p>
        </w:tc>
        <w:tc>
          <w:tcPr>
            <w:tcW w:w="2340" w:type="dxa"/>
            <w:vAlign w:val="bottom"/>
          </w:tcPr>
          <w:p w:rsidRPr="00D52CB7" w:rsidR="00145A72" w:rsidP="00145A72" w:rsidRDefault="00145A72" w14:paraId="581DAF3E" w14:textId="475CAB85">
            <w:pPr>
              <w:tabs>
                <w:tab w:val="decimal" w:pos="1410"/>
              </w:tabs>
              <w:spacing w:line="280" w:lineRule="exact"/>
              <w:rPr>
                <w:rFonts w:ascii="Times" w:hAnsi="Times"/>
              </w:rPr>
            </w:pPr>
          </w:p>
        </w:tc>
        <w:tc>
          <w:tcPr>
            <w:tcW w:w="2340" w:type="dxa"/>
            <w:vAlign w:val="bottom"/>
          </w:tcPr>
          <w:p w:rsidRPr="00D52CB7" w:rsidR="00145A72" w:rsidP="00145A72" w:rsidRDefault="00145A72" w14:paraId="4887807A" w14:textId="66AE4A13">
            <w:pPr>
              <w:tabs>
                <w:tab w:val="decimal" w:pos="1504"/>
              </w:tabs>
              <w:spacing w:line="280" w:lineRule="exact"/>
              <w:rPr>
                <w:rFonts w:ascii="Times" w:hAnsi="Times"/>
              </w:rPr>
            </w:pPr>
          </w:p>
        </w:tc>
      </w:tr>
      <w:tr w:rsidRPr="00D52CB7" w:rsidR="00145A72" w:rsidTr="004A0D4E" w14:paraId="585A36BD" w14:textId="77777777">
        <w:trPr>
          <w:trHeight w:val="20"/>
        </w:trPr>
        <w:tc>
          <w:tcPr>
            <w:tcW w:w="2340" w:type="dxa"/>
            <w:vAlign w:val="bottom"/>
          </w:tcPr>
          <w:p w:rsidRPr="00D52CB7" w:rsidR="00145A72" w:rsidP="00145A72" w:rsidRDefault="00145A72" w14:paraId="10BF0BA8" w14:textId="0BBABE4A">
            <w:pPr>
              <w:spacing w:line="280" w:lineRule="exact"/>
              <w:jc w:val="center"/>
              <w:rPr>
                <w:rFonts w:ascii="Times" w:hAnsi="Times"/>
              </w:rPr>
            </w:pPr>
          </w:p>
        </w:tc>
        <w:tc>
          <w:tcPr>
            <w:tcW w:w="2340" w:type="dxa"/>
            <w:vAlign w:val="bottom"/>
          </w:tcPr>
          <w:p w:rsidRPr="00D52CB7" w:rsidR="00145A72" w:rsidP="00145A72" w:rsidRDefault="00145A72" w14:paraId="0C2EDBEA" w14:textId="0DBE9C1B">
            <w:pPr>
              <w:tabs>
                <w:tab w:val="decimal" w:pos="1416"/>
              </w:tabs>
              <w:spacing w:line="280" w:lineRule="exact"/>
              <w:rPr>
                <w:rFonts w:ascii="Times" w:hAnsi="Times"/>
              </w:rPr>
            </w:pPr>
          </w:p>
        </w:tc>
        <w:tc>
          <w:tcPr>
            <w:tcW w:w="2340" w:type="dxa"/>
            <w:vAlign w:val="bottom"/>
          </w:tcPr>
          <w:p w:rsidRPr="00D52CB7" w:rsidR="00145A72" w:rsidP="00145A72" w:rsidRDefault="00145A72" w14:paraId="7CB7561A" w14:textId="5AB55AD0">
            <w:pPr>
              <w:tabs>
                <w:tab w:val="decimal" w:pos="1410"/>
              </w:tabs>
              <w:spacing w:line="280" w:lineRule="exact"/>
              <w:rPr>
                <w:rFonts w:ascii="Times" w:hAnsi="Times"/>
              </w:rPr>
            </w:pPr>
          </w:p>
        </w:tc>
        <w:tc>
          <w:tcPr>
            <w:tcW w:w="2340" w:type="dxa"/>
            <w:vAlign w:val="bottom"/>
          </w:tcPr>
          <w:p w:rsidRPr="00D52CB7" w:rsidR="00145A72" w:rsidP="00145A72" w:rsidRDefault="00145A72" w14:paraId="11A093FE" w14:textId="492CE761">
            <w:pPr>
              <w:tabs>
                <w:tab w:val="decimal" w:pos="1504"/>
              </w:tabs>
              <w:spacing w:line="280" w:lineRule="exact"/>
              <w:rPr>
                <w:rFonts w:ascii="Times" w:hAnsi="Times"/>
              </w:rPr>
            </w:pPr>
          </w:p>
        </w:tc>
      </w:tr>
      <w:tr w:rsidRPr="00D52CB7" w:rsidR="00145A72" w:rsidTr="004A0D4E" w14:paraId="765302ED" w14:textId="77777777">
        <w:trPr>
          <w:trHeight w:val="20"/>
        </w:trPr>
        <w:tc>
          <w:tcPr>
            <w:tcW w:w="2340" w:type="dxa"/>
            <w:vAlign w:val="bottom"/>
          </w:tcPr>
          <w:p w:rsidRPr="00D52CB7" w:rsidR="00145A72" w:rsidP="00145A72" w:rsidRDefault="00145A72" w14:paraId="17F2C4BC" w14:textId="1622D4C8">
            <w:pPr>
              <w:spacing w:line="280" w:lineRule="exact"/>
              <w:jc w:val="center"/>
              <w:rPr>
                <w:rFonts w:ascii="Times" w:hAnsi="Times"/>
              </w:rPr>
            </w:pPr>
          </w:p>
        </w:tc>
        <w:tc>
          <w:tcPr>
            <w:tcW w:w="2340" w:type="dxa"/>
            <w:vAlign w:val="bottom"/>
          </w:tcPr>
          <w:p w:rsidRPr="00D52CB7" w:rsidR="00145A72" w:rsidP="00145A72" w:rsidRDefault="00145A72" w14:paraId="57720C21" w14:textId="64777985">
            <w:pPr>
              <w:tabs>
                <w:tab w:val="decimal" w:pos="1416"/>
              </w:tabs>
              <w:spacing w:line="280" w:lineRule="exact"/>
              <w:rPr>
                <w:rFonts w:ascii="Times" w:hAnsi="Times"/>
              </w:rPr>
            </w:pPr>
          </w:p>
        </w:tc>
        <w:tc>
          <w:tcPr>
            <w:tcW w:w="2340" w:type="dxa"/>
            <w:vAlign w:val="bottom"/>
          </w:tcPr>
          <w:p w:rsidRPr="00D52CB7" w:rsidR="00145A72" w:rsidP="00145A72" w:rsidRDefault="00145A72" w14:paraId="4D4831CB" w14:textId="4881EFFD">
            <w:pPr>
              <w:tabs>
                <w:tab w:val="decimal" w:pos="1410"/>
              </w:tabs>
              <w:spacing w:line="280" w:lineRule="exact"/>
              <w:rPr>
                <w:rFonts w:ascii="Times" w:hAnsi="Times"/>
              </w:rPr>
            </w:pPr>
          </w:p>
        </w:tc>
        <w:tc>
          <w:tcPr>
            <w:tcW w:w="2340" w:type="dxa"/>
            <w:vAlign w:val="bottom"/>
          </w:tcPr>
          <w:p w:rsidRPr="00D52CB7" w:rsidR="00145A72" w:rsidP="00145A72" w:rsidRDefault="00145A72" w14:paraId="32154DB6" w14:textId="7A69D0F3">
            <w:pPr>
              <w:tabs>
                <w:tab w:val="decimal" w:pos="1504"/>
              </w:tabs>
              <w:spacing w:line="280" w:lineRule="exact"/>
              <w:rPr>
                <w:rFonts w:ascii="Times" w:hAnsi="Times"/>
              </w:rPr>
            </w:pPr>
          </w:p>
        </w:tc>
      </w:tr>
      <w:tr w:rsidRPr="00D52CB7" w:rsidR="00145A72" w:rsidTr="004A0D4E" w14:paraId="36F43D30" w14:textId="77777777">
        <w:trPr>
          <w:trHeight w:val="20"/>
        </w:trPr>
        <w:tc>
          <w:tcPr>
            <w:tcW w:w="2340" w:type="dxa"/>
            <w:vAlign w:val="bottom"/>
          </w:tcPr>
          <w:p w:rsidRPr="00D52CB7" w:rsidR="00145A72" w:rsidP="00145A72" w:rsidRDefault="00145A72" w14:paraId="69A426B2" w14:textId="5149C376">
            <w:pPr>
              <w:spacing w:line="280" w:lineRule="exact"/>
              <w:jc w:val="center"/>
              <w:rPr>
                <w:rFonts w:ascii="Times" w:hAnsi="Times"/>
              </w:rPr>
            </w:pPr>
          </w:p>
        </w:tc>
        <w:tc>
          <w:tcPr>
            <w:tcW w:w="2340" w:type="dxa"/>
            <w:vAlign w:val="bottom"/>
          </w:tcPr>
          <w:p w:rsidRPr="00D52CB7" w:rsidR="00145A72" w:rsidP="00145A72" w:rsidRDefault="00145A72" w14:paraId="596D6A62" w14:textId="567DC89E">
            <w:pPr>
              <w:tabs>
                <w:tab w:val="decimal" w:pos="1416"/>
              </w:tabs>
              <w:spacing w:line="280" w:lineRule="exact"/>
              <w:rPr>
                <w:rFonts w:ascii="Times" w:hAnsi="Times"/>
              </w:rPr>
            </w:pPr>
          </w:p>
        </w:tc>
        <w:tc>
          <w:tcPr>
            <w:tcW w:w="2340" w:type="dxa"/>
            <w:vAlign w:val="bottom"/>
          </w:tcPr>
          <w:p w:rsidRPr="00D52CB7" w:rsidR="00145A72" w:rsidP="00145A72" w:rsidRDefault="00145A72" w14:paraId="559704C5" w14:textId="3414FDA0">
            <w:pPr>
              <w:tabs>
                <w:tab w:val="decimal" w:pos="1410"/>
              </w:tabs>
              <w:spacing w:line="280" w:lineRule="exact"/>
              <w:rPr>
                <w:rFonts w:ascii="Times" w:hAnsi="Times"/>
              </w:rPr>
            </w:pPr>
          </w:p>
        </w:tc>
        <w:tc>
          <w:tcPr>
            <w:tcW w:w="2340" w:type="dxa"/>
            <w:vAlign w:val="bottom"/>
          </w:tcPr>
          <w:p w:rsidRPr="00D52CB7" w:rsidR="00145A72" w:rsidP="00145A72" w:rsidRDefault="00145A72" w14:paraId="17ABDAC4" w14:textId="3BE0A489">
            <w:pPr>
              <w:tabs>
                <w:tab w:val="decimal" w:pos="1504"/>
              </w:tabs>
              <w:spacing w:line="280" w:lineRule="exact"/>
              <w:rPr>
                <w:rFonts w:ascii="Times" w:hAnsi="Times"/>
              </w:rPr>
            </w:pPr>
          </w:p>
        </w:tc>
      </w:tr>
      <w:tr w:rsidRPr="00D52CB7" w:rsidR="00145A72" w:rsidTr="004A0D4E" w14:paraId="2011B51D" w14:textId="77777777">
        <w:trPr>
          <w:trHeight w:val="20"/>
        </w:trPr>
        <w:tc>
          <w:tcPr>
            <w:tcW w:w="2340" w:type="dxa"/>
            <w:vAlign w:val="bottom"/>
          </w:tcPr>
          <w:p w:rsidRPr="00D52CB7" w:rsidR="00145A72" w:rsidP="00145A72" w:rsidRDefault="00145A72" w14:paraId="52DC25D1" w14:textId="15DC78A9">
            <w:pPr>
              <w:spacing w:line="280" w:lineRule="exact"/>
              <w:jc w:val="center"/>
              <w:rPr>
                <w:rFonts w:ascii="Times" w:hAnsi="Times"/>
              </w:rPr>
            </w:pPr>
          </w:p>
        </w:tc>
        <w:tc>
          <w:tcPr>
            <w:tcW w:w="2340" w:type="dxa"/>
            <w:vAlign w:val="bottom"/>
          </w:tcPr>
          <w:p w:rsidRPr="00D52CB7" w:rsidR="00145A72" w:rsidP="00145A72" w:rsidRDefault="00145A72" w14:paraId="62A3926C" w14:textId="3286456B">
            <w:pPr>
              <w:tabs>
                <w:tab w:val="decimal" w:pos="1416"/>
              </w:tabs>
              <w:spacing w:line="280" w:lineRule="exact"/>
              <w:rPr>
                <w:rFonts w:ascii="Times" w:hAnsi="Times"/>
              </w:rPr>
            </w:pPr>
          </w:p>
        </w:tc>
        <w:tc>
          <w:tcPr>
            <w:tcW w:w="2340" w:type="dxa"/>
            <w:vAlign w:val="bottom"/>
          </w:tcPr>
          <w:p w:rsidRPr="00D52CB7" w:rsidR="00145A72" w:rsidP="00145A72" w:rsidRDefault="00145A72" w14:paraId="38352EB9" w14:textId="166FD2A9">
            <w:pPr>
              <w:tabs>
                <w:tab w:val="decimal" w:pos="1410"/>
              </w:tabs>
              <w:spacing w:line="280" w:lineRule="exact"/>
              <w:rPr>
                <w:rFonts w:ascii="Times" w:hAnsi="Times"/>
              </w:rPr>
            </w:pPr>
          </w:p>
        </w:tc>
        <w:tc>
          <w:tcPr>
            <w:tcW w:w="2340" w:type="dxa"/>
            <w:vAlign w:val="bottom"/>
          </w:tcPr>
          <w:p w:rsidRPr="00D52CB7" w:rsidR="00145A72" w:rsidP="00145A72" w:rsidRDefault="00145A72" w14:paraId="43C60DF1" w14:textId="2452C582">
            <w:pPr>
              <w:tabs>
                <w:tab w:val="decimal" w:pos="1504"/>
              </w:tabs>
              <w:spacing w:line="280" w:lineRule="exact"/>
              <w:rPr>
                <w:rFonts w:ascii="Times" w:hAnsi="Times"/>
              </w:rPr>
            </w:pPr>
          </w:p>
        </w:tc>
      </w:tr>
      <w:tr w:rsidRPr="00D52CB7" w:rsidR="00145A72" w:rsidTr="004A0D4E" w14:paraId="1FAE0FC4" w14:textId="77777777">
        <w:trPr>
          <w:trHeight w:val="20"/>
        </w:trPr>
        <w:tc>
          <w:tcPr>
            <w:tcW w:w="2340" w:type="dxa"/>
            <w:vAlign w:val="bottom"/>
          </w:tcPr>
          <w:p w:rsidRPr="00D52CB7" w:rsidR="00145A72" w:rsidP="00145A72" w:rsidRDefault="00145A72" w14:paraId="625DD5DA" w14:textId="460DA95C">
            <w:pPr>
              <w:spacing w:line="280" w:lineRule="exact"/>
              <w:jc w:val="center"/>
              <w:rPr>
                <w:rFonts w:ascii="Times" w:hAnsi="Times"/>
              </w:rPr>
            </w:pPr>
          </w:p>
        </w:tc>
        <w:tc>
          <w:tcPr>
            <w:tcW w:w="2340" w:type="dxa"/>
            <w:vAlign w:val="bottom"/>
          </w:tcPr>
          <w:p w:rsidRPr="00D52CB7" w:rsidR="00145A72" w:rsidP="00145A72" w:rsidRDefault="00145A72" w14:paraId="44E1EE80" w14:textId="6421E28D">
            <w:pPr>
              <w:tabs>
                <w:tab w:val="decimal" w:pos="1416"/>
              </w:tabs>
              <w:spacing w:line="280" w:lineRule="exact"/>
              <w:rPr>
                <w:rFonts w:ascii="Times" w:hAnsi="Times"/>
              </w:rPr>
            </w:pPr>
          </w:p>
        </w:tc>
        <w:tc>
          <w:tcPr>
            <w:tcW w:w="2340" w:type="dxa"/>
            <w:vAlign w:val="bottom"/>
          </w:tcPr>
          <w:p w:rsidRPr="00D52CB7" w:rsidR="00145A72" w:rsidP="00145A72" w:rsidRDefault="00145A72" w14:paraId="2A878A54" w14:textId="7AFC9B89">
            <w:pPr>
              <w:tabs>
                <w:tab w:val="decimal" w:pos="1410"/>
              </w:tabs>
              <w:spacing w:line="280" w:lineRule="exact"/>
              <w:rPr>
                <w:rFonts w:ascii="Times" w:hAnsi="Times"/>
              </w:rPr>
            </w:pPr>
          </w:p>
        </w:tc>
        <w:tc>
          <w:tcPr>
            <w:tcW w:w="2340" w:type="dxa"/>
            <w:vAlign w:val="bottom"/>
          </w:tcPr>
          <w:p w:rsidRPr="00D52CB7" w:rsidR="00145A72" w:rsidP="00145A72" w:rsidRDefault="00145A72" w14:paraId="4AEDCBBE" w14:textId="5AF16D57">
            <w:pPr>
              <w:tabs>
                <w:tab w:val="decimal" w:pos="1504"/>
              </w:tabs>
              <w:spacing w:line="280" w:lineRule="exact"/>
              <w:rPr>
                <w:rFonts w:ascii="Times" w:hAnsi="Times"/>
              </w:rPr>
            </w:pPr>
          </w:p>
        </w:tc>
      </w:tr>
      <w:tr w:rsidRPr="00D52CB7" w:rsidR="00145A72" w:rsidTr="004A0D4E" w14:paraId="4F24C50E" w14:textId="77777777">
        <w:trPr>
          <w:trHeight w:val="20"/>
        </w:trPr>
        <w:tc>
          <w:tcPr>
            <w:tcW w:w="2340" w:type="dxa"/>
            <w:vAlign w:val="bottom"/>
          </w:tcPr>
          <w:p w:rsidRPr="00D52CB7" w:rsidR="00145A72" w:rsidP="00145A72" w:rsidRDefault="00145A72" w14:paraId="739FA093" w14:textId="15271095">
            <w:pPr>
              <w:spacing w:line="280" w:lineRule="exact"/>
              <w:jc w:val="center"/>
              <w:rPr>
                <w:rFonts w:ascii="Times" w:hAnsi="Times"/>
              </w:rPr>
            </w:pPr>
          </w:p>
        </w:tc>
        <w:tc>
          <w:tcPr>
            <w:tcW w:w="2340" w:type="dxa"/>
            <w:vAlign w:val="bottom"/>
          </w:tcPr>
          <w:p w:rsidRPr="00D52CB7" w:rsidR="00145A72" w:rsidP="00145A72" w:rsidRDefault="00145A72" w14:paraId="4DE02774" w14:textId="02FD1C69">
            <w:pPr>
              <w:tabs>
                <w:tab w:val="decimal" w:pos="1416"/>
              </w:tabs>
              <w:spacing w:line="280" w:lineRule="exact"/>
              <w:rPr>
                <w:rFonts w:ascii="Times" w:hAnsi="Times"/>
              </w:rPr>
            </w:pPr>
          </w:p>
        </w:tc>
        <w:tc>
          <w:tcPr>
            <w:tcW w:w="2340" w:type="dxa"/>
            <w:vAlign w:val="bottom"/>
          </w:tcPr>
          <w:p w:rsidRPr="00D52CB7" w:rsidR="00145A72" w:rsidP="00145A72" w:rsidRDefault="00145A72" w14:paraId="2B567751" w14:textId="25261515">
            <w:pPr>
              <w:tabs>
                <w:tab w:val="decimal" w:pos="1410"/>
              </w:tabs>
              <w:spacing w:line="280" w:lineRule="exact"/>
              <w:rPr>
                <w:rFonts w:ascii="Times" w:hAnsi="Times"/>
              </w:rPr>
            </w:pPr>
          </w:p>
        </w:tc>
        <w:tc>
          <w:tcPr>
            <w:tcW w:w="2340" w:type="dxa"/>
            <w:vAlign w:val="bottom"/>
          </w:tcPr>
          <w:p w:rsidRPr="00D52CB7" w:rsidR="00145A72" w:rsidP="00145A72" w:rsidRDefault="00145A72" w14:paraId="232EA2B5" w14:textId="47E7DD6A">
            <w:pPr>
              <w:tabs>
                <w:tab w:val="decimal" w:pos="1504"/>
              </w:tabs>
              <w:spacing w:line="280" w:lineRule="exact"/>
              <w:rPr>
                <w:rFonts w:ascii="Times" w:hAnsi="Times"/>
              </w:rPr>
            </w:pPr>
          </w:p>
        </w:tc>
      </w:tr>
      <w:tr w:rsidRPr="00D52CB7" w:rsidR="00145A72" w:rsidTr="004A0D4E" w14:paraId="7DF90632" w14:textId="77777777">
        <w:trPr>
          <w:trHeight w:val="20"/>
        </w:trPr>
        <w:tc>
          <w:tcPr>
            <w:tcW w:w="2340" w:type="dxa"/>
            <w:vAlign w:val="bottom"/>
          </w:tcPr>
          <w:p w:rsidRPr="00D52CB7" w:rsidR="00145A72" w:rsidP="00145A72" w:rsidRDefault="00145A72" w14:paraId="50A898FB" w14:textId="16B3D5A9">
            <w:pPr>
              <w:spacing w:line="280" w:lineRule="exact"/>
              <w:jc w:val="center"/>
              <w:rPr>
                <w:rFonts w:ascii="Times" w:hAnsi="Times"/>
              </w:rPr>
            </w:pPr>
          </w:p>
        </w:tc>
        <w:tc>
          <w:tcPr>
            <w:tcW w:w="2340" w:type="dxa"/>
            <w:vAlign w:val="bottom"/>
          </w:tcPr>
          <w:p w:rsidRPr="00D52CB7" w:rsidR="00145A72" w:rsidP="00145A72" w:rsidRDefault="00145A72" w14:paraId="6F01A86D" w14:textId="43378BCF">
            <w:pPr>
              <w:tabs>
                <w:tab w:val="decimal" w:pos="1416"/>
              </w:tabs>
              <w:spacing w:line="280" w:lineRule="exact"/>
              <w:rPr>
                <w:rFonts w:ascii="Times" w:hAnsi="Times"/>
              </w:rPr>
            </w:pPr>
          </w:p>
        </w:tc>
        <w:tc>
          <w:tcPr>
            <w:tcW w:w="2340" w:type="dxa"/>
            <w:vAlign w:val="bottom"/>
          </w:tcPr>
          <w:p w:rsidRPr="00D52CB7" w:rsidR="00145A72" w:rsidP="00145A72" w:rsidRDefault="00145A72" w14:paraId="2DA7563C" w14:textId="42CB51CB">
            <w:pPr>
              <w:tabs>
                <w:tab w:val="decimal" w:pos="1410"/>
              </w:tabs>
              <w:spacing w:line="280" w:lineRule="exact"/>
              <w:rPr>
                <w:rFonts w:ascii="Times" w:hAnsi="Times"/>
              </w:rPr>
            </w:pPr>
          </w:p>
        </w:tc>
        <w:tc>
          <w:tcPr>
            <w:tcW w:w="2340" w:type="dxa"/>
            <w:vAlign w:val="bottom"/>
          </w:tcPr>
          <w:p w:rsidRPr="00D52CB7" w:rsidR="00145A72" w:rsidP="00145A72" w:rsidRDefault="00145A72" w14:paraId="772267E7" w14:textId="41039DD8">
            <w:pPr>
              <w:tabs>
                <w:tab w:val="decimal" w:pos="1504"/>
              </w:tabs>
              <w:spacing w:line="280" w:lineRule="exact"/>
              <w:rPr>
                <w:rFonts w:ascii="Times" w:hAnsi="Times"/>
              </w:rPr>
            </w:pPr>
          </w:p>
        </w:tc>
      </w:tr>
      <w:tr w:rsidRPr="00D52CB7" w:rsidR="00145A72" w:rsidTr="004A0D4E" w14:paraId="68B168ED" w14:textId="77777777">
        <w:trPr>
          <w:trHeight w:val="20"/>
        </w:trPr>
        <w:tc>
          <w:tcPr>
            <w:tcW w:w="2340" w:type="dxa"/>
            <w:vAlign w:val="bottom"/>
          </w:tcPr>
          <w:p w:rsidRPr="00D52CB7" w:rsidR="00145A72" w:rsidP="00145A72" w:rsidRDefault="00145A72" w14:paraId="556FA0FA" w14:textId="0C186A59">
            <w:pPr>
              <w:spacing w:line="280" w:lineRule="exact"/>
              <w:jc w:val="center"/>
              <w:rPr>
                <w:rFonts w:ascii="Times" w:hAnsi="Times"/>
              </w:rPr>
            </w:pPr>
          </w:p>
        </w:tc>
        <w:tc>
          <w:tcPr>
            <w:tcW w:w="2340" w:type="dxa"/>
            <w:vAlign w:val="bottom"/>
          </w:tcPr>
          <w:p w:rsidRPr="00D52CB7" w:rsidR="00145A72" w:rsidP="00145A72" w:rsidRDefault="00145A72" w14:paraId="367F778E" w14:textId="44FB6FB9">
            <w:pPr>
              <w:tabs>
                <w:tab w:val="decimal" w:pos="1416"/>
              </w:tabs>
              <w:spacing w:line="280" w:lineRule="exact"/>
              <w:rPr>
                <w:rFonts w:ascii="Times" w:hAnsi="Times"/>
              </w:rPr>
            </w:pPr>
          </w:p>
        </w:tc>
        <w:tc>
          <w:tcPr>
            <w:tcW w:w="2340" w:type="dxa"/>
            <w:vAlign w:val="bottom"/>
          </w:tcPr>
          <w:p w:rsidRPr="00D52CB7" w:rsidR="00145A72" w:rsidP="00145A72" w:rsidRDefault="00145A72" w14:paraId="531A492B" w14:textId="601626D8">
            <w:pPr>
              <w:tabs>
                <w:tab w:val="decimal" w:pos="1410"/>
              </w:tabs>
              <w:spacing w:line="280" w:lineRule="exact"/>
              <w:rPr>
                <w:rFonts w:ascii="Times" w:hAnsi="Times"/>
              </w:rPr>
            </w:pPr>
          </w:p>
        </w:tc>
        <w:tc>
          <w:tcPr>
            <w:tcW w:w="2340" w:type="dxa"/>
            <w:vAlign w:val="bottom"/>
          </w:tcPr>
          <w:p w:rsidRPr="00D52CB7" w:rsidR="00145A72" w:rsidP="00145A72" w:rsidRDefault="00145A72" w14:paraId="0820AD9F" w14:textId="0D0DA8EC">
            <w:pPr>
              <w:tabs>
                <w:tab w:val="decimal" w:pos="1504"/>
              </w:tabs>
              <w:spacing w:line="280" w:lineRule="exact"/>
              <w:rPr>
                <w:rFonts w:ascii="Times" w:hAnsi="Times"/>
              </w:rPr>
            </w:pPr>
          </w:p>
        </w:tc>
      </w:tr>
      <w:tr w:rsidRPr="00D52CB7" w:rsidR="00145A72" w:rsidTr="004A0D4E" w14:paraId="1DB76810" w14:textId="77777777">
        <w:trPr>
          <w:trHeight w:val="20"/>
        </w:trPr>
        <w:tc>
          <w:tcPr>
            <w:tcW w:w="2340" w:type="dxa"/>
            <w:vAlign w:val="bottom"/>
          </w:tcPr>
          <w:p w:rsidRPr="00D52CB7" w:rsidR="00145A72" w:rsidP="00145A72" w:rsidRDefault="00145A72" w14:paraId="791346D4" w14:textId="1FB4836B">
            <w:pPr>
              <w:spacing w:line="280" w:lineRule="exact"/>
              <w:jc w:val="center"/>
              <w:rPr>
                <w:rFonts w:ascii="Times" w:hAnsi="Times"/>
              </w:rPr>
            </w:pPr>
          </w:p>
        </w:tc>
        <w:tc>
          <w:tcPr>
            <w:tcW w:w="2340" w:type="dxa"/>
            <w:vAlign w:val="bottom"/>
          </w:tcPr>
          <w:p w:rsidRPr="00D52CB7" w:rsidR="00145A72" w:rsidP="00145A72" w:rsidRDefault="00145A72" w14:paraId="73912115" w14:textId="7CF9EFC9">
            <w:pPr>
              <w:tabs>
                <w:tab w:val="decimal" w:pos="1416"/>
              </w:tabs>
              <w:spacing w:line="280" w:lineRule="exact"/>
              <w:rPr>
                <w:rFonts w:ascii="Times" w:hAnsi="Times"/>
              </w:rPr>
            </w:pPr>
          </w:p>
        </w:tc>
        <w:tc>
          <w:tcPr>
            <w:tcW w:w="2340" w:type="dxa"/>
            <w:vAlign w:val="bottom"/>
          </w:tcPr>
          <w:p w:rsidRPr="00D52CB7" w:rsidR="00145A72" w:rsidP="00145A72" w:rsidRDefault="00145A72" w14:paraId="21AF1C64" w14:textId="5B247E5F">
            <w:pPr>
              <w:tabs>
                <w:tab w:val="decimal" w:pos="1410"/>
              </w:tabs>
              <w:spacing w:line="280" w:lineRule="exact"/>
              <w:rPr>
                <w:rFonts w:ascii="Times" w:hAnsi="Times"/>
              </w:rPr>
            </w:pPr>
          </w:p>
        </w:tc>
        <w:tc>
          <w:tcPr>
            <w:tcW w:w="2340" w:type="dxa"/>
            <w:vAlign w:val="bottom"/>
          </w:tcPr>
          <w:p w:rsidRPr="00D52CB7" w:rsidR="00145A72" w:rsidP="00145A72" w:rsidRDefault="00145A72" w14:paraId="5601CA36" w14:textId="4CDD26C0">
            <w:pPr>
              <w:tabs>
                <w:tab w:val="decimal" w:pos="1504"/>
              </w:tabs>
              <w:spacing w:line="280" w:lineRule="exact"/>
              <w:rPr>
                <w:rFonts w:ascii="Times" w:hAnsi="Times"/>
              </w:rPr>
            </w:pPr>
          </w:p>
        </w:tc>
      </w:tr>
      <w:tr w:rsidRPr="00D52CB7" w:rsidR="00145A72" w:rsidTr="004A0D4E" w14:paraId="529EB6A3" w14:textId="77777777">
        <w:trPr>
          <w:trHeight w:val="20"/>
        </w:trPr>
        <w:tc>
          <w:tcPr>
            <w:tcW w:w="2340" w:type="dxa"/>
            <w:vAlign w:val="bottom"/>
          </w:tcPr>
          <w:p w:rsidRPr="00D52CB7" w:rsidR="00145A72" w:rsidP="00145A72" w:rsidRDefault="00145A72" w14:paraId="201FFD9D" w14:textId="6B22645A">
            <w:pPr>
              <w:spacing w:line="280" w:lineRule="exact"/>
              <w:jc w:val="center"/>
              <w:rPr>
                <w:rFonts w:ascii="Times" w:hAnsi="Times"/>
              </w:rPr>
            </w:pPr>
          </w:p>
        </w:tc>
        <w:tc>
          <w:tcPr>
            <w:tcW w:w="2340" w:type="dxa"/>
            <w:vAlign w:val="bottom"/>
          </w:tcPr>
          <w:p w:rsidRPr="00D52CB7" w:rsidR="00145A72" w:rsidP="00145A72" w:rsidRDefault="00145A72" w14:paraId="065134AC" w14:textId="1B70DB39">
            <w:pPr>
              <w:tabs>
                <w:tab w:val="decimal" w:pos="1416"/>
              </w:tabs>
              <w:spacing w:line="280" w:lineRule="exact"/>
              <w:rPr>
                <w:rFonts w:ascii="Times" w:hAnsi="Times"/>
              </w:rPr>
            </w:pPr>
          </w:p>
        </w:tc>
        <w:tc>
          <w:tcPr>
            <w:tcW w:w="2340" w:type="dxa"/>
            <w:vAlign w:val="bottom"/>
          </w:tcPr>
          <w:p w:rsidRPr="00D52CB7" w:rsidR="00145A72" w:rsidP="00145A72" w:rsidRDefault="00145A72" w14:paraId="745E6CA5" w14:textId="7E9CBAF0">
            <w:pPr>
              <w:tabs>
                <w:tab w:val="decimal" w:pos="1410"/>
              </w:tabs>
              <w:spacing w:line="280" w:lineRule="exact"/>
              <w:rPr>
                <w:rFonts w:ascii="Times" w:hAnsi="Times"/>
              </w:rPr>
            </w:pPr>
          </w:p>
        </w:tc>
        <w:tc>
          <w:tcPr>
            <w:tcW w:w="2340" w:type="dxa"/>
            <w:vAlign w:val="bottom"/>
          </w:tcPr>
          <w:p w:rsidRPr="00D52CB7" w:rsidR="00145A72" w:rsidP="00145A72" w:rsidRDefault="00145A72" w14:paraId="55A268E3" w14:textId="2210EE8F">
            <w:pPr>
              <w:tabs>
                <w:tab w:val="decimal" w:pos="1504"/>
              </w:tabs>
              <w:spacing w:line="280" w:lineRule="exact"/>
              <w:rPr>
                <w:rFonts w:ascii="Times" w:hAnsi="Times"/>
              </w:rPr>
            </w:pPr>
          </w:p>
        </w:tc>
      </w:tr>
      <w:tr w:rsidRPr="00D52CB7" w:rsidR="00145A72" w:rsidTr="004A0D4E" w14:paraId="14E58EEF" w14:textId="77777777">
        <w:trPr>
          <w:trHeight w:val="20"/>
        </w:trPr>
        <w:tc>
          <w:tcPr>
            <w:tcW w:w="2340" w:type="dxa"/>
            <w:vAlign w:val="bottom"/>
          </w:tcPr>
          <w:p w:rsidRPr="00D52CB7" w:rsidR="00145A72" w:rsidP="00145A72" w:rsidRDefault="00145A72" w14:paraId="2DD173D1" w14:textId="2170D1A6">
            <w:pPr>
              <w:spacing w:line="280" w:lineRule="exact"/>
              <w:jc w:val="center"/>
              <w:rPr>
                <w:rFonts w:ascii="Times" w:hAnsi="Times"/>
              </w:rPr>
            </w:pPr>
          </w:p>
        </w:tc>
        <w:tc>
          <w:tcPr>
            <w:tcW w:w="2340" w:type="dxa"/>
            <w:vAlign w:val="bottom"/>
          </w:tcPr>
          <w:p w:rsidRPr="00D52CB7" w:rsidR="00145A72" w:rsidP="00145A72" w:rsidRDefault="00145A72" w14:paraId="5754E248" w14:textId="5396CE15">
            <w:pPr>
              <w:tabs>
                <w:tab w:val="decimal" w:pos="1416"/>
              </w:tabs>
              <w:spacing w:line="280" w:lineRule="exact"/>
              <w:rPr>
                <w:rFonts w:ascii="Times" w:hAnsi="Times"/>
              </w:rPr>
            </w:pPr>
          </w:p>
        </w:tc>
        <w:tc>
          <w:tcPr>
            <w:tcW w:w="2340" w:type="dxa"/>
            <w:vAlign w:val="bottom"/>
          </w:tcPr>
          <w:p w:rsidRPr="00D52CB7" w:rsidR="00145A72" w:rsidP="00145A72" w:rsidRDefault="00145A72" w14:paraId="6E79B753" w14:textId="2445FAA2">
            <w:pPr>
              <w:tabs>
                <w:tab w:val="decimal" w:pos="1410"/>
              </w:tabs>
              <w:spacing w:line="280" w:lineRule="exact"/>
              <w:rPr>
                <w:rFonts w:ascii="Times" w:hAnsi="Times"/>
              </w:rPr>
            </w:pPr>
          </w:p>
        </w:tc>
        <w:tc>
          <w:tcPr>
            <w:tcW w:w="2340" w:type="dxa"/>
            <w:vAlign w:val="bottom"/>
          </w:tcPr>
          <w:p w:rsidRPr="00D52CB7" w:rsidR="00145A72" w:rsidP="00145A72" w:rsidRDefault="00145A72" w14:paraId="02A52769" w14:textId="5DBC84F8">
            <w:pPr>
              <w:tabs>
                <w:tab w:val="decimal" w:pos="1504"/>
              </w:tabs>
              <w:spacing w:line="280" w:lineRule="exact"/>
              <w:rPr>
                <w:rFonts w:ascii="Times" w:hAnsi="Times"/>
              </w:rPr>
            </w:pPr>
          </w:p>
        </w:tc>
      </w:tr>
      <w:tr w:rsidRPr="00D52CB7" w:rsidR="00145A72" w:rsidTr="004A0D4E" w14:paraId="4711C9B9" w14:textId="77777777">
        <w:trPr>
          <w:trHeight w:val="20"/>
        </w:trPr>
        <w:tc>
          <w:tcPr>
            <w:tcW w:w="2340" w:type="dxa"/>
            <w:vAlign w:val="bottom"/>
          </w:tcPr>
          <w:p w:rsidRPr="00D52CB7" w:rsidR="00145A72" w:rsidP="00145A72" w:rsidRDefault="00145A72" w14:paraId="45A92B9C" w14:textId="00279803">
            <w:pPr>
              <w:spacing w:line="280" w:lineRule="exact"/>
              <w:jc w:val="center"/>
              <w:rPr>
                <w:rFonts w:ascii="Times" w:hAnsi="Times"/>
              </w:rPr>
            </w:pPr>
          </w:p>
        </w:tc>
        <w:tc>
          <w:tcPr>
            <w:tcW w:w="2340" w:type="dxa"/>
            <w:vAlign w:val="bottom"/>
          </w:tcPr>
          <w:p w:rsidRPr="00D52CB7" w:rsidR="00145A72" w:rsidP="00145A72" w:rsidRDefault="00145A72" w14:paraId="05FAE6C7" w14:textId="5B6CD431">
            <w:pPr>
              <w:tabs>
                <w:tab w:val="decimal" w:pos="1416"/>
              </w:tabs>
              <w:spacing w:line="280" w:lineRule="exact"/>
              <w:rPr>
                <w:rFonts w:ascii="Times" w:hAnsi="Times"/>
              </w:rPr>
            </w:pPr>
          </w:p>
        </w:tc>
        <w:tc>
          <w:tcPr>
            <w:tcW w:w="2340" w:type="dxa"/>
            <w:vAlign w:val="bottom"/>
          </w:tcPr>
          <w:p w:rsidRPr="00D52CB7" w:rsidR="00145A72" w:rsidP="00145A72" w:rsidRDefault="00145A72" w14:paraId="05741160" w14:textId="21078E98">
            <w:pPr>
              <w:tabs>
                <w:tab w:val="decimal" w:pos="1410"/>
              </w:tabs>
              <w:spacing w:line="280" w:lineRule="exact"/>
              <w:rPr>
                <w:rFonts w:ascii="Times" w:hAnsi="Times"/>
              </w:rPr>
            </w:pPr>
          </w:p>
        </w:tc>
        <w:tc>
          <w:tcPr>
            <w:tcW w:w="2340" w:type="dxa"/>
            <w:vAlign w:val="bottom"/>
          </w:tcPr>
          <w:p w:rsidRPr="00D52CB7" w:rsidR="00145A72" w:rsidP="00145A72" w:rsidRDefault="00145A72" w14:paraId="3EB87FF6" w14:textId="2BACD8D8">
            <w:pPr>
              <w:tabs>
                <w:tab w:val="decimal" w:pos="1504"/>
              </w:tabs>
              <w:spacing w:line="280" w:lineRule="exact"/>
              <w:rPr>
                <w:rFonts w:ascii="Times" w:hAnsi="Times"/>
              </w:rPr>
            </w:pPr>
          </w:p>
        </w:tc>
      </w:tr>
      <w:tr w:rsidRPr="00D52CB7" w:rsidR="00145A72" w:rsidTr="004A0D4E" w14:paraId="46CA9369" w14:textId="77777777">
        <w:trPr>
          <w:trHeight w:val="20"/>
        </w:trPr>
        <w:tc>
          <w:tcPr>
            <w:tcW w:w="2340" w:type="dxa"/>
            <w:vAlign w:val="bottom"/>
          </w:tcPr>
          <w:p w:rsidRPr="00D52CB7" w:rsidR="00145A72" w:rsidP="00145A72" w:rsidRDefault="00145A72" w14:paraId="10749161" w14:textId="09FF623E">
            <w:pPr>
              <w:spacing w:line="280" w:lineRule="exact"/>
              <w:jc w:val="center"/>
              <w:rPr>
                <w:rFonts w:ascii="Times" w:hAnsi="Times"/>
              </w:rPr>
            </w:pPr>
          </w:p>
        </w:tc>
        <w:tc>
          <w:tcPr>
            <w:tcW w:w="2340" w:type="dxa"/>
            <w:vAlign w:val="bottom"/>
          </w:tcPr>
          <w:p w:rsidRPr="00D52CB7" w:rsidR="00145A72" w:rsidP="00145A72" w:rsidRDefault="00145A72" w14:paraId="62FA018A" w14:textId="79155076">
            <w:pPr>
              <w:tabs>
                <w:tab w:val="decimal" w:pos="1416"/>
              </w:tabs>
              <w:spacing w:line="280" w:lineRule="exact"/>
              <w:rPr>
                <w:rFonts w:ascii="Times" w:hAnsi="Times"/>
              </w:rPr>
            </w:pPr>
          </w:p>
        </w:tc>
        <w:tc>
          <w:tcPr>
            <w:tcW w:w="2340" w:type="dxa"/>
            <w:vAlign w:val="bottom"/>
          </w:tcPr>
          <w:p w:rsidRPr="00D52CB7" w:rsidR="00145A72" w:rsidP="00145A72" w:rsidRDefault="00145A72" w14:paraId="2C19FA07" w14:textId="30332B1B">
            <w:pPr>
              <w:tabs>
                <w:tab w:val="decimal" w:pos="1410"/>
              </w:tabs>
              <w:spacing w:line="280" w:lineRule="exact"/>
              <w:rPr>
                <w:rFonts w:ascii="Times" w:hAnsi="Times"/>
              </w:rPr>
            </w:pPr>
          </w:p>
        </w:tc>
        <w:tc>
          <w:tcPr>
            <w:tcW w:w="2340" w:type="dxa"/>
            <w:vAlign w:val="bottom"/>
          </w:tcPr>
          <w:p w:rsidRPr="00D52CB7" w:rsidR="00145A72" w:rsidP="00145A72" w:rsidRDefault="00145A72" w14:paraId="71904597" w14:textId="39F61292">
            <w:pPr>
              <w:tabs>
                <w:tab w:val="decimal" w:pos="1504"/>
              </w:tabs>
              <w:spacing w:line="280" w:lineRule="exact"/>
              <w:rPr>
                <w:rFonts w:ascii="Times" w:hAnsi="Times"/>
              </w:rPr>
            </w:pPr>
          </w:p>
        </w:tc>
      </w:tr>
      <w:tr w:rsidRPr="00D52CB7" w:rsidR="00145A72" w:rsidTr="004A0D4E" w14:paraId="2E21A48C" w14:textId="77777777">
        <w:trPr>
          <w:trHeight w:val="20"/>
        </w:trPr>
        <w:tc>
          <w:tcPr>
            <w:tcW w:w="2340" w:type="dxa"/>
            <w:vAlign w:val="bottom"/>
          </w:tcPr>
          <w:p w:rsidRPr="00D52CB7" w:rsidR="00145A72" w:rsidP="00145A72" w:rsidRDefault="00145A72" w14:paraId="6486102A" w14:textId="25688C04">
            <w:pPr>
              <w:spacing w:line="280" w:lineRule="exact"/>
              <w:jc w:val="center"/>
              <w:rPr>
                <w:rFonts w:ascii="Times" w:hAnsi="Times"/>
              </w:rPr>
            </w:pPr>
          </w:p>
        </w:tc>
        <w:tc>
          <w:tcPr>
            <w:tcW w:w="2340" w:type="dxa"/>
            <w:vAlign w:val="bottom"/>
          </w:tcPr>
          <w:p w:rsidRPr="00D52CB7" w:rsidR="00145A72" w:rsidP="00145A72" w:rsidRDefault="00145A72" w14:paraId="0627001D" w14:textId="41BCB7F4">
            <w:pPr>
              <w:tabs>
                <w:tab w:val="decimal" w:pos="1416"/>
              </w:tabs>
              <w:spacing w:line="280" w:lineRule="exact"/>
              <w:rPr>
                <w:rFonts w:ascii="Times" w:hAnsi="Times"/>
              </w:rPr>
            </w:pPr>
          </w:p>
        </w:tc>
        <w:tc>
          <w:tcPr>
            <w:tcW w:w="2340" w:type="dxa"/>
            <w:vAlign w:val="bottom"/>
          </w:tcPr>
          <w:p w:rsidRPr="00D52CB7" w:rsidR="00145A72" w:rsidP="00145A72" w:rsidRDefault="00145A72" w14:paraId="213C1EBF" w14:textId="22307426">
            <w:pPr>
              <w:tabs>
                <w:tab w:val="decimal" w:pos="1410"/>
              </w:tabs>
              <w:spacing w:line="280" w:lineRule="exact"/>
              <w:rPr>
                <w:rFonts w:ascii="Times" w:hAnsi="Times"/>
              </w:rPr>
            </w:pPr>
          </w:p>
        </w:tc>
        <w:tc>
          <w:tcPr>
            <w:tcW w:w="2340" w:type="dxa"/>
            <w:vAlign w:val="bottom"/>
          </w:tcPr>
          <w:p w:rsidRPr="00D52CB7" w:rsidR="00145A72" w:rsidP="00145A72" w:rsidRDefault="00145A72" w14:paraId="28BB225A" w14:textId="360969E6">
            <w:pPr>
              <w:tabs>
                <w:tab w:val="decimal" w:pos="1504"/>
              </w:tabs>
              <w:spacing w:line="280" w:lineRule="exact"/>
              <w:rPr>
                <w:rFonts w:ascii="Times" w:hAnsi="Times"/>
              </w:rPr>
            </w:pPr>
          </w:p>
        </w:tc>
      </w:tr>
      <w:tr w:rsidRPr="00D52CB7" w:rsidR="00145A72" w:rsidTr="004A0D4E" w14:paraId="422845D7" w14:textId="77777777">
        <w:trPr>
          <w:trHeight w:val="20"/>
        </w:trPr>
        <w:tc>
          <w:tcPr>
            <w:tcW w:w="2340" w:type="dxa"/>
            <w:vAlign w:val="bottom"/>
          </w:tcPr>
          <w:p w:rsidRPr="00D52CB7" w:rsidR="00145A72" w:rsidP="00145A72" w:rsidRDefault="00145A72" w14:paraId="5BB25E22" w14:textId="36D02CBE">
            <w:pPr>
              <w:spacing w:line="280" w:lineRule="exact"/>
              <w:jc w:val="center"/>
              <w:rPr>
                <w:rFonts w:ascii="Times" w:hAnsi="Times"/>
              </w:rPr>
            </w:pPr>
          </w:p>
        </w:tc>
        <w:tc>
          <w:tcPr>
            <w:tcW w:w="2340" w:type="dxa"/>
            <w:vAlign w:val="bottom"/>
          </w:tcPr>
          <w:p w:rsidRPr="00D52CB7" w:rsidR="00145A72" w:rsidP="00145A72" w:rsidRDefault="00145A72" w14:paraId="64D21EEF" w14:textId="7FE9D37E">
            <w:pPr>
              <w:tabs>
                <w:tab w:val="decimal" w:pos="1416"/>
              </w:tabs>
              <w:spacing w:line="280" w:lineRule="exact"/>
              <w:rPr>
                <w:rFonts w:ascii="Times" w:hAnsi="Times"/>
              </w:rPr>
            </w:pPr>
          </w:p>
        </w:tc>
        <w:tc>
          <w:tcPr>
            <w:tcW w:w="2340" w:type="dxa"/>
            <w:vAlign w:val="bottom"/>
          </w:tcPr>
          <w:p w:rsidRPr="00D52CB7" w:rsidR="00145A72" w:rsidP="00145A72" w:rsidRDefault="00145A72" w14:paraId="6BF995D5" w14:textId="5764AA74">
            <w:pPr>
              <w:tabs>
                <w:tab w:val="decimal" w:pos="1410"/>
              </w:tabs>
              <w:spacing w:line="280" w:lineRule="exact"/>
              <w:rPr>
                <w:rFonts w:ascii="Times" w:hAnsi="Times"/>
              </w:rPr>
            </w:pPr>
          </w:p>
        </w:tc>
        <w:tc>
          <w:tcPr>
            <w:tcW w:w="2340" w:type="dxa"/>
            <w:vAlign w:val="bottom"/>
          </w:tcPr>
          <w:p w:rsidRPr="00D52CB7" w:rsidR="00145A72" w:rsidP="00145A72" w:rsidRDefault="00145A72" w14:paraId="02C45CC9" w14:textId="37E4963E">
            <w:pPr>
              <w:tabs>
                <w:tab w:val="decimal" w:pos="1504"/>
              </w:tabs>
              <w:spacing w:line="280" w:lineRule="exact"/>
              <w:rPr>
                <w:rFonts w:ascii="Times" w:hAnsi="Times"/>
              </w:rPr>
            </w:pPr>
          </w:p>
        </w:tc>
      </w:tr>
      <w:tr w:rsidRPr="00D52CB7" w:rsidR="00145A72" w:rsidTr="004A0D4E" w14:paraId="57A8ED90" w14:textId="77777777">
        <w:trPr>
          <w:trHeight w:val="20"/>
        </w:trPr>
        <w:tc>
          <w:tcPr>
            <w:tcW w:w="2340" w:type="dxa"/>
            <w:vAlign w:val="bottom"/>
          </w:tcPr>
          <w:p w:rsidRPr="00D52CB7" w:rsidR="00145A72" w:rsidP="00145A72" w:rsidRDefault="00145A72" w14:paraId="1E0C1324" w14:textId="6B51418F">
            <w:pPr>
              <w:spacing w:line="280" w:lineRule="exact"/>
              <w:jc w:val="center"/>
              <w:rPr>
                <w:rFonts w:ascii="Times" w:hAnsi="Times"/>
              </w:rPr>
            </w:pPr>
          </w:p>
        </w:tc>
        <w:tc>
          <w:tcPr>
            <w:tcW w:w="2340" w:type="dxa"/>
            <w:vAlign w:val="bottom"/>
          </w:tcPr>
          <w:p w:rsidRPr="00D52CB7" w:rsidR="00145A72" w:rsidP="00145A72" w:rsidRDefault="00145A72" w14:paraId="504701E0" w14:textId="48639065">
            <w:pPr>
              <w:tabs>
                <w:tab w:val="decimal" w:pos="1416"/>
              </w:tabs>
              <w:spacing w:line="280" w:lineRule="exact"/>
              <w:rPr>
                <w:rFonts w:ascii="Times" w:hAnsi="Times"/>
              </w:rPr>
            </w:pPr>
          </w:p>
        </w:tc>
        <w:tc>
          <w:tcPr>
            <w:tcW w:w="2340" w:type="dxa"/>
            <w:vAlign w:val="bottom"/>
          </w:tcPr>
          <w:p w:rsidRPr="00D52CB7" w:rsidR="00145A72" w:rsidP="00145A72" w:rsidRDefault="00145A72" w14:paraId="4F1FD840" w14:textId="39CE5D16">
            <w:pPr>
              <w:tabs>
                <w:tab w:val="decimal" w:pos="1410"/>
              </w:tabs>
              <w:spacing w:line="280" w:lineRule="exact"/>
              <w:rPr>
                <w:rFonts w:ascii="Times" w:hAnsi="Times"/>
              </w:rPr>
            </w:pPr>
          </w:p>
        </w:tc>
        <w:tc>
          <w:tcPr>
            <w:tcW w:w="2340" w:type="dxa"/>
            <w:vAlign w:val="bottom"/>
          </w:tcPr>
          <w:p w:rsidRPr="00D52CB7" w:rsidR="00145A72" w:rsidP="00145A72" w:rsidRDefault="00145A72" w14:paraId="11572812" w14:textId="4BEC0D7D">
            <w:pPr>
              <w:tabs>
                <w:tab w:val="decimal" w:pos="1504"/>
              </w:tabs>
              <w:spacing w:line="280" w:lineRule="exact"/>
              <w:rPr>
                <w:rFonts w:ascii="Times" w:hAnsi="Times"/>
              </w:rPr>
            </w:pPr>
          </w:p>
        </w:tc>
      </w:tr>
      <w:tr w:rsidRPr="00D52CB7" w:rsidR="00145A72" w:rsidTr="004A0D4E" w14:paraId="1679829B" w14:textId="77777777">
        <w:trPr>
          <w:trHeight w:val="20"/>
        </w:trPr>
        <w:tc>
          <w:tcPr>
            <w:tcW w:w="2340" w:type="dxa"/>
            <w:vAlign w:val="bottom"/>
          </w:tcPr>
          <w:p w:rsidRPr="00D52CB7" w:rsidR="00145A72" w:rsidP="00145A72" w:rsidRDefault="00145A72" w14:paraId="06AEA1E8" w14:textId="274D0CF4">
            <w:pPr>
              <w:spacing w:line="280" w:lineRule="exact"/>
              <w:jc w:val="center"/>
              <w:rPr>
                <w:rFonts w:ascii="Times" w:hAnsi="Times"/>
              </w:rPr>
            </w:pPr>
          </w:p>
        </w:tc>
        <w:tc>
          <w:tcPr>
            <w:tcW w:w="2340" w:type="dxa"/>
            <w:vAlign w:val="bottom"/>
          </w:tcPr>
          <w:p w:rsidRPr="00D52CB7" w:rsidR="00145A72" w:rsidP="00145A72" w:rsidRDefault="00145A72" w14:paraId="7485E6AB" w14:textId="2EA743B1">
            <w:pPr>
              <w:tabs>
                <w:tab w:val="decimal" w:pos="1416"/>
              </w:tabs>
              <w:spacing w:line="280" w:lineRule="exact"/>
              <w:rPr>
                <w:rFonts w:ascii="Times" w:hAnsi="Times"/>
              </w:rPr>
            </w:pPr>
          </w:p>
        </w:tc>
        <w:tc>
          <w:tcPr>
            <w:tcW w:w="2340" w:type="dxa"/>
            <w:vAlign w:val="bottom"/>
          </w:tcPr>
          <w:p w:rsidRPr="00D52CB7" w:rsidR="00145A72" w:rsidP="00145A72" w:rsidRDefault="00145A72" w14:paraId="4FEF2076" w14:textId="74CB2379">
            <w:pPr>
              <w:tabs>
                <w:tab w:val="decimal" w:pos="1410"/>
              </w:tabs>
              <w:spacing w:line="280" w:lineRule="exact"/>
              <w:rPr>
                <w:rFonts w:ascii="Times" w:hAnsi="Times"/>
              </w:rPr>
            </w:pPr>
          </w:p>
        </w:tc>
        <w:tc>
          <w:tcPr>
            <w:tcW w:w="2340" w:type="dxa"/>
            <w:vAlign w:val="bottom"/>
          </w:tcPr>
          <w:p w:rsidRPr="00D52CB7" w:rsidR="00145A72" w:rsidP="00145A72" w:rsidRDefault="00145A72" w14:paraId="4ED9D97D" w14:textId="3CD5E551">
            <w:pPr>
              <w:tabs>
                <w:tab w:val="decimal" w:pos="1504"/>
              </w:tabs>
              <w:spacing w:line="280" w:lineRule="exact"/>
              <w:rPr>
                <w:rFonts w:ascii="Times" w:hAnsi="Times"/>
              </w:rPr>
            </w:pPr>
          </w:p>
        </w:tc>
      </w:tr>
      <w:tr w:rsidRPr="00D52CB7" w:rsidR="00145A72" w:rsidTr="004A0D4E" w14:paraId="54962CAA" w14:textId="77777777">
        <w:trPr>
          <w:trHeight w:val="20"/>
        </w:trPr>
        <w:tc>
          <w:tcPr>
            <w:tcW w:w="2340" w:type="dxa"/>
            <w:vAlign w:val="bottom"/>
          </w:tcPr>
          <w:p w:rsidRPr="00D52CB7" w:rsidR="00145A72" w:rsidP="00145A72" w:rsidRDefault="00145A72" w14:paraId="4E9420E4" w14:textId="51F6A5CF">
            <w:pPr>
              <w:spacing w:line="280" w:lineRule="exact"/>
              <w:jc w:val="center"/>
              <w:rPr>
                <w:rFonts w:ascii="Times" w:hAnsi="Times"/>
              </w:rPr>
            </w:pPr>
          </w:p>
        </w:tc>
        <w:tc>
          <w:tcPr>
            <w:tcW w:w="2340" w:type="dxa"/>
            <w:vAlign w:val="bottom"/>
          </w:tcPr>
          <w:p w:rsidRPr="00D52CB7" w:rsidR="00145A72" w:rsidP="00145A72" w:rsidRDefault="00145A72" w14:paraId="23BEA797" w14:textId="61DC9E56">
            <w:pPr>
              <w:tabs>
                <w:tab w:val="decimal" w:pos="1416"/>
              </w:tabs>
              <w:spacing w:line="280" w:lineRule="exact"/>
              <w:rPr>
                <w:rFonts w:ascii="Times" w:hAnsi="Times"/>
              </w:rPr>
            </w:pPr>
          </w:p>
        </w:tc>
        <w:tc>
          <w:tcPr>
            <w:tcW w:w="2340" w:type="dxa"/>
            <w:vAlign w:val="bottom"/>
          </w:tcPr>
          <w:p w:rsidRPr="00D52CB7" w:rsidR="00145A72" w:rsidP="00145A72" w:rsidRDefault="00145A72" w14:paraId="643020BF" w14:textId="5BA48402">
            <w:pPr>
              <w:tabs>
                <w:tab w:val="decimal" w:pos="1410"/>
              </w:tabs>
              <w:spacing w:line="280" w:lineRule="exact"/>
              <w:rPr>
                <w:rFonts w:ascii="Times" w:hAnsi="Times"/>
              </w:rPr>
            </w:pPr>
          </w:p>
        </w:tc>
        <w:tc>
          <w:tcPr>
            <w:tcW w:w="2340" w:type="dxa"/>
            <w:vAlign w:val="bottom"/>
          </w:tcPr>
          <w:p w:rsidRPr="00D52CB7" w:rsidR="00145A72" w:rsidP="00145A72" w:rsidRDefault="00145A72" w14:paraId="789A5AB1" w14:textId="301CCB00">
            <w:pPr>
              <w:tabs>
                <w:tab w:val="decimal" w:pos="1504"/>
              </w:tabs>
              <w:spacing w:line="280" w:lineRule="exact"/>
              <w:rPr>
                <w:rFonts w:ascii="Times" w:hAnsi="Times"/>
              </w:rPr>
            </w:pPr>
          </w:p>
        </w:tc>
      </w:tr>
      <w:tr w:rsidRPr="00D52CB7" w:rsidR="00145A72" w:rsidTr="004A0D4E" w14:paraId="369D853D" w14:textId="77777777">
        <w:trPr>
          <w:trHeight w:val="20"/>
        </w:trPr>
        <w:tc>
          <w:tcPr>
            <w:tcW w:w="2340" w:type="dxa"/>
            <w:vAlign w:val="bottom"/>
          </w:tcPr>
          <w:p w:rsidRPr="00D52CB7" w:rsidR="00145A72" w:rsidP="00145A72" w:rsidRDefault="00145A72" w14:paraId="203C530C" w14:textId="7E43E6BD">
            <w:pPr>
              <w:spacing w:line="280" w:lineRule="exact"/>
              <w:jc w:val="center"/>
              <w:rPr>
                <w:rFonts w:ascii="Times" w:hAnsi="Times"/>
              </w:rPr>
            </w:pPr>
          </w:p>
        </w:tc>
        <w:tc>
          <w:tcPr>
            <w:tcW w:w="2340" w:type="dxa"/>
            <w:vAlign w:val="bottom"/>
          </w:tcPr>
          <w:p w:rsidRPr="00D52CB7" w:rsidR="00145A72" w:rsidP="00145A72" w:rsidRDefault="00145A72" w14:paraId="454AAC4E" w14:textId="67B33C8E">
            <w:pPr>
              <w:tabs>
                <w:tab w:val="decimal" w:pos="1416"/>
              </w:tabs>
              <w:spacing w:line="280" w:lineRule="exact"/>
              <w:rPr>
                <w:rFonts w:ascii="Times" w:hAnsi="Times"/>
              </w:rPr>
            </w:pPr>
          </w:p>
        </w:tc>
        <w:tc>
          <w:tcPr>
            <w:tcW w:w="2340" w:type="dxa"/>
            <w:vAlign w:val="bottom"/>
          </w:tcPr>
          <w:p w:rsidRPr="00D52CB7" w:rsidR="00145A72" w:rsidP="00145A72" w:rsidRDefault="00145A72" w14:paraId="5CC107F9" w14:textId="49D94B14">
            <w:pPr>
              <w:tabs>
                <w:tab w:val="decimal" w:pos="1410"/>
              </w:tabs>
              <w:spacing w:line="280" w:lineRule="exact"/>
              <w:rPr>
                <w:rFonts w:ascii="Times" w:hAnsi="Times"/>
              </w:rPr>
            </w:pPr>
          </w:p>
        </w:tc>
        <w:tc>
          <w:tcPr>
            <w:tcW w:w="2340" w:type="dxa"/>
            <w:vAlign w:val="bottom"/>
          </w:tcPr>
          <w:p w:rsidRPr="00D52CB7" w:rsidR="00145A72" w:rsidP="00145A72" w:rsidRDefault="00145A72" w14:paraId="7504076B" w14:textId="516925BB">
            <w:pPr>
              <w:tabs>
                <w:tab w:val="decimal" w:pos="1504"/>
              </w:tabs>
              <w:spacing w:line="280" w:lineRule="exact"/>
              <w:rPr>
                <w:rFonts w:ascii="Times" w:hAnsi="Times"/>
              </w:rPr>
            </w:pPr>
          </w:p>
        </w:tc>
      </w:tr>
      <w:tr w:rsidRPr="00D52CB7" w:rsidR="00145A72" w:rsidTr="004A0D4E" w14:paraId="48B1AC35" w14:textId="77777777">
        <w:trPr>
          <w:trHeight w:val="20"/>
        </w:trPr>
        <w:tc>
          <w:tcPr>
            <w:tcW w:w="2340" w:type="dxa"/>
            <w:vAlign w:val="bottom"/>
          </w:tcPr>
          <w:p w:rsidRPr="00D52CB7" w:rsidR="00145A72" w:rsidP="00145A72" w:rsidRDefault="00145A72" w14:paraId="2CD22256" w14:textId="0DF7DA1F">
            <w:pPr>
              <w:spacing w:line="280" w:lineRule="exact"/>
              <w:jc w:val="center"/>
              <w:rPr>
                <w:rFonts w:ascii="Times" w:hAnsi="Times"/>
              </w:rPr>
            </w:pPr>
          </w:p>
        </w:tc>
        <w:tc>
          <w:tcPr>
            <w:tcW w:w="2340" w:type="dxa"/>
            <w:vAlign w:val="bottom"/>
          </w:tcPr>
          <w:p w:rsidRPr="00D52CB7" w:rsidR="00145A72" w:rsidP="00145A72" w:rsidRDefault="00145A72" w14:paraId="147BF73D" w14:textId="62270254">
            <w:pPr>
              <w:tabs>
                <w:tab w:val="decimal" w:pos="1416"/>
              </w:tabs>
              <w:spacing w:line="280" w:lineRule="exact"/>
              <w:rPr>
                <w:rFonts w:ascii="Times" w:hAnsi="Times"/>
              </w:rPr>
            </w:pPr>
          </w:p>
        </w:tc>
        <w:tc>
          <w:tcPr>
            <w:tcW w:w="2340" w:type="dxa"/>
            <w:vAlign w:val="bottom"/>
          </w:tcPr>
          <w:p w:rsidRPr="00D52CB7" w:rsidR="00145A72" w:rsidP="00145A72" w:rsidRDefault="00145A72" w14:paraId="72C8A943" w14:textId="26E9B6A5">
            <w:pPr>
              <w:tabs>
                <w:tab w:val="decimal" w:pos="1410"/>
              </w:tabs>
              <w:spacing w:line="280" w:lineRule="exact"/>
              <w:rPr>
                <w:rFonts w:ascii="Times" w:hAnsi="Times"/>
              </w:rPr>
            </w:pPr>
          </w:p>
        </w:tc>
        <w:tc>
          <w:tcPr>
            <w:tcW w:w="2340" w:type="dxa"/>
            <w:vAlign w:val="bottom"/>
          </w:tcPr>
          <w:p w:rsidRPr="00D52CB7" w:rsidR="00145A72" w:rsidP="00145A72" w:rsidRDefault="00145A72" w14:paraId="2B070E05" w14:textId="3022176E">
            <w:pPr>
              <w:tabs>
                <w:tab w:val="decimal" w:pos="1504"/>
              </w:tabs>
              <w:spacing w:line="280" w:lineRule="exact"/>
              <w:rPr>
                <w:rFonts w:ascii="Times" w:hAnsi="Times"/>
              </w:rPr>
            </w:pPr>
          </w:p>
        </w:tc>
      </w:tr>
      <w:tr w:rsidRPr="00D52CB7" w:rsidR="00145A72" w:rsidTr="004A0D4E" w14:paraId="64E75BB9" w14:textId="77777777">
        <w:trPr>
          <w:trHeight w:val="20"/>
        </w:trPr>
        <w:tc>
          <w:tcPr>
            <w:tcW w:w="2340" w:type="dxa"/>
            <w:vAlign w:val="bottom"/>
          </w:tcPr>
          <w:p w:rsidRPr="00D52CB7" w:rsidR="00145A72" w:rsidP="00145A72" w:rsidRDefault="00145A72" w14:paraId="632857A6" w14:textId="78779BAB">
            <w:pPr>
              <w:spacing w:line="280" w:lineRule="exact"/>
              <w:jc w:val="center"/>
              <w:rPr>
                <w:rFonts w:ascii="Times" w:hAnsi="Times"/>
              </w:rPr>
            </w:pPr>
          </w:p>
        </w:tc>
        <w:tc>
          <w:tcPr>
            <w:tcW w:w="2340" w:type="dxa"/>
            <w:vAlign w:val="bottom"/>
          </w:tcPr>
          <w:p w:rsidRPr="00D52CB7" w:rsidR="00145A72" w:rsidP="00145A72" w:rsidRDefault="00145A72" w14:paraId="1DB778D0" w14:textId="0D913C31">
            <w:pPr>
              <w:tabs>
                <w:tab w:val="decimal" w:pos="1416"/>
              </w:tabs>
              <w:spacing w:line="280" w:lineRule="exact"/>
              <w:rPr>
                <w:rFonts w:ascii="Times" w:hAnsi="Times"/>
              </w:rPr>
            </w:pPr>
          </w:p>
        </w:tc>
        <w:tc>
          <w:tcPr>
            <w:tcW w:w="2340" w:type="dxa"/>
            <w:vAlign w:val="bottom"/>
          </w:tcPr>
          <w:p w:rsidRPr="00D52CB7" w:rsidR="00145A72" w:rsidP="00145A72" w:rsidRDefault="00145A72" w14:paraId="22A2808E" w14:textId="6E3EFA4D">
            <w:pPr>
              <w:tabs>
                <w:tab w:val="decimal" w:pos="1410"/>
              </w:tabs>
              <w:spacing w:line="280" w:lineRule="exact"/>
              <w:rPr>
                <w:rFonts w:ascii="Times" w:hAnsi="Times"/>
              </w:rPr>
            </w:pPr>
          </w:p>
        </w:tc>
        <w:tc>
          <w:tcPr>
            <w:tcW w:w="2340" w:type="dxa"/>
            <w:vAlign w:val="bottom"/>
          </w:tcPr>
          <w:p w:rsidRPr="00D52CB7" w:rsidR="00145A72" w:rsidP="00145A72" w:rsidRDefault="00145A72" w14:paraId="2873288C" w14:textId="6F10B00E">
            <w:pPr>
              <w:tabs>
                <w:tab w:val="decimal" w:pos="1504"/>
              </w:tabs>
              <w:spacing w:line="280" w:lineRule="exact"/>
              <w:rPr>
                <w:rFonts w:ascii="Times" w:hAnsi="Times"/>
              </w:rPr>
            </w:pPr>
          </w:p>
        </w:tc>
      </w:tr>
      <w:tr w:rsidRPr="00D52CB7" w:rsidR="00145A72" w:rsidTr="004A0D4E" w14:paraId="3E8C4D1C" w14:textId="77777777">
        <w:trPr>
          <w:trHeight w:val="20"/>
        </w:trPr>
        <w:tc>
          <w:tcPr>
            <w:tcW w:w="2340" w:type="dxa"/>
            <w:vAlign w:val="bottom"/>
          </w:tcPr>
          <w:p w:rsidRPr="00D52CB7" w:rsidR="00145A72" w:rsidP="00145A72" w:rsidRDefault="00145A72" w14:paraId="1AB6B262" w14:textId="1F9BE91B">
            <w:pPr>
              <w:spacing w:line="280" w:lineRule="exact"/>
              <w:jc w:val="center"/>
              <w:rPr>
                <w:rFonts w:ascii="Times" w:hAnsi="Times"/>
              </w:rPr>
            </w:pPr>
          </w:p>
        </w:tc>
        <w:tc>
          <w:tcPr>
            <w:tcW w:w="2340" w:type="dxa"/>
            <w:vAlign w:val="bottom"/>
          </w:tcPr>
          <w:p w:rsidRPr="00D52CB7" w:rsidR="00145A72" w:rsidP="00145A72" w:rsidRDefault="00145A72" w14:paraId="6DE61BD6" w14:textId="17BED7F4">
            <w:pPr>
              <w:tabs>
                <w:tab w:val="decimal" w:pos="1416"/>
              </w:tabs>
              <w:spacing w:line="280" w:lineRule="exact"/>
              <w:rPr>
                <w:rFonts w:ascii="Times" w:hAnsi="Times"/>
              </w:rPr>
            </w:pPr>
          </w:p>
        </w:tc>
        <w:tc>
          <w:tcPr>
            <w:tcW w:w="2340" w:type="dxa"/>
            <w:vAlign w:val="bottom"/>
          </w:tcPr>
          <w:p w:rsidRPr="00D52CB7" w:rsidR="00145A72" w:rsidP="00145A72" w:rsidRDefault="00145A72" w14:paraId="2FC6D076" w14:textId="28649FCA">
            <w:pPr>
              <w:tabs>
                <w:tab w:val="decimal" w:pos="1410"/>
              </w:tabs>
              <w:spacing w:line="280" w:lineRule="exact"/>
              <w:rPr>
                <w:rFonts w:ascii="Times" w:hAnsi="Times"/>
              </w:rPr>
            </w:pPr>
          </w:p>
        </w:tc>
        <w:tc>
          <w:tcPr>
            <w:tcW w:w="2340" w:type="dxa"/>
            <w:vAlign w:val="bottom"/>
          </w:tcPr>
          <w:p w:rsidRPr="00D52CB7" w:rsidR="00145A72" w:rsidP="00145A72" w:rsidRDefault="00145A72" w14:paraId="7CF42DC1" w14:textId="01154780">
            <w:pPr>
              <w:tabs>
                <w:tab w:val="decimal" w:pos="1504"/>
              </w:tabs>
              <w:spacing w:line="280" w:lineRule="exact"/>
              <w:rPr>
                <w:rFonts w:ascii="Times" w:hAnsi="Times"/>
              </w:rPr>
            </w:pPr>
          </w:p>
        </w:tc>
      </w:tr>
      <w:tr w:rsidRPr="00D52CB7" w:rsidR="00145A72" w:rsidTr="004A0D4E" w14:paraId="5FC8DC35" w14:textId="77777777">
        <w:trPr>
          <w:trHeight w:val="20"/>
        </w:trPr>
        <w:tc>
          <w:tcPr>
            <w:tcW w:w="2340" w:type="dxa"/>
            <w:vAlign w:val="bottom"/>
          </w:tcPr>
          <w:p w:rsidRPr="00D52CB7" w:rsidR="00145A72" w:rsidP="00145A72" w:rsidRDefault="00145A72" w14:paraId="2776F8B9" w14:textId="3B4A7F8F">
            <w:pPr>
              <w:spacing w:line="280" w:lineRule="exact"/>
              <w:jc w:val="center"/>
              <w:rPr>
                <w:rFonts w:ascii="Times" w:hAnsi="Times"/>
              </w:rPr>
            </w:pPr>
          </w:p>
        </w:tc>
        <w:tc>
          <w:tcPr>
            <w:tcW w:w="2340" w:type="dxa"/>
            <w:vAlign w:val="bottom"/>
          </w:tcPr>
          <w:p w:rsidRPr="00D52CB7" w:rsidR="00145A72" w:rsidP="00145A72" w:rsidRDefault="00145A72" w14:paraId="1A30AAF9" w14:textId="0F6F6F4E">
            <w:pPr>
              <w:tabs>
                <w:tab w:val="decimal" w:pos="1416"/>
              </w:tabs>
              <w:spacing w:line="280" w:lineRule="exact"/>
              <w:rPr>
                <w:rFonts w:ascii="Times" w:hAnsi="Times"/>
              </w:rPr>
            </w:pPr>
          </w:p>
        </w:tc>
        <w:tc>
          <w:tcPr>
            <w:tcW w:w="2340" w:type="dxa"/>
            <w:vAlign w:val="bottom"/>
          </w:tcPr>
          <w:p w:rsidRPr="00D52CB7" w:rsidR="00145A72" w:rsidP="00145A72" w:rsidRDefault="00145A72" w14:paraId="581BDD29" w14:textId="00B22DE9">
            <w:pPr>
              <w:tabs>
                <w:tab w:val="decimal" w:pos="1410"/>
              </w:tabs>
              <w:spacing w:line="280" w:lineRule="exact"/>
              <w:rPr>
                <w:rFonts w:ascii="Times" w:hAnsi="Times"/>
              </w:rPr>
            </w:pPr>
          </w:p>
        </w:tc>
        <w:tc>
          <w:tcPr>
            <w:tcW w:w="2340" w:type="dxa"/>
            <w:vAlign w:val="bottom"/>
          </w:tcPr>
          <w:p w:rsidRPr="00D52CB7" w:rsidR="00145A72" w:rsidP="00145A72" w:rsidRDefault="00145A72" w14:paraId="17C0F021" w14:textId="3752DB41">
            <w:pPr>
              <w:tabs>
                <w:tab w:val="decimal" w:pos="1504"/>
              </w:tabs>
              <w:spacing w:line="280" w:lineRule="exact"/>
              <w:rPr>
                <w:rFonts w:ascii="Times" w:hAnsi="Times"/>
              </w:rPr>
            </w:pPr>
          </w:p>
        </w:tc>
      </w:tr>
      <w:tr w:rsidRPr="00D52CB7" w:rsidR="00145A72" w:rsidTr="004A0D4E" w14:paraId="7CA7514B" w14:textId="77777777">
        <w:trPr>
          <w:trHeight w:val="20"/>
        </w:trPr>
        <w:tc>
          <w:tcPr>
            <w:tcW w:w="2340" w:type="dxa"/>
            <w:vAlign w:val="bottom"/>
          </w:tcPr>
          <w:p w:rsidRPr="00D52CB7" w:rsidR="00145A72" w:rsidP="00145A72" w:rsidRDefault="00145A72" w14:paraId="31D8B1AE" w14:textId="340C671E">
            <w:pPr>
              <w:spacing w:line="280" w:lineRule="exact"/>
              <w:jc w:val="center"/>
              <w:rPr>
                <w:rFonts w:ascii="Times" w:hAnsi="Times"/>
              </w:rPr>
            </w:pPr>
          </w:p>
        </w:tc>
        <w:tc>
          <w:tcPr>
            <w:tcW w:w="2340" w:type="dxa"/>
            <w:vAlign w:val="bottom"/>
          </w:tcPr>
          <w:p w:rsidRPr="00D52CB7" w:rsidR="00145A72" w:rsidP="00145A72" w:rsidRDefault="00145A72" w14:paraId="6125236B" w14:textId="410DB7A3">
            <w:pPr>
              <w:tabs>
                <w:tab w:val="decimal" w:pos="1416"/>
              </w:tabs>
              <w:spacing w:line="280" w:lineRule="exact"/>
              <w:rPr>
                <w:rFonts w:ascii="Times" w:hAnsi="Times"/>
              </w:rPr>
            </w:pPr>
          </w:p>
        </w:tc>
        <w:tc>
          <w:tcPr>
            <w:tcW w:w="2340" w:type="dxa"/>
            <w:vAlign w:val="bottom"/>
          </w:tcPr>
          <w:p w:rsidRPr="00D52CB7" w:rsidR="00145A72" w:rsidP="00145A72" w:rsidRDefault="00145A72" w14:paraId="68CCBD73" w14:textId="3903FA03">
            <w:pPr>
              <w:tabs>
                <w:tab w:val="decimal" w:pos="1410"/>
              </w:tabs>
              <w:spacing w:line="280" w:lineRule="exact"/>
              <w:rPr>
                <w:rFonts w:ascii="Times" w:hAnsi="Times"/>
              </w:rPr>
            </w:pPr>
          </w:p>
        </w:tc>
        <w:tc>
          <w:tcPr>
            <w:tcW w:w="2340" w:type="dxa"/>
            <w:vAlign w:val="bottom"/>
          </w:tcPr>
          <w:p w:rsidRPr="00D52CB7" w:rsidR="00145A72" w:rsidP="00145A72" w:rsidRDefault="00145A72" w14:paraId="1875DCE1" w14:textId="4E9804FB">
            <w:pPr>
              <w:tabs>
                <w:tab w:val="decimal" w:pos="1504"/>
              </w:tabs>
              <w:spacing w:line="280" w:lineRule="exact"/>
              <w:rPr>
                <w:rFonts w:ascii="Times" w:hAnsi="Times"/>
              </w:rPr>
            </w:pPr>
          </w:p>
        </w:tc>
      </w:tr>
      <w:tr w:rsidRPr="00D52CB7" w:rsidR="00145A72" w:rsidTr="004A0D4E" w14:paraId="77043157" w14:textId="77777777">
        <w:trPr>
          <w:trHeight w:val="20"/>
        </w:trPr>
        <w:tc>
          <w:tcPr>
            <w:tcW w:w="2340" w:type="dxa"/>
            <w:vAlign w:val="bottom"/>
          </w:tcPr>
          <w:p w:rsidRPr="00D52CB7" w:rsidR="00145A72" w:rsidP="00145A72" w:rsidRDefault="00145A72" w14:paraId="540D4841" w14:textId="5ADCBF64">
            <w:pPr>
              <w:spacing w:line="280" w:lineRule="exact"/>
              <w:jc w:val="center"/>
              <w:rPr>
                <w:rFonts w:ascii="Times" w:hAnsi="Times"/>
              </w:rPr>
            </w:pPr>
          </w:p>
        </w:tc>
        <w:tc>
          <w:tcPr>
            <w:tcW w:w="2340" w:type="dxa"/>
            <w:vAlign w:val="bottom"/>
          </w:tcPr>
          <w:p w:rsidRPr="00D52CB7" w:rsidR="00145A72" w:rsidP="00145A72" w:rsidRDefault="00145A72" w14:paraId="1C99D050" w14:textId="464AB9D0">
            <w:pPr>
              <w:tabs>
                <w:tab w:val="decimal" w:pos="1416"/>
              </w:tabs>
              <w:spacing w:line="280" w:lineRule="exact"/>
              <w:rPr>
                <w:rFonts w:ascii="Times" w:hAnsi="Times"/>
              </w:rPr>
            </w:pPr>
          </w:p>
        </w:tc>
        <w:tc>
          <w:tcPr>
            <w:tcW w:w="2340" w:type="dxa"/>
            <w:vAlign w:val="bottom"/>
          </w:tcPr>
          <w:p w:rsidRPr="00D52CB7" w:rsidR="00145A72" w:rsidP="00145A72" w:rsidRDefault="00145A72" w14:paraId="53D959B7" w14:textId="1EA008EF">
            <w:pPr>
              <w:tabs>
                <w:tab w:val="decimal" w:pos="1410"/>
              </w:tabs>
              <w:spacing w:line="280" w:lineRule="exact"/>
              <w:rPr>
                <w:rFonts w:ascii="Times" w:hAnsi="Times"/>
              </w:rPr>
            </w:pPr>
          </w:p>
        </w:tc>
        <w:tc>
          <w:tcPr>
            <w:tcW w:w="2340" w:type="dxa"/>
            <w:vAlign w:val="bottom"/>
          </w:tcPr>
          <w:p w:rsidRPr="00D52CB7" w:rsidR="00145A72" w:rsidP="00145A72" w:rsidRDefault="00145A72" w14:paraId="31BE926D" w14:textId="689B0873">
            <w:pPr>
              <w:tabs>
                <w:tab w:val="decimal" w:pos="1504"/>
              </w:tabs>
              <w:spacing w:line="280" w:lineRule="exact"/>
              <w:rPr>
                <w:rFonts w:ascii="Times" w:hAnsi="Times"/>
              </w:rPr>
            </w:pPr>
          </w:p>
        </w:tc>
      </w:tr>
      <w:tr w:rsidRPr="00D52CB7" w:rsidR="00145A72" w:rsidTr="004A0D4E" w14:paraId="0324ED07" w14:textId="77777777">
        <w:trPr>
          <w:trHeight w:val="20"/>
        </w:trPr>
        <w:tc>
          <w:tcPr>
            <w:tcW w:w="2340" w:type="dxa"/>
            <w:vAlign w:val="bottom"/>
          </w:tcPr>
          <w:p w:rsidRPr="00D52CB7" w:rsidR="00145A72" w:rsidP="00145A72" w:rsidRDefault="00145A72" w14:paraId="76E5DD53" w14:textId="61A742D5">
            <w:pPr>
              <w:spacing w:line="280" w:lineRule="exact"/>
              <w:jc w:val="center"/>
              <w:rPr>
                <w:rFonts w:ascii="Times" w:hAnsi="Times"/>
              </w:rPr>
            </w:pPr>
          </w:p>
        </w:tc>
        <w:tc>
          <w:tcPr>
            <w:tcW w:w="2340" w:type="dxa"/>
            <w:vAlign w:val="bottom"/>
          </w:tcPr>
          <w:p w:rsidRPr="00D52CB7" w:rsidR="00145A72" w:rsidP="00145A72" w:rsidRDefault="00145A72" w14:paraId="6B68A9C4" w14:textId="3BC732FC">
            <w:pPr>
              <w:tabs>
                <w:tab w:val="decimal" w:pos="1416"/>
              </w:tabs>
              <w:spacing w:line="280" w:lineRule="exact"/>
              <w:rPr>
                <w:rFonts w:ascii="Times" w:hAnsi="Times"/>
              </w:rPr>
            </w:pPr>
          </w:p>
        </w:tc>
        <w:tc>
          <w:tcPr>
            <w:tcW w:w="2340" w:type="dxa"/>
            <w:vAlign w:val="bottom"/>
          </w:tcPr>
          <w:p w:rsidRPr="00D52CB7" w:rsidR="00145A72" w:rsidP="00145A72" w:rsidRDefault="00145A72" w14:paraId="2945C4B5" w14:textId="5A1AC96B">
            <w:pPr>
              <w:tabs>
                <w:tab w:val="decimal" w:pos="1410"/>
              </w:tabs>
              <w:spacing w:line="280" w:lineRule="exact"/>
              <w:rPr>
                <w:rFonts w:ascii="Times" w:hAnsi="Times"/>
                <w:u w:val="single"/>
              </w:rPr>
            </w:pPr>
          </w:p>
        </w:tc>
        <w:tc>
          <w:tcPr>
            <w:tcW w:w="2340" w:type="dxa"/>
            <w:vAlign w:val="bottom"/>
          </w:tcPr>
          <w:p w:rsidRPr="00D52CB7" w:rsidR="00145A72" w:rsidP="00145A72" w:rsidRDefault="00145A72" w14:paraId="632AFC7B" w14:textId="7C83748A">
            <w:pPr>
              <w:tabs>
                <w:tab w:val="decimal" w:pos="1504"/>
              </w:tabs>
              <w:spacing w:line="280" w:lineRule="exact"/>
              <w:rPr>
                <w:rFonts w:ascii="Times" w:hAnsi="Times"/>
                <w:u w:val="single"/>
              </w:rPr>
            </w:pPr>
          </w:p>
        </w:tc>
      </w:tr>
      <w:tr w:rsidRPr="00D52CB7" w:rsidR="00145A72" w:rsidTr="004A0D4E" w14:paraId="18F4D41F" w14:textId="77777777">
        <w:trPr>
          <w:trHeight w:val="20"/>
        </w:trPr>
        <w:tc>
          <w:tcPr>
            <w:tcW w:w="2340" w:type="dxa"/>
            <w:vAlign w:val="bottom"/>
          </w:tcPr>
          <w:p w:rsidRPr="00D52CB7" w:rsidR="00145A72" w:rsidP="00145A72" w:rsidRDefault="00145A72" w14:paraId="46729A0B" w14:textId="69A15FFA">
            <w:pPr>
              <w:spacing w:line="280" w:lineRule="exact"/>
              <w:jc w:val="center"/>
              <w:rPr>
                <w:rFonts w:ascii="Times" w:hAnsi="Times"/>
              </w:rPr>
            </w:pPr>
          </w:p>
        </w:tc>
        <w:tc>
          <w:tcPr>
            <w:tcW w:w="2340" w:type="dxa"/>
            <w:vAlign w:val="bottom"/>
          </w:tcPr>
          <w:p w:rsidRPr="00D52CB7" w:rsidR="00145A72" w:rsidP="00145A72" w:rsidRDefault="00145A72" w14:paraId="358C7C40" w14:textId="63FBBFE4">
            <w:pPr>
              <w:tabs>
                <w:tab w:val="decimal" w:pos="1416"/>
              </w:tabs>
              <w:spacing w:line="280" w:lineRule="exact"/>
              <w:rPr>
                <w:rFonts w:ascii="Times" w:hAnsi="Times"/>
              </w:rPr>
            </w:pPr>
          </w:p>
        </w:tc>
        <w:tc>
          <w:tcPr>
            <w:tcW w:w="2340" w:type="dxa"/>
            <w:vAlign w:val="bottom"/>
          </w:tcPr>
          <w:p w:rsidRPr="00D52CB7" w:rsidR="00145A72" w:rsidP="00145A72" w:rsidRDefault="00145A72" w14:paraId="69877E6F" w14:textId="3B9BF769">
            <w:pPr>
              <w:tabs>
                <w:tab w:val="decimal" w:pos="1410"/>
              </w:tabs>
              <w:spacing w:line="280" w:lineRule="exact"/>
              <w:rPr>
                <w:rFonts w:ascii="Times" w:hAnsi="Times"/>
                <w:u w:val="single"/>
              </w:rPr>
            </w:pPr>
          </w:p>
        </w:tc>
        <w:tc>
          <w:tcPr>
            <w:tcW w:w="2340" w:type="dxa"/>
            <w:vAlign w:val="bottom"/>
          </w:tcPr>
          <w:p w:rsidRPr="00D52CB7" w:rsidR="00145A72" w:rsidP="00145A72" w:rsidRDefault="00145A72" w14:paraId="28DF48B3" w14:textId="50ADEE4E">
            <w:pPr>
              <w:tabs>
                <w:tab w:val="decimal" w:pos="1504"/>
              </w:tabs>
              <w:spacing w:line="280" w:lineRule="exact"/>
              <w:rPr>
                <w:rFonts w:ascii="Times" w:hAnsi="Times"/>
                <w:u w:val="single"/>
              </w:rPr>
            </w:pPr>
          </w:p>
        </w:tc>
      </w:tr>
      <w:tr w:rsidRPr="00D52CB7" w:rsidR="00145A72" w:rsidTr="004A0D4E" w14:paraId="7AC9212B" w14:textId="77777777">
        <w:trPr>
          <w:trHeight w:val="20"/>
        </w:trPr>
        <w:tc>
          <w:tcPr>
            <w:tcW w:w="2340" w:type="dxa"/>
            <w:vAlign w:val="bottom"/>
          </w:tcPr>
          <w:p w:rsidRPr="00D52CB7" w:rsidR="00145A72" w:rsidP="00145A72" w:rsidRDefault="00145A72" w14:paraId="02196477" w14:textId="6EEBF899">
            <w:pPr>
              <w:spacing w:line="280" w:lineRule="exact"/>
              <w:jc w:val="center"/>
              <w:rPr>
                <w:rFonts w:ascii="Times" w:hAnsi="Times"/>
              </w:rPr>
            </w:pPr>
          </w:p>
        </w:tc>
        <w:tc>
          <w:tcPr>
            <w:tcW w:w="2340" w:type="dxa"/>
            <w:vAlign w:val="bottom"/>
          </w:tcPr>
          <w:p w:rsidRPr="00D52CB7" w:rsidR="00145A72" w:rsidP="00145A72" w:rsidRDefault="00145A72" w14:paraId="232FD9F0" w14:textId="4BFD7F92">
            <w:pPr>
              <w:tabs>
                <w:tab w:val="decimal" w:pos="1416"/>
              </w:tabs>
              <w:spacing w:line="280" w:lineRule="exact"/>
              <w:rPr>
                <w:rFonts w:ascii="Times" w:hAnsi="Times"/>
                <w:u w:val="single"/>
              </w:rPr>
            </w:pPr>
          </w:p>
        </w:tc>
        <w:tc>
          <w:tcPr>
            <w:tcW w:w="2340" w:type="dxa"/>
            <w:vAlign w:val="bottom"/>
          </w:tcPr>
          <w:p w:rsidRPr="00D52CB7" w:rsidR="00145A72" w:rsidP="00145A72" w:rsidRDefault="00145A72" w14:paraId="7DC88236" w14:textId="6BD683FF">
            <w:pPr>
              <w:tabs>
                <w:tab w:val="decimal" w:pos="1410"/>
              </w:tabs>
              <w:spacing w:line="280" w:lineRule="exact"/>
              <w:rPr>
                <w:rFonts w:ascii="Times" w:hAnsi="Times"/>
                <w:u w:val="single"/>
              </w:rPr>
            </w:pPr>
          </w:p>
        </w:tc>
        <w:tc>
          <w:tcPr>
            <w:tcW w:w="2340" w:type="dxa"/>
            <w:vAlign w:val="bottom"/>
          </w:tcPr>
          <w:p w:rsidRPr="00D52CB7" w:rsidR="00145A72" w:rsidP="00145A72" w:rsidRDefault="00145A72" w14:paraId="4E890D1E" w14:textId="696F3F26">
            <w:pPr>
              <w:tabs>
                <w:tab w:val="decimal" w:pos="1504"/>
              </w:tabs>
              <w:spacing w:line="280" w:lineRule="exact"/>
              <w:rPr>
                <w:rFonts w:ascii="Times" w:hAnsi="Times"/>
                <w:u w:val="single"/>
              </w:rPr>
            </w:pPr>
          </w:p>
        </w:tc>
      </w:tr>
      <w:tr w:rsidRPr="00D52CB7" w:rsidR="00145A72" w:rsidTr="004A0D4E" w14:paraId="06731E8A" w14:textId="77777777">
        <w:tc>
          <w:tcPr>
            <w:tcW w:w="2340" w:type="dxa"/>
            <w:vAlign w:val="bottom"/>
          </w:tcPr>
          <w:p w:rsidRPr="00D52CB7" w:rsidR="00145A72" w:rsidP="00145A72" w:rsidRDefault="00145A72" w14:paraId="3AA5E010" w14:textId="77777777">
            <w:pPr>
              <w:spacing w:after="40" w:line="280" w:lineRule="exact"/>
              <w:jc w:val="center"/>
              <w:rPr>
                <w:rFonts w:ascii="Times" w:hAnsi="Times"/>
                <w:smallCaps/>
              </w:rPr>
            </w:pPr>
            <w:r w:rsidRPr="00D52CB7">
              <w:rPr>
                <w:rFonts w:ascii="Times" w:hAnsi="Times"/>
                <w:smallCaps/>
              </w:rPr>
              <w:t>Total</w:t>
            </w:r>
          </w:p>
        </w:tc>
        <w:tc>
          <w:tcPr>
            <w:tcW w:w="2340" w:type="dxa"/>
            <w:vAlign w:val="bottom"/>
          </w:tcPr>
          <w:p w:rsidRPr="00D52CB7" w:rsidR="00145A72" w:rsidP="00145A72" w:rsidRDefault="00145A72" w14:paraId="08919A56" w14:textId="6217F382">
            <w:pPr>
              <w:tabs>
                <w:tab w:val="decimal" w:pos="1416"/>
              </w:tabs>
              <w:spacing w:after="40" w:line="280" w:lineRule="exact"/>
              <w:rPr>
                <w:rFonts w:ascii="Times" w:hAnsi="Times"/>
              </w:rPr>
            </w:pPr>
          </w:p>
        </w:tc>
        <w:tc>
          <w:tcPr>
            <w:tcW w:w="2340" w:type="dxa"/>
            <w:vAlign w:val="bottom"/>
          </w:tcPr>
          <w:p w:rsidRPr="00D52CB7" w:rsidR="00145A72" w:rsidP="00145A72" w:rsidRDefault="00145A72" w14:paraId="54DA9B86" w14:textId="60456A9D">
            <w:pPr>
              <w:tabs>
                <w:tab w:val="decimal" w:pos="1410"/>
              </w:tabs>
              <w:spacing w:after="40" w:line="280" w:lineRule="exact"/>
              <w:rPr>
                <w:rFonts w:ascii="Times" w:hAnsi="Times"/>
              </w:rPr>
            </w:pPr>
          </w:p>
        </w:tc>
        <w:tc>
          <w:tcPr>
            <w:tcW w:w="2340" w:type="dxa"/>
            <w:vAlign w:val="bottom"/>
          </w:tcPr>
          <w:p w:rsidRPr="00D52CB7" w:rsidR="00145A72" w:rsidP="00145A72" w:rsidRDefault="00145A72" w14:paraId="44BC4A17" w14:textId="7B5E007B">
            <w:pPr>
              <w:tabs>
                <w:tab w:val="decimal" w:pos="1504"/>
              </w:tabs>
              <w:spacing w:after="40" w:line="280" w:lineRule="exact"/>
              <w:rPr>
                <w:rFonts w:ascii="Times" w:hAnsi="Times"/>
              </w:rPr>
            </w:pPr>
          </w:p>
        </w:tc>
      </w:tr>
    </w:tbl>
    <w:p w:rsidRPr="00D52CB7" w:rsidR="00437381" w:rsidP="00437381" w:rsidRDefault="00437381" w14:paraId="035B2267" w14:textId="0B370FE7">
      <w:pPr>
        <w:tabs>
          <w:tab w:val="decimal" w:pos="2455"/>
          <w:tab w:val="left" w:pos="4075"/>
          <w:tab w:val="left" w:pos="5695"/>
          <w:tab w:val="left" w:pos="7225"/>
          <w:tab w:val="left" w:pos="8755"/>
        </w:tabs>
        <w:spacing w:line="220" w:lineRule="exact"/>
        <w:ind w:left="115"/>
        <w:rPr>
          <w:rFonts w:ascii="Times" w:hAnsi="Times"/>
          <w:sz w:val="20"/>
          <w:szCs w:val="20"/>
        </w:rPr>
      </w:pPr>
    </w:p>
    <w:p w:rsidRPr="00D52CB7" w:rsidR="00743467" w:rsidP="00743467" w:rsidRDefault="00743467" w14:paraId="096740DE" w14:textId="77777777">
      <w:pPr>
        <w:pStyle w:val="TitleCenterBold"/>
        <w:keepLines/>
      </w:pPr>
      <w:r w:rsidRPr="00D52CB7">
        <w:lastRenderedPageBreak/>
        <w:t>Risk Factors</w:t>
      </w:r>
      <w:r w:rsidRPr="00D52CB7">
        <w:fldChar w:fldCharType="begin"/>
      </w:r>
      <w:r w:rsidRPr="00D52CB7">
        <w:instrText>tc "</w:instrText>
      </w:r>
      <w:bookmarkStart w:name="_Toc151631026" w:id="74"/>
      <w:bookmarkStart w:name="_Toc156025654" w:id="75"/>
      <w:bookmarkStart w:name="_Toc195093857" w:id="76"/>
      <w:r w:rsidRPr="00D52CB7">
        <w:instrText>Risk Factors</w:instrText>
      </w:r>
      <w:bookmarkEnd w:id="74"/>
      <w:bookmarkEnd w:id="75"/>
      <w:bookmarkEnd w:id="76"/>
      <w:r w:rsidRPr="00D52CB7">
        <w:instrText>" \f C \l 1</w:instrText>
      </w:r>
      <w:r w:rsidRPr="00D52CB7">
        <w:fldChar w:fldCharType="end"/>
      </w:r>
    </w:p>
    <w:p w:rsidRPr="00D52CB7" w:rsidR="00743467" w:rsidP="00743467" w:rsidRDefault="00743467" w14:paraId="593048FB" w14:textId="63EA4F54">
      <w:pPr>
        <w:pStyle w:val="ParaNORMAL"/>
      </w:pPr>
      <w:r w:rsidRPr="00D52CB7">
        <w:t xml:space="preserve">No person should purchase any </w:t>
      </w:r>
      <w:r w:rsidRPr="00D52CB7" w:rsidR="00B935C1">
        <w:t xml:space="preserve">Series </w:t>
      </w:r>
      <w:r w:rsidRPr="00D52CB7" w:rsidR="00D50213">
        <w:t>2025</w:t>
      </w:r>
      <w:r w:rsidRPr="00D52CB7" w:rsidR="00B935C1">
        <w:t xml:space="preserve"> Bond</w:t>
      </w:r>
      <w:r w:rsidRPr="00D52CB7">
        <w:t>s without carefully reviewing the following information, which summarizes some, but not all, factors that should be carefully considered before such purchase.</w:t>
      </w:r>
    </w:p>
    <w:p w:rsidRPr="00D52CB7" w:rsidR="00743467" w:rsidP="00743467" w:rsidRDefault="00743467" w14:paraId="2C6CB833" w14:textId="17FE97CC">
      <w:pPr>
        <w:pStyle w:val="TitleLeft"/>
        <w:spacing w:before="280"/>
      </w:pPr>
      <w:r w:rsidRPr="00D52CB7">
        <w:t>Limited Obligations</w:t>
      </w:r>
      <w:r w:rsidRPr="00D52CB7">
        <w:fldChar w:fldCharType="begin"/>
      </w:r>
      <w:r w:rsidRPr="00D52CB7">
        <w:instrText>tc "</w:instrText>
      </w:r>
      <w:bookmarkStart w:name="_Toc195093858" w:id="77"/>
      <w:r w:rsidRPr="00D52CB7">
        <w:instrText>Limited Obligations</w:instrText>
      </w:r>
      <w:bookmarkEnd w:id="77"/>
      <w:r w:rsidRPr="00D52CB7">
        <w:instrText>" \f C \l 2</w:instrText>
      </w:r>
      <w:r w:rsidRPr="00D52CB7">
        <w:fldChar w:fldCharType="end"/>
      </w:r>
      <w:r w:rsidRPr="00D52CB7" w:rsidR="008C2C55">
        <w:t xml:space="preserve"> </w:t>
      </w:r>
    </w:p>
    <w:p w:rsidRPr="00D52CB7" w:rsidR="00743467" w:rsidP="00743467" w:rsidRDefault="00743467" w14:paraId="61E34F65" w14:textId="235308EC">
      <w:pPr>
        <w:pStyle w:val="ParaNORMAL"/>
      </w:pPr>
      <w:r w:rsidRPr="00D52CB7">
        <w:t xml:space="preserve">The </w:t>
      </w:r>
      <w:r w:rsidRPr="00D52CB7" w:rsidR="00B935C1">
        <w:t xml:space="preserve">Series </w:t>
      </w:r>
      <w:r w:rsidRPr="00D52CB7" w:rsidR="00D50213">
        <w:t>2025</w:t>
      </w:r>
      <w:r w:rsidRPr="00D52CB7" w:rsidR="00B935C1">
        <w:t xml:space="preserve"> Bond</w:t>
      </w:r>
      <w:r w:rsidRPr="00D52CB7">
        <w:t xml:space="preserve">s are limited obligations of the Issuer, payable solely from amounts pledged under the Indenture to the payment of principal of and interest on the </w:t>
      </w:r>
      <w:r w:rsidRPr="00D52CB7" w:rsidR="00B935C1">
        <w:t xml:space="preserve">Series </w:t>
      </w:r>
      <w:r w:rsidRPr="00D52CB7" w:rsidR="00D50213">
        <w:t>2025</w:t>
      </w:r>
      <w:r w:rsidRPr="00D52CB7" w:rsidR="00B935C1">
        <w:t xml:space="preserve"> Bond</w:t>
      </w:r>
      <w:r w:rsidRPr="00D52CB7">
        <w:t xml:space="preserve">s, which include Loan Payments made by the Charter School under the Loan Agreement (derived from State Payments and other Pledged Revenues of the Charter School), amounts in the Debt Service Reserve Account, amounts that may be appropriated by the State of Utah, </w:t>
      </w:r>
      <w:r w:rsidRPr="00D52CB7" w:rsidR="00EB39B6">
        <w:t xml:space="preserve">the amounts in the Repair and Replacement Fund, </w:t>
      </w:r>
      <w:r w:rsidRPr="00D52CB7">
        <w:t xml:space="preserve">certain other amounts held by the Trustee under the Indenture, and any proceeds realized under the Deed of Trust.  </w:t>
      </w:r>
      <w:r w:rsidRPr="00D52CB7">
        <w:rPr>
          <w:bCs/>
        </w:rPr>
        <w:t xml:space="preserve">The </w:t>
      </w:r>
      <w:r w:rsidRPr="00D52CB7" w:rsidR="00B935C1">
        <w:rPr>
          <w:bCs/>
        </w:rPr>
        <w:t xml:space="preserve">Series </w:t>
      </w:r>
      <w:r w:rsidRPr="00D52CB7" w:rsidR="00D50213">
        <w:rPr>
          <w:bCs/>
        </w:rPr>
        <w:t>2025</w:t>
      </w:r>
      <w:r w:rsidRPr="00D52CB7" w:rsidR="00B935C1">
        <w:rPr>
          <w:bCs/>
        </w:rPr>
        <w:t xml:space="preserve"> Bond</w:t>
      </w:r>
      <w:r w:rsidRPr="00D52CB7">
        <w:rPr>
          <w:bCs/>
        </w:rPr>
        <w:t xml:space="preserve">s do not give rise to a general obligation or general liability of the Issuer or a charge against its general credit and shall never constitute nor give rise to a pecuniary liability of the Issuer.  The Issuer does not have any taxing power.  The </w:t>
      </w:r>
      <w:r w:rsidRPr="00D52CB7" w:rsidR="00B935C1">
        <w:rPr>
          <w:bCs/>
        </w:rPr>
        <w:t xml:space="preserve">Series </w:t>
      </w:r>
      <w:r w:rsidRPr="00D52CB7" w:rsidR="00D50213">
        <w:rPr>
          <w:bCs/>
        </w:rPr>
        <w:t>2025</w:t>
      </w:r>
      <w:r w:rsidRPr="00D52CB7" w:rsidR="00B935C1">
        <w:rPr>
          <w:bCs/>
        </w:rPr>
        <w:t xml:space="preserve"> Bond</w:t>
      </w:r>
      <w:r w:rsidRPr="00D52CB7">
        <w:rPr>
          <w:bCs/>
        </w:rPr>
        <w:t>s do not constitute a debt, liability or loan of credit or a pledge of the full faith and credit or taxing power of the State or of any political subdivision thereof.</w:t>
      </w:r>
    </w:p>
    <w:p w:rsidRPr="00D52CB7" w:rsidR="00743467" w:rsidP="00743467" w:rsidRDefault="00743467" w14:paraId="6869D1D8" w14:textId="77777777">
      <w:pPr>
        <w:pStyle w:val="TitleLeft"/>
      </w:pPr>
      <w:r w:rsidRPr="00D52CB7">
        <w:t>Dependence on Charter School’s Ability to Pay Loan Payments</w:t>
      </w:r>
      <w:r w:rsidRPr="00D52CB7">
        <w:fldChar w:fldCharType="begin"/>
      </w:r>
      <w:r w:rsidRPr="00D52CB7">
        <w:instrText>tc "</w:instrText>
      </w:r>
      <w:bookmarkStart w:name="_Toc195093859" w:id="78"/>
      <w:r w:rsidRPr="00D52CB7">
        <w:instrText>Dependence on Charter School’s Ability to Pay Loan Payments</w:instrText>
      </w:r>
      <w:bookmarkEnd w:id="78"/>
      <w:r w:rsidRPr="00D52CB7">
        <w:instrText>" \f C \l 2</w:instrText>
      </w:r>
      <w:r w:rsidRPr="00D52CB7">
        <w:fldChar w:fldCharType="end"/>
      </w:r>
    </w:p>
    <w:p w:rsidRPr="00D52CB7" w:rsidR="00743467" w:rsidP="00743467" w:rsidRDefault="00743467" w14:paraId="3EA44AD9" w14:textId="6353B978">
      <w:pPr>
        <w:pStyle w:val="ParaNORMAL"/>
      </w:pPr>
      <w:r w:rsidRPr="00D52CB7">
        <w:t xml:space="preserve">Payment of principal of, premium, if any, and interest on, the </w:t>
      </w:r>
      <w:r w:rsidRPr="00D52CB7" w:rsidR="00B935C1">
        <w:t xml:space="preserve">Series </w:t>
      </w:r>
      <w:r w:rsidRPr="00D52CB7" w:rsidR="00D50213">
        <w:t>2025</w:t>
      </w:r>
      <w:r w:rsidRPr="00D52CB7" w:rsidR="00B935C1">
        <w:t xml:space="preserve"> Bond</w:t>
      </w:r>
      <w:r w:rsidRPr="00D52CB7">
        <w:t xml:space="preserve">s is intended to be made from Loan Payments made by the Charter School under the Loan Agreement, except to the extent payment is intended to be made from other amounts held under the Indenture such as </w:t>
      </w:r>
      <w:r w:rsidRPr="00D52CB7" w:rsidR="00B935C1">
        <w:t xml:space="preserve">Series </w:t>
      </w:r>
      <w:r w:rsidRPr="00D52CB7" w:rsidR="00D50213">
        <w:t>2025</w:t>
      </w:r>
      <w:r w:rsidRPr="00D52CB7" w:rsidR="00B935C1">
        <w:t xml:space="preserve"> Bond</w:t>
      </w:r>
      <w:r w:rsidRPr="00D52CB7">
        <w:t xml:space="preserve"> proceeds or investment earnings.  The ability of the Charter School to make Loan Payments will depend on the Charter School’s ability to generate revenues sufficient to pay the Loan Payments from the operation of the Facilities, which is largely dependent on enrollment and the resulting State Payments.  </w:t>
      </w:r>
    </w:p>
    <w:p w:rsidRPr="00D52CB7" w:rsidR="00743467" w:rsidP="00743467" w:rsidRDefault="00743467" w14:paraId="3FD83894" w14:textId="388D8343">
      <w:pPr>
        <w:pStyle w:val="ParaNORMAL"/>
      </w:pPr>
      <w:r w:rsidRPr="00D52CB7">
        <w:t>The Charter School’s general revenues are a combination of state payments provided under certain State and federal programs, including the State Payments. “</w:t>
      </w:r>
      <w:r w:rsidRPr="00D52CB7">
        <w:rPr>
          <w:smallCaps/>
        </w:rPr>
        <w:t>Appendix A–</w:t>
      </w:r>
      <w:r w:rsidRPr="00D52CB7" w:rsidR="0038218F">
        <w:rPr>
          <w:smallCaps/>
        </w:rPr>
        <w:t>Charter Schools in Utah</w:t>
      </w:r>
      <w:r w:rsidRPr="00D52CB7">
        <w:t xml:space="preserve"> – Funding for Charter Schools.”</w:t>
      </w:r>
    </w:p>
    <w:p w:rsidRPr="00D52CB7" w:rsidR="00743467" w:rsidP="00743467" w:rsidRDefault="00743467" w14:paraId="64FF661F" w14:textId="5EF7B6B3">
      <w:pPr>
        <w:pStyle w:val="ParaNORMAL"/>
      </w:pPr>
      <w:r w:rsidRPr="00D52CB7">
        <w:t xml:space="preserve">Future revenues and expenditures of the Charter School will be subject to conditions in the future which cannot be determined.  Prior revenues and expenditures of the Charter School are no guaranty as to future revenues and expenditures of the Charter School.  Any event that would cause a delay, reduction or elimination of State Payments would have a material adverse effect on the ability of the Charter School to make payments under the Loan Agreement representing debt service on the </w:t>
      </w:r>
      <w:r w:rsidRPr="00D52CB7" w:rsidR="00B935C1">
        <w:t xml:space="preserve">Series </w:t>
      </w:r>
      <w:r w:rsidRPr="00D52CB7" w:rsidR="00D50213">
        <w:t>2025</w:t>
      </w:r>
      <w:r w:rsidRPr="00D52CB7" w:rsidR="00B935C1">
        <w:t xml:space="preserve"> Bond</w:t>
      </w:r>
      <w:r w:rsidRPr="00D52CB7">
        <w:t>s.</w:t>
      </w:r>
    </w:p>
    <w:p w:rsidRPr="00D52CB7" w:rsidR="00743467" w:rsidP="00743467" w:rsidRDefault="00743467" w14:paraId="34FDA3BB" w14:textId="77777777">
      <w:pPr>
        <w:pStyle w:val="TitleLeft"/>
      </w:pPr>
      <w:r w:rsidRPr="00D52CB7">
        <w:t>No Taxing Authority; Dependence on State Payments</w:t>
      </w:r>
      <w:r w:rsidRPr="00D52CB7">
        <w:fldChar w:fldCharType="begin"/>
      </w:r>
      <w:r w:rsidRPr="00D52CB7">
        <w:instrText>tc "</w:instrText>
      </w:r>
      <w:bookmarkStart w:name="_Toc195093860" w:id="79"/>
      <w:r w:rsidRPr="00D52CB7">
        <w:instrText>No Taxing Authority; Dependence on State Payments</w:instrText>
      </w:r>
      <w:bookmarkEnd w:id="79"/>
      <w:r w:rsidRPr="00D52CB7">
        <w:instrText>" \f C \l 2</w:instrText>
      </w:r>
      <w:r w:rsidRPr="00D52CB7">
        <w:fldChar w:fldCharType="end"/>
      </w:r>
      <w:r w:rsidRPr="00D52CB7">
        <w:t xml:space="preserve"> </w:t>
      </w:r>
    </w:p>
    <w:p w:rsidRPr="00D52CB7" w:rsidR="00743467" w:rsidP="00743467" w:rsidRDefault="00743467" w14:paraId="017F0911" w14:textId="77777777">
      <w:pPr>
        <w:pStyle w:val="ParaNORMAL"/>
      </w:pPr>
      <w:r w:rsidRPr="00D52CB7">
        <w:t xml:space="preserve">The Charter School does not possess any taxing authority and is substantially dependent upon the State to continue to provide funding for public charter schools.  The obligation of the State under the Charter Agreement and State law to fund the Charter School is conditioned upon </w:t>
      </w:r>
      <w:r w:rsidRPr="00D52CB7">
        <w:lastRenderedPageBreak/>
        <w:t>the availability of funds appropriated or allocated for the payment of such obligation.  If funds are not allocated and available for the continuance of the Charter Agreement, such Charter Agreement may be terminated by the State Charter School Board at the end of the period for which funds are available.  No liability accrues to the State Charter School Board in such event, and the State shall not be obligated or liable for any future payments or any damages as a result of such termination.  In the event the State were to withhold the payment of money from the Charter School for any reason, even a reason that is ultimately determined to be invalid or unlawful, it is likely that the Charter School would be forced to cease operations.</w:t>
      </w:r>
    </w:p>
    <w:p w:rsidRPr="00D52CB7" w:rsidR="00743467" w:rsidP="00743467" w:rsidRDefault="00743467" w14:paraId="018B7346" w14:textId="77777777">
      <w:pPr>
        <w:pStyle w:val="TitleLeft"/>
      </w:pPr>
      <w:r w:rsidRPr="00D52CB7">
        <w:t>Financial Forecasts</w:t>
      </w:r>
      <w:r w:rsidRPr="00D52CB7">
        <w:fldChar w:fldCharType="begin"/>
      </w:r>
      <w:r w:rsidRPr="00D52CB7">
        <w:instrText>tc "</w:instrText>
      </w:r>
      <w:bookmarkStart w:name="_Toc195093861" w:id="80"/>
      <w:r w:rsidRPr="00D52CB7">
        <w:instrText>Financial Forecasts</w:instrText>
      </w:r>
      <w:bookmarkEnd w:id="80"/>
      <w:r w:rsidRPr="00D52CB7">
        <w:instrText>" \f C \l 2</w:instrText>
      </w:r>
      <w:r w:rsidRPr="00D52CB7">
        <w:fldChar w:fldCharType="end"/>
      </w:r>
      <w:r w:rsidRPr="00D52CB7">
        <w:t xml:space="preserve"> </w:t>
      </w:r>
    </w:p>
    <w:p w:rsidRPr="00D52CB7" w:rsidR="00743467" w:rsidP="00743467" w:rsidRDefault="00743467" w14:paraId="5DD1EA58" w14:textId="17EFF8D7">
      <w:pPr>
        <w:pStyle w:val="ParaNORMAL"/>
      </w:pPr>
      <w:r w:rsidRPr="00D52CB7">
        <w:t xml:space="preserve">The financial forecasts set forth in </w:t>
      </w:r>
      <w:r w:rsidRPr="00D52CB7">
        <w:rPr>
          <w:smallCaps/>
        </w:rPr>
        <w:t>Appendix B</w:t>
      </w:r>
      <w:r w:rsidRPr="00D52CB7">
        <w:t xml:space="preserve"> (the </w:t>
      </w:r>
      <w:r w:rsidRPr="00D52CB7">
        <w:rPr>
          <w:i/>
          <w:iCs/>
        </w:rPr>
        <w:t>“Forecasts”</w:t>
      </w:r>
      <w:r w:rsidRPr="00D52CB7">
        <w:t xml:space="preserve">) and prepared by the Charter School are based on assumptions made by the Charter School and have not been independently verified by any other party.  No assurance can be given that the results described in the Forecasts will be achieved.  The Charter School does not intend to issue additional Forecasts to update the Forecasts in </w:t>
      </w:r>
      <w:r w:rsidRPr="00D52CB7">
        <w:rPr>
          <w:smallCaps/>
        </w:rPr>
        <w:t xml:space="preserve">Appendix B, </w:t>
      </w:r>
      <w:r w:rsidRPr="00D52CB7">
        <w:t xml:space="preserve">and, accordingly, there are risks inherent in using the Forecasts in the future as the Forecasts become outdated.  The Forecasts are only for the fiscal years shown and do not cover the entire period during which the </w:t>
      </w:r>
      <w:r w:rsidRPr="00D52CB7" w:rsidR="00B935C1">
        <w:t xml:space="preserve">Series </w:t>
      </w:r>
      <w:r w:rsidRPr="00D52CB7" w:rsidR="00D50213">
        <w:t>2025</w:t>
      </w:r>
      <w:r w:rsidRPr="00D52CB7" w:rsidR="00B935C1">
        <w:t xml:space="preserve"> Bond</w:t>
      </w:r>
      <w:r w:rsidRPr="00D52CB7">
        <w:t xml:space="preserve">s may be outstanding.  </w:t>
      </w:r>
    </w:p>
    <w:p w:rsidRPr="00D52CB7" w:rsidR="003D6B43" w:rsidP="00743467" w:rsidRDefault="00743467" w14:paraId="1A93942E" w14:textId="143EC244">
      <w:pPr>
        <w:pStyle w:val="ParaNORMAL"/>
        <w:rPr>
          <w:iCs/>
        </w:rPr>
      </w:pPr>
      <w:r w:rsidRPr="00D52CB7">
        <w:rPr>
          <w:iCs/>
        </w:rPr>
        <w:t xml:space="preserve">No guaranty can be made that the Forecasts will correspond with the results actually achieved in the future by the Charter School because there is no assurance that actual events will correspond with the assumptions made by the Charter School.  For example, the Forecasts make certain assumptions as to continued demand for educational facilities such as the Facilities and future enrollment at the Charter School.  </w:t>
      </w:r>
    </w:p>
    <w:p w:rsidRPr="00D52CB7" w:rsidR="00743467" w:rsidP="00743467" w:rsidRDefault="00743467" w14:paraId="591813DC" w14:textId="0A1780D8">
      <w:pPr>
        <w:pStyle w:val="ParaNORMAL"/>
        <w:rPr>
          <w:iCs/>
        </w:rPr>
      </w:pPr>
      <w:r w:rsidRPr="00D52CB7">
        <w:rPr>
          <w:iCs/>
        </w:rPr>
        <w:t xml:space="preserve">Actual operating results of the Charter School may be affected by many factors, including, but not limited to, increased costs, lower than anticipated enrollment, reduced State funding, changes in demographic trends, and local and general economic conditions.  The Forecasts, which appear in </w:t>
      </w:r>
      <w:r w:rsidRPr="00D52CB7">
        <w:rPr>
          <w:iCs/>
          <w:smallCaps/>
        </w:rPr>
        <w:t>Appendix B</w:t>
      </w:r>
      <w:r w:rsidRPr="00D52CB7">
        <w:rPr>
          <w:iCs/>
        </w:rPr>
        <w:t xml:space="preserve"> in this Official Statement, should be read in their entirety.</w:t>
      </w:r>
      <w:r w:rsidRPr="00D52CB7" w:rsidR="002C24C1">
        <w:rPr>
          <w:iCs/>
        </w:rPr>
        <w:t xml:space="preserve"> </w:t>
      </w:r>
    </w:p>
    <w:p w:rsidRPr="00D52CB7" w:rsidR="0013735E" w:rsidP="0013735E" w:rsidRDefault="0013735E" w14:paraId="7FE044F9" w14:textId="77777777">
      <w:pPr>
        <w:pStyle w:val="TitleLeft"/>
        <w:rPr>
          <w:snapToGrid w:val="0"/>
        </w:rPr>
      </w:pPr>
      <w:r w:rsidRPr="00D52CB7">
        <w:rPr>
          <w:snapToGrid w:val="0"/>
        </w:rPr>
        <w:t xml:space="preserve">Public Health Considerations </w:t>
      </w:r>
      <w:r w:rsidRPr="00D52CB7">
        <w:fldChar w:fldCharType="begin"/>
      </w:r>
      <w:r w:rsidRPr="00D52CB7">
        <w:instrText xml:space="preserve"> TC "</w:instrText>
      </w:r>
      <w:r w:rsidRPr="00D52CB7">
        <w:rPr>
          <w:snapToGrid w:val="0"/>
        </w:rPr>
        <w:instrText xml:space="preserve"> </w:instrText>
      </w:r>
      <w:bookmarkStart w:name="_Toc100222536" w:id="81"/>
      <w:bookmarkStart w:name="_Toc184017585" w:id="82"/>
      <w:bookmarkStart w:name="_Toc184819609" w:id="83"/>
      <w:bookmarkStart w:name="_Toc195093862" w:id="84"/>
      <w:r w:rsidRPr="00D52CB7">
        <w:rPr>
          <w:snapToGrid w:val="0"/>
        </w:rPr>
        <w:instrText>Public Health Considerations</w:instrText>
      </w:r>
      <w:bookmarkEnd w:id="81"/>
      <w:bookmarkEnd w:id="82"/>
      <w:bookmarkEnd w:id="83"/>
      <w:bookmarkEnd w:id="84"/>
      <w:r w:rsidRPr="00D52CB7">
        <w:instrText xml:space="preserve"> " \f C \l "2" </w:instrText>
      </w:r>
      <w:r w:rsidRPr="00D52CB7">
        <w:fldChar w:fldCharType="end"/>
      </w:r>
    </w:p>
    <w:p w:rsidRPr="00D52CB7" w:rsidR="00743467" w:rsidP="0013735E" w:rsidRDefault="0013735E" w14:paraId="0884F0BD" w14:textId="59C2F84B">
      <w:pPr>
        <w:pStyle w:val="ParaNORMAL"/>
      </w:pPr>
      <w:r w:rsidRPr="00D52CB7">
        <w:t xml:space="preserve">The </w:t>
      </w:r>
      <w:r w:rsidRPr="00D52CB7">
        <w:rPr>
          <w:szCs w:val="22"/>
        </w:rPr>
        <w:t>financial</w:t>
      </w:r>
      <w:r w:rsidRPr="00D52CB7">
        <w:t xml:space="preserve"> and operating condition of the Charter School may be materially affected by a national or localized outbreak of an infectious disease, such as the outbreak of COVID-19, a respiratory illness caused by a </w:t>
      </w:r>
      <w:r w:rsidRPr="00D52CB7">
        <w:rPr>
          <w:szCs w:val="22"/>
        </w:rPr>
        <w:t>strain</w:t>
      </w:r>
      <w:r w:rsidRPr="00D52CB7">
        <w:t xml:space="preserve"> of coronavirus, or other highly contagious or epidemic disease (an </w:t>
      </w:r>
      <w:r w:rsidRPr="00D52CB7">
        <w:rPr>
          <w:i/>
          <w:iCs/>
        </w:rPr>
        <w:t>“Outbreak”</w:t>
      </w:r>
      <w:r w:rsidRPr="00D52CB7">
        <w:t xml:space="preserve">). There can be no assurances that an Outbreak will not materially affect the Charter School or state and national economies and, accordingly, materially adversely affect the operations and financial condition of the Charter School. The Charter School cannot predict the effects of such events. </w:t>
      </w:r>
    </w:p>
    <w:p w:rsidRPr="00D52CB7" w:rsidR="00743467" w:rsidP="00743467" w:rsidRDefault="00743467" w14:paraId="6F1430AA" w14:textId="2921642D">
      <w:pPr>
        <w:pStyle w:val="TitleLeft"/>
      </w:pPr>
      <w:r w:rsidRPr="00D52CB7">
        <w:t>Revocation of Charter Agreement</w:t>
      </w:r>
      <w:r w:rsidRPr="00D52CB7">
        <w:fldChar w:fldCharType="begin"/>
      </w:r>
      <w:r w:rsidRPr="00D52CB7">
        <w:instrText>tc "</w:instrText>
      </w:r>
      <w:bookmarkStart w:name="_Toc195093863" w:id="85"/>
      <w:r w:rsidRPr="00D52CB7">
        <w:instrText>Termination or Revocation of Charter Agreement</w:instrText>
      </w:r>
      <w:bookmarkEnd w:id="85"/>
      <w:r w:rsidRPr="00D52CB7">
        <w:instrText>" \f C \l 2</w:instrText>
      </w:r>
      <w:r w:rsidRPr="00D52CB7">
        <w:fldChar w:fldCharType="end"/>
      </w:r>
    </w:p>
    <w:p w:rsidRPr="00D52CB7" w:rsidR="00E84BCC" w:rsidP="00E84BCC" w:rsidRDefault="00E84BCC" w14:paraId="010CC8C0" w14:textId="24312038">
      <w:pPr>
        <w:pStyle w:val="ParaNORMAL"/>
      </w:pPr>
      <w:r w:rsidRPr="00D52CB7">
        <w:t>Pursuant to its terms, the Charter Agreement will automatically renew at the end of each school year unless it is terminated by either the Charter School’s Board of Directors or</w:t>
      </w:r>
      <w:r w:rsidRPr="00D52CB7" w:rsidR="00E10784">
        <w:t xml:space="preserve"> the State </w:t>
      </w:r>
      <w:r w:rsidRPr="00D52CB7" w:rsidR="00E10784">
        <w:lastRenderedPageBreak/>
        <w:t>Charter School Board</w:t>
      </w:r>
      <w:r w:rsidRPr="00D52CB7">
        <w:t xml:space="preserve"> for the grounds set forth in the Charter Agreement or the Charter Schools Act.  Grounds for termination under the Charter Agreement include failure to meet the requirements stated in the Charter Agreement; failure to meet generally accepted standards of fiscal management; violations of law; material violations of any of the conditions, standards or procedures set forth in the Charter Agreement; failure to meet the requirements for student performance under state or federal law; or other good cause shown.  </w:t>
      </w:r>
      <w:r w:rsidRPr="00D52CB7" w:rsidR="009A709A">
        <w:t xml:space="preserve">The State Charter School Board </w:t>
      </w:r>
      <w:r w:rsidRPr="00D52CB7">
        <w:t>must notify the Board</w:t>
      </w:r>
      <w:r w:rsidRPr="00D52CB7" w:rsidR="000A1CBC">
        <w:t xml:space="preserve"> of Directors of the Charter School</w:t>
      </w:r>
      <w:r w:rsidRPr="00D52CB7">
        <w:t xml:space="preserve"> of the proposed termination in writing, stating the grounds for the termination.  If the Charter School’s Charter Agreement is revoked or not renewed, the ability of the Charter School to make any payments due under the Loan Agreement representing debt service on the Series 2025 Bonds would be adversely affected and the Charter School could be forced to cease operations.  For more information regarding conditions under which the Charter Agreement may be revoked, and the revocation procedure, see “</w:t>
      </w:r>
      <w:r w:rsidRPr="00D52CB7">
        <w:rPr>
          <w:szCs w:val="24"/>
        </w:rPr>
        <w:t>A</w:t>
      </w:r>
      <w:r w:rsidRPr="00D52CB7">
        <w:rPr>
          <w:sz w:val="19"/>
          <w:szCs w:val="19"/>
        </w:rPr>
        <w:t xml:space="preserve">PPENDIX </w:t>
      </w:r>
      <w:r w:rsidRPr="00D52CB7">
        <w:rPr>
          <w:szCs w:val="24"/>
        </w:rPr>
        <w:t>A—</w:t>
      </w:r>
      <w:r w:rsidRPr="00D52CB7" w:rsidR="00E10784">
        <w:rPr>
          <w:szCs w:val="24"/>
        </w:rPr>
        <w:t>C</w:t>
      </w:r>
      <w:r w:rsidRPr="00D52CB7" w:rsidR="00E10784">
        <w:rPr>
          <w:smallCaps/>
          <w:szCs w:val="24"/>
        </w:rPr>
        <w:t>harter Schools in Utah.</w:t>
      </w:r>
      <w:r w:rsidRPr="00D52CB7">
        <w:t>”</w:t>
      </w:r>
    </w:p>
    <w:p w:rsidRPr="00D52CB7" w:rsidR="00743467" w:rsidP="00743467" w:rsidRDefault="00743467" w14:paraId="1DF6A36E" w14:textId="77777777">
      <w:pPr>
        <w:pStyle w:val="TitleLeft"/>
      </w:pPr>
      <w:r w:rsidRPr="00D52CB7">
        <w:t>Factors Associated with Education</w:t>
      </w:r>
      <w:r w:rsidRPr="00D52CB7">
        <w:fldChar w:fldCharType="begin"/>
      </w:r>
      <w:r w:rsidRPr="00D52CB7">
        <w:instrText>tc "</w:instrText>
      </w:r>
      <w:bookmarkStart w:name="_Toc195093864" w:id="86"/>
      <w:r w:rsidRPr="00D52CB7">
        <w:instrText>Factors Associated with Education</w:instrText>
      </w:r>
      <w:bookmarkEnd w:id="86"/>
      <w:r w:rsidRPr="00D52CB7">
        <w:instrText>" \f C \l 2</w:instrText>
      </w:r>
      <w:r w:rsidRPr="00D52CB7">
        <w:fldChar w:fldCharType="end"/>
      </w:r>
    </w:p>
    <w:p w:rsidRPr="00D52CB7" w:rsidR="00743467" w:rsidP="00743467" w:rsidRDefault="00743467" w14:paraId="19E87619" w14:textId="77777777">
      <w:pPr>
        <w:pStyle w:val="ParaNORMAL"/>
      </w:pPr>
      <w:r w:rsidRPr="00D52CB7">
        <w:t>There are a number of factors affecting schools in general, including the Charter School, that could have an adverse effect on the Charter School’s financial position and its ability to make the payments required under the Loan Agreement.  These factors include, but are not limited to (i) the ability to attract a sufficient number of students; (ii) future legislation and regulations affecting charter schools and the educational system in general; (iii) increasing costs of compliance with federal or State regulatory laws or regulations, including, without limitation, laws or regulations concerning environmental quality, work safety and accommodating persons with disabilities; (iv) increased costs of attracting and retaining, or a decreased availability of, a sufficient number of teachers, including as related to any unionization of the Charter School’s work force with consequent impact on wage scales and operating costs of the Charter School; (v) cost and availability of insurance for charter schools in the State; and (vi) changes in existing statutes pertaining to the powers of the Charter School and legislation or regulations which may affect program funding.  The Charter School cannot assess or predict the ultimate effect of these factors on its operations or the financial results of operations.</w:t>
      </w:r>
    </w:p>
    <w:p w:rsidRPr="00D52CB7" w:rsidR="00743467" w:rsidP="00743467" w:rsidRDefault="00743467" w14:paraId="06076D56" w14:textId="77777777">
      <w:pPr>
        <w:pStyle w:val="TitleLeft"/>
      </w:pPr>
      <w:r w:rsidRPr="00D52CB7">
        <w:t>Competition for Students</w:t>
      </w:r>
      <w:r w:rsidRPr="00D52CB7">
        <w:fldChar w:fldCharType="begin"/>
      </w:r>
      <w:r w:rsidRPr="00D52CB7">
        <w:instrText>tc "</w:instrText>
      </w:r>
      <w:bookmarkStart w:name="_Toc195093865" w:id="87"/>
      <w:r w:rsidRPr="00D52CB7">
        <w:instrText>Competition for Students</w:instrText>
      </w:r>
      <w:bookmarkEnd w:id="87"/>
      <w:r w:rsidRPr="00D52CB7">
        <w:instrText>" \f C \l 2</w:instrText>
      </w:r>
      <w:r w:rsidRPr="00D52CB7">
        <w:fldChar w:fldCharType="end"/>
      </w:r>
    </w:p>
    <w:p w:rsidRPr="00D52CB7" w:rsidR="009E67FE" w:rsidP="009E67FE" w:rsidRDefault="009E67FE" w14:paraId="05B6ADE0" w14:textId="3B3E8E48">
      <w:pPr>
        <w:pStyle w:val="ParaNORMAL"/>
      </w:pPr>
      <w:r w:rsidRPr="00D52CB7">
        <w:t xml:space="preserve">The Charter School competes for students with other public schools, charter schools, and private schools.  No students are officially assigned to, or required to attend, charter schools.  There can be no assurance that the Charter School will attract and retain the number of students needed to produce the revenues that are necessary to make payments under the Loan Agreement representing debt service on the Series 2025 Bonds.  There are other public schools and charter schools in the Charter School’s immediate service area, in which the West Valley City Campus is located.  For additional information, see </w:t>
      </w:r>
      <w:r w:rsidRPr="00D52CB7">
        <w:rPr>
          <w:smallCaps/>
        </w:rPr>
        <w:t>Appendix B</w:t>
      </w:r>
      <w:r w:rsidRPr="00D52CB7">
        <w:t>—</w:t>
      </w:r>
      <w:r w:rsidRPr="00D52CB7">
        <w:rPr>
          <w:smallCaps/>
        </w:rPr>
        <w:t>The Charter School</w:t>
      </w:r>
      <w:r w:rsidRPr="00D52CB7">
        <w:t>.</w:t>
      </w:r>
    </w:p>
    <w:p w:rsidRPr="00D52CB7" w:rsidR="005542ED" w:rsidP="00EA2AFA" w:rsidRDefault="00EA2AFA" w14:paraId="52BC66E2" w14:textId="0EB125A5">
      <w:pPr>
        <w:pStyle w:val="ParaNORMAL"/>
        <w:ind w:firstLine="0"/>
        <w:rPr>
          <w:b/>
          <w:bCs/>
        </w:rPr>
      </w:pPr>
      <w:r w:rsidRPr="00D52CB7">
        <w:rPr>
          <w:b/>
          <w:bCs/>
        </w:rPr>
        <w:t>[Discuss applicability under CEP Indenture of “Future Charter School Locations” section from previous (LOM) draft.]</w:t>
      </w:r>
    </w:p>
    <w:p w:rsidRPr="00D52CB7" w:rsidR="00147668" w:rsidP="00147668" w:rsidRDefault="00147668" w14:paraId="5CF5497B" w14:textId="77777777">
      <w:pPr>
        <w:pStyle w:val="TitleLeft"/>
      </w:pPr>
      <w:r w:rsidRPr="00D52CB7">
        <w:lastRenderedPageBreak/>
        <w:t xml:space="preserve">School Choice Initiatives </w:t>
      </w:r>
      <w:r w:rsidRPr="00D52CB7">
        <w:fldChar w:fldCharType="begin"/>
      </w:r>
      <w:r w:rsidRPr="00D52CB7">
        <w:instrText>tc "</w:instrText>
      </w:r>
      <w:bookmarkStart w:name="_Toc195093866" w:id="88"/>
      <w:r w:rsidRPr="00D52CB7">
        <w:instrText>School Choice Initiatives</w:instrText>
      </w:r>
      <w:bookmarkEnd w:id="88"/>
      <w:r w:rsidRPr="00D52CB7">
        <w:instrText>" \f C \l 2</w:instrText>
      </w:r>
      <w:r w:rsidRPr="00D52CB7">
        <w:fldChar w:fldCharType="end"/>
      </w:r>
    </w:p>
    <w:p w:rsidRPr="00D52CB7" w:rsidR="00147668" w:rsidP="00147668" w:rsidRDefault="00147668" w14:paraId="4910E739" w14:textId="79F33DAB">
      <w:pPr>
        <w:pStyle w:val="ParaNORMAL"/>
      </w:pPr>
      <w:r w:rsidRPr="00D52CB7">
        <w:t xml:space="preserve">States are increasingly considering and, in some states, enacting legislation that would expand the educational choices for its student residents beyond the traditional public school system.  Charter schools are one such example.  As charter schools become more commonplace, and as existing charter schools demonstrate a track record of providing an attractive educational choice, the number of charter schools may increase, which could lead to increased competition for existing charter schools such as the </w:t>
      </w:r>
      <w:r w:rsidRPr="00D52CB7" w:rsidR="00674556">
        <w:t>Charter School</w:t>
      </w:r>
      <w:r w:rsidRPr="00D52CB7">
        <w:t xml:space="preserve">.  In addition, other education choice initiatives, including but not limited to a voucher system, whereby the state or local school district provides a voucher (typically for a fixed dollar amount) which a student’s parents can use to pay tuition at private, independent (including faith-based) schools have been implemented or are being considered in a number of states.  A voucher program could provide significant competition to charter schools because parents who may not have previously been able to afford private tuition at a private, independent school would, under a voucher system, have financial resources available to cover all or a significant portion of the tuition cost at such private, independent schools.  This is likely to increase demand for enrollment in private, independent schools and could adversely affect enrollment at other schools, including charter schools and traditional public schools.  </w:t>
      </w:r>
    </w:p>
    <w:p w:rsidRPr="00D52CB7" w:rsidR="00147668" w:rsidP="00147668" w:rsidRDefault="00147668" w14:paraId="5113B995" w14:textId="77777777">
      <w:pPr>
        <w:pStyle w:val="TitleLeft"/>
      </w:pPr>
      <w:r w:rsidRPr="00D52CB7">
        <w:rPr>
          <w:szCs w:val="24"/>
        </w:rPr>
        <w:t>Maintenance of Credit Rating</w:t>
      </w:r>
      <w:r w:rsidRPr="00D52CB7">
        <w:t xml:space="preserve"> </w:t>
      </w:r>
      <w:r w:rsidRPr="00D52CB7">
        <w:fldChar w:fldCharType="begin"/>
      </w:r>
      <w:r w:rsidRPr="00D52CB7">
        <w:instrText>tc "</w:instrText>
      </w:r>
      <w:r w:rsidRPr="00D52CB7">
        <w:rPr>
          <w:szCs w:val="24"/>
        </w:rPr>
        <w:instrText xml:space="preserve"> </w:instrText>
      </w:r>
      <w:bookmarkStart w:name="_Toc195093867" w:id="89"/>
      <w:r w:rsidRPr="00D52CB7">
        <w:rPr>
          <w:szCs w:val="24"/>
        </w:rPr>
        <w:instrText>Maintenance of Credit Rating</w:instrText>
      </w:r>
      <w:bookmarkEnd w:id="89"/>
      <w:r w:rsidRPr="00D52CB7">
        <w:instrText xml:space="preserve"> " \f C \l 2</w:instrText>
      </w:r>
      <w:r w:rsidRPr="00D52CB7">
        <w:fldChar w:fldCharType="end"/>
      </w:r>
    </w:p>
    <w:p w:rsidRPr="00D52CB7" w:rsidR="00147668" w:rsidP="00147668" w:rsidRDefault="00C13A19" w14:paraId="7CC364C3" w14:textId="4E2C19DA">
      <w:pPr>
        <w:pStyle w:val="ParaNORMAL"/>
      </w:pPr>
      <w:r w:rsidRPr="00D52CB7">
        <w:t>[[S&amp;P Global Ratings]</w:t>
      </w:r>
      <w:r w:rsidRPr="00D52CB7" w:rsidR="00147668">
        <w:t xml:space="preserve"> (</w:t>
      </w:r>
      <w:r w:rsidRPr="00D52CB7" w:rsidR="00147668">
        <w:rPr>
          <w:i/>
        </w:rPr>
        <w:t>“</w:t>
      </w:r>
      <w:r w:rsidRPr="00D52CB7">
        <w:rPr>
          <w:i/>
        </w:rPr>
        <w:t>S&amp;P</w:t>
      </w:r>
      <w:r w:rsidRPr="00D52CB7" w:rsidR="00147668">
        <w:rPr>
          <w:i/>
        </w:rPr>
        <w:t>”</w:t>
      </w:r>
      <w:r w:rsidRPr="00D52CB7" w:rsidR="00147668">
        <w:t xml:space="preserve"> or the </w:t>
      </w:r>
      <w:r w:rsidRPr="00D52CB7" w:rsidR="00147668">
        <w:rPr>
          <w:i/>
        </w:rPr>
        <w:t>“Rating Agency”</w:t>
      </w:r>
      <w:r w:rsidRPr="00D52CB7" w:rsidR="00147668">
        <w:t xml:space="preserve">) has assigned the </w:t>
      </w:r>
      <w:r w:rsidRPr="00D52CB7" w:rsidR="00B935C1">
        <w:t xml:space="preserve">Series </w:t>
      </w:r>
      <w:r w:rsidRPr="00D52CB7" w:rsidR="00D50213">
        <w:t>2025</w:t>
      </w:r>
      <w:r w:rsidRPr="00D52CB7" w:rsidR="00B935C1">
        <w:t xml:space="preserve"> Bond</w:t>
      </w:r>
      <w:r w:rsidRPr="00D52CB7" w:rsidR="00147668">
        <w:t>s a rating of “</w:t>
      </w:r>
      <w:r w:rsidRPr="00D52CB7">
        <w:t>___</w:t>
      </w:r>
      <w:r w:rsidRPr="00D52CB7" w:rsidR="00147668">
        <w:t>”, reflective of the CSCE Program, and an underlying rating of “</w:t>
      </w:r>
      <w:r w:rsidRPr="00D52CB7">
        <w:t>BB</w:t>
      </w:r>
      <w:r w:rsidRPr="00D52CB7" w:rsidR="00147668">
        <w:t>”.</w:t>
      </w:r>
      <w:r w:rsidRPr="00D52CB7">
        <w:t>]</w:t>
      </w:r>
      <w:r w:rsidRPr="00D52CB7" w:rsidR="00147668">
        <w:t xml:space="preserve"> Certain information was supplied by the Charter School to the Rating Agency to be considered in evaluating the </w:t>
      </w:r>
      <w:r w:rsidRPr="00D52CB7" w:rsidR="00B935C1">
        <w:t xml:space="preserve">Series </w:t>
      </w:r>
      <w:r w:rsidRPr="00D52CB7" w:rsidR="00D50213">
        <w:t>2025</w:t>
      </w:r>
      <w:r w:rsidRPr="00D52CB7" w:rsidR="00B935C1">
        <w:t xml:space="preserve"> Bond</w:t>
      </w:r>
      <w:r w:rsidRPr="00D52CB7" w:rsidR="00147668">
        <w:t>s, including information regarding State and federal funding sources and the operations of the Charter School, which are subject to change.  See “</w:t>
      </w:r>
      <w:r w:rsidRPr="00D52CB7" w:rsidR="00174973">
        <w:rPr>
          <w:smallCaps/>
        </w:rPr>
        <w:t>Ratings</w:t>
      </w:r>
      <w:r w:rsidRPr="00D52CB7" w:rsidR="00147668">
        <w:t xml:space="preserve">” herein.  Such ratings express only the views of the Rating Agency.  There is no assurance that such ratings will continue for any given period of time or will not be revised or withdrawn entirely by the Rating Agency if, in its judgement, circumstances so warrant.  Any such downward revision in or withdrawal of such ratings may have an adverse effect on the market price of the </w:t>
      </w:r>
      <w:r w:rsidRPr="00D52CB7" w:rsidR="00B935C1">
        <w:t xml:space="preserve">Series </w:t>
      </w:r>
      <w:r w:rsidRPr="00D52CB7" w:rsidR="00D50213">
        <w:t>2025</w:t>
      </w:r>
      <w:r w:rsidRPr="00D52CB7" w:rsidR="00B935C1">
        <w:t xml:space="preserve"> Bond</w:t>
      </w:r>
      <w:r w:rsidRPr="00D52CB7" w:rsidR="00147668">
        <w:t>s.  See “</w:t>
      </w:r>
      <w:r w:rsidRPr="00D52CB7" w:rsidR="00174973">
        <w:rPr>
          <w:smallCaps/>
        </w:rPr>
        <w:t>Ratings</w:t>
      </w:r>
      <w:r w:rsidRPr="00D52CB7" w:rsidR="00147668">
        <w:t>” herein.</w:t>
      </w:r>
    </w:p>
    <w:p w:rsidRPr="00D52CB7" w:rsidR="00743467" w:rsidP="00743467" w:rsidRDefault="00743467" w14:paraId="475C362A" w14:textId="177E50F0">
      <w:pPr>
        <w:pStyle w:val="TitleLeft"/>
      </w:pPr>
      <w:r w:rsidRPr="00D52CB7">
        <w:rPr>
          <w:szCs w:val="24"/>
        </w:rPr>
        <w:t xml:space="preserve">Effect of Federal Bankruptcy Laws on Security for the </w:t>
      </w:r>
      <w:r w:rsidRPr="00D52CB7" w:rsidR="00B935C1">
        <w:rPr>
          <w:szCs w:val="24"/>
        </w:rPr>
        <w:t xml:space="preserve">Series </w:t>
      </w:r>
      <w:r w:rsidRPr="00D52CB7" w:rsidR="00D50213">
        <w:rPr>
          <w:szCs w:val="24"/>
        </w:rPr>
        <w:t>2025</w:t>
      </w:r>
      <w:r w:rsidRPr="00D52CB7" w:rsidR="00B935C1">
        <w:rPr>
          <w:szCs w:val="24"/>
        </w:rPr>
        <w:t xml:space="preserve"> Bond</w:t>
      </w:r>
      <w:r w:rsidRPr="00D52CB7">
        <w:rPr>
          <w:szCs w:val="24"/>
        </w:rPr>
        <w:t>s</w:t>
      </w:r>
      <w:r w:rsidRPr="00D52CB7">
        <w:t xml:space="preserve"> </w:t>
      </w:r>
      <w:r w:rsidRPr="00D52CB7">
        <w:fldChar w:fldCharType="begin"/>
      </w:r>
      <w:r w:rsidRPr="00D52CB7">
        <w:instrText>tc "</w:instrText>
      </w:r>
      <w:r w:rsidRPr="00D52CB7">
        <w:rPr>
          <w:szCs w:val="24"/>
        </w:rPr>
        <w:instrText xml:space="preserve"> </w:instrText>
      </w:r>
      <w:bookmarkStart w:name="_Toc195093868" w:id="90"/>
      <w:r w:rsidRPr="00D52CB7">
        <w:rPr>
          <w:szCs w:val="24"/>
        </w:rPr>
        <w:instrText xml:space="preserve">Effect of Federal Bankruptcy Laws on Security for the </w:instrText>
      </w:r>
      <w:r w:rsidRPr="00D52CB7" w:rsidR="00137AEC">
        <w:rPr>
          <w:szCs w:val="24"/>
        </w:rPr>
        <w:instrText xml:space="preserve">Series </w:instrText>
      </w:r>
      <w:r w:rsidRPr="00D52CB7" w:rsidR="00D50213">
        <w:rPr>
          <w:szCs w:val="24"/>
        </w:rPr>
        <w:instrText>2025</w:instrText>
      </w:r>
      <w:r w:rsidRPr="00D52CB7" w:rsidR="00137AEC">
        <w:rPr>
          <w:szCs w:val="24"/>
        </w:rPr>
        <w:instrText xml:space="preserve"> Bond</w:instrText>
      </w:r>
      <w:r w:rsidRPr="00D52CB7">
        <w:rPr>
          <w:szCs w:val="24"/>
        </w:rPr>
        <w:instrText>s</w:instrText>
      </w:r>
      <w:bookmarkEnd w:id="90"/>
      <w:r w:rsidRPr="00D52CB7">
        <w:instrText xml:space="preserve"> " \f C \l 2</w:instrText>
      </w:r>
      <w:r w:rsidRPr="00D52CB7">
        <w:fldChar w:fldCharType="end"/>
      </w:r>
    </w:p>
    <w:p w:rsidRPr="00D52CB7" w:rsidR="00743467" w:rsidP="00743467" w:rsidRDefault="00743467" w14:paraId="3796D442" w14:textId="5E87E0A6">
      <w:pPr>
        <w:pStyle w:val="ParaNORMAL"/>
      </w:pPr>
      <w:r w:rsidRPr="00D52CB7">
        <w:t xml:space="preserve">Bankruptcy proceedings and equity principles may delay or otherwise adversely affect the enforcement of Bondholders’ rights in the property granted as security for the </w:t>
      </w:r>
      <w:r w:rsidRPr="00D52CB7" w:rsidR="00B935C1">
        <w:t xml:space="preserve">Series </w:t>
      </w:r>
      <w:r w:rsidRPr="00D52CB7" w:rsidR="00D50213">
        <w:t>2025</w:t>
      </w:r>
      <w:r w:rsidRPr="00D52CB7" w:rsidR="00B935C1">
        <w:t xml:space="preserve"> Bond</w:t>
      </w:r>
      <w:r w:rsidRPr="00D52CB7">
        <w:t xml:space="preserve">s.  Furthermore, if the security for the </w:t>
      </w:r>
      <w:r w:rsidRPr="00D52CB7" w:rsidR="00B935C1">
        <w:t xml:space="preserve">Series </w:t>
      </w:r>
      <w:r w:rsidRPr="00D52CB7" w:rsidR="00D50213">
        <w:t>2025</w:t>
      </w:r>
      <w:r w:rsidRPr="00D52CB7" w:rsidR="00B935C1">
        <w:t xml:space="preserve"> Bond</w:t>
      </w:r>
      <w:r w:rsidRPr="00D52CB7">
        <w:t xml:space="preserve">s is inadequate for payment in full of the </w:t>
      </w:r>
      <w:r w:rsidRPr="00D52CB7" w:rsidR="00B935C1">
        <w:t xml:space="preserve">Series </w:t>
      </w:r>
      <w:r w:rsidRPr="00D52CB7" w:rsidR="00D50213">
        <w:t>2025</w:t>
      </w:r>
      <w:r w:rsidRPr="00D52CB7" w:rsidR="00B935C1">
        <w:t xml:space="preserve"> Bond</w:t>
      </w:r>
      <w:r w:rsidRPr="00D52CB7">
        <w:t xml:space="preserve">s, bankruptcy proceedings and equity principles may also limit any attempt by the Trustee to seek payment from other property of the Charter School, if any.  Also, federal bankruptcy law permits adoption of a reorganization plan, even though it has not been accepted by the holders of a majority in the aggregate principal amount of the </w:t>
      </w:r>
      <w:r w:rsidRPr="00D52CB7" w:rsidR="00B935C1">
        <w:t xml:space="preserve">Series </w:t>
      </w:r>
      <w:r w:rsidRPr="00D52CB7" w:rsidR="00D50213">
        <w:t>2025</w:t>
      </w:r>
      <w:r w:rsidRPr="00D52CB7" w:rsidR="00B935C1">
        <w:t xml:space="preserve"> Bond</w:t>
      </w:r>
      <w:r w:rsidRPr="00D52CB7">
        <w:t xml:space="preserve">s, if the Bondholders are provided with the benefit of their original lien or the “indubitable equivalent.”  In addition, if the bankruptcy court concludes that the Bondholders have “adequate protection,” it may (i) substitute other security subject to the lien of the Bondholders, and (ii) subordinate the lien of the Bondholders (a) to claims by persons supplying goods and services to the Charter School after bankruptcy and (b) to the administrative expenses of the bankruptcy proceeding.  The bankruptcy court may also have the power to invalidate certain provisions of the Deed of Trust </w:t>
      </w:r>
      <w:r w:rsidRPr="00D52CB7">
        <w:lastRenderedPageBreak/>
        <w:t>that make bankruptcy and related proceedings by the Charter School an event of default thereunder.</w:t>
      </w:r>
    </w:p>
    <w:p w:rsidRPr="00D52CB7" w:rsidR="00743467" w:rsidP="00743467" w:rsidRDefault="00743467" w14:paraId="3059AA24" w14:textId="77777777">
      <w:pPr>
        <w:pStyle w:val="TitleLeft"/>
      </w:pPr>
      <w:bookmarkStart w:name="_DV_C336" w:id="91"/>
      <w:r w:rsidRPr="00D52CB7">
        <w:rPr>
          <w:szCs w:val="24"/>
        </w:rPr>
        <w:t>Additional Indebtedness and Additional Bonds</w:t>
      </w:r>
      <w:r w:rsidRPr="00D52CB7">
        <w:t xml:space="preserve"> </w:t>
      </w:r>
      <w:r w:rsidRPr="00D52CB7">
        <w:fldChar w:fldCharType="begin"/>
      </w:r>
      <w:r w:rsidRPr="00D52CB7">
        <w:instrText>tc "</w:instrText>
      </w:r>
      <w:r w:rsidRPr="00D52CB7">
        <w:rPr>
          <w:szCs w:val="24"/>
        </w:rPr>
        <w:instrText xml:space="preserve"> </w:instrText>
      </w:r>
      <w:bookmarkStart w:name="_Toc195093869" w:id="92"/>
      <w:r w:rsidRPr="00D52CB7">
        <w:rPr>
          <w:szCs w:val="24"/>
        </w:rPr>
        <w:instrText>Additional Indebtedness and Additional Bonds</w:instrText>
      </w:r>
      <w:bookmarkEnd w:id="92"/>
      <w:r w:rsidRPr="00D52CB7">
        <w:instrText xml:space="preserve"> " \f C \l 2</w:instrText>
      </w:r>
      <w:r w:rsidRPr="00D52CB7">
        <w:fldChar w:fldCharType="end"/>
      </w:r>
    </w:p>
    <w:p w:rsidRPr="00D52CB7" w:rsidR="00743467" w:rsidP="00743467" w:rsidRDefault="00743467" w14:paraId="7AE0E976" w14:textId="60FD265C">
      <w:pPr>
        <w:pStyle w:val="ParaNORMAL"/>
        <w:rPr>
          <w:b/>
          <w:bCs/>
        </w:rPr>
      </w:pPr>
      <w:r w:rsidRPr="00D52CB7">
        <w:t xml:space="preserve">The Loan Agreement places certain restrictions on the incurrence of indebtedness by the Charter School, and the Indenture places certain restrictions on the issuance of Additional Bonds.  The Charter School has covenanted that it will only incur Long-Term Indebtedness and Short-Term Debt in accordance with the restrictions imposed by the Loan Agreement.  See “Security for the </w:t>
      </w:r>
      <w:r w:rsidRPr="00D52CB7" w:rsidR="00B935C1">
        <w:t xml:space="preserve">Series </w:t>
      </w:r>
      <w:r w:rsidRPr="00D52CB7" w:rsidR="00D50213">
        <w:t>2025</w:t>
      </w:r>
      <w:r w:rsidRPr="00D52CB7" w:rsidR="00B935C1">
        <w:t xml:space="preserve"> Bond</w:t>
      </w:r>
      <w:r w:rsidRPr="00D52CB7">
        <w:t xml:space="preserve">s–Indenture–Additional Bonds” and “Security for the </w:t>
      </w:r>
      <w:r w:rsidRPr="00D52CB7" w:rsidR="00B935C1">
        <w:t xml:space="preserve">Series </w:t>
      </w:r>
      <w:r w:rsidRPr="00D52CB7" w:rsidR="00D50213">
        <w:t>2025</w:t>
      </w:r>
      <w:r w:rsidRPr="00D52CB7" w:rsidR="00B935C1">
        <w:t xml:space="preserve"> Bond</w:t>
      </w:r>
      <w:r w:rsidRPr="00D52CB7">
        <w:t>s–Loan Agreement–Limitations on Additional Indebtedness.”</w:t>
      </w:r>
    </w:p>
    <w:p w:rsidRPr="00D52CB7" w:rsidR="00743467" w:rsidP="00743467" w:rsidRDefault="00743467" w14:paraId="21695186" w14:textId="77777777">
      <w:pPr>
        <w:pStyle w:val="TitleLeft"/>
      </w:pPr>
      <w:bookmarkStart w:name="_Toc22281448" w:id="93"/>
      <w:bookmarkEnd w:id="91"/>
      <w:r w:rsidRPr="00D52CB7">
        <w:rPr>
          <w:szCs w:val="24"/>
        </w:rPr>
        <w:t>Forward-Looking Statements</w:t>
      </w:r>
      <w:r w:rsidRPr="00D52CB7">
        <w:t xml:space="preserve"> </w:t>
      </w:r>
      <w:r w:rsidRPr="00D52CB7">
        <w:fldChar w:fldCharType="begin"/>
      </w:r>
      <w:r w:rsidRPr="00D52CB7">
        <w:instrText>tc "</w:instrText>
      </w:r>
      <w:r w:rsidRPr="00D52CB7">
        <w:rPr>
          <w:szCs w:val="24"/>
        </w:rPr>
        <w:instrText xml:space="preserve"> </w:instrText>
      </w:r>
      <w:bookmarkStart w:name="_Toc195093870" w:id="94"/>
      <w:r w:rsidRPr="00D52CB7">
        <w:rPr>
          <w:szCs w:val="24"/>
        </w:rPr>
        <w:instrText>Forward-Looking Statements</w:instrText>
      </w:r>
      <w:bookmarkEnd w:id="94"/>
      <w:r w:rsidRPr="00D52CB7">
        <w:instrText xml:space="preserve"> " \f C \l 2</w:instrText>
      </w:r>
      <w:r w:rsidRPr="00D52CB7">
        <w:fldChar w:fldCharType="end"/>
      </w:r>
    </w:p>
    <w:bookmarkEnd w:id="93"/>
    <w:p w:rsidRPr="00D52CB7" w:rsidR="00743467" w:rsidP="00743467" w:rsidRDefault="00743467" w14:paraId="60694CAE" w14:textId="77777777">
      <w:pPr>
        <w:pStyle w:val="ParaNORMAL"/>
      </w:pPr>
      <w:r w:rsidRPr="00D52CB7">
        <w:t>This Official Statement contains certain statements that are “forward-looking” statements within the meaning of Section 27A of the Securities Act of 1933, as amended and Section 21E of the Securities Exchange Act of 1934, as amended.  All statements other than statements of historical facts included in this Official Statement, including without limitation statements that use terminology such as “estimate,” “plan,” “budget,” “expect,” “intend,” “anticipate,” “believe,” “may,” “will,” “continue,” and similar expressions, are forward-looking statements.  These forward-looking statements include, among other things, the discussions related to the Charter School’s operations and expectations regarding student enrollment, future operations, revenues, capital resources, and expenditures for capital projects.  Although the Charter School believes that the assumptions upon which the forward-looking statements contained in this Official Statement are reasonable, any of the assumptions could prove to be inaccurate and, as a result, the forward-looking statements based on those assumptions also could be incorrect.  All phases of the operations of the Charter School involve risks and uncertainties, many of which are outside the control of the Charter School and any one of which, or a combination of which, could materially affect the results of the Charter School’s operations and whether the forward-looking statements ultimately prove to be correct.  Factors that could cause actual results to differ from those expected include, but are not limited to, general economic conditions such as inflation and interest rates, both nationally and in Utah where the Facilities are located; the willingness of the State to fund charter school operations at present or increased levels; competitive conditions within the Charter School’s market, including the acceptance of the education services offered by the Charter School; lower enrollments than projected; unanticipated expenses; the capabilities of the Charter School’s management; changes in government regulation of the education industry or in the Charter School Act; future claims for accidents at the Facilities site and the extent of insurance coverage for such claims; and other risks discussed in this Official Statement.</w:t>
      </w:r>
    </w:p>
    <w:p w:rsidRPr="00D52CB7" w:rsidR="00743467" w:rsidP="00743467" w:rsidRDefault="00743467" w14:paraId="42AFA898" w14:textId="77777777">
      <w:pPr>
        <w:pStyle w:val="ParaNORMAL"/>
      </w:pPr>
      <w:r w:rsidRPr="00D52CB7">
        <w:t xml:space="preserve">No representation or assurance can be given that the Charter School will realize revenues in amounts sufficient to make the required payments under the Loan Agreement.  No market study or demand analysis has been prepared for the Charter School to analyze the existing or future demand for the Charter School’s educational services.  The realization of future Pledged Revenues is dependent upon, among other things, the matters described in the foregoing paragraphs and future changes in economic and other conditions that are unpredictable and cannot be determined </w:t>
      </w:r>
      <w:r w:rsidRPr="00D52CB7">
        <w:lastRenderedPageBreak/>
        <w:t>at this time.  The Underwriter makes no representation as to the accuracy of the projections contained herein or as to the assumptions on which the Forecasts are based.</w:t>
      </w:r>
    </w:p>
    <w:p w:rsidRPr="00D52CB7" w:rsidR="00743467" w:rsidP="00743467" w:rsidRDefault="00743467" w14:paraId="67E3B2F2" w14:textId="77777777">
      <w:pPr>
        <w:pStyle w:val="TitleLeft"/>
      </w:pPr>
      <w:r w:rsidRPr="00D52CB7">
        <w:rPr>
          <w:szCs w:val="24"/>
        </w:rPr>
        <w:t>Property Tax Exemption</w:t>
      </w:r>
      <w:r w:rsidRPr="00D52CB7">
        <w:t xml:space="preserve"> </w:t>
      </w:r>
      <w:r w:rsidRPr="00D52CB7">
        <w:fldChar w:fldCharType="begin"/>
      </w:r>
      <w:r w:rsidRPr="00D52CB7">
        <w:instrText xml:space="preserve">tc " </w:instrText>
      </w:r>
      <w:bookmarkStart w:name="_Toc195093871" w:id="95"/>
      <w:r w:rsidRPr="00D52CB7">
        <w:rPr>
          <w:szCs w:val="24"/>
        </w:rPr>
        <w:instrText>Property Tax Exemption</w:instrText>
      </w:r>
      <w:bookmarkEnd w:id="95"/>
      <w:r w:rsidRPr="00D52CB7">
        <w:instrText xml:space="preserve"> " \f C \l 2</w:instrText>
      </w:r>
      <w:r w:rsidRPr="00D52CB7">
        <w:fldChar w:fldCharType="end"/>
      </w:r>
    </w:p>
    <w:p w:rsidRPr="00D52CB7" w:rsidR="00743467" w:rsidP="00743467" w:rsidRDefault="00743467" w14:paraId="2554E50D" w14:textId="77777777">
      <w:pPr>
        <w:pStyle w:val="ParaNORMAL"/>
      </w:pPr>
      <w:r w:rsidRPr="00D52CB7">
        <w:t>Under present State law and rulings, property used for charter school purposes is exempt from property taxes levied by political subdivisions of the State</w:t>
      </w:r>
      <w:r w:rsidRPr="00D52CB7">
        <w:rPr>
          <w:i/>
          <w:iCs/>
        </w:rPr>
        <w:t xml:space="preserve"> </w:t>
      </w:r>
      <w:r w:rsidRPr="00D52CB7">
        <w:t>so long as such property is used for charter school purposes and is owned directly by a nonprofit corporation that holds a Charter Agreement (although such property is subject to special assessments for local improvements to the property).  Therefore, the Charter School is currently exempt from property taxes with respect to the Property and the Facilities.  Nevertheless, such laws, regulations and rulings are subject to change, and no assurance can be given that any future change in exempt status would not have a material adverse effect on the Charter School.  If the Charter School is required to pay property taxes with respect to the Facilities in the future, it would have a negative impact on the cashflow of the Charter School.</w:t>
      </w:r>
    </w:p>
    <w:p w:rsidRPr="00D52CB7" w:rsidR="00743467" w:rsidP="00743467" w:rsidRDefault="00743467" w14:paraId="44E3F638" w14:textId="77777777">
      <w:pPr>
        <w:pStyle w:val="TitleLeft"/>
      </w:pPr>
      <w:bookmarkStart w:name="_Toc22281450" w:id="96"/>
      <w:r w:rsidRPr="00D52CB7">
        <w:rPr>
          <w:szCs w:val="24"/>
        </w:rPr>
        <w:t>Tax-Exempt Status of the Charter School</w:t>
      </w:r>
      <w:r w:rsidRPr="00D52CB7">
        <w:t xml:space="preserve"> </w:t>
      </w:r>
      <w:r w:rsidRPr="00D52CB7">
        <w:fldChar w:fldCharType="begin"/>
      </w:r>
      <w:r w:rsidRPr="00D52CB7">
        <w:instrText xml:space="preserve">tc " </w:instrText>
      </w:r>
      <w:bookmarkStart w:name="_Toc195093872" w:id="97"/>
      <w:r w:rsidRPr="00D52CB7">
        <w:rPr>
          <w:szCs w:val="24"/>
        </w:rPr>
        <w:instrText>Tax-Exempt Status of the Charter School</w:instrText>
      </w:r>
      <w:bookmarkEnd w:id="97"/>
      <w:r w:rsidRPr="00D52CB7">
        <w:instrText xml:space="preserve"> " \f C \l 2</w:instrText>
      </w:r>
      <w:r w:rsidRPr="00D52CB7">
        <w:fldChar w:fldCharType="end"/>
      </w:r>
    </w:p>
    <w:bookmarkEnd w:id="96"/>
    <w:p w:rsidRPr="00D52CB7" w:rsidR="004356DA" w:rsidP="004356DA" w:rsidRDefault="004356DA" w14:paraId="5D4B93AB" w14:textId="09F487B8">
      <w:pPr>
        <w:pStyle w:val="ParaNORMAL"/>
      </w:pPr>
      <w:r w:rsidRPr="00D52CB7">
        <w:t xml:space="preserve">The tax-exempt status of the </w:t>
      </w:r>
      <w:r w:rsidRPr="00D52CB7" w:rsidR="00B935C1">
        <w:t xml:space="preserve">Series </w:t>
      </w:r>
      <w:r w:rsidRPr="00D52CB7" w:rsidR="00D50213">
        <w:t>2025</w:t>
      </w:r>
      <w:r w:rsidRPr="00D52CB7" w:rsidR="00B935C1">
        <w:t xml:space="preserve"> Bond</w:t>
      </w:r>
      <w:r w:rsidRPr="00D52CB7">
        <w:t>s presently depends upon the maintenance by the Charter School of its status as an organization described in Section 501(c)(3) of the Code.  The maintenance of such status is contingent on compliance with general rules promulgated in the Code and related regulations regarding the organization and operation of tax-exempt entities, including the operation for charitable and educational purposes and avoidance of transactions which may cause the assets of either to inure to the benefit of private individuals,</w:t>
      </w:r>
    </w:p>
    <w:p w:rsidRPr="00D52CB7" w:rsidR="004356DA" w:rsidP="004356DA" w:rsidRDefault="004356DA" w14:paraId="376CDF04" w14:textId="07374C67">
      <w:pPr>
        <w:pStyle w:val="ParaNORMAL"/>
      </w:pPr>
      <w:r w:rsidRPr="00D52CB7">
        <w:t xml:space="preserve">The Charter School is currently exempt from federal income tax.  The Charter School is a public charter school and a Utah nonprofit corporation.  The Charter School is an organization described in Section 501(c)(3) of the Internal Revenue Code of 1986, as amended (the “Code”).  Under present federal law, regulations and rulings, the income and revenue of nonprofit, 501(c)(3) qualified exempt organizations are exempt from federal income tax, except for any unrelated business income as defined in the Code, and their revenues are exempt from the State sales tax except for certain services.  If the Charter School fails to continue to meet the requirements necessary to preserve its status as a nonprofit corporation and a tax-exempt charitable organization under Section 501(c)(3) of the Code, the Charter School could experience expenses which are greater than those projected in </w:t>
      </w:r>
      <w:r w:rsidRPr="00D52CB7">
        <w:rPr>
          <w:smallCaps/>
        </w:rPr>
        <w:t>Appendix B</w:t>
      </w:r>
      <w:r w:rsidRPr="00D52CB7">
        <w:t xml:space="preserve"> and revenues which are lower than those projected in </w:t>
      </w:r>
      <w:r w:rsidRPr="00D52CB7">
        <w:rPr>
          <w:smallCaps/>
        </w:rPr>
        <w:t>Appendix B</w:t>
      </w:r>
      <w:r w:rsidRPr="00D52CB7">
        <w:t xml:space="preserve">, which would adversely affect the Charter School’s ability in the future to pay the amount due under the Loan Agreement with respect to </w:t>
      </w:r>
      <w:r w:rsidRPr="00D52CB7" w:rsidR="00B935C1">
        <w:t xml:space="preserve">Series </w:t>
      </w:r>
      <w:r w:rsidRPr="00D52CB7" w:rsidR="00D50213">
        <w:t>2025</w:t>
      </w:r>
      <w:r w:rsidRPr="00D52CB7" w:rsidR="00B935C1">
        <w:t xml:space="preserve"> Bond</w:t>
      </w:r>
      <w:r w:rsidRPr="00D52CB7">
        <w:t xml:space="preserve">s.  </w:t>
      </w:r>
    </w:p>
    <w:p w:rsidRPr="00D52CB7" w:rsidR="004356DA" w:rsidP="004356DA" w:rsidRDefault="004356DA" w14:paraId="66B46967" w14:textId="511FDE34">
      <w:pPr>
        <w:pStyle w:val="ParaNORMAL"/>
      </w:pPr>
      <w:r w:rsidRPr="00D52CB7">
        <w:t xml:space="preserve">In recent years, the IRS and state, county and local taxing authorities have been undertaking audits and reviews of the operations of tax-exempt organizations with respect to their exempt activities and the generation of unrelated business taxable income (“UBTI”).  To the extent the Charter School does not properly account for and report UBTI, if any, an investigation or audit could lead to a challenge which could result in taxes, interest and penalties with respect to unreported UBTI and in some cases could ultimately affect the tax-exempt status of the Charter School, as well as the exclusion from gross income for federal income tax purposes of the interest on the </w:t>
      </w:r>
      <w:r w:rsidRPr="00D52CB7" w:rsidR="00B935C1">
        <w:t xml:space="preserve">Series </w:t>
      </w:r>
      <w:r w:rsidRPr="00D52CB7" w:rsidR="00D50213">
        <w:t>2025</w:t>
      </w:r>
      <w:r w:rsidRPr="00D52CB7" w:rsidR="00B935C1">
        <w:t xml:space="preserve"> Bond</w:t>
      </w:r>
      <w:r w:rsidRPr="00D52CB7">
        <w:t>s.</w:t>
      </w:r>
    </w:p>
    <w:p w:rsidRPr="00D52CB7" w:rsidR="004356DA" w:rsidP="004356DA" w:rsidRDefault="004356DA" w14:paraId="323C832A" w14:textId="1F454B2D">
      <w:pPr>
        <w:pStyle w:val="ParaNORMAL"/>
      </w:pPr>
      <w:r w:rsidRPr="00D52CB7">
        <w:lastRenderedPageBreak/>
        <w:t xml:space="preserve">The Code imposes a number of requirements that must be satisfied for interest on state and local obligations, such as the </w:t>
      </w:r>
      <w:r w:rsidRPr="00D52CB7" w:rsidR="00B935C1">
        <w:t xml:space="preserve">Series </w:t>
      </w:r>
      <w:r w:rsidRPr="00D52CB7" w:rsidR="00D50213">
        <w:t>2025</w:t>
      </w:r>
      <w:r w:rsidRPr="00D52CB7" w:rsidR="00B935C1">
        <w:t xml:space="preserve"> Bond</w:t>
      </w:r>
      <w:r w:rsidRPr="00D52CB7">
        <w:t xml:space="preserve">s, to be excludable from gross income for federal income tax purposes.  These requirements include limitations on the use of </w:t>
      </w:r>
      <w:r w:rsidRPr="00D52CB7" w:rsidR="00B935C1">
        <w:t xml:space="preserve">Series </w:t>
      </w:r>
      <w:r w:rsidRPr="00D52CB7" w:rsidR="00D50213">
        <w:t>2025</w:t>
      </w:r>
      <w:r w:rsidRPr="00D52CB7" w:rsidR="00B935C1">
        <w:t xml:space="preserve"> Bond</w:t>
      </w:r>
      <w:r w:rsidRPr="00D52CB7">
        <w:t xml:space="preserve"> proceeds, limitations on the investment earnings of </w:t>
      </w:r>
      <w:r w:rsidRPr="00D52CB7" w:rsidR="00B935C1">
        <w:t xml:space="preserve">Series </w:t>
      </w:r>
      <w:r w:rsidRPr="00D52CB7" w:rsidR="00D50213">
        <w:t>2025</w:t>
      </w:r>
      <w:r w:rsidRPr="00D52CB7" w:rsidR="00B935C1">
        <w:t xml:space="preserve"> Bond</w:t>
      </w:r>
      <w:r w:rsidRPr="00D52CB7">
        <w:t xml:space="preserve"> proceeds prior to expenditure, a requirement that certain investment earnings on </w:t>
      </w:r>
      <w:r w:rsidRPr="00D52CB7" w:rsidR="00B935C1">
        <w:t xml:space="preserve">Series </w:t>
      </w:r>
      <w:r w:rsidRPr="00D52CB7" w:rsidR="00D50213">
        <w:t>2025</w:t>
      </w:r>
      <w:r w:rsidRPr="00D52CB7" w:rsidR="00B935C1">
        <w:t xml:space="preserve"> Bond</w:t>
      </w:r>
      <w:r w:rsidRPr="00D52CB7">
        <w:t xml:space="preserve"> proceeds be paid periodically to the United States and a requirement that the issuers file an information report with the Internal Revenue Service (the </w:t>
      </w:r>
      <w:r w:rsidRPr="00D52CB7">
        <w:rPr>
          <w:i/>
        </w:rPr>
        <w:t>“IRS”</w:t>
      </w:r>
      <w:r w:rsidRPr="00D52CB7">
        <w:t xml:space="preserve">).  The Issuer and the Charter School have covenanted in certain of the documents referred to herein that they will comply with such requirements.  Failure by any of the foregoing to comply with the requirements stated in the Code and related regulations, rulings and policies may result in the treatment of interest on the </w:t>
      </w:r>
      <w:r w:rsidRPr="00D52CB7" w:rsidR="00B935C1">
        <w:t xml:space="preserve">Series </w:t>
      </w:r>
      <w:r w:rsidRPr="00D52CB7" w:rsidR="00D50213">
        <w:t>2025</w:t>
      </w:r>
      <w:r w:rsidRPr="00D52CB7" w:rsidR="00B935C1">
        <w:t xml:space="preserve"> Bond</w:t>
      </w:r>
      <w:r w:rsidRPr="00D52CB7">
        <w:t xml:space="preserve">s as taxable, retroactively to the date of issuance of the </w:t>
      </w:r>
      <w:r w:rsidRPr="00D52CB7" w:rsidR="00B935C1">
        <w:t xml:space="preserve">Series </w:t>
      </w:r>
      <w:r w:rsidRPr="00D52CB7" w:rsidR="00D50213">
        <w:t>2025</w:t>
      </w:r>
      <w:r w:rsidRPr="00D52CB7" w:rsidR="00B935C1">
        <w:t xml:space="preserve"> Bond</w:t>
      </w:r>
      <w:r w:rsidRPr="00D52CB7">
        <w:t>s</w:t>
      </w:r>
    </w:p>
    <w:p w:rsidRPr="00D52CB7" w:rsidR="00743467" w:rsidP="004356DA" w:rsidRDefault="004356DA" w14:paraId="78699BA8" w14:textId="03F96494">
      <w:pPr>
        <w:pStyle w:val="ParaNORMAL"/>
      </w:pPr>
      <w:r w:rsidRPr="00D52CB7">
        <w:t xml:space="preserve">If the Charter School were to lose its status as a nonprofit corporation and a tax-exempt organization, the tax-exempt status of the </w:t>
      </w:r>
      <w:r w:rsidRPr="00D52CB7" w:rsidR="00B935C1">
        <w:t xml:space="preserve">Series </w:t>
      </w:r>
      <w:r w:rsidRPr="00D52CB7" w:rsidR="00D50213">
        <w:t>2025</w:t>
      </w:r>
      <w:r w:rsidRPr="00D52CB7" w:rsidR="00B935C1">
        <w:t xml:space="preserve"> Bond</w:t>
      </w:r>
      <w:r w:rsidRPr="00D52CB7">
        <w:t>s for federal tax purposes could also be adversely affected.</w:t>
      </w:r>
    </w:p>
    <w:p w:rsidRPr="00D52CB7" w:rsidR="00743467" w:rsidP="00743467" w:rsidRDefault="00743467" w14:paraId="068569A8" w14:textId="77777777">
      <w:pPr>
        <w:pStyle w:val="TitleLeft"/>
      </w:pPr>
      <w:bookmarkStart w:name="_Toc22281453" w:id="98"/>
      <w:r w:rsidRPr="00D52CB7">
        <w:rPr>
          <w:szCs w:val="24"/>
        </w:rPr>
        <w:t>Changes in Law; Annual Appropriation; Inadequate State Payments</w:t>
      </w:r>
      <w:r w:rsidRPr="00D52CB7">
        <w:t xml:space="preserve"> </w:t>
      </w:r>
      <w:r w:rsidRPr="00D52CB7">
        <w:fldChar w:fldCharType="begin"/>
      </w:r>
      <w:r w:rsidRPr="00D52CB7">
        <w:instrText xml:space="preserve">tc " </w:instrText>
      </w:r>
      <w:bookmarkStart w:name="_Toc195093873" w:id="99"/>
      <w:r w:rsidRPr="00D52CB7">
        <w:rPr>
          <w:szCs w:val="24"/>
        </w:rPr>
        <w:instrText>Changes in Law; Annual Appropriation; Inadequate State Payments</w:instrText>
      </w:r>
      <w:bookmarkEnd w:id="99"/>
      <w:r w:rsidRPr="00D52CB7">
        <w:instrText>" \f C \l 2</w:instrText>
      </w:r>
      <w:r w:rsidRPr="00D52CB7">
        <w:fldChar w:fldCharType="end"/>
      </w:r>
    </w:p>
    <w:bookmarkEnd w:id="98"/>
    <w:p w:rsidRPr="00D52CB7" w:rsidR="00743467" w:rsidP="00743467" w:rsidRDefault="00743467" w14:paraId="4732FB9E" w14:textId="209E5B33">
      <w:pPr>
        <w:pStyle w:val="ParaNORMAL"/>
      </w:pPr>
      <w:r w:rsidRPr="00D52CB7">
        <w:t xml:space="preserve">Future changes to the Charter School Act by the State legislature could be adverse to the financial interests of the Charter School and could adversely affect the security for the </w:t>
      </w:r>
      <w:r w:rsidRPr="00D52CB7" w:rsidR="00B935C1">
        <w:t xml:space="preserve">Series </w:t>
      </w:r>
      <w:r w:rsidRPr="00D52CB7" w:rsidR="00D50213">
        <w:t>2025</w:t>
      </w:r>
      <w:r w:rsidRPr="00D52CB7" w:rsidR="00B935C1">
        <w:t xml:space="preserve"> Bond</w:t>
      </w:r>
      <w:r w:rsidRPr="00D52CB7">
        <w:t xml:space="preserve">s.  There can be no assurance given that the State legislature will not in the future amend the Charter School Act in a manner which is adverse to the interests of the registered owners of the </w:t>
      </w:r>
      <w:r w:rsidRPr="00D52CB7" w:rsidR="00B935C1">
        <w:t xml:space="preserve">Series </w:t>
      </w:r>
      <w:r w:rsidRPr="00D52CB7" w:rsidR="00D50213">
        <w:t>2025</w:t>
      </w:r>
      <w:r w:rsidRPr="00D52CB7" w:rsidR="00B935C1">
        <w:t xml:space="preserve"> Bond</w:t>
      </w:r>
      <w:r w:rsidRPr="00D52CB7">
        <w:t>s.</w:t>
      </w:r>
    </w:p>
    <w:p w:rsidRPr="00D52CB7" w:rsidR="00743467" w:rsidP="00743467" w:rsidRDefault="00743467" w14:paraId="09EBAEF9" w14:textId="77777777">
      <w:pPr>
        <w:pStyle w:val="ParaNORMAL"/>
      </w:pPr>
      <w:r w:rsidRPr="00D52CB7">
        <w:t xml:space="preserve">As occurs in other states, lawsuits are occasionally filed in Utah challenging the State’s system of funding public schools.  The outcome of any such public-school funding cases in the State in the future cannot be known.  </w:t>
      </w:r>
    </w:p>
    <w:p w:rsidRPr="00D52CB7" w:rsidR="00743467" w:rsidP="00743467" w:rsidRDefault="00743467" w14:paraId="31A44061" w14:textId="5ABF1B5F">
      <w:pPr>
        <w:pStyle w:val="ParaNORMAL"/>
      </w:pPr>
      <w:r w:rsidRPr="00D52CB7">
        <w:t>Utah may experience downturns in its economy and tax revenues in the future.  The provisions of the Charter School Act are subject to amendment by the State legislature, including the reduction of State funding, which could adversely affect the Charter School.  State budget considerations may also adversely affect appropriations for charter school funding.</w:t>
      </w:r>
      <w:r w:rsidRPr="00D52CB7" w:rsidR="00270950">
        <w:t xml:space="preserve"> </w:t>
      </w:r>
    </w:p>
    <w:p w:rsidRPr="00D52CB7" w:rsidR="00743467" w:rsidP="00743467" w:rsidRDefault="00743467" w14:paraId="05468C61" w14:textId="77777777">
      <w:pPr>
        <w:pStyle w:val="TitleLeft"/>
      </w:pPr>
      <w:r w:rsidRPr="00D52CB7">
        <w:rPr>
          <w:szCs w:val="24"/>
        </w:rPr>
        <w:t>Key Personnel</w:t>
      </w:r>
      <w:r w:rsidRPr="00D52CB7">
        <w:t xml:space="preserve"> </w:t>
      </w:r>
      <w:r w:rsidRPr="00D52CB7">
        <w:fldChar w:fldCharType="begin"/>
      </w:r>
      <w:r w:rsidRPr="00D52CB7">
        <w:instrText xml:space="preserve">tc " </w:instrText>
      </w:r>
      <w:bookmarkStart w:name="_Toc195093874" w:id="100"/>
      <w:r w:rsidRPr="00D52CB7">
        <w:rPr>
          <w:szCs w:val="24"/>
        </w:rPr>
        <w:instrText>Key Personnel</w:instrText>
      </w:r>
      <w:bookmarkEnd w:id="100"/>
      <w:r w:rsidRPr="00D52CB7">
        <w:instrText>" \f C \l 2</w:instrText>
      </w:r>
      <w:r w:rsidRPr="00D52CB7">
        <w:fldChar w:fldCharType="end"/>
      </w:r>
    </w:p>
    <w:p w:rsidRPr="00D52CB7" w:rsidR="00743467" w:rsidP="00743467" w:rsidRDefault="00743467" w14:paraId="7E840F1F" w14:textId="1CA71D5A">
      <w:pPr>
        <w:pStyle w:val="ParaNORMAL"/>
      </w:pPr>
      <w:r w:rsidRPr="00D52CB7">
        <w:t xml:space="preserve">The Charter School’s creation, curriculum, educational philosophy, and day-to-day operations reflect the vision and commitment of the individuals who serve on the Charter School’s </w:t>
      </w:r>
      <w:r w:rsidRPr="00D52CB7" w:rsidR="001F66E1">
        <w:t>Board of Trustees</w:t>
      </w:r>
      <w:r w:rsidRPr="00D52CB7">
        <w:t xml:space="preserve"> and as the Charter School’s administrators (the </w:t>
      </w:r>
      <w:r w:rsidRPr="00D52CB7">
        <w:rPr>
          <w:i/>
          <w:iCs/>
        </w:rPr>
        <w:t>“Key Personnel”</w:t>
      </w:r>
      <w:r w:rsidRPr="00D52CB7">
        <w:t xml:space="preserve">).  The loss of any Key Personnel could adversely affect the Charter School’s operations, its ability to attract and retain students and ultimately its financial results.  For more information regarding the Charter School’s Key Personnel, see </w:t>
      </w:r>
      <w:r w:rsidRPr="00D52CB7">
        <w:rPr>
          <w:smallCaps/>
        </w:rPr>
        <w:t>Appendix B</w:t>
      </w:r>
      <w:r w:rsidRPr="00D52CB7">
        <w:t>.</w:t>
      </w:r>
    </w:p>
    <w:p w:rsidRPr="00D52CB7" w:rsidR="0073677F" w:rsidP="0073677F" w:rsidRDefault="0073677F" w14:paraId="366634D4" w14:textId="77777777">
      <w:pPr>
        <w:pStyle w:val="TitleLeft"/>
      </w:pPr>
      <w:r w:rsidRPr="00D52CB7">
        <w:lastRenderedPageBreak/>
        <w:t>Limited Nature of Real Estate Appraisals; Value of West Valley City Campus</w:t>
      </w:r>
    </w:p>
    <w:p w:rsidRPr="00D52CB7" w:rsidR="0073677F" w:rsidP="0073677F" w:rsidRDefault="0073677F" w14:paraId="0A0578BE" w14:textId="61DCDA53">
      <w:pPr>
        <w:pStyle w:val="ParaNORMAL"/>
      </w:pPr>
      <w:r w:rsidRPr="00D52CB7">
        <w:t xml:space="preserve">The Charter School engaged Larry A. Rigby, MAI (the </w:t>
      </w:r>
      <w:r w:rsidRPr="00D52CB7">
        <w:rPr>
          <w:i/>
          <w:iCs/>
        </w:rPr>
        <w:t>“Appraiser”</w:t>
      </w:r>
      <w:r w:rsidRPr="00D52CB7">
        <w:t xml:space="preserve">) to conduct an appraisal, dated _______ (the </w:t>
      </w:r>
      <w:r w:rsidRPr="00D52CB7">
        <w:rPr>
          <w:i/>
          <w:iCs/>
        </w:rPr>
        <w:t>“Appraisal”</w:t>
      </w:r>
      <w:r w:rsidRPr="00D52CB7">
        <w:t xml:space="preserve">), of the as-is condition [and the as-built value (assuming completion of the Series 2025 Project)] of the West Valley City Campus.  The Appraisal states that it is the opinion of the Appraiser that the fee simple market value of the subject property in its present condition as of ________ is $________, and that the as-built condition of the West Valley City Campus, assuming completion of the Expansion Project, is $________. </w:t>
      </w:r>
    </w:p>
    <w:p w:rsidRPr="00D52CB7" w:rsidR="0073677F" w:rsidP="0073677F" w:rsidRDefault="0073677F" w14:paraId="0EF5CEB1" w14:textId="77777777">
      <w:pPr>
        <w:pStyle w:val="ParaNORMAL"/>
      </w:pPr>
      <w:r w:rsidRPr="00D52CB7">
        <w:t>The value of the West Valley City Campus at any given time will be directly affected by market and financial conditions that are not in the control of the parties involved in this transaction.  The West Valley City Campus is designed for use as an educational facility, and there is nothing associated with the West Valley City Campus that would suggest that its value would remain stable or would increase if the general values of property in the Charter School’s service areas were to decline.  The West Valley City Campus will also require ongoing capital repairs and improvements and, although the Charter School intends to maintain the West Valley City Campus in good condition, no assurance can be given that the Charter School will have sufficient revenue to maintain a regular capital improvements program for the West Valley City Campus in the future.  Potential purchasers of the Series 2025 Bonds should refer to a complete copy of the Appraisal for additional information.  Copies of the appraisal for the West Valley City Campus are available as described under “</w:t>
      </w:r>
      <w:r w:rsidRPr="00D52CB7">
        <w:rPr>
          <w:smallCaps/>
        </w:rPr>
        <w:t>Introduction</w:t>
      </w:r>
      <w:r w:rsidRPr="00D52CB7">
        <w:t>—Additional Information.”</w:t>
      </w:r>
    </w:p>
    <w:p w:rsidRPr="00D52CB7" w:rsidR="00743467" w:rsidP="0073677F" w:rsidRDefault="0073677F" w14:paraId="4EC354F6" w14:textId="7E6415C6">
      <w:pPr>
        <w:pStyle w:val="ParaNORMAL"/>
      </w:pPr>
      <w:r w:rsidRPr="00D52CB7">
        <w:t>No assurance can be given that the West Valley City Campus can be sold now or in the future at the amounts appraised or greater, and for the above</w:t>
      </w:r>
      <w:r w:rsidRPr="00D52CB7">
        <w:noBreakHyphen/>
        <w:t>described reasons and others, no assurance can be made that the amount realized upon any sale of the West Valley City Campus will be sufficient to pay and discharge the Charter School’s obligations under the Loan Agreement or to pay debt service on the Series 2025 Bonds in full when due.  In particular, there can be no representation that the cost of the West Valley City Campus constitutes a realizable amount upon any forced sale thereof.</w:t>
      </w:r>
      <w:r w:rsidRPr="00D52CB7" w:rsidR="00743467">
        <w:t xml:space="preserve"> </w:t>
      </w:r>
    </w:p>
    <w:p w:rsidRPr="00D52CB7" w:rsidR="00743467" w:rsidP="00743467" w:rsidRDefault="00743467" w14:paraId="369F41A7" w14:textId="77777777">
      <w:pPr>
        <w:pStyle w:val="TitleLeft"/>
      </w:pPr>
      <w:bookmarkStart w:name="_Toc22281456" w:id="101"/>
      <w:r w:rsidRPr="00D52CB7">
        <w:rPr>
          <w:szCs w:val="24"/>
        </w:rPr>
        <w:t>Maintenance of the Facilities</w:t>
      </w:r>
      <w:r w:rsidRPr="00D52CB7">
        <w:t xml:space="preserve"> </w:t>
      </w:r>
      <w:r w:rsidRPr="00D52CB7">
        <w:fldChar w:fldCharType="begin"/>
      </w:r>
      <w:r w:rsidRPr="00D52CB7">
        <w:instrText xml:space="preserve">tc " </w:instrText>
      </w:r>
      <w:bookmarkStart w:name="_Toc195093875" w:id="102"/>
      <w:r w:rsidRPr="00D52CB7">
        <w:rPr>
          <w:szCs w:val="24"/>
        </w:rPr>
        <w:instrText>Maintenance of the Facilities</w:instrText>
      </w:r>
      <w:bookmarkEnd w:id="102"/>
      <w:r w:rsidRPr="00D52CB7">
        <w:instrText xml:space="preserve"> " \f C \l 2</w:instrText>
      </w:r>
      <w:r w:rsidRPr="00D52CB7">
        <w:fldChar w:fldCharType="end"/>
      </w:r>
    </w:p>
    <w:bookmarkEnd w:id="101"/>
    <w:p w:rsidRPr="00D52CB7" w:rsidR="00743467" w:rsidP="00743467" w:rsidRDefault="00743467" w14:paraId="16A666CE" w14:textId="77777777">
      <w:pPr>
        <w:pStyle w:val="ParaNORMAL"/>
      </w:pPr>
      <w:r w:rsidRPr="00D52CB7">
        <w:t>The Facilities, like other such buildings, require ongoing capital repairs and improvements to maintain their value and, although the Charter School intends to maintain the Facilities in good condition, no assurance can be given that the Charter School will have sufficient revenue to be able to maintain a regular capital improvements program for the Facilities in the future.</w:t>
      </w:r>
    </w:p>
    <w:p w:rsidRPr="00D52CB7" w:rsidR="00743467" w:rsidP="00743467" w:rsidRDefault="00743467" w14:paraId="08C2BD16" w14:textId="77777777">
      <w:pPr>
        <w:pStyle w:val="TitleLeft"/>
      </w:pPr>
      <w:bookmarkStart w:name="_Toc22281457" w:id="103"/>
      <w:r w:rsidRPr="00D52CB7">
        <w:rPr>
          <w:szCs w:val="24"/>
        </w:rPr>
        <w:t xml:space="preserve">General Real-Estate-Related Risks </w:t>
      </w:r>
      <w:r w:rsidRPr="00D52CB7">
        <w:fldChar w:fldCharType="begin"/>
      </w:r>
      <w:r w:rsidRPr="00D52CB7">
        <w:instrText xml:space="preserve">tc " </w:instrText>
      </w:r>
      <w:bookmarkStart w:name="_Toc195093876" w:id="104"/>
      <w:r w:rsidRPr="00D52CB7">
        <w:rPr>
          <w:szCs w:val="24"/>
        </w:rPr>
        <w:instrText>General Real-Estate-Related Risks</w:instrText>
      </w:r>
      <w:bookmarkEnd w:id="104"/>
      <w:r w:rsidRPr="00D52CB7">
        <w:instrText>" \f C \l 2</w:instrText>
      </w:r>
      <w:r w:rsidRPr="00D52CB7">
        <w:fldChar w:fldCharType="end"/>
      </w:r>
    </w:p>
    <w:bookmarkEnd w:id="103"/>
    <w:p w:rsidRPr="00D52CB7" w:rsidR="00743467" w:rsidP="00743467" w:rsidRDefault="00743467" w14:paraId="31DCBD13" w14:textId="77777777">
      <w:pPr>
        <w:pStyle w:val="ParaNORMAL"/>
      </w:pPr>
      <w:r w:rsidRPr="00D52CB7">
        <w:t>There are many risks attending any investment in real estate not within the Charter School’s control, which may have a substantial impact on the profitability and financial feasibility of the Charter School.  Such risks include, but are not limited to, the specific-use character of the Facilities, possible adverse use of adjoining land, fire or other casualty, condemnation, changes in demand for the Facilities, decline in the neighborhood and local or general economic conditions, and changing governmental regulations.</w:t>
      </w:r>
    </w:p>
    <w:p w:rsidRPr="00D52CB7" w:rsidR="00743467" w:rsidP="00743467" w:rsidRDefault="00743467" w14:paraId="7C4E51B3" w14:textId="77777777">
      <w:pPr>
        <w:pStyle w:val="TitleLeft"/>
      </w:pPr>
      <w:r w:rsidRPr="00D52CB7">
        <w:rPr>
          <w:szCs w:val="24"/>
        </w:rPr>
        <w:lastRenderedPageBreak/>
        <w:t>Deed of Trust</w:t>
      </w:r>
      <w:r w:rsidRPr="00D52CB7">
        <w:t xml:space="preserve"> </w:t>
      </w:r>
      <w:r w:rsidRPr="00D52CB7">
        <w:fldChar w:fldCharType="begin"/>
      </w:r>
      <w:r w:rsidRPr="00D52CB7">
        <w:instrText xml:space="preserve">tc " </w:instrText>
      </w:r>
      <w:bookmarkStart w:name="_Toc195093877" w:id="105"/>
      <w:r w:rsidRPr="00D52CB7">
        <w:rPr>
          <w:szCs w:val="24"/>
        </w:rPr>
        <w:instrText>Deed of Trust</w:instrText>
      </w:r>
      <w:bookmarkEnd w:id="105"/>
      <w:r w:rsidRPr="00D52CB7">
        <w:instrText xml:space="preserve"> " \f C \l 2</w:instrText>
      </w:r>
      <w:r w:rsidRPr="00D52CB7">
        <w:fldChar w:fldCharType="end"/>
      </w:r>
    </w:p>
    <w:p w:rsidRPr="00D52CB7" w:rsidR="00743467" w:rsidP="00743467" w:rsidRDefault="00743467" w14:paraId="63A12B06" w14:textId="7CBF5B6B">
      <w:pPr>
        <w:pStyle w:val="ParaNORMAL"/>
      </w:pPr>
      <w:r w:rsidRPr="00D52CB7">
        <w:t xml:space="preserve">Security for the </w:t>
      </w:r>
      <w:r w:rsidRPr="00D52CB7" w:rsidR="00B935C1">
        <w:t xml:space="preserve">Series </w:t>
      </w:r>
      <w:r w:rsidRPr="00D52CB7" w:rsidR="00D50213">
        <w:t>2025</w:t>
      </w:r>
      <w:r w:rsidRPr="00D52CB7" w:rsidR="00B935C1">
        <w:t xml:space="preserve"> Bond</w:t>
      </w:r>
      <w:r w:rsidRPr="00D52CB7">
        <w:t xml:space="preserve">s includes a lien on the Facilities evidenced by the Deed of Trust in favor of the Trustee.  Attempts to exercise remedies under the Deed of Trust may be met with protracted litigation and/or bankruptcy proceedings, which proceedings may cause delays.  Thus, there can be no assurance that, upon the occurrence of an Event of Default, the Trustee will be able to obtain possession of the Facilities and generate revenue therefrom in a timely fashion.  Because of the special nature, location, regulatory restrictions and other factors relating to the Facilities, there can be no assurance that proceeds derived from the sale of the Facilities upon default and the exercise of remedies under the Deed of Trust would be sufficient to pay all amounts due in respect of the </w:t>
      </w:r>
      <w:r w:rsidRPr="00D52CB7" w:rsidR="00B935C1">
        <w:t xml:space="preserve">Series </w:t>
      </w:r>
      <w:r w:rsidRPr="00D52CB7" w:rsidR="00D50213">
        <w:t>2025</w:t>
      </w:r>
      <w:r w:rsidRPr="00D52CB7" w:rsidR="00B935C1">
        <w:t xml:space="preserve"> Bond</w:t>
      </w:r>
      <w:r w:rsidRPr="00D52CB7">
        <w:t>s.  Furthermore, the Facilities are subject to various Permitted Encumbrances as described in the Deed of Trust.</w:t>
      </w:r>
    </w:p>
    <w:p w:rsidRPr="00D52CB7" w:rsidR="00743467" w:rsidP="00743467" w:rsidRDefault="00743467" w14:paraId="38FC6DB5" w14:textId="77777777">
      <w:pPr>
        <w:pStyle w:val="TitleLeft"/>
      </w:pPr>
      <w:r w:rsidRPr="00D52CB7">
        <w:rPr>
          <w:szCs w:val="24"/>
        </w:rPr>
        <w:t>Foreclosure Delays and Deficiency</w:t>
      </w:r>
      <w:r w:rsidRPr="00D52CB7">
        <w:t xml:space="preserve"> </w:t>
      </w:r>
      <w:r w:rsidRPr="00D52CB7">
        <w:fldChar w:fldCharType="begin"/>
      </w:r>
      <w:r w:rsidRPr="00D52CB7">
        <w:instrText xml:space="preserve">tc " </w:instrText>
      </w:r>
      <w:bookmarkStart w:name="_Toc195093878" w:id="106"/>
      <w:r w:rsidRPr="00D52CB7">
        <w:rPr>
          <w:szCs w:val="24"/>
        </w:rPr>
        <w:instrText>Foreclosure Delays and Deficiency</w:instrText>
      </w:r>
      <w:bookmarkEnd w:id="106"/>
      <w:r w:rsidRPr="00D52CB7">
        <w:instrText xml:space="preserve"> " \f C \l 2</w:instrText>
      </w:r>
      <w:r w:rsidRPr="00D52CB7">
        <w:fldChar w:fldCharType="end"/>
      </w:r>
    </w:p>
    <w:p w:rsidRPr="00D52CB7" w:rsidR="00743467" w:rsidP="00743467" w:rsidRDefault="00743467" w14:paraId="47097B24" w14:textId="0B00BE8D">
      <w:pPr>
        <w:pStyle w:val="ParaNORMAL"/>
      </w:pPr>
      <w:r w:rsidRPr="00D52CB7">
        <w:t xml:space="preserve">Should Pledged Revenues be insufficient to pay the principal of and interest on the </w:t>
      </w:r>
      <w:r w:rsidRPr="00D52CB7" w:rsidR="00B935C1">
        <w:t xml:space="preserve">Series </w:t>
      </w:r>
      <w:r w:rsidRPr="00D52CB7" w:rsidR="00D50213">
        <w:t>2025</w:t>
      </w:r>
      <w:r w:rsidRPr="00D52CB7" w:rsidR="00B935C1">
        <w:t xml:space="preserve"> Bond</w:t>
      </w:r>
      <w:r w:rsidRPr="00D52CB7">
        <w:t xml:space="preserve">s, the Trustee may seek to foreclose on or sell the property securing the </w:t>
      </w:r>
      <w:r w:rsidRPr="00D52CB7" w:rsidR="00B935C1">
        <w:t xml:space="preserve">Series </w:t>
      </w:r>
      <w:r w:rsidRPr="00D52CB7" w:rsidR="00D50213">
        <w:t>2025</w:t>
      </w:r>
      <w:r w:rsidRPr="00D52CB7" w:rsidR="00B935C1">
        <w:t xml:space="preserve"> Bond</w:t>
      </w:r>
      <w:r w:rsidRPr="00D52CB7">
        <w:t xml:space="preserve">s.  However, no assurance can be given that the value of the Facilities at the time of such foreclosure or sale would be sufficient to meet all remaining principal and interest payments on the </w:t>
      </w:r>
      <w:r w:rsidRPr="00D52CB7" w:rsidR="00B935C1">
        <w:t xml:space="preserve">Series </w:t>
      </w:r>
      <w:r w:rsidRPr="00D52CB7" w:rsidR="00D50213">
        <w:t>2025</w:t>
      </w:r>
      <w:r w:rsidRPr="00D52CB7" w:rsidR="00B935C1">
        <w:t xml:space="preserve"> Bond</w:t>
      </w:r>
      <w:r w:rsidRPr="00D52CB7">
        <w:t>s.  In addition, the time necessary to institute and complete such proceedings could substantially delay receipt of funds from a foreclosure or sale.  There could also be delays in regaining possession of the Facilities from the Charter School in the event of any default or dispute under the Loan Agreement.  Further, the Facilities owned by the Charter School are composed of special</w:t>
      </w:r>
      <w:r w:rsidRPr="00D52CB7">
        <w:noBreakHyphen/>
        <w:t>purpose facilities which are not suitable for industrial or commercial use; consequently, it may be difficult to find a buyer or lessee for such facilities if it were necessary for the Charter School to raise funds by selling any of its assets in order to repay its indebtedness.</w:t>
      </w:r>
    </w:p>
    <w:p w:rsidRPr="00D52CB7" w:rsidR="002E37D0" w:rsidP="002E37D0" w:rsidRDefault="002E37D0" w14:paraId="4CE71E38" w14:textId="77777777">
      <w:pPr>
        <w:pStyle w:val="TitleLeft"/>
        <w:rPr>
          <w:szCs w:val="24"/>
        </w:rPr>
      </w:pPr>
      <w:r w:rsidRPr="00D52CB7">
        <w:rPr>
          <w:szCs w:val="24"/>
        </w:rPr>
        <w:t>CSCE Program; Debt Service Reserve Subaccount; Risk of Non</w:t>
      </w:r>
      <w:r w:rsidRPr="00D52CB7">
        <w:rPr>
          <w:szCs w:val="24"/>
        </w:rPr>
        <w:noBreakHyphen/>
        <w:t xml:space="preserve">Appropriation </w:t>
      </w:r>
      <w:r w:rsidRPr="00D52CB7">
        <w:rPr>
          <w:szCs w:val="24"/>
        </w:rPr>
        <w:fldChar w:fldCharType="begin"/>
      </w:r>
      <w:r w:rsidRPr="00D52CB7">
        <w:rPr>
          <w:szCs w:val="24"/>
        </w:rPr>
        <w:instrText xml:space="preserve"> TC "</w:instrText>
      </w:r>
      <w:bookmarkStart w:name="_Toc463342421" w:id="107"/>
      <w:bookmarkStart w:name="_Toc195093879" w:id="108"/>
      <w:r w:rsidRPr="00D52CB7">
        <w:rPr>
          <w:szCs w:val="24"/>
        </w:rPr>
        <w:instrText>CSCE Program; Debt Service Reserve Fund; Risk of Non</w:instrText>
      </w:r>
      <w:r w:rsidRPr="00D52CB7">
        <w:rPr>
          <w:szCs w:val="24"/>
        </w:rPr>
        <w:noBreakHyphen/>
        <w:instrText>Appropriation</w:instrText>
      </w:r>
      <w:bookmarkEnd w:id="107"/>
      <w:bookmarkEnd w:id="108"/>
      <w:r w:rsidRPr="00D52CB7">
        <w:rPr>
          <w:szCs w:val="24"/>
        </w:rPr>
        <w:instrText xml:space="preserve"> " \f C \l "2" </w:instrText>
      </w:r>
      <w:r w:rsidRPr="00D52CB7">
        <w:rPr>
          <w:szCs w:val="24"/>
        </w:rPr>
        <w:fldChar w:fldCharType="end"/>
      </w:r>
    </w:p>
    <w:p w:rsidRPr="00D52CB7" w:rsidR="002E37D0" w:rsidP="002E37D0" w:rsidRDefault="002E37D0" w14:paraId="597F2EAC" w14:textId="289DAA7F">
      <w:pPr>
        <w:pStyle w:val="ParaNORMAL"/>
      </w:pPr>
      <w:r w:rsidRPr="00D52CB7">
        <w:t xml:space="preserve">Under the Indenture, the Trustee has established a Debt Service Reserve Subaccount for the </w:t>
      </w:r>
      <w:r w:rsidRPr="00D52CB7" w:rsidR="00B935C1">
        <w:t xml:space="preserve">Series </w:t>
      </w:r>
      <w:r w:rsidRPr="00D52CB7" w:rsidR="00D50213">
        <w:t>2025</w:t>
      </w:r>
      <w:r w:rsidRPr="00D52CB7" w:rsidR="00B935C1">
        <w:t xml:space="preserve"> Bond</w:t>
      </w:r>
      <w:r w:rsidRPr="00D52CB7">
        <w:t xml:space="preserve">s which may be used for payment of principal and interest due with respect to the </w:t>
      </w:r>
      <w:r w:rsidRPr="00D52CB7" w:rsidR="00B935C1">
        <w:t xml:space="preserve">Series </w:t>
      </w:r>
      <w:r w:rsidRPr="00D52CB7" w:rsidR="00D50213">
        <w:t>2025</w:t>
      </w:r>
      <w:r w:rsidRPr="00D52CB7" w:rsidR="00B935C1">
        <w:t xml:space="preserve"> Bond</w:t>
      </w:r>
      <w:r w:rsidRPr="00D52CB7">
        <w:t xml:space="preserve">s to the extent Pledged Revenues are insufficient to pay debt service on the </w:t>
      </w:r>
      <w:r w:rsidRPr="00D52CB7" w:rsidR="00B935C1">
        <w:t xml:space="preserve">Series </w:t>
      </w:r>
      <w:r w:rsidRPr="00D52CB7" w:rsidR="00D50213">
        <w:t>2025</w:t>
      </w:r>
      <w:r w:rsidRPr="00D52CB7" w:rsidR="00B935C1">
        <w:t xml:space="preserve"> Bond</w:t>
      </w:r>
      <w:r w:rsidRPr="00D52CB7">
        <w:t xml:space="preserve">s.  Although the Charter Schools believes such reserve to be reasonable, and anticipates that Pledged Revenues will be sufficient to cover the debt service on the </w:t>
      </w:r>
      <w:r w:rsidRPr="00D52CB7" w:rsidR="00B935C1">
        <w:t xml:space="preserve">Series </w:t>
      </w:r>
      <w:r w:rsidRPr="00D52CB7" w:rsidR="00D50213">
        <w:t>2025</w:t>
      </w:r>
      <w:r w:rsidRPr="00D52CB7" w:rsidR="00B935C1">
        <w:t xml:space="preserve"> Bond</w:t>
      </w:r>
      <w:r w:rsidRPr="00D52CB7">
        <w:t xml:space="preserve">s, there is no assurance that funds reserved and future Pledged Revenues will be sufficient to cover debt service on the </w:t>
      </w:r>
      <w:r w:rsidRPr="00D52CB7" w:rsidR="00B935C1">
        <w:t xml:space="preserve">Series </w:t>
      </w:r>
      <w:r w:rsidRPr="00D52CB7" w:rsidR="00D50213">
        <w:t>2025</w:t>
      </w:r>
      <w:r w:rsidRPr="00D52CB7" w:rsidR="00B935C1">
        <w:t xml:space="preserve"> Bond</w:t>
      </w:r>
      <w:r w:rsidRPr="00D52CB7">
        <w:t xml:space="preserve">s.  </w:t>
      </w:r>
    </w:p>
    <w:p w:rsidRPr="00D52CB7" w:rsidR="002E37D0" w:rsidP="002E37D0" w:rsidRDefault="002E37D0" w14:paraId="7F2E5EA3" w14:textId="50C66ACE">
      <w:pPr>
        <w:pStyle w:val="ParaNORMAL"/>
      </w:pPr>
      <w:r w:rsidRPr="00D52CB7">
        <w:t xml:space="preserve">The Charter School has been designated a “qualifying charter school” by the Issuer pursuant to the </w:t>
      </w:r>
      <w:r w:rsidRPr="00D52CB7" w:rsidR="008C2C55">
        <w:t xml:space="preserve">Charter School </w:t>
      </w:r>
      <w:r w:rsidRPr="00D52CB7">
        <w:t xml:space="preserve">Act and the guidelines of the Issuer promulgated thereunder, and accordingly, the </w:t>
      </w:r>
      <w:r w:rsidRPr="00D52CB7" w:rsidR="00B935C1">
        <w:t xml:space="preserve">Series </w:t>
      </w:r>
      <w:r w:rsidRPr="00D52CB7" w:rsidR="00D50213">
        <w:t>2025</w:t>
      </w:r>
      <w:r w:rsidRPr="00D52CB7" w:rsidR="00B935C1">
        <w:t xml:space="preserve"> Bond</w:t>
      </w:r>
      <w:r w:rsidRPr="00D52CB7">
        <w:t xml:space="preserve">s are to be issued under the CSCE Program.  Pursuant to the CSCE Program, the State Legislature may, but is not required to, appropriate moneys, including from amounts on deposit in the Charter School Reserve Account created pursuant to the </w:t>
      </w:r>
      <w:r w:rsidRPr="00D52CB7" w:rsidR="008C2C55">
        <w:t xml:space="preserve">Charter School </w:t>
      </w:r>
      <w:r w:rsidRPr="00D52CB7">
        <w:t xml:space="preserve">Act to restore amounts on deposit in any such debt service reserve fund, including the Debt Service Reserve Subaccount for the </w:t>
      </w:r>
      <w:r w:rsidRPr="00D52CB7" w:rsidR="00B935C1">
        <w:t xml:space="preserve">Series </w:t>
      </w:r>
      <w:r w:rsidRPr="00D52CB7" w:rsidR="00D50213">
        <w:t>2025</w:t>
      </w:r>
      <w:r w:rsidRPr="00D52CB7" w:rsidR="00B935C1">
        <w:t xml:space="preserve"> Bond</w:t>
      </w:r>
      <w:r w:rsidRPr="00D52CB7">
        <w:t xml:space="preserve">s, to the respective debt service reserve requirement.  </w:t>
      </w:r>
    </w:p>
    <w:p w:rsidRPr="00D52CB7" w:rsidR="002E37D0" w:rsidP="002E37D0" w:rsidRDefault="002E37D0" w14:paraId="30F19178" w14:textId="3CCA3279">
      <w:pPr>
        <w:pStyle w:val="ParaNORMAL"/>
        <w:rPr>
          <w:szCs w:val="24"/>
        </w:rPr>
      </w:pPr>
      <w:r w:rsidRPr="00D52CB7">
        <w:rPr>
          <w:szCs w:val="24"/>
        </w:rPr>
        <w:lastRenderedPageBreak/>
        <w:t>An event of Non</w:t>
      </w:r>
      <w:r w:rsidRPr="00D52CB7">
        <w:rPr>
          <w:szCs w:val="24"/>
        </w:rPr>
        <w:noBreakHyphen/>
        <w:t>Appropriation by the State would cause a delay, reduction or termination of amounts received by the Issuer under the CSCE Program.  For additional information regarding the CSCE Program, see “</w:t>
      </w:r>
      <w:r w:rsidRPr="00D52CB7">
        <w:rPr>
          <w:smallCaps/>
          <w:szCs w:val="24"/>
        </w:rPr>
        <w:t xml:space="preserve">Security for the </w:t>
      </w:r>
      <w:r w:rsidRPr="00D52CB7" w:rsidR="00B935C1">
        <w:rPr>
          <w:smallCaps/>
          <w:szCs w:val="24"/>
        </w:rPr>
        <w:t xml:space="preserve">Series </w:t>
      </w:r>
      <w:r w:rsidRPr="00D52CB7" w:rsidR="00D50213">
        <w:rPr>
          <w:smallCaps/>
          <w:szCs w:val="24"/>
        </w:rPr>
        <w:t>2025</w:t>
      </w:r>
      <w:r w:rsidRPr="00D52CB7" w:rsidR="00B935C1">
        <w:rPr>
          <w:smallCaps/>
          <w:szCs w:val="24"/>
        </w:rPr>
        <w:t xml:space="preserve"> Bond</w:t>
      </w:r>
      <w:r w:rsidRPr="00D52CB7">
        <w:rPr>
          <w:smallCaps/>
          <w:szCs w:val="24"/>
        </w:rPr>
        <w:t>s</w:t>
      </w:r>
      <w:r w:rsidRPr="00D52CB7">
        <w:rPr>
          <w:szCs w:val="24"/>
        </w:rPr>
        <w:t xml:space="preserve">—Charter School Credit Enhancement Program.”  Such an event of Non-Appropriation could result in an inability to pay debt service on the </w:t>
      </w:r>
      <w:r w:rsidRPr="00D52CB7" w:rsidR="00B935C1">
        <w:rPr>
          <w:szCs w:val="24"/>
        </w:rPr>
        <w:t xml:space="preserve">Series </w:t>
      </w:r>
      <w:r w:rsidRPr="00D52CB7" w:rsidR="00D50213">
        <w:rPr>
          <w:szCs w:val="24"/>
        </w:rPr>
        <w:t>2025</w:t>
      </w:r>
      <w:r w:rsidRPr="00D52CB7" w:rsidR="00B935C1">
        <w:rPr>
          <w:szCs w:val="24"/>
        </w:rPr>
        <w:t xml:space="preserve"> Bond</w:t>
      </w:r>
      <w:r w:rsidRPr="00D52CB7">
        <w:rPr>
          <w:szCs w:val="24"/>
        </w:rPr>
        <w:t>s.</w:t>
      </w:r>
    </w:p>
    <w:p w:rsidRPr="00D52CB7" w:rsidR="002E37D0" w:rsidP="002E37D0" w:rsidRDefault="002E37D0" w14:paraId="3E6684FB" w14:textId="77777777">
      <w:pPr>
        <w:pStyle w:val="ParaNORMAL"/>
        <w:rPr>
          <w:szCs w:val="24"/>
        </w:rPr>
      </w:pPr>
      <w:r w:rsidRPr="00D52CB7">
        <w:rPr>
          <w:szCs w:val="24"/>
        </w:rPr>
        <w:t>As defined in the Indenture, “Non</w:t>
      </w:r>
      <w:r w:rsidRPr="00D52CB7">
        <w:rPr>
          <w:szCs w:val="24"/>
        </w:rPr>
        <w:noBreakHyphen/>
        <w:t>Appropriation” means (i) the Issuer does not timely certify to the Governor of the State the amount, if any, required to restore amounts on deposit in the Debt Service Reserve Account to the Debt Service Reserve Requirement, (ii) the Governor does not timely request from the State Legislature an appropriation at least equal to the certified amount, or (iii) the State Legislature does not appropriate money to the Issuer under the CSCE Program to restore amounts on deposit in the Debt Service Reserve Account to the Debt Service Reserve Requirement.</w:t>
      </w:r>
    </w:p>
    <w:p w:rsidRPr="00D52CB7" w:rsidR="002E37D0" w:rsidP="002E37D0" w:rsidRDefault="002E37D0" w14:paraId="7E086998" w14:textId="23695750">
      <w:pPr>
        <w:pStyle w:val="ParaNORMAL"/>
        <w:rPr>
          <w:szCs w:val="24"/>
        </w:rPr>
      </w:pPr>
      <w:r w:rsidRPr="00D52CB7">
        <w:rPr>
          <w:szCs w:val="24"/>
        </w:rPr>
        <w:t xml:space="preserve">Additionally, </w:t>
      </w:r>
      <w:r w:rsidRPr="00D52CB7" w:rsidR="00010D03">
        <w:t>i</w:t>
      </w:r>
      <w:r w:rsidRPr="00D52CB7">
        <w:t xml:space="preserve">f there has been an appropriation under the CSCE Program with respect to the </w:t>
      </w:r>
      <w:r w:rsidRPr="00D52CB7" w:rsidR="00B935C1">
        <w:t xml:space="preserve">Series </w:t>
      </w:r>
      <w:r w:rsidRPr="00D52CB7" w:rsidR="00D50213">
        <w:t>2025</w:t>
      </w:r>
      <w:r w:rsidRPr="00D52CB7" w:rsidR="00B935C1">
        <w:t xml:space="preserve"> Bond</w:t>
      </w:r>
      <w:r w:rsidRPr="00D52CB7">
        <w:t xml:space="preserve">s that has not been reimbursed by the Borrower, the Issuer will be deemed to be the sole Owner of all </w:t>
      </w:r>
      <w:r w:rsidRPr="00D52CB7" w:rsidR="00B935C1">
        <w:t xml:space="preserve">Series </w:t>
      </w:r>
      <w:r w:rsidRPr="00D52CB7" w:rsidR="00D50213">
        <w:t>2025</w:t>
      </w:r>
      <w:r w:rsidRPr="00D52CB7" w:rsidR="00B935C1">
        <w:t xml:space="preserve"> Bond</w:t>
      </w:r>
      <w:r w:rsidRPr="00D52CB7">
        <w:t>s for the purpose of exercising any voting right or privilege, giving any consent or direction or taking any other action that the Owners of the Bonds are entitled to take pursuant to the Loan Agreement, the Deed of Trust</w:t>
      </w:r>
      <w:r w:rsidRPr="00D52CB7" w:rsidR="00DD266B">
        <w:t>,</w:t>
      </w:r>
      <w:r w:rsidRPr="00D52CB7">
        <w:t xml:space="preserve"> and any other document related thereto.  This may substantially decrease Bondholders’ ability to control proceedings and remedies in the event the Charter School defaults on its obligations under the Loan Agreement.</w:t>
      </w:r>
    </w:p>
    <w:p w:rsidRPr="00D52CB7" w:rsidR="00743467" w:rsidP="00743467" w:rsidRDefault="00743467" w14:paraId="3D78D24C" w14:textId="688E1F1E">
      <w:pPr>
        <w:pStyle w:val="TitleLeft"/>
        <w:rPr>
          <w:szCs w:val="24"/>
        </w:rPr>
      </w:pPr>
      <w:r w:rsidRPr="00D52CB7">
        <w:rPr>
          <w:szCs w:val="24"/>
        </w:rPr>
        <w:t xml:space="preserve">Construction Costs; Completion of the </w:t>
      </w:r>
      <w:r w:rsidRPr="00D52CB7" w:rsidR="00D5228E">
        <w:rPr>
          <w:szCs w:val="24"/>
        </w:rPr>
        <w:t>Series 2025 Project</w:t>
      </w:r>
      <w:r w:rsidRPr="00D52CB7">
        <w:rPr>
          <w:szCs w:val="24"/>
        </w:rPr>
        <w:t xml:space="preserve"> </w:t>
      </w:r>
      <w:r w:rsidRPr="00D52CB7">
        <w:rPr>
          <w:szCs w:val="24"/>
        </w:rPr>
        <w:fldChar w:fldCharType="begin"/>
      </w:r>
      <w:r w:rsidRPr="00D52CB7">
        <w:rPr>
          <w:szCs w:val="24"/>
        </w:rPr>
        <w:instrText xml:space="preserve"> TC " </w:instrText>
      </w:r>
      <w:bookmarkStart w:name="_Toc195093880" w:id="109"/>
      <w:r w:rsidRPr="00D52CB7">
        <w:rPr>
          <w:szCs w:val="24"/>
        </w:rPr>
        <w:instrText xml:space="preserve">Construction Costs; Completion of the </w:instrText>
      </w:r>
      <w:r w:rsidRPr="00D52CB7" w:rsidR="00D5228E">
        <w:rPr>
          <w:szCs w:val="24"/>
        </w:rPr>
        <w:instrText>Series 2025 Project</w:instrText>
      </w:r>
      <w:bookmarkEnd w:id="109"/>
      <w:r w:rsidRPr="00D52CB7">
        <w:rPr>
          <w:szCs w:val="24"/>
        </w:rPr>
        <w:instrText xml:space="preserve"> " \f C \l "2" </w:instrText>
      </w:r>
      <w:r w:rsidRPr="00D52CB7">
        <w:rPr>
          <w:szCs w:val="24"/>
        </w:rPr>
        <w:fldChar w:fldCharType="end"/>
      </w:r>
    </w:p>
    <w:p w:rsidRPr="00D52CB7" w:rsidR="00743467" w:rsidP="00743467" w:rsidRDefault="00743467" w14:paraId="5F287E01" w14:textId="0653B1DA">
      <w:pPr>
        <w:pStyle w:val="ParaNORMAL"/>
        <w:rPr>
          <w:rFonts w:eastAsia="Calibri"/>
        </w:rPr>
      </w:pPr>
      <w:r w:rsidRPr="00D52CB7">
        <w:rPr>
          <w:rFonts w:eastAsia="Calibri"/>
        </w:rPr>
        <w:t xml:space="preserve">A portion of the proceeds of the </w:t>
      </w:r>
      <w:r w:rsidRPr="00D52CB7" w:rsidR="00B935C1">
        <w:rPr>
          <w:rFonts w:eastAsia="Calibri"/>
        </w:rPr>
        <w:t xml:space="preserve">Series </w:t>
      </w:r>
      <w:r w:rsidRPr="00D52CB7" w:rsidR="00D50213">
        <w:rPr>
          <w:rFonts w:eastAsia="Calibri"/>
        </w:rPr>
        <w:t>2025</w:t>
      </w:r>
      <w:r w:rsidRPr="00D52CB7" w:rsidR="00B935C1">
        <w:rPr>
          <w:rFonts w:eastAsia="Calibri"/>
        </w:rPr>
        <w:t xml:space="preserve"> Bond</w:t>
      </w:r>
      <w:r w:rsidRPr="00D52CB7">
        <w:rPr>
          <w:rFonts w:eastAsia="Calibri"/>
        </w:rPr>
        <w:t xml:space="preserve">s will be used to finance the costs of constructing the </w:t>
      </w:r>
      <w:r w:rsidRPr="00D52CB7" w:rsidR="00D5228E">
        <w:rPr>
          <w:rFonts w:eastAsia="Calibri"/>
        </w:rPr>
        <w:t xml:space="preserve">Series </w:t>
      </w:r>
      <w:r w:rsidRPr="00D52CB7" w:rsidR="00D50213">
        <w:rPr>
          <w:rFonts w:eastAsia="Calibri"/>
        </w:rPr>
        <w:t>2025</w:t>
      </w:r>
      <w:r w:rsidRPr="00D52CB7">
        <w:rPr>
          <w:rFonts w:eastAsia="Calibri"/>
        </w:rPr>
        <w:t xml:space="preserve"> Project.  </w:t>
      </w:r>
      <w:r w:rsidRPr="00D52CB7">
        <w:t xml:space="preserve">Construction of the </w:t>
      </w:r>
      <w:r w:rsidRPr="00D52CB7" w:rsidR="00D5228E">
        <w:t xml:space="preserve">Series </w:t>
      </w:r>
      <w:r w:rsidRPr="00D52CB7" w:rsidR="00D50213">
        <w:t>2025</w:t>
      </w:r>
      <w:r w:rsidRPr="00D52CB7">
        <w:t xml:space="preserve"> Project is generally subject to all typical construction related risks.  Such risks include, among others, labor disputes, defective building materials, schedule delays, unavailability or delays in obtaining permits or inspection approvals, shortages in various labor trades or materials, work stoppages, bad weather, unforeseen engineering, environmental or geological problems, unidentified hazardous materials, unidentified utilities, third-party litigation, unanticipated cost overruns, fire or other property or casualty damage, unanticipated subsoil conditions and financial difficulties on the part of or disputes with a construction manager, key suppliers, contractors or subcontractors.  There can be no assurance that construction problems or delays of the types described above, or other problems, will not frustrate the planned completion of any part of the construction of the </w:t>
      </w:r>
      <w:r w:rsidRPr="00D52CB7" w:rsidR="00D5228E">
        <w:t xml:space="preserve">Series </w:t>
      </w:r>
      <w:r w:rsidRPr="00D52CB7" w:rsidR="00D50213">
        <w:t>2025</w:t>
      </w:r>
      <w:r w:rsidRPr="00D52CB7">
        <w:t xml:space="preserve"> Project.  </w:t>
      </w:r>
    </w:p>
    <w:p w:rsidRPr="00D52CB7" w:rsidR="0073417C" w:rsidP="0073417C" w:rsidRDefault="0073417C" w14:paraId="7FEF7EE8" w14:textId="1BEF2D1F">
      <w:pPr>
        <w:pStyle w:val="ParaNORMAL"/>
        <w:rPr>
          <w:rFonts w:eastAsia="Calibri"/>
        </w:rPr>
      </w:pPr>
      <w:r w:rsidRPr="00D52CB7">
        <w:rPr>
          <w:rFonts w:eastAsia="Calibri"/>
        </w:rPr>
        <w:t xml:space="preserve">The Charter has entered into a construction contract (the </w:t>
      </w:r>
      <w:r w:rsidRPr="00D52CB7">
        <w:rPr>
          <w:rFonts w:eastAsia="Calibri"/>
          <w:i/>
          <w:iCs/>
        </w:rPr>
        <w:t>“Construction Contract”</w:t>
      </w:r>
      <w:r w:rsidRPr="00D52CB7">
        <w:rPr>
          <w:rFonts w:eastAsia="Calibri"/>
        </w:rPr>
        <w:t xml:space="preserve">) relating to the construction of the </w:t>
      </w:r>
      <w:r w:rsidRPr="00D52CB7" w:rsidR="00D5228E">
        <w:rPr>
          <w:rFonts w:eastAsia="Calibri"/>
        </w:rPr>
        <w:t>Series 2025 Project</w:t>
      </w:r>
      <w:r w:rsidRPr="00D52CB7">
        <w:rPr>
          <w:rFonts w:eastAsia="Calibri"/>
        </w:rPr>
        <w:t xml:space="preserve"> with a “guaranteed maximum price” not to exceed $</w:t>
      </w:r>
      <w:r w:rsidRPr="00D52CB7" w:rsidR="00D5228E">
        <w:rPr>
          <w:rFonts w:eastAsia="Calibri"/>
        </w:rPr>
        <w:t>_______</w:t>
      </w:r>
      <w:r w:rsidRPr="00D52CB7">
        <w:rPr>
          <w:rFonts w:eastAsia="Calibri"/>
        </w:rPr>
        <w:t xml:space="preserve">, representing the maximum cost to the Charter School for completion of </w:t>
      </w:r>
      <w:r w:rsidRPr="00D52CB7" w:rsidR="00D5228E">
        <w:rPr>
          <w:rFonts w:eastAsia="Calibri"/>
        </w:rPr>
        <w:t>the Series 2025 Project</w:t>
      </w:r>
      <w:r w:rsidRPr="00D52CB7">
        <w:rPr>
          <w:rFonts w:eastAsia="Calibri"/>
        </w:rPr>
        <w:t>, subject to</w:t>
      </w:r>
      <w:r w:rsidRPr="00D52CB7" w:rsidR="00433448">
        <w:rPr>
          <w:rFonts w:eastAsia="Calibri"/>
        </w:rPr>
        <w:t xml:space="preserve"> certain w</w:t>
      </w:r>
      <w:r w:rsidRPr="00D52CB7" w:rsidR="00C65956">
        <w:rPr>
          <w:rFonts w:eastAsia="Calibri"/>
        </w:rPr>
        <w:t xml:space="preserve">eather-related cost adjustments and </w:t>
      </w:r>
      <w:r w:rsidRPr="00D52CB7">
        <w:rPr>
          <w:rFonts w:eastAsia="Calibri"/>
        </w:rPr>
        <w:t xml:space="preserve">adjustments to such guaranteed maximum price </w:t>
      </w:r>
      <w:r w:rsidRPr="00D52CB7" w:rsidR="00AA4D0C">
        <w:rPr>
          <w:rFonts w:eastAsia="Calibri"/>
        </w:rPr>
        <w:t xml:space="preserve">relating to </w:t>
      </w:r>
      <w:r w:rsidRPr="00D52CB7">
        <w:rPr>
          <w:rFonts w:eastAsia="Calibri"/>
        </w:rPr>
        <w:t xml:space="preserve">changes to </w:t>
      </w:r>
      <w:r w:rsidRPr="00D52CB7" w:rsidR="00D5228E">
        <w:rPr>
          <w:rFonts w:eastAsia="Calibri"/>
        </w:rPr>
        <w:t>the Series 2025 Project</w:t>
      </w:r>
      <w:r w:rsidRPr="00D52CB7">
        <w:rPr>
          <w:rFonts w:eastAsia="Calibri"/>
        </w:rPr>
        <w:t xml:space="preserve"> directed by the Charter School.  </w:t>
      </w:r>
    </w:p>
    <w:p w:rsidRPr="00D52CB7" w:rsidR="00743467" w:rsidP="00743467" w:rsidRDefault="00743467" w14:paraId="7FCBAEF1" w14:textId="7973A7F6">
      <w:pPr>
        <w:pStyle w:val="ParaNORMAL"/>
        <w:rPr>
          <w:rFonts w:eastAsia="Calibri"/>
        </w:rPr>
      </w:pPr>
      <w:r w:rsidRPr="00D52CB7">
        <w:rPr>
          <w:rFonts w:eastAsia="Calibri"/>
        </w:rPr>
        <w:t xml:space="preserve">No assurance can be given that </w:t>
      </w:r>
      <w:r w:rsidRPr="00D52CB7" w:rsidR="00D5228E">
        <w:rPr>
          <w:rFonts w:eastAsia="Calibri"/>
        </w:rPr>
        <w:t>the Series 2025 Project</w:t>
      </w:r>
      <w:r w:rsidRPr="00D52CB7">
        <w:rPr>
          <w:rFonts w:eastAsia="Calibri"/>
        </w:rPr>
        <w:t xml:space="preserve"> will be completed on time or for the amount deposited into the Project Fund for such purpose.  Construction delays could interrupt the Charter School’s occupancy of the school facilities or adversely impact the amount of Pledged Revenues projected to be available to pay principal of and interest on the </w:t>
      </w:r>
      <w:r w:rsidRPr="00D52CB7" w:rsidR="00B935C1">
        <w:rPr>
          <w:rFonts w:eastAsia="Calibri"/>
        </w:rPr>
        <w:t xml:space="preserve">Series </w:t>
      </w:r>
      <w:r w:rsidRPr="00D52CB7" w:rsidR="00D50213">
        <w:rPr>
          <w:rFonts w:eastAsia="Calibri"/>
        </w:rPr>
        <w:t>2025</w:t>
      </w:r>
      <w:r w:rsidRPr="00D52CB7" w:rsidR="00B935C1">
        <w:rPr>
          <w:rFonts w:eastAsia="Calibri"/>
        </w:rPr>
        <w:t xml:space="preserve"> Bond</w:t>
      </w:r>
      <w:r w:rsidRPr="00D52CB7">
        <w:rPr>
          <w:rFonts w:eastAsia="Calibri"/>
        </w:rPr>
        <w:t>s.</w:t>
      </w:r>
    </w:p>
    <w:p w:rsidRPr="00D52CB7" w:rsidR="00743467" w:rsidP="00743467" w:rsidRDefault="00743467" w14:paraId="44033F4C" w14:textId="77777777">
      <w:pPr>
        <w:pStyle w:val="TitleLeft"/>
      </w:pPr>
      <w:bookmarkStart w:name="_Toc22281461" w:id="110"/>
      <w:r w:rsidRPr="00D52CB7">
        <w:rPr>
          <w:szCs w:val="24"/>
        </w:rPr>
        <w:lastRenderedPageBreak/>
        <w:t>Damage or Destruction</w:t>
      </w:r>
      <w:r w:rsidRPr="00D52CB7">
        <w:t xml:space="preserve"> </w:t>
      </w:r>
      <w:r w:rsidRPr="00D52CB7">
        <w:fldChar w:fldCharType="begin"/>
      </w:r>
      <w:r w:rsidRPr="00D52CB7">
        <w:instrText xml:space="preserve"> TC "</w:instrText>
      </w:r>
      <w:r w:rsidRPr="00D52CB7">
        <w:rPr>
          <w:szCs w:val="24"/>
        </w:rPr>
        <w:instrText xml:space="preserve"> </w:instrText>
      </w:r>
      <w:bookmarkStart w:name="_Toc195093881" w:id="111"/>
      <w:r w:rsidRPr="00D52CB7">
        <w:rPr>
          <w:szCs w:val="24"/>
        </w:rPr>
        <w:instrText>Damage or Destruction</w:instrText>
      </w:r>
      <w:bookmarkEnd w:id="111"/>
      <w:r w:rsidRPr="00D52CB7">
        <w:instrText xml:space="preserve"> " \f C \l "2" </w:instrText>
      </w:r>
      <w:r w:rsidRPr="00D52CB7">
        <w:fldChar w:fldCharType="end"/>
      </w:r>
    </w:p>
    <w:bookmarkEnd w:id="110"/>
    <w:p w:rsidRPr="00D52CB7" w:rsidR="00743467" w:rsidP="00743467" w:rsidRDefault="00743467" w14:paraId="4BA0283E" w14:textId="77777777">
      <w:pPr>
        <w:pStyle w:val="ParaNORMAL"/>
      </w:pPr>
      <w:r w:rsidRPr="00D52CB7">
        <w:t xml:space="preserve">The Loan Agreement requires that the Facilities be insured against certain risks.  There can be no assurance that the amount of insurance required to be obtained with respect to the Facilities will be adequate or that the cause of any damage or destruction to the Facilities will be as a result of a risk which is insured.  Further, there can be no assurance of the ongoing creditworthiness of the insurance companies from which the Charter School obtains insurance policies or the interest of the state to allow charter schools such as the Charter School to continue to participate in the property and casualty pool of the State.  </w:t>
      </w:r>
    </w:p>
    <w:p w:rsidRPr="00D52CB7" w:rsidR="00743467" w:rsidP="00743467" w:rsidRDefault="00743467" w14:paraId="5A349FFF" w14:textId="77777777">
      <w:pPr>
        <w:pStyle w:val="ParaNORMAL"/>
      </w:pPr>
      <w:r w:rsidRPr="00D52CB7">
        <w:t>The Charter School believes that the risks associated with its properties and its operations are adequately provided for through the insurance policies it maintains.  The Charter School will provide property insurance on the Facilities through a standard commercial insurance policy or the State property and casualty pool for governmental entities, including charter schools, as currently contemplated.</w:t>
      </w:r>
    </w:p>
    <w:p w:rsidRPr="00D52CB7" w:rsidR="00743467" w:rsidP="00743467" w:rsidRDefault="00743467" w14:paraId="2FEAF2CC" w14:textId="77777777">
      <w:pPr>
        <w:pStyle w:val="TitleLeft"/>
      </w:pPr>
      <w:r w:rsidRPr="00D52CB7">
        <w:rPr>
          <w:szCs w:val="24"/>
        </w:rPr>
        <w:t>Environmental Regulations</w:t>
      </w:r>
      <w:r w:rsidRPr="00D52CB7">
        <w:t xml:space="preserve"> </w:t>
      </w:r>
      <w:r w:rsidRPr="00D52CB7">
        <w:fldChar w:fldCharType="begin"/>
      </w:r>
      <w:r w:rsidRPr="00D52CB7">
        <w:instrText xml:space="preserve"> TC "</w:instrText>
      </w:r>
      <w:r w:rsidRPr="00D52CB7">
        <w:rPr>
          <w:szCs w:val="24"/>
        </w:rPr>
        <w:instrText xml:space="preserve"> </w:instrText>
      </w:r>
      <w:bookmarkStart w:name="_Toc195093882" w:id="112"/>
      <w:r w:rsidRPr="00D52CB7">
        <w:rPr>
          <w:szCs w:val="24"/>
        </w:rPr>
        <w:instrText>Environmental Regulations</w:instrText>
      </w:r>
      <w:bookmarkEnd w:id="112"/>
      <w:r w:rsidRPr="00D52CB7">
        <w:instrText xml:space="preserve"> " \f C \l "2" </w:instrText>
      </w:r>
      <w:r w:rsidRPr="00D52CB7">
        <w:fldChar w:fldCharType="end"/>
      </w:r>
    </w:p>
    <w:p w:rsidRPr="00D52CB7" w:rsidR="009528B9" w:rsidP="009528B9" w:rsidRDefault="009528B9" w14:paraId="095DAEC6" w14:textId="3A5A6133">
      <w:pPr>
        <w:pStyle w:val="ParaNORMAL"/>
      </w:pPr>
      <w:r w:rsidRPr="00D52CB7">
        <w:t>The Facilities are and will be subject to various federal, State and local laws and regulations governing health and the environment.  In general, these laws and regulations could result in liability to the Charter School and to any beneficiary of the Deed of Trust, particularly following any sale or foreclosure proceeding, for remediating adverse environmental conditions on or relating to the Facilities, whether arising from preexisting conditions or conditions arising as a result of activities conducted in connection with the ownership and operation of the Facilities.  Costs incurred by the Charter School with respect to environmental remediation or liability could adversely affect its financial condition, its ability to own and operate the Facilities, and ultimately its ability to make payments under the Loan Agreement representing debt service on the Bonds.  Excessive costs in connection with any such environmental remediation or any such liability to third parties could also make it difficult to successfully relet the Facilities.</w:t>
      </w:r>
    </w:p>
    <w:p w:rsidRPr="00D52CB7" w:rsidR="009528B9" w:rsidP="009528B9" w:rsidRDefault="009528B9" w14:paraId="6A069E65" w14:textId="77777777">
      <w:pPr>
        <w:pStyle w:val="ParaNORMAL"/>
      </w:pPr>
      <w:r w:rsidRPr="00D52CB7">
        <w:t xml:space="preserve">A Phase I Environmental Site Assessment (the </w:t>
      </w:r>
      <w:r w:rsidRPr="00D52CB7">
        <w:rPr>
          <w:i/>
          <w:iCs/>
        </w:rPr>
        <w:t>“Phase I”</w:t>
      </w:r>
      <w:r w:rsidRPr="00D52CB7">
        <w:t>) was conducted by Ellis Environmental on ________ with respect to the West Valley City Campus to provide a review of historical information and an evaluation of the physical site features to identify “Recognized Environmental Conditions.”  A Recognized Environmental Condition is defined as the presence or likely presence of any hazardous substances or petroleum products on a property under condition’s that indicate an existing release, a past release, or a material threat of a release of any hazardous substances or petroleum products into structures on the property or into the ground, groundwater, or surface water of the property.</w:t>
      </w:r>
    </w:p>
    <w:p w:rsidRPr="00D52CB7" w:rsidR="00743467" w:rsidP="009528B9" w:rsidRDefault="009528B9" w14:paraId="2323A1BE" w14:textId="22118E74">
      <w:pPr>
        <w:pStyle w:val="ParaNORMAL"/>
        <w:rPr>
          <w:b/>
          <w:snapToGrid w:val="0"/>
        </w:rPr>
      </w:pPr>
      <w:r w:rsidRPr="00D52CB7">
        <w:t>[The Phase I revealed no evidence of Recognized Environmental Conditions in connection with the site.]  Copies of the Phase I Environmental Site Assessments are available as described under “</w:t>
      </w:r>
      <w:r w:rsidRPr="00D52CB7">
        <w:rPr>
          <w:smallCaps/>
        </w:rPr>
        <w:t>Introduction</w:t>
      </w:r>
      <w:r w:rsidRPr="00D52CB7">
        <w:t xml:space="preserve">—Additional Information.” </w:t>
      </w:r>
      <w:r w:rsidRPr="00D52CB7" w:rsidR="00743467">
        <w:rPr>
          <w:snapToGrid w:val="0"/>
        </w:rPr>
        <w:t xml:space="preserve"> </w:t>
      </w:r>
    </w:p>
    <w:p w:rsidRPr="00D52CB7" w:rsidR="0073417C" w:rsidP="0073417C" w:rsidRDefault="0073417C" w14:paraId="2A098447" w14:textId="77777777">
      <w:pPr>
        <w:pStyle w:val="TitleLeft"/>
      </w:pPr>
      <w:r w:rsidRPr="00D52CB7">
        <w:rPr>
          <w:szCs w:val="24"/>
        </w:rPr>
        <w:lastRenderedPageBreak/>
        <w:t>Cybersecurity Risks</w:t>
      </w:r>
      <w:r w:rsidRPr="00D52CB7">
        <w:t xml:space="preserve"> </w:t>
      </w:r>
      <w:r w:rsidRPr="00D52CB7">
        <w:fldChar w:fldCharType="begin"/>
      </w:r>
      <w:r w:rsidRPr="00D52CB7">
        <w:instrText xml:space="preserve"> TC "</w:instrText>
      </w:r>
      <w:r w:rsidRPr="00D52CB7">
        <w:rPr>
          <w:szCs w:val="24"/>
        </w:rPr>
        <w:instrText xml:space="preserve"> </w:instrText>
      </w:r>
      <w:bookmarkStart w:name="_Toc195093883" w:id="113"/>
      <w:r w:rsidRPr="00D52CB7">
        <w:rPr>
          <w:szCs w:val="24"/>
        </w:rPr>
        <w:instrText>Cybersecurity Risks</w:instrText>
      </w:r>
      <w:bookmarkEnd w:id="113"/>
      <w:r w:rsidRPr="00D52CB7">
        <w:instrText xml:space="preserve"> " \f C \l "2" </w:instrText>
      </w:r>
      <w:r w:rsidRPr="00D52CB7">
        <w:fldChar w:fldCharType="end"/>
      </w:r>
    </w:p>
    <w:p w:rsidRPr="00D52CB7" w:rsidR="0073417C" w:rsidP="0073417C" w:rsidRDefault="0073417C" w14:paraId="4A24560F" w14:textId="77777777">
      <w:pPr>
        <w:pStyle w:val="ParaNORMAL"/>
      </w:pPr>
      <w:r w:rsidRPr="00D52CB7">
        <w:t>The services and systems of the Charter School may be critical to operations or involve the storage, processing and transmission of sensitive data, including valuable intellectual property, other proprietary or confidential data, regulated data, and personal information of employees, students and others.  Successful breaches, employee malfeasance, or human or technological error could result in, for example, unauthorized access to, disclosure, modification, misuse, loss, or destruction of the Charter School’s or other third party data or systems; theft of sensitive, regulated, or confidential data including personal information and intellectual property; the loss of access to critical data or systems; service or system disruptions or denials of service.</w:t>
      </w:r>
    </w:p>
    <w:p w:rsidRPr="00D52CB7" w:rsidR="0073417C" w:rsidP="0073417C" w:rsidRDefault="0073417C" w14:paraId="6F06551D" w14:textId="77777777">
      <w:pPr>
        <w:pStyle w:val="TitleLeft"/>
      </w:pPr>
      <w:r w:rsidRPr="00D52CB7">
        <w:rPr>
          <w:szCs w:val="24"/>
        </w:rPr>
        <w:t>Litigation</w:t>
      </w:r>
      <w:r w:rsidRPr="00D52CB7">
        <w:t xml:space="preserve"> </w:t>
      </w:r>
      <w:r w:rsidRPr="00D52CB7">
        <w:fldChar w:fldCharType="begin"/>
      </w:r>
      <w:r w:rsidRPr="00D52CB7">
        <w:instrText xml:space="preserve"> TC "</w:instrText>
      </w:r>
      <w:r w:rsidRPr="00D52CB7">
        <w:rPr>
          <w:szCs w:val="24"/>
        </w:rPr>
        <w:instrText xml:space="preserve"> </w:instrText>
      </w:r>
      <w:bookmarkStart w:name="_Toc195093884" w:id="114"/>
      <w:r w:rsidRPr="00D52CB7">
        <w:rPr>
          <w:szCs w:val="24"/>
        </w:rPr>
        <w:instrText>Litigation</w:instrText>
      </w:r>
      <w:bookmarkEnd w:id="114"/>
      <w:r w:rsidRPr="00D52CB7">
        <w:instrText xml:space="preserve"> " \f C \l "2" </w:instrText>
      </w:r>
      <w:r w:rsidRPr="00D52CB7">
        <w:fldChar w:fldCharType="end"/>
      </w:r>
    </w:p>
    <w:p w:rsidRPr="00D52CB7" w:rsidR="0073417C" w:rsidP="0073417C" w:rsidRDefault="0073417C" w14:paraId="60FC274E" w14:textId="15F3A55F">
      <w:pPr>
        <w:pStyle w:val="ParaNORMAL"/>
      </w:pPr>
      <w:r w:rsidRPr="00D52CB7">
        <w:t xml:space="preserve">Charter schools and other schools such as the Charter School, are often the subject of litigation.  Educator’s professional liability and other actions alleging wrongful conduct and seeking punitive damages often are filed against education providers such as the Charter School.  Litigation may also arise from the corporate and business activities of the Charter School, such as employee-related matters.  As with educator’s professional liability, many of these risks are covered by insurance, but some are not.  For example, some business disputes and workers’ compensation claims are not covered by insurance or other sources and, in whole or in part, may be a liability of the Charter School if determined or settled adversely.  Although the Charter School maintains insurance policies covering educator’s professional and general liability, management of the Charter School is unable to predict the availability, cost or adequacy of such insurance in the future. </w:t>
      </w:r>
    </w:p>
    <w:p w:rsidRPr="00D52CB7" w:rsidR="00743467" w:rsidP="00743467" w:rsidRDefault="00743467" w14:paraId="2900B38B" w14:textId="07BD304F">
      <w:pPr>
        <w:pStyle w:val="TitleLeft"/>
      </w:pPr>
      <w:r w:rsidRPr="00D52CB7">
        <w:rPr>
          <w:szCs w:val="24"/>
        </w:rPr>
        <w:t>Enforcement of Remedies</w:t>
      </w:r>
      <w:r w:rsidRPr="00D52CB7">
        <w:t xml:space="preserve"> </w:t>
      </w:r>
      <w:r w:rsidRPr="00D52CB7">
        <w:fldChar w:fldCharType="begin"/>
      </w:r>
      <w:r w:rsidRPr="00D52CB7">
        <w:instrText xml:space="preserve"> TC "</w:instrText>
      </w:r>
      <w:r w:rsidRPr="00D52CB7">
        <w:rPr>
          <w:szCs w:val="24"/>
        </w:rPr>
        <w:instrText xml:space="preserve"> </w:instrText>
      </w:r>
      <w:bookmarkStart w:name="_Toc195093885" w:id="115"/>
      <w:r w:rsidRPr="00D52CB7">
        <w:rPr>
          <w:szCs w:val="24"/>
        </w:rPr>
        <w:instrText>Enforcement of Remedies</w:instrText>
      </w:r>
      <w:bookmarkEnd w:id="115"/>
      <w:r w:rsidRPr="00D52CB7">
        <w:instrText xml:space="preserve"> " \f C \l "2" </w:instrText>
      </w:r>
      <w:r w:rsidRPr="00D52CB7">
        <w:fldChar w:fldCharType="end"/>
      </w:r>
    </w:p>
    <w:p w:rsidRPr="00D52CB7" w:rsidR="00743467" w:rsidP="00743467" w:rsidRDefault="00743467" w14:paraId="1AF493D8" w14:textId="21535B47">
      <w:pPr>
        <w:pStyle w:val="ParaNORMAL"/>
      </w:pPr>
      <w:r w:rsidRPr="00D52CB7">
        <w:t xml:space="preserve">The remedies available to the Trustee or the registered owners of the </w:t>
      </w:r>
      <w:r w:rsidRPr="00D52CB7" w:rsidR="00B935C1">
        <w:t xml:space="preserve">Series </w:t>
      </w:r>
      <w:r w:rsidRPr="00D52CB7" w:rsidR="00D50213">
        <w:t>2025</w:t>
      </w:r>
      <w:r w:rsidRPr="00D52CB7" w:rsidR="00B935C1">
        <w:t xml:space="preserve"> Bond</w:t>
      </w:r>
      <w:r w:rsidRPr="00D52CB7">
        <w:t xml:space="preserve">s upon an Event of Default under the Indenture or the Loan Agreement are in many respects dependent upon judicial actions which are often subject to discretion and delay.  Under existing constitutional and statutory law and judicial decisions, the remedies provided in the Indenture and the Loan Agreement may not be readily available or may be limited.  The various legal opinions to be delivered concurrently with the delivery of the </w:t>
      </w:r>
      <w:r w:rsidRPr="00D52CB7" w:rsidR="00B935C1">
        <w:t xml:space="preserve">Series </w:t>
      </w:r>
      <w:r w:rsidRPr="00D52CB7" w:rsidR="00D50213">
        <w:t>2025</w:t>
      </w:r>
      <w:r w:rsidRPr="00D52CB7" w:rsidR="00B935C1">
        <w:t xml:space="preserve"> Bond</w:t>
      </w:r>
      <w:r w:rsidRPr="00D52CB7">
        <w:t>s will be qualified as to the enforceability of the various legal instruments by limitations imposed by the valid exercise of the sovereign powers of the State and the constitutional powers of the United States of America, bankruptcy, reorganization, insolvency or other similar laws affecting the rights of creditors generally.</w:t>
      </w:r>
    </w:p>
    <w:p w:rsidRPr="00D52CB7" w:rsidR="00743467" w:rsidP="00743467" w:rsidRDefault="00743467" w14:paraId="33D88FB9" w14:textId="77777777">
      <w:pPr>
        <w:pStyle w:val="TitleLeft"/>
      </w:pPr>
      <w:r w:rsidRPr="00D52CB7">
        <w:rPr>
          <w:szCs w:val="24"/>
        </w:rPr>
        <w:t>Failure to Provide Ongoing Disclosure</w:t>
      </w:r>
      <w:r w:rsidRPr="00D52CB7">
        <w:t xml:space="preserve"> </w:t>
      </w:r>
      <w:r w:rsidRPr="00D52CB7">
        <w:fldChar w:fldCharType="begin"/>
      </w:r>
      <w:r w:rsidRPr="00D52CB7">
        <w:instrText xml:space="preserve"> TC "</w:instrText>
      </w:r>
      <w:r w:rsidRPr="00D52CB7">
        <w:rPr>
          <w:szCs w:val="24"/>
        </w:rPr>
        <w:instrText xml:space="preserve"> </w:instrText>
      </w:r>
      <w:bookmarkStart w:name="_Toc195093886" w:id="116"/>
      <w:r w:rsidRPr="00D52CB7">
        <w:rPr>
          <w:szCs w:val="24"/>
        </w:rPr>
        <w:instrText>Failure to Provide Ongoing Disclosure</w:instrText>
      </w:r>
      <w:bookmarkEnd w:id="116"/>
      <w:r w:rsidRPr="00D52CB7">
        <w:instrText xml:space="preserve"> " \f C \l "2" </w:instrText>
      </w:r>
      <w:r w:rsidRPr="00D52CB7">
        <w:fldChar w:fldCharType="end"/>
      </w:r>
    </w:p>
    <w:p w:rsidRPr="00D52CB7" w:rsidR="00743467" w:rsidP="00743467" w:rsidRDefault="00743467" w14:paraId="160E8646" w14:textId="164C15FF">
      <w:pPr>
        <w:pStyle w:val="ParaNORMAL"/>
        <w:rPr>
          <w:smallCaps/>
        </w:rPr>
      </w:pPr>
      <w:r w:rsidRPr="00D52CB7">
        <w:t xml:space="preserve">The Charter School will enter into the </w:t>
      </w:r>
      <w:r w:rsidRPr="00D52CB7" w:rsidR="00244666">
        <w:t>Continuing Disclosure Agreement</w:t>
      </w:r>
      <w:r w:rsidRPr="00D52CB7">
        <w:t xml:space="preserve"> pursuant to Rule 15c2</w:t>
      </w:r>
      <w:r w:rsidRPr="00D52CB7">
        <w:noBreakHyphen/>
        <w:t>12, promulgated by the Securities and Exchange Commission under the Securities Exchange Act of 1934, as amended (</w:t>
      </w:r>
      <w:r w:rsidRPr="00D52CB7">
        <w:rPr>
          <w:i/>
        </w:rPr>
        <w:t>“Rule 15c2-12”</w:t>
      </w:r>
      <w:r w:rsidRPr="00D52CB7">
        <w:t xml:space="preserve">).  </w:t>
      </w:r>
      <w:r w:rsidRPr="00D52CB7" w:rsidR="00A8317C">
        <w:t>Any f</w:t>
      </w:r>
      <w:r w:rsidRPr="00D52CB7">
        <w:t xml:space="preserve">ailure by the Charter School to comply with the </w:t>
      </w:r>
      <w:r w:rsidRPr="00D52CB7" w:rsidR="00244666">
        <w:t>Continuing Disclosure Agreement</w:t>
      </w:r>
      <w:r w:rsidRPr="00D52CB7">
        <w:t xml:space="preserve"> and Rule 15c2-12 may adversely affect the </w:t>
      </w:r>
      <w:r w:rsidRPr="00D52CB7">
        <w:lastRenderedPageBreak/>
        <w:t xml:space="preserve">liquidity of the </w:t>
      </w:r>
      <w:r w:rsidRPr="00D52CB7" w:rsidR="00B935C1">
        <w:t xml:space="preserve">Series </w:t>
      </w:r>
      <w:r w:rsidRPr="00D52CB7" w:rsidR="00D50213">
        <w:t>2025</w:t>
      </w:r>
      <w:r w:rsidRPr="00D52CB7" w:rsidR="00B935C1">
        <w:t xml:space="preserve"> Bond</w:t>
      </w:r>
      <w:r w:rsidRPr="00D52CB7">
        <w:t xml:space="preserve">s and their market price in the secondary market.  See </w:t>
      </w:r>
      <w:r w:rsidRPr="00D52CB7">
        <w:rPr>
          <w:smallCaps/>
        </w:rPr>
        <w:t xml:space="preserve">“Continuing Disclosure” </w:t>
      </w:r>
      <w:r w:rsidRPr="00D52CB7">
        <w:t>and A</w:t>
      </w:r>
      <w:r w:rsidRPr="00D52CB7">
        <w:rPr>
          <w:smallCaps/>
        </w:rPr>
        <w:t xml:space="preserve">ppendix F–Form of </w:t>
      </w:r>
      <w:r w:rsidRPr="00D52CB7" w:rsidR="00244666">
        <w:rPr>
          <w:smallCaps/>
        </w:rPr>
        <w:t>Continuing Disclosure Agreement</w:t>
      </w:r>
      <w:r w:rsidRPr="00D52CB7">
        <w:rPr>
          <w:smallCaps/>
        </w:rPr>
        <w:t>.”</w:t>
      </w:r>
    </w:p>
    <w:p w:rsidRPr="00D52CB7" w:rsidR="001157A5" w:rsidP="001157A5" w:rsidRDefault="001157A5" w14:paraId="096907C8" w14:textId="77777777">
      <w:pPr>
        <w:pStyle w:val="TitleLeft"/>
      </w:pPr>
      <w:r w:rsidRPr="00D52CB7">
        <w:rPr>
          <w:szCs w:val="24"/>
        </w:rPr>
        <w:t>Redemption Prior to Maturity</w:t>
      </w:r>
      <w:r w:rsidRPr="00D52CB7">
        <w:t xml:space="preserve"> </w:t>
      </w:r>
      <w:r w:rsidRPr="00D52CB7">
        <w:fldChar w:fldCharType="begin"/>
      </w:r>
      <w:r w:rsidRPr="00D52CB7">
        <w:instrText xml:space="preserve"> TC "</w:instrText>
      </w:r>
      <w:r w:rsidRPr="00D52CB7">
        <w:rPr>
          <w:szCs w:val="24"/>
        </w:rPr>
        <w:instrText xml:space="preserve"> </w:instrText>
      </w:r>
      <w:bookmarkStart w:name="_Toc195093887" w:id="117"/>
      <w:r w:rsidRPr="00D52CB7">
        <w:rPr>
          <w:szCs w:val="24"/>
        </w:rPr>
        <w:instrText>Redemption Prior to Maturity</w:instrText>
      </w:r>
      <w:bookmarkEnd w:id="117"/>
      <w:r w:rsidRPr="00D52CB7">
        <w:instrText xml:space="preserve"> " \f C \l "2" </w:instrText>
      </w:r>
      <w:r w:rsidRPr="00D52CB7">
        <w:fldChar w:fldCharType="end"/>
      </w:r>
    </w:p>
    <w:p w:rsidRPr="00D52CB7" w:rsidR="001157A5" w:rsidP="001157A5" w:rsidRDefault="001157A5" w14:paraId="1D5C2D78" w14:textId="44988500">
      <w:pPr>
        <w:pStyle w:val="ParaNORMAL"/>
      </w:pPr>
      <w:r w:rsidRPr="00D52CB7">
        <w:t xml:space="preserve">The </w:t>
      </w:r>
      <w:r w:rsidRPr="00D52CB7" w:rsidR="00B935C1">
        <w:t xml:space="preserve">Series </w:t>
      </w:r>
      <w:r w:rsidRPr="00D52CB7" w:rsidR="00D50213">
        <w:t>2025</w:t>
      </w:r>
      <w:r w:rsidRPr="00D52CB7" w:rsidR="00B935C1">
        <w:t xml:space="preserve"> Bond</w:t>
      </w:r>
      <w:r w:rsidRPr="00D52CB7">
        <w:t>s are subject to redemption at the option of the Borrower and in the event of certain occurrences.  See “</w:t>
      </w:r>
      <w:r w:rsidRPr="00D52CB7" w:rsidR="00174973">
        <w:rPr>
          <w:smallCaps/>
        </w:rPr>
        <w:t>The</w:t>
      </w:r>
      <w:r w:rsidRPr="00D52CB7">
        <w:rPr>
          <w:smallCaps/>
        </w:rPr>
        <w:t xml:space="preserve"> </w:t>
      </w:r>
      <w:r w:rsidRPr="00D52CB7" w:rsidR="00B935C1">
        <w:rPr>
          <w:smallCaps/>
        </w:rPr>
        <w:t xml:space="preserve">Series </w:t>
      </w:r>
      <w:r w:rsidRPr="00D52CB7" w:rsidR="00D50213">
        <w:rPr>
          <w:smallCaps/>
        </w:rPr>
        <w:t>2025</w:t>
      </w:r>
      <w:r w:rsidRPr="00D52CB7" w:rsidR="00B935C1">
        <w:rPr>
          <w:smallCaps/>
        </w:rPr>
        <w:t xml:space="preserve"> Bond</w:t>
      </w:r>
      <w:r w:rsidRPr="00D52CB7" w:rsidR="00174973">
        <w:rPr>
          <w:smallCaps/>
        </w:rPr>
        <w:t>s</w:t>
      </w:r>
      <w:r w:rsidRPr="00D52CB7">
        <w:t xml:space="preserve"> – Redemption” in this Official Statement.</w:t>
      </w:r>
    </w:p>
    <w:p w:rsidRPr="00D52CB7" w:rsidR="00743467" w:rsidP="00743467" w:rsidRDefault="00743467" w14:paraId="32F82A72" w14:textId="77777777">
      <w:pPr>
        <w:pStyle w:val="TitleLeft"/>
      </w:pPr>
      <w:r w:rsidRPr="00D52CB7">
        <w:rPr>
          <w:szCs w:val="24"/>
        </w:rPr>
        <w:t>Summary</w:t>
      </w:r>
      <w:r w:rsidRPr="00D52CB7">
        <w:t xml:space="preserve"> </w:t>
      </w:r>
      <w:r w:rsidRPr="00D52CB7">
        <w:fldChar w:fldCharType="begin"/>
      </w:r>
      <w:r w:rsidRPr="00D52CB7">
        <w:instrText xml:space="preserve"> TC "</w:instrText>
      </w:r>
      <w:r w:rsidRPr="00D52CB7">
        <w:rPr>
          <w:szCs w:val="24"/>
        </w:rPr>
        <w:instrText xml:space="preserve"> </w:instrText>
      </w:r>
      <w:bookmarkStart w:name="_Toc195093888" w:id="118"/>
      <w:r w:rsidRPr="00D52CB7">
        <w:rPr>
          <w:szCs w:val="24"/>
        </w:rPr>
        <w:instrText>Summary</w:instrText>
      </w:r>
      <w:bookmarkEnd w:id="118"/>
      <w:r w:rsidRPr="00D52CB7">
        <w:instrText xml:space="preserve"> " \f C \l "2" </w:instrText>
      </w:r>
      <w:r w:rsidRPr="00D52CB7">
        <w:fldChar w:fldCharType="end"/>
      </w:r>
    </w:p>
    <w:p w:rsidRPr="00D52CB7" w:rsidR="00743467" w:rsidP="00743467" w:rsidRDefault="00743467" w14:paraId="75811899" w14:textId="053F0B77">
      <w:pPr>
        <w:pStyle w:val="ParaNORMAL"/>
      </w:pPr>
      <w:r w:rsidRPr="00D52CB7">
        <w:t xml:space="preserve">The foregoing is intended only as a summary of certain risk factors attendant to an investment in the </w:t>
      </w:r>
      <w:r w:rsidRPr="00D52CB7" w:rsidR="00B935C1">
        <w:t xml:space="preserve">Series </w:t>
      </w:r>
      <w:r w:rsidRPr="00D52CB7" w:rsidR="00D50213">
        <w:t>2025</w:t>
      </w:r>
      <w:r w:rsidRPr="00D52CB7" w:rsidR="00B935C1">
        <w:t xml:space="preserve"> Bond</w:t>
      </w:r>
      <w:r w:rsidRPr="00D52CB7">
        <w:t>s.  In order for potential investors to identify risk factors and make an informed decision, potential investors should be thoroughly familiar with this entire Official Statement, including the appendices hereto.</w:t>
      </w:r>
    </w:p>
    <w:p w:rsidRPr="00D52CB7" w:rsidR="00743467" w:rsidP="00743467" w:rsidRDefault="00743467" w14:paraId="7499A6D5" w14:textId="77777777">
      <w:pPr>
        <w:pStyle w:val="TitleCenterBold"/>
        <w:spacing w:before="320"/>
      </w:pPr>
      <w:r w:rsidRPr="00D52CB7">
        <w:t>Legal Matters</w:t>
      </w:r>
      <w:r w:rsidRPr="00D52CB7">
        <w:fldChar w:fldCharType="begin"/>
      </w:r>
      <w:r w:rsidRPr="00D52CB7">
        <w:instrText>tc "</w:instrText>
      </w:r>
      <w:bookmarkStart w:name="_Toc195093889" w:id="119"/>
      <w:r w:rsidRPr="00D52CB7">
        <w:instrText>Legal Matters</w:instrText>
      </w:r>
      <w:bookmarkEnd w:id="119"/>
      <w:r w:rsidRPr="00D52CB7">
        <w:instrText>" \f C \l 1</w:instrText>
      </w:r>
      <w:r w:rsidRPr="00D52CB7">
        <w:fldChar w:fldCharType="end"/>
      </w:r>
    </w:p>
    <w:p w:rsidRPr="00D52CB7" w:rsidR="00743467" w:rsidP="00743467" w:rsidRDefault="00743467" w14:paraId="45A21FF5" w14:textId="77777777">
      <w:pPr>
        <w:pStyle w:val="TitleLeft"/>
        <w:spacing w:before="280"/>
      </w:pPr>
      <w:r w:rsidRPr="00D52CB7">
        <w:t>General</w:t>
      </w:r>
      <w:r w:rsidRPr="00D52CB7">
        <w:fldChar w:fldCharType="begin"/>
      </w:r>
      <w:r w:rsidRPr="00D52CB7">
        <w:instrText>tc "</w:instrText>
      </w:r>
      <w:bookmarkStart w:name="_Toc156025682" w:id="120"/>
      <w:bookmarkStart w:name="_Toc195093890" w:id="121"/>
      <w:r w:rsidRPr="00D52CB7">
        <w:instrText>General</w:instrText>
      </w:r>
      <w:bookmarkEnd w:id="120"/>
      <w:bookmarkEnd w:id="121"/>
      <w:r w:rsidRPr="00D52CB7">
        <w:instrText>" \f C \l 2</w:instrText>
      </w:r>
      <w:r w:rsidRPr="00D52CB7">
        <w:fldChar w:fldCharType="end"/>
      </w:r>
    </w:p>
    <w:p w:rsidRPr="00D52CB7" w:rsidR="00743467" w:rsidP="00743467" w:rsidRDefault="00743467" w14:paraId="77B0C71A" w14:textId="27B428DE">
      <w:pPr>
        <w:pStyle w:val="ParaNORMAL"/>
      </w:pPr>
      <w:r w:rsidRPr="00D52CB7">
        <w:t xml:space="preserve">Certain legal matters incident to the authorization, issuance, sale and delivery of the </w:t>
      </w:r>
      <w:r w:rsidRPr="00D52CB7" w:rsidR="00B935C1">
        <w:t xml:space="preserve">Series </w:t>
      </w:r>
      <w:r w:rsidRPr="00D52CB7" w:rsidR="00D50213">
        <w:t>2025</w:t>
      </w:r>
      <w:r w:rsidRPr="00D52CB7" w:rsidR="00B935C1">
        <w:t xml:space="preserve"> Bond</w:t>
      </w:r>
      <w:r w:rsidRPr="00D52CB7">
        <w:t xml:space="preserve">s by the Issuer are subject to the approving opinion of Chapman and Cutler LLP, who has been retained by and acts as Bond Counsel to the Issuer and whose approving opinion will be delivered with the </w:t>
      </w:r>
      <w:r w:rsidRPr="00D52CB7" w:rsidR="00B935C1">
        <w:t xml:space="preserve">Series </w:t>
      </w:r>
      <w:r w:rsidRPr="00D52CB7" w:rsidR="00D50213">
        <w:t>2025</w:t>
      </w:r>
      <w:r w:rsidRPr="00D52CB7" w:rsidR="00B935C1">
        <w:t xml:space="preserve"> Bond</w:t>
      </w:r>
      <w:r w:rsidRPr="00D52CB7">
        <w:t>s in substantially the form set forth in “</w:t>
      </w:r>
      <w:r w:rsidRPr="00D52CB7">
        <w:rPr>
          <w:smallCaps/>
        </w:rPr>
        <w:t>Appendix E—Form of Opinion of Bond Counsel</w:t>
      </w:r>
      <w:r w:rsidRPr="00D52CB7">
        <w:t xml:space="preserve">.”  Certain legal matters will be passed upon for the Issuer by its counsel, the Office of the Attorney General of the State of Utah and </w:t>
      </w:r>
      <w:r w:rsidRPr="00D52CB7" w:rsidR="0009070C">
        <w:t>Gilmore &amp; Bell, P.C.</w:t>
      </w:r>
      <w:r w:rsidRPr="00D52CB7">
        <w:t xml:space="preserve">; for the Charter School by </w:t>
      </w:r>
      <w:r w:rsidRPr="00D52CB7" w:rsidR="00EC11B3">
        <w:t>Farnsworth Johnson PLLC</w:t>
      </w:r>
      <w:r w:rsidRPr="00D52CB7" w:rsidR="001157A5">
        <w:t xml:space="preserve">, and for the Underwriter by </w:t>
      </w:r>
      <w:r w:rsidRPr="00D52CB7" w:rsidR="00244666">
        <w:t>Gilmore &amp; Bell, P.C</w:t>
      </w:r>
      <w:r w:rsidRPr="00D52CB7">
        <w:t>.</w:t>
      </w:r>
    </w:p>
    <w:p w:rsidRPr="00D52CB7" w:rsidR="00743467" w:rsidP="00743467" w:rsidRDefault="00743467" w14:paraId="53D32D20" w14:textId="1EDA8BE2">
      <w:pPr>
        <w:pStyle w:val="ParaNORMAL"/>
      </w:pPr>
      <w:r w:rsidRPr="00D52CB7">
        <w:t xml:space="preserve">The various legal opinions to be delivered concurrently with the delivery of the </w:t>
      </w:r>
      <w:r w:rsidRPr="00D52CB7" w:rsidR="00B935C1">
        <w:t xml:space="preserve">Series </w:t>
      </w:r>
      <w:r w:rsidRPr="00D52CB7" w:rsidR="00D50213">
        <w:t>2025</w:t>
      </w:r>
      <w:r w:rsidRPr="00D52CB7" w:rsidR="00B935C1">
        <w:t xml:space="preserve"> Bond</w:t>
      </w:r>
      <w:r w:rsidRPr="00D52CB7">
        <w:t>s will speak only as of their dates of delivery and will be qualified in certain customary respects, including as to the enforceability of the various legal instruments by limitations imposed by state and federal law affecting remedies and by bankruptcy, insolvency, reorganization, arrangement, fraudulent conveyance, moratorium and other laws relating to or affecting creditors’ rights, the application of equitable principles and the exercise of judicial discretion in appropriate cases.  The legal opinions express the professional judgment of counsel rendering them, but are not binding on any court or other governmental agency and are not guarantees of a particular result.</w:t>
      </w:r>
    </w:p>
    <w:p w:rsidRPr="00D52CB7" w:rsidR="00743467" w:rsidP="00743467" w:rsidRDefault="00743467" w14:paraId="6777080E" w14:textId="77777777">
      <w:pPr>
        <w:pStyle w:val="ParaNORMAL"/>
      </w:pPr>
      <w:r w:rsidRPr="00D52CB7">
        <w:t>The form of the proposed opinion of Bond Counsel to the Issuer is attached as “</w:t>
      </w:r>
      <w:r w:rsidRPr="00D52CB7">
        <w:rPr>
          <w:smallCaps/>
        </w:rPr>
        <w:t>Appendix E—Form of Opinion of Bond Counsel</w:t>
      </w:r>
      <w:r w:rsidRPr="00D52CB7">
        <w:t>.”</w:t>
      </w:r>
    </w:p>
    <w:p w:rsidRPr="00D52CB7" w:rsidR="00743467" w:rsidP="00743467" w:rsidRDefault="00743467" w14:paraId="5C7CDC59" w14:textId="77777777">
      <w:pPr>
        <w:pStyle w:val="TitleLeft"/>
        <w:spacing w:before="280"/>
      </w:pPr>
      <w:r w:rsidRPr="00D52CB7">
        <w:rPr>
          <w:sz w:val="22"/>
          <w:szCs w:val="22"/>
        </w:rPr>
        <w:t>Pending and Threatened Litigation</w:t>
      </w:r>
      <w:r w:rsidRPr="00D52CB7">
        <w:t xml:space="preserve"> </w:t>
      </w:r>
      <w:r w:rsidRPr="00D52CB7">
        <w:fldChar w:fldCharType="begin"/>
      </w:r>
      <w:r w:rsidRPr="00D52CB7">
        <w:instrText>tc "</w:instrText>
      </w:r>
      <w:bookmarkStart w:name="_Toc156025683" w:id="122"/>
      <w:r w:rsidRPr="00D52CB7">
        <w:rPr>
          <w:sz w:val="22"/>
          <w:szCs w:val="22"/>
        </w:rPr>
        <w:instrText xml:space="preserve"> </w:instrText>
      </w:r>
      <w:bookmarkStart w:name="_Toc195093891" w:id="123"/>
      <w:r w:rsidRPr="00D52CB7">
        <w:rPr>
          <w:sz w:val="22"/>
          <w:szCs w:val="22"/>
        </w:rPr>
        <w:instrText>Pending and Threatened Litigation</w:instrText>
      </w:r>
      <w:bookmarkEnd w:id="122"/>
      <w:bookmarkEnd w:id="123"/>
      <w:r w:rsidRPr="00D52CB7">
        <w:instrText>" \f C \l 2</w:instrText>
      </w:r>
      <w:r w:rsidRPr="00D52CB7">
        <w:fldChar w:fldCharType="end"/>
      </w:r>
    </w:p>
    <w:p w:rsidRPr="00D52CB7" w:rsidR="00340A1E" w:rsidP="00340A1E" w:rsidRDefault="00340A1E" w14:paraId="4434042E" w14:textId="63A667E9">
      <w:pPr>
        <w:pStyle w:val="ParaNORMAL"/>
      </w:pPr>
      <w:r w:rsidRPr="00D52CB7">
        <w:rPr>
          <w:i/>
          <w:szCs w:val="24"/>
        </w:rPr>
        <w:t>No Proceedings against the Charter School.</w:t>
      </w:r>
      <w:r w:rsidRPr="00D52CB7">
        <w:t xml:space="preserve"> In connection with the issuance of the </w:t>
      </w:r>
      <w:r w:rsidRPr="00D52CB7" w:rsidR="00B935C1">
        <w:t xml:space="preserve">Series </w:t>
      </w:r>
      <w:r w:rsidRPr="00D52CB7" w:rsidR="00D50213">
        <w:t>2025</w:t>
      </w:r>
      <w:r w:rsidRPr="00D52CB7" w:rsidR="00B935C1">
        <w:t xml:space="preserve"> Bond</w:t>
      </w:r>
      <w:r w:rsidRPr="00D52CB7">
        <w:t xml:space="preserve">s, the Charter School will deliver a certificate which will state that, as of the date of issuance of the </w:t>
      </w:r>
      <w:r w:rsidRPr="00D52CB7" w:rsidR="00B935C1">
        <w:t xml:space="preserve">Series </w:t>
      </w:r>
      <w:r w:rsidRPr="00D52CB7" w:rsidR="00D50213">
        <w:t>2025</w:t>
      </w:r>
      <w:r w:rsidRPr="00D52CB7" w:rsidR="00B935C1">
        <w:t xml:space="preserve"> Bond</w:t>
      </w:r>
      <w:r w:rsidRPr="00D52CB7">
        <w:t xml:space="preserve">s, there is no action, suit, proceeding, inquiry or investigation at </w:t>
      </w:r>
      <w:r w:rsidRPr="00D52CB7">
        <w:lastRenderedPageBreak/>
        <w:t xml:space="preserve">law or in equity before or by any court, public board or body pending, or to the best of its knowledge, threatened against or affecting the Charter School, wherein an unfavorable decision, ruling or finding would materially adversely affect the transactions contemplated by the Indenture, the Loan Agreement, the Deed of Trust, or this Official Statement;  the validity and enforceability of the Indenture, the Loan Agreement, the Deed of Trust, the </w:t>
      </w:r>
      <w:r w:rsidRPr="00D52CB7" w:rsidR="00244666">
        <w:t>Continuing Disclosure Agreement</w:t>
      </w:r>
      <w:r w:rsidRPr="00D52CB7">
        <w:t xml:space="preserve">, or the </w:t>
      </w:r>
      <w:r w:rsidRPr="00D52CB7" w:rsidR="00B935C1">
        <w:t xml:space="preserve">Series </w:t>
      </w:r>
      <w:r w:rsidRPr="00D52CB7" w:rsidR="00D50213">
        <w:t>2025</w:t>
      </w:r>
      <w:r w:rsidRPr="00D52CB7" w:rsidR="00B935C1">
        <w:t xml:space="preserve"> Bond</w:t>
      </w:r>
      <w:r w:rsidRPr="00D52CB7">
        <w:t>s; or the operations (financial or otherwise) of the Charter School.</w:t>
      </w:r>
    </w:p>
    <w:p w:rsidRPr="00D52CB7" w:rsidR="00743467" w:rsidP="00743467" w:rsidRDefault="00743467" w14:paraId="488A45E1" w14:textId="0EB7BFC0">
      <w:pPr>
        <w:pStyle w:val="ParaNORMAL"/>
      </w:pPr>
      <w:r w:rsidRPr="00D52CB7">
        <w:rPr>
          <w:i/>
          <w:szCs w:val="24"/>
        </w:rPr>
        <w:t>No Proceedings against the Issuer.</w:t>
      </w:r>
      <w:r w:rsidRPr="00D52CB7">
        <w:t xml:space="preserve"> There is not now pending or, to the knowledge of the Issuer, threatened, any litigation restraining or enjoining the issuance or delivery of the </w:t>
      </w:r>
      <w:r w:rsidRPr="00D52CB7" w:rsidR="00B935C1">
        <w:t xml:space="preserve">Series </w:t>
      </w:r>
      <w:r w:rsidRPr="00D52CB7" w:rsidR="00D50213">
        <w:t>2025</w:t>
      </w:r>
      <w:r w:rsidRPr="00D52CB7" w:rsidR="00B935C1">
        <w:t xml:space="preserve"> Bond</w:t>
      </w:r>
      <w:r w:rsidRPr="00D52CB7">
        <w:t xml:space="preserve">s or questioning or affecting the validity of the resolutions or the proceedings or authority under which they are to be issued.  There is no litigation pending or, to the Issuer’s knowledge, threatened which in any manner questions the right of the Issuer to enter into the Loan Agreement with the Charter School or to issue and secure the </w:t>
      </w:r>
      <w:r w:rsidRPr="00D52CB7" w:rsidR="00B935C1">
        <w:t xml:space="preserve">Series </w:t>
      </w:r>
      <w:r w:rsidRPr="00D52CB7" w:rsidR="00D50213">
        <w:t>2025</w:t>
      </w:r>
      <w:r w:rsidRPr="00D52CB7" w:rsidR="00B935C1">
        <w:t xml:space="preserve"> Bond</w:t>
      </w:r>
      <w:r w:rsidRPr="00D52CB7">
        <w:t>s in the manner provided in the Indenture.</w:t>
      </w:r>
    </w:p>
    <w:p w:rsidRPr="00D52CB7" w:rsidR="00743467" w:rsidP="00743467" w:rsidRDefault="00743467" w14:paraId="7BA79E14" w14:textId="77777777">
      <w:pPr>
        <w:pStyle w:val="TitleCenterBold"/>
        <w:spacing w:before="320"/>
      </w:pPr>
      <w:r w:rsidRPr="00D52CB7">
        <w:t>Tax Matters</w:t>
      </w:r>
      <w:r w:rsidRPr="00D52CB7">
        <w:fldChar w:fldCharType="begin"/>
      </w:r>
      <w:r w:rsidRPr="00D52CB7">
        <w:rPr>
          <w:b w:val="0"/>
        </w:rPr>
        <w:instrText>tc "</w:instrText>
      </w:r>
      <w:bookmarkStart w:name="_Toc156025685" w:id="124"/>
      <w:bookmarkStart w:name="_Toc195093892" w:id="125"/>
      <w:r w:rsidRPr="00D52CB7">
        <w:rPr>
          <w:b w:val="0"/>
        </w:rPr>
        <w:instrText xml:space="preserve">Tax </w:instrText>
      </w:r>
      <w:bookmarkEnd w:id="124"/>
      <w:r w:rsidRPr="00D52CB7">
        <w:rPr>
          <w:b w:val="0"/>
        </w:rPr>
        <w:instrText>Matters</w:instrText>
      </w:r>
      <w:bookmarkEnd w:id="125"/>
      <w:r w:rsidRPr="00D52CB7">
        <w:rPr>
          <w:b w:val="0"/>
        </w:rPr>
        <w:instrText>" \f C \l 1</w:instrText>
      </w:r>
      <w:r w:rsidRPr="00D52CB7">
        <w:fldChar w:fldCharType="end"/>
      </w:r>
    </w:p>
    <w:p w:rsidRPr="00D52CB7" w:rsidR="00743467" w:rsidP="00743467" w:rsidRDefault="00743467" w14:paraId="68686132" w14:textId="5D2415AA">
      <w:pPr>
        <w:pStyle w:val="TitleLeft"/>
        <w:spacing w:before="280"/>
      </w:pPr>
      <w:bookmarkStart w:name="_Toc71435022" w:id="126"/>
      <w:bookmarkStart w:name="_Toc81200962" w:id="127"/>
      <w:r w:rsidRPr="00D52CB7">
        <w:t>Federal Tax Exemption</w:t>
      </w:r>
      <w:bookmarkEnd w:id="126"/>
      <w:bookmarkEnd w:id="127"/>
      <w:r w:rsidRPr="00D52CB7">
        <w:t xml:space="preserve"> of </w:t>
      </w:r>
      <w:r w:rsidRPr="00D52CB7" w:rsidR="00B935C1">
        <w:t xml:space="preserve">Series </w:t>
      </w:r>
      <w:r w:rsidRPr="00D52CB7" w:rsidR="009939CA">
        <w:t>2025A Bond</w:t>
      </w:r>
      <w:r w:rsidRPr="00D52CB7">
        <w:t>s</w:t>
      </w:r>
      <w:r w:rsidRPr="00D52CB7">
        <w:fldChar w:fldCharType="begin"/>
      </w:r>
      <w:r w:rsidRPr="00D52CB7">
        <w:instrText>tc "</w:instrText>
      </w:r>
      <w:bookmarkStart w:name="_Toc43863738" w:id="128"/>
      <w:bookmarkStart w:name="_Toc62719764" w:id="129"/>
      <w:bookmarkStart w:name="_Toc104604857" w:id="130"/>
      <w:bookmarkStart w:name="_Toc104618345" w:id="131"/>
      <w:bookmarkStart w:name="_Toc138937480" w:id="132"/>
      <w:bookmarkStart w:name="_Toc195093893" w:id="133"/>
      <w:r w:rsidRPr="00D52CB7">
        <w:instrText>Federal Tax Exemption</w:instrText>
      </w:r>
      <w:bookmarkEnd w:id="128"/>
      <w:bookmarkEnd w:id="129"/>
      <w:bookmarkEnd w:id="130"/>
      <w:bookmarkEnd w:id="131"/>
      <w:bookmarkEnd w:id="132"/>
      <w:r w:rsidRPr="00D52CB7">
        <w:instrText xml:space="preserve"> of Series </w:instrText>
      </w:r>
      <w:r w:rsidRPr="00D52CB7" w:rsidR="00D50213">
        <w:instrText>2025</w:instrText>
      </w:r>
      <w:r w:rsidRPr="00D52CB7" w:rsidR="009939CA">
        <w:instrText>A</w:instrText>
      </w:r>
      <w:r w:rsidRPr="00D52CB7">
        <w:instrText xml:space="preserve"> Bonds</w:instrText>
      </w:r>
      <w:bookmarkEnd w:id="133"/>
      <w:r w:rsidRPr="00D52CB7">
        <w:instrText>" \f C \l 2</w:instrText>
      </w:r>
      <w:r w:rsidRPr="00D52CB7">
        <w:fldChar w:fldCharType="end"/>
      </w:r>
    </w:p>
    <w:p w:rsidRPr="00D52CB7" w:rsidR="00743467" w:rsidP="00743467" w:rsidRDefault="00743467" w14:paraId="0765A5CA" w14:textId="08E6D71D">
      <w:pPr>
        <w:pStyle w:val="ParaNORMAL"/>
        <w:spacing w:before="240" w:line="280" w:lineRule="atLeast"/>
      </w:pPr>
      <w:r w:rsidRPr="00D52CB7">
        <w:t xml:space="preserve">Federal tax law contains a number of requirements and restrictions which apply to the </w:t>
      </w:r>
      <w:r w:rsidRPr="00D52CB7" w:rsidR="00B935C1">
        <w:t xml:space="preserve">Series </w:t>
      </w:r>
      <w:r w:rsidRPr="00D52CB7" w:rsidR="009939CA">
        <w:t>2025A Bond</w:t>
      </w:r>
      <w:r w:rsidRPr="00D52CB7">
        <w:t xml:space="preserve">s, including investment restrictions, periodic payments of arbitrage profits to the United States, requirements regarding the proper use of bond proceeds and the facilities financed therewith and certain other matters.  The Issuer and the Charter School have covenanted to comply with all requirements that must be satisfied in order for the interest on the </w:t>
      </w:r>
      <w:r w:rsidRPr="00D52CB7" w:rsidR="00B935C1">
        <w:t xml:space="preserve">Series </w:t>
      </w:r>
      <w:r w:rsidRPr="00D52CB7" w:rsidR="009939CA">
        <w:t>2025A Bond</w:t>
      </w:r>
      <w:r w:rsidRPr="00D52CB7">
        <w:t xml:space="preserve">s to be excludable from gross income for federal income tax purposes.  Failure to comply with certain of such covenants could cause interest on the </w:t>
      </w:r>
      <w:r w:rsidRPr="00D52CB7" w:rsidR="00B935C1">
        <w:t xml:space="preserve">Series </w:t>
      </w:r>
      <w:r w:rsidRPr="00D52CB7" w:rsidR="009939CA">
        <w:t>2025A Bond</w:t>
      </w:r>
      <w:r w:rsidRPr="00D52CB7">
        <w:t xml:space="preserve">s to become includible in gross income for federal income tax purposes retroactively to the date of issuance of the </w:t>
      </w:r>
      <w:r w:rsidRPr="00D52CB7" w:rsidR="00B935C1">
        <w:t xml:space="preserve">Series </w:t>
      </w:r>
      <w:r w:rsidRPr="00D52CB7" w:rsidR="009939CA">
        <w:t>2025A Bond</w:t>
      </w:r>
      <w:r w:rsidRPr="00D52CB7">
        <w:t>s.</w:t>
      </w:r>
    </w:p>
    <w:p w:rsidRPr="00D52CB7" w:rsidR="00743467" w:rsidP="00743467" w:rsidRDefault="00743467" w14:paraId="6195FC10" w14:textId="2BA7FD63">
      <w:pPr>
        <w:pStyle w:val="ParaNORMAL"/>
        <w:spacing w:before="240" w:line="280" w:lineRule="atLeast"/>
      </w:pPr>
      <w:r w:rsidRPr="00D52CB7">
        <w:t>Subject to compliance by the Issuer and the Charter School with the above</w:t>
      </w:r>
      <w:r w:rsidRPr="00D52CB7">
        <w:noBreakHyphen/>
        <w:t xml:space="preserve">referenced covenants, under present law, in the opinion of Bond Counsel, interest on the </w:t>
      </w:r>
      <w:r w:rsidRPr="00D52CB7" w:rsidR="00B935C1">
        <w:t xml:space="preserve">Series </w:t>
      </w:r>
      <w:r w:rsidRPr="00D52CB7" w:rsidR="009939CA">
        <w:t>2025A Bond</w:t>
      </w:r>
      <w:r w:rsidRPr="00D52CB7">
        <w:t>s is excludable from the gross income of the owners thereof for federal income tax purposes and is not included as an item of tax preference in computing the federal alternative minimum tax for individuals.</w:t>
      </w:r>
      <w:r w:rsidRPr="00D52CB7" w:rsidR="001500BB">
        <w:t xml:space="preserve">  </w:t>
      </w:r>
      <w:r w:rsidRPr="00D52CB7" w:rsidR="006E18CC">
        <w:t>I</w:t>
      </w:r>
      <w:r w:rsidRPr="00D52CB7" w:rsidR="001500BB">
        <w:t xml:space="preserve">nterest on the </w:t>
      </w:r>
      <w:r w:rsidRPr="00D52CB7" w:rsidR="00B935C1">
        <w:t xml:space="preserve">Series </w:t>
      </w:r>
      <w:r w:rsidRPr="00D52CB7" w:rsidR="009939CA">
        <w:t>2025A Bond</w:t>
      </w:r>
      <w:r w:rsidRPr="00D52CB7" w:rsidR="001500BB">
        <w:t xml:space="preserve">s may affect the corporate alternative minimum tax for certain corporations. </w:t>
      </w:r>
    </w:p>
    <w:p w:rsidRPr="00D52CB7" w:rsidR="00743467" w:rsidP="00743467" w:rsidRDefault="00743467" w14:paraId="51F3EF2B" w14:textId="05C20CCC">
      <w:pPr>
        <w:pStyle w:val="ParaNORMAL"/>
        <w:spacing w:before="240" w:line="280" w:lineRule="atLeast"/>
      </w:pPr>
      <w:r w:rsidRPr="00D52CB7">
        <w:t xml:space="preserve">In rendering its opinion, Bond Counsel will rely upon certifications of the Issuer and the Charter School with respect to certain material facts within the Issuer’s or the Charter School’s knowledge and will rely on an opinion of </w:t>
      </w:r>
      <w:r w:rsidRPr="00D52CB7" w:rsidR="00EC11B3">
        <w:t>Farnsworth Johnson PLLC</w:t>
      </w:r>
      <w:r w:rsidRPr="00D52CB7">
        <w:t>, counsel to the Charter School, that the Charter School is a 501(c)(3) organization and certain other matters.  Bond Counsel’s opinion represents its legal judgment based upon its review of the law and the facts that it deems relevant to render such opinion and is not a guarantee of a result.</w:t>
      </w:r>
    </w:p>
    <w:p w:rsidRPr="00D52CB7" w:rsidR="00743467" w:rsidP="00743467" w:rsidRDefault="00743467" w14:paraId="162B1A0B" w14:textId="082CD028">
      <w:pPr>
        <w:pStyle w:val="ParaNORMAL"/>
        <w:spacing w:before="240" w:line="280" w:lineRule="atLeast"/>
      </w:pPr>
      <w:r w:rsidRPr="00D52CB7">
        <w:t xml:space="preserve">Ownership of the </w:t>
      </w:r>
      <w:r w:rsidRPr="00D52CB7" w:rsidR="00B935C1">
        <w:t xml:space="preserve">Series </w:t>
      </w:r>
      <w:r w:rsidRPr="00D52CB7" w:rsidR="009939CA">
        <w:t>2025A Bond</w:t>
      </w:r>
      <w:r w:rsidRPr="00D52CB7">
        <w:t xml:space="preserve">s may result in collateral federal income tax consequences to certain taxpayers, including, without limitation, corporations subject to the alternative minimum tax, corporations subject to the branch profits tax, financial institutions, </w:t>
      </w:r>
      <w:r w:rsidRPr="00D52CB7">
        <w:lastRenderedPageBreak/>
        <w:t>certain insurance companies, certain S corporations, individual recipients of Social Security or Railroad Retirement benefits and taxpayers who may be deemed to have incurred (or continued) indebtedness to purchase or carry tax</w:t>
      </w:r>
      <w:r w:rsidRPr="00D52CB7">
        <w:noBreakHyphen/>
        <w:t xml:space="preserve">exempt obligations.  Prospective purchasers of the </w:t>
      </w:r>
      <w:r w:rsidRPr="00D52CB7" w:rsidR="00B935C1">
        <w:t xml:space="preserve">Series </w:t>
      </w:r>
      <w:r w:rsidRPr="00D52CB7" w:rsidR="009939CA">
        <w:t>2025A Bond</w:t>
      </w:r>
      <w:r w:rsidRPr="00D52CB7">
        <w:t>s should consult their tax advisors as to applicability of any such collateral consequences.</w:t>
      </w:r>
    </w:p>
    <w:p w:rsidRPr="00D52CB7" w:rsidR="00627D5B" w:rsidP="00627D5B" w:rsidRDefault="00627D5B" w14:paraId="2AD919C7" w14:textId="77777777">
      <w:pPr>
        <w:pStyle w:val="ParaNORMAL"/>
        <w:spacing w:before="240" w:line="280" w:lineRule="atLeast"/>
      </w:pPr>
      <w:bookmarkStart w:name="_Toc71435023" w:id="134"/>
      <w:bookmarkStart w:name="_Toc81200963" w:id="135"/>
      <w:r w:rsidRPr="00D52CB7">
        <w:t xml:space="preserve">The issue price </w:t>
      </w:r>
      <w:r w:rsidRPr="00D52CB7">
        <w:rPr>
          <w:szCs w:val="24"/>
        </w:rPr>
        <w:t xml:space="preserve">for original issue discount (as further discussed below) and market discount purposes </w:t>
      </w:r>
      <w:r w:rsidRPr="00D52CB7">
        <w:t xml:space="preserve">(the </w:t>
      </w:r>
      <w:r w:rsidRPr="00D52CB7">
        <w:rPr>
          <w:i/>
        </w:rPr>
        <w:t>“OID Issue Price”</w:t>
      </w:r>
      <w:r w:rsidRPr="00D52CB7">
        <w:t xml:space="preserve">) for each maturity of the Series 2025A Bonds is the price at which a substantial amount of such maturity of the Series 2025A Bonds is first sold to the public </w:t>
      </w:r>
      <w:r w:rsidRPr="00D52CB7">
        <w:rPr>
          <w:szCs w:val="24"/>
        </w:rPr>
        <w:t xml:space="preserve">(excluding bond houses and brokers and similar persons or organizations acting in the capacity of underwriters, placement agents or wholesalers).  The OID </w:t>
      </w:r>
      <w:r w:rsidRPr="00D52CB7">
        <w:t>Issue Price of a maturity of the Series 2025A Bonds may be different from the price set forth, or the price corresponding to the yield set forth, on the cover page hereof.</w:t>
      </w:r>
    </w:p>
    <w:p w:rsidRPr="00D52CB7" w:rsidR="00627D5B" w:rsidP="00627D5B" w:rsidRDefault="00627D5B" w14:paraId="65BEBD02" w14:textId="77777777">
      <w:pPr>
        <w:pStyle w:val="ParaNORMAL"/>
        <w:spacing w:before="240" w:line="280" w:lineRule="atLeast"/>
      </w:pPr>
      <w:r w:rsidRPr="00D52CB7">
        <w:t xml:space="preserve">If the Issue Price of a maturity of the Series 2025A Bonds is less than the principal amount payable at maturity, the difference between the OID Issue Price of each such maturity of the Series 2025A Bonds (the </w:t>
      </w:r>
      <w:r w:rsidRPr="00D52CB7">
        <w:rPr>
          <w:i/>
        </w:rPr>
        <w:t>“OID Bonds”</w:t>
      </w:r>
      <w:r w:rsidRPr="00D52CB7">
        <w:t>) and the amount payable at maturity is original issue discount.</w:t>
      </w:r>
    </w:p>
    <w:p w:rsidRPr="00D52CB7" w:rsidR="00627D5B" w:rsidP="00627D5B" w:rsidRDefault="00627D5B" w14:paraId="6165EE22" w14:textId="77777777">
      <w:pPr>
        <w:pStyle w:val="ParaNORMAL"/>
      </w:pPr>
      <w:r w:rsidRPr="00D52CB7">
        <w:t xml:space="preserve">For an investor who purchases an OID Bond in the initial public offering at the </w:t>
      </w:r>
      <w:r w:rsidRPr="00D52CB7">
        <w:rPr>
          <w:szCs w:val="24"/>
        </w:rPr>
        <w:t xml:space="preserve">OID </w:t>
      </w:r>
      <w:r w:rsidRPr="00D52CB7">
        <w:t>Issue Price for such maturity and who holds such OID Bond to its stated maturity, subject to the condition that the Issuer and the Charter School comply with the covenants discussed above</w:t>
      </w:r>
      <w:r w:rsidRPr="00D52CB7">
        <w:rPr>
          <w:smallCaps/>
        </w:rPr>
        <w:t>,</w:t>
      </w:r>
      <w:r w:rsidRPr="00D52CB7">
        <w:t xml:space="preserve"> (a) the full amount of original issue discount with respect to such OID Bond constitutes interest which is excludible from the gross income of the owner thereof for federal income tax purposes; (b) such owner will not realize taxable capital gain or market discount upon payment of such OID Bond at its stated maturity; (c) such original issue discount is not included as an item of tax preference in computing the alternative minimum tax for individuals under the Code; and (d) the accretion of original issue discount in each year may result in certain collateral federal income tax consequences in each year even though a corresponding cash payment may not be received until a later year. </w:t>
      </w:r>
      <w:bookmarkStart w:name="_DV_M915" w:id="136"/>
      <w:bookmarkEnd w:id="136"/>
      <w:r w:rsidRPr="00D52CB7">
        <w:t xml:space="preserve"> Owners of OID Bonds should consult their own tax advisors with respect to the state and local tax consequences of original issue discount on such OID Bonds.</w:t>
      </w:r>
    </w:p>
    <w:p w:rsidRPr="00D52CB7" w:rsidR="00627D5B" w:rsidP="00627D5B" w:rsidRDefault="00627D5B" w14:paraId="1E6D8A96" w14:textId="77777777">
      <w:pPr>
        <w:pStyle w:val="ParaNORMAL"/>
      </w:pPr>
      <w:r w:rsidRPr="00D52CB7">
        <w:t>Owners of Bonds who dispose of Series 2025A Bonds prior to the stated maturity (whether by sale, redemption or otherwise), purchase such Series 2025A Bonds in the public offering, but at a price different from the OID Issue Price or purchase Series 2025A Bonds subsequent to the initial public offering should consult their own tax advisors.</w:t>
      </w:r>
    </w:p>
    <w:p w:rsidRPr="00D52CB7" w:rsidR="00627D5B" w:rsidP="00627D5B" w:rsidRDefault="00627D5B" w14:paraId="6B6A561C" w14:textId="77777777">
      <w:pPr>
        <w:pStyle w:val="ParaNORMAL"/>
      </w:pPr>
      <w:r w:rsidRPr="00D52CB7">
        <w:t xml:space="preserve">If a Series 2025A Bond is purchased at any time for a price that is less than the Series 2025A Bond’s stated redemption price at maturity or, in the case of an OID Bond, its </w:t>
      </w:r>
      <w:r w:rsidRPr="00D52CB7">
        <w:rPr>
          <w:szCs w:val="24"/>
        </w:rPr>
        <w:t xml:space="preserve">OID </w:t>
      </w:r>
      <w:r w:rsidRPr="00D52CB7">
        <w:t xml:space="preserve">Issue Price plus accreted original issue discount (the </w:t>
      </w:r>
      <w:r w:rsidRPr="00D52CB7">
        <w:rPr>
          <w:i/>
        </w:rPr>
        <w:t>“Revised Issue Price”</w:t>
      </w:r>
      <w:r w:rsidRPr="00D52CB7">
        <w:t>),</w:t>
      </w:r>
      <w:bookmarkStart w:name="_DV_M920" w:id="137"/>
      <w:bookmarkEnd w:id="137"/>
      <w:r w:rsidRPr="00D52CB7">
        <w:t xml:space="preserve"> the purchaser will be treated as having purchased a Series 2025A Bond with market discount subject to the market discount rules of the Code (unless a statutory </w:t>
      </w:r>
      <w:r w:rsidRPr="00D52CB7">
        <w:rPr>
          <w:i/>
        </w:rPr>
        <w:t>de minimis</w:t>
      </w:r>
      <w:r w:rsidRPr="00D52CB7">
        <w:t xml:space="preserve"> rule applies).  Accrued market discount is treated as taxable ordinary income and is recognized when a Series 2025A Bond is disposed of (to the extent such accrued discount does not exceed gain realized) or, at the purchaser’s election, as it accrues.  Such treatment would apply to any purchaser who purchases an OID Bond for a price that is less than its Revised Issue Price</w:t>
      </w:r>
      <w:bookmarkStart w:name="_DV_M921" w:id="138"/>
      <w:bookmarkEnd w:id="138"/>
      <w:r w:rsidRPr="00D52CB7">
        <w:t xml:space="preserve">.  The applicability of the market discount rules may adversely affect the liquidity or secondary market price of such Series 2025A Bond.  Purchasers </w:t>
      </w:r>
      <w:r w:rsidRPr="00D52CB7">
        <w:lastRenderedPageBreak/>
        <w:t>should consult their own tax advisors regarding the potential implications of market discount with respect to the Series 2025A Bonds.</w:t>
      </w:r>
    </w:p>
    <w:p w:rsidRPr="00D52CB7" w:rsidR="00627D5B" w:rsidP="00627D5B" w:rsidRDefault="00627D5B" w14:paraId="69766429" w14:textId="77777777">
      <w:pPr>
        <w:pStyle w:val="ParaNORMAL"/>
        <w:spacing w:before="240" w:line="280" w:lineRule="atLeast"/>
      </w:pPr>
      <w:r w:rsidRPr="00D52CB7">
        <w:t>An investor may purchase a Series 2025A Bond at a price in excess of its stated principal amount.  Such excess is characterized for federal income tax purposes as “bond premium” and must be amortized by an investor on a constant yield basis over the remaining term of such Series 2025A Bond in a manner that takes into account potential call dates and call prices.  An investor cannot deduct amortized bond premium relating to a tax</w:t>
      </w:r>
      <w:r w:rsidRPr="00D52CB7">
        <w:noBreakHyphen/>
        <w:t>exempt bond.  The amortized bond premium is treated as a reduction in the tax</w:t>
      </w:r>
      <w:r w:rsidRPr="00D52CB7">
        <w:noBreakHyphen/>
        <w:t>exempt interest received.  As bond premium is amortized, it reduces the investor’s basis in the Series 2025A Bond.  Investors who purchase a Series 2025A Bond at a premium should consult their own tax advisors regarding the amortization of bond premium and its effect on such Series 2025A Bond’s basis for purposes of computing gain or loss in connection with the sale, exchange, redemption or early retirement of such Series 2025A Bond.</w:t>
      </w:r>
    </w:p>
    <w:p w:rsidRPr="00D52CB7" w:rsidR="00627D5B" w:rsidP="00627D5B" w:rsidRDefault="00627D5B" w14:paraId="7DED59A0" w14:textId="77777777">
      <w:pPr>
        <w:pStyle w:val="ParaNORMAL"/>
        <w:spacing w:before="240" w:line="280" w:lineRule="atLeast"/>
      </w:pPr>
      <w:r w:rsidRPr="00D52CB7">
        <w:t>There are or may be pending in the Congress of the United States legislative proposals, including some that carry retroactive effective dates, that, if enacted, could alter or amend the federal tax matters referred to above or affect the market value of the Series 2025A Bonds.  It cannot be predicted whether or in what form any such proposal might be enacted or whether, if enacted, it would apply to bonds issued prior to enactment.  Prospective purchasers of the Series 2025A Bonds should consult their own tax advisors regarding any pending or proposed federal tax legislation.  Bond Counsel expresses no opinion regarding any pending or proposed federal tax legislation.</w:t>
      </w:r>
    </w:p>
    <w:p w:rsidRPr="00D52CB7" w:rsidR="00627D5B" w:rsidP="00627D5B" w:rsidRDefault="00627D5B" w14:paraId="15943C13" w14:textId="77777777">
      <w:pPr>
        <w:pStyle w:val="ParaNORMAL"/>
        <w:spacing w:before="240" w:line="280" w:lineRule="atLeast"/>
      </w:pPr>
      <w:r w:rsidRPr="00D52CB7">
        <w:t>The Internal Revenue Service (the</w:t>
      </w:r>
      <w:r w:rsidRPr="00D52CB7">
        <w:rPr>
          <w:i/>
        </w:rPr>
        <w:t xml:space="preserve"> “Service”</w:t>
      </w:r>
      <w:r w:rsidRPr="00D52CB7">
        <w:t>) has an ongoing program of auditing tax</w:t>
      </w:r>
      <w:r w:rsidRPr="00D52CB7">
        <w:noBreakHyphen/>
        <w:t>exempt obligations to determine whether, in the view of the Service, interest on such tax</w:t>
      </w:r>
      <w:r w:rsidRPr="00D52CB7">
        <w:noBreakHyphen/>
        <w:t>exempt obligations is includible in the gross income of the owners thereof for federal income tax purposes.  It cannot be predicted whether or not the Service will commence an audit of the Series 2025A Bonds.  If an audit is commenced, under current procedures the Service may treat the Issuer or the Charter School as a taxpayer and the Bondholders may have no right to participate in such procedure.  The commencement of an audit could adversely affect the market value and liquidity of the Series 2025A Bonds until the audit is concluded, regardless of the ultimate outcome.</w:t>
      </w:r>
    </w:p>
    <w:p w:rsidRPr="00D52CB7" w:rsidR="00627D5B" w:rsidP="00627D5B" w:rsidRDefault="00627D5B" w14:paraId="72D15C6C" w14:textId="77777777">
      <w:pPr>
        <w:pStyle w:val="ParaNORMAL"/>
        <w:spacing w:before="240" w:line="280" w:lineRule="atLeast"/>
      </w:pPr>
      <w:r w:rsidRPr="00D52CB7">
        <w:t>Payments of interest on and proceeds of the sale, redemption or maturity of, tax</w:t>
      </w:r>
      <w:r w:rsidRPr="00D52CB7">
        <w:noBreakHyphen/>
        <w:t>exempt obligations, including the Series 2025A Bonds, are in certain cases required to be reported to the Service.  Additionally, backup withholding may apply to any such payments to any Series 2025A Bond owner and any Series 2025A Bond owner who fails to provide an accurate Form W</w:t>
      </w:r>
      <w:r w:rsidRPr="00D52CB7">
        <w:noBreakHyphen/>
        <w:t>9 Request for Taxpayer Identification Number and Certification, or a substantially identical form, or to any Series 2025A Bond owner who is notified by the Service of a failure to report any interest or dividends required to be shown on federal income tax returns.  The reporting and backup withholding requirements do not affect the excludability of such interest from gross income for federal tax purposes.</w:t>
      </w:r>
    </w:p>
    <w:p w:rsidRPr="00D52CB7" w:rsidR="00627D5B" w:rsidP="00627D5B" w:rsidRDefault="00627D5B" w14:paraId="64D38BED" w14:textId="77777777">
      <w:pPr>
        <w:pStyle w:val="TitleLeft"/>
        <w:spacing w:before="280"/>
      </w:pPr>
      <w:r w:rsidRPr="00D52CB7">
        <w:lastRenderedPageBreak/>
        <w:t>Series 2025B Bonds Federally Taxable</w:t>
      </w:r>
      <w:r w:rsidRPr="00D52CB7">
        <w:fldChar w:fldCharType="begin"/>
      </w:r>
      <w:r w:rsidRPr="00D52CB7">
        <w:instrText>tc “</w:instrText>
      </w:r>
      <w:bookmarkStart w:name="_Toc104604859" w:id="139"/>
      <w:bookmarkStart w:name="_Toc104618347" w:id="140"/>
      <w:bookmarkStart w:name="_Toc138937482" w:id="141"/>
      <w:bookmarkStart w:name="_Toc170287349" w:id="142"/>
      <w:bookmarkStart w:name="_Toc465173434" w:id="143"/>
      <w:bookmarkStart w:name="_Toc184017611" w:id="144"/>
      <w:bookmarkStart w:name="_Toc184819633" w:id="145"/>
      <w:bookmarkStart w:name="_Toc195093894" w:id="146"/>
      <w:r w:rsidRPr="00D52CB7">
        <w:instrText>Series 2025B Bonds Federally Taxable</w:instrText>
      </w:r>
      <w:bookmarkEnd w:id="139"/>
      <w:bookmarkEnd w:id="140"/>
      <w:bookmarkEnd w:id="141"/>
      <w:bookmarkEnd w:id="142"/>
      <w:bookmarkEnd w:id="143"/>
      <w:bookmarkEnd w:id="144"/>
      <w:bookmarkEnd w:id="145"/>
      <w:bookmarkEnd w:id="146"/>
      <w:r w:rsidRPr="00D52CB7">
        <w:instrText>” \f C \l 2</w:instrText>
      </w:r>
      <w:r w:rsidRPr="00D52CB7">
        <w:fldChar w:fldCharType="end"/>
      </w:r>
    </w:p>
    <w:p w:rsidRPr="00D52CB7" w:rsidR="00627D5B" w:rsidP="00627D5B" w:rsidRDefault="00627D5B" w14:paraId="22ABE422" w14:textId="77777777">
      <w:pPr>
        <w:pStyle w:val="ParaNORMAL"/>
      </w:pPr>
      <w:r w:rsidRPr="00D52CB7">
        <w:t xml:space="preserve">Interest on the Series 2025B Bonds is includible in gross income for federal income tax purposes.  Ownership of the Series 2025B Bonds may result in other federal income tax consequences to certain taxpayers.  Bondholders should consult their tax advisors with respect to the inclusion of interest on the Series 2025B Bonds in gross income for federal income tax purposes and any collateral tax consequences.  </w:t>
      </w:r>
    </w:p>
    <w:p w:rsidRPr="00D52CB7" w:rsidR="00627D5B" w:rsidP="00627D5B" w:rsidRDefault="00627D5B" w14:paraId="375BA872" w14:textId="77777777">
      <w:pPr>
        <w:pStyle w:val="ParaNORMAL"/>
      </w:pPr>
      <w:r w:rsidRPr="00D52CB7">
        <w:t>The Charter School may deposit moneys or securities with the Trustee in escrow in such amount and manner as to cause the Series 2025B Bonds to be deemed to be no longer outstanding under the Indenture (a “</w:t>
      </w:r>
      <w:r w:rsidRPr="00D52CB7">
        <w:rPr>
          <w:i/>
        </w:rPr>
        <w:t>defeasance</w:t>
      </w:r>
      <w:r w:rsidRPr="00D52CB7">
        <w:t>”).  A defeasance of the Series 2025B Bonds may be treated as an exchange of the Series 2025B Bonds by the holders thereof and may therefore result in gain or loss to the holders.  Bondholders should consult their own tax advisors about the consequences if any of such a defeasance.  The Charter School is required to provide notice of defeasance of the Series 2025B Bonds pursuant to the Continuing Disclosure Undertaking.</w:t>
      </w:r>
    </w:p>
    <w:p w:rsidRPr="00D52CB7" w:rsidR="00743467" w:rsidP="00743467" w:rsidRDefault="00743467" w14:paraId="000D1EB1" w14:textId="77777777">
      <w:pPr>
        <w:pStyle w:val="TitleLeft"/>
        <w:spacing w:before="280"/>
      </w:pPr>
      <w:r w:rsidRPr="00D52CB7">
        <w:t>State Tax Exemption</w:t>
      </w:r>
      <w:bookmarkEnd w:id="134"/>
      <w:bookmarkEnd w:id="135"/>
      <w:r w:rsidRPr="00D52CB7">
        <w:fldChar w:fldCharType="begin"/>
      </w:r>
      <w:r w:rsidRPr="00D52CB7">
        <w:instrText>tc "</w:instrText>
      </w:r>
      <w:bookmarkStart w:name="_Toc43863739" w:id="147"/>
      <w:bookmarkStart w:name="_Toc62719765" w:id="148"/>
      <w:bookmarkStart w:name="_Toc104604860" w:id="149"/>
      <w:bookmarkStart w:name="_Toc104618348" w:id="150"/>
      <w:bookmarkStart w:name="_Toc138937483" w:id="151"/>
      <w:bookmarkStart w:name="_Toc195093895" w:id="152"/>
      <w:r w:rsidRPr="00D52CB7">
        <w:instrText>State Tax Exemption</w:instrText>
      </w:r>
      <w:bookmarkEnd w:id="147"/>
      <w:bookmarkEnd w:id="148"/>
      <w:bookmarkEnd w:id="149"/>
      <w:bookmarkEnd w:id="150"/>
      <w:bookmarkEnd w:id="151"/>
      <w:bookmarkEnd w:id="152"/>
      <w:r w:rsidRPr="00D52CB7">
        <w:instrText>" \f C \l 2</w:instrText>
      </w:r>
      <w:r w:rsidRPr="00D52CB7">
        <w:fldChar w:fldCharType="end"/>
      </w:r>
    </w:p>
    <w:p w:rsidRPr="00D52CB7" w:rsidR="00743467" w:rsidP="00743467" w:rsidRDefault="00743467" w14:paraId="125F1644" w14:textId="489BD0BC">
      <w:pPr>
        <w:pStyle w:val="ParaNORMAL"/>
      </w:pPr>
      <w:r w:rsidRPr="00D52CB7">
        <w:t xml:space="preserve">In the opinion of Bond Counsel, under the existing laws of the State, as presently enacted and construed, interest on the </w:t>
      </w:r>
      <w:r w:rsidRPr="00D52CB7" w:rsidR="00B935C1">
        <w:t xml:space="preserve">Series </w:t>
      </w:r>
      <w:r w:rsidRPr="00D52CB7" w:rsidR="00D50213">
        <w:t>2025</w:t>
      </w:r>
      <w:r w:rsidRPr="00D52CB7" w:rsidR="00B935C1">
        <w:t xml:space="preserve"> Bond</w:t>
      </w:r>
      <w:r w:rsidRPr="00D52CB7">
        <w:t xml:space="preserve">s is exempt from taxes imposed by the Utah Individual Income Tax Act.  Bond Counsel expresses no opinion with respect to any other taxes imposed by the State or any political subdivision thereof.  Ownership of the </w:t>
      </w:r>
      <w:r w:rsidRPr="00D52CB7" w:rsidR="00B935C1">
        <w:t xml:space="preserve">Series </w:t>
      </w:r>
      <w:r w:rsidRPr="00D52CB7" w:rsidR="00D50213">
        <w:t>2025</w:t>
      </w:r>
      <w:r w:rsidRPr="00D52CB7" w:rsidR="00B935C1">
        <w:t xml:space="preserve"> Bond</w:t>
      </w:r>
      <w:r w:rsidRPr="00D52CB7">
        <w:t xml:space="preserve">s may result in other state and local tax consequences to certain taxpayers.  Bond Counsel expresses no opinion regarding any such collateral consequences arising with respect to the </w:t>
      </w:r>
      <w:r w:rsidRPr="00D52CB7" w:rsidR="00B935C1">
        <w:t xml:space="preserve">Series </w:t>
      </w:r>
      <w:r w:rsidRPr="00D52CB7" w:rsidR="00D50213">
        <w:t>2025</w:t>
      </w:r>
      <w:r w:rsidRPr="00D52CB7" w:rsidR="00B935C1">
        <w:t xml:space="preserve"> Bond</w:t>
      </w:r>
      <w:r w:rsidRPr="00D52CB7">
        <w:t xml:space="preserve">s.  Prospective purchasers of the </w:t>
      </w:r>
      <w:r w:rsidRPr="00D52CB7" w:rsidR="00B935C1">
        <w:t xml:space="preserve">Series </w:t>
      </w:r>
      <w:r w:rsidRPr="00D52CB7" w:rsidR="00D50213">
        <w:t>2025</w:t>
      </w:r>
      <w:r w:rsidRPr="00D52CB7" w:rsidR="00B935C1">
        <w:t xml:space="preserve"> Bond</w:t>
      </w:r>
      <w:r w:rsidRPr="00D52CB7">
        <w:t>s should consult their tax advisors regarding the applicability of any such state and local taxes.</w:t>
      </w:r>
    </w:p>
    <w:p w:rsidRPr="00D52CB7" w:rsidR="00743467" w:rsidP="00743467" w:rsidRDefault="00743467" w14:paraId="64E5D763" w14:textId="77777777">
      <w:pPr>
        <w:pStyle w:val="TitleCenterBold"/>
        <w:spacing w:before="320"/>
      </w:pPr>
      <w:r w:rsidRPr="00D52CB7">
        <w:t>Continuing Disclosure</w:t>
      </w:r>
      <w:r w:rsidRPr="00D52CB7">
        <w:fldChar w:fldCharType="begin"/>
      </w:r>
      <w:r w:rsidRPr="00D52CB7">
        <w:rPr>
          <w:b w:val="0"/>
        </w:rPr>
        <w:instrText>tc "</w:instrText>
      </w:r>
      <w:bookmarkStart w:name="_Toc156025686" w:id="153"/>
      <w:bookmarkStart w:name="_Toc195093896" w:id="154"/>
      <w:r w:rsidRPr="00D52CB7">
        <w:rPr>
          <w:b w:val="0"/>
        </w:rPr>
        <w:instrText>Continuing Disclosure</w:instrText>
      </w:r>
      <w:bookmarkEnd w:id="153"/>
      <w:bookmarkEnd w:id="154"/>
      <w:r w:rsidRPr="00D52CB7">
        <w:rPr>
          <w:b w:val="0"/>
        </w:rPr>
        <w:instrText>" \f C \l 1</w:instrText>
      </w:r>
      <w:r w:rsidRPr="00D52CB7">
        <w:fldChar w:fldCharType="end"/>
      </w:r>
    </w:p>
    <w:p w:rsidRPr="00D52CB7" w:rsidR="00BE4E21" w:rsidP="00BE4E21" w:rsidRDefault="00BE4E21" w14:paraId="36983E8F" w14:textId="723E94DC">
      <w:pPr>
        <w:pStyle w:val="ParaNORMAL"/>
      </w:pPr>
      <w:r w:rsidRPr="00D52CB7">
        <w:t xml:space="preserve">The Charter School will execute and deliver a Continuing Disclosure Agreement (the </w:t>
      </w:r>
      <w:r w:rsidRPr="00D52CB7">
        <w:rPr>
          <w:i/>
        </w:rPr>
        <w:t>“Continuing Disclosure Agreement”</w:t>
      </w:r>
      <w:r w:rsidRPr="00D52CB7">
        <w:t xml:space="preserve">) for the benefit of the Beneficial Owners of the Series 2025 Bonds to send certain information annually and to provide notice of certain events to the Municipal Securities Rulemaking Board (the </w:t>
      </w:r>
      <w:r w:rsidRPr="00D52CB7">
        <w:rPr>
          <w:i/>
        </w:rPr>
        <w:t>“MSRB”</w:t>
      </w:r>
      <w:r w:rsidRPr="00D52CB7">
        <w:t>) pursuant to the requirements of Section (b)(5) of Rule 15c2</w:t>
      </w:r>
      <w:r w:rsidRPr="00D52CB7">
        <w:noBreakHyphen/>
        <w:t>12 (</w:t>
      </w:r>
      <w:r w:rsidRPr="00D52CB7">
        <w:rPr>
          <w:i/>
        </w:rPr>
        <w:t>“Rule 15c2-12”</w:t>
      </w:r>
      <w:r w:rsidRPr="00D52CB7">
        <w:t>) adopted by the Securities and Exchange Commission under the Securities Exchange Act of 1934, as amended.  No person, other than the Charter School, has undertaken, or is otherwise expected, to provide continuing disclosure with respect to the Series 2025 Bonds.  The information to be provided on an annual or quarterly basis, the events which will be noticed on an occurrence basis, and a summary of other terms of the Continuing Disclosure Undertaking, including termination, amendment and remedies, are set forth in “</w:t>
      </w:r>
      <w:r w:rsidRPr="00D52CB7">
        <w:rPr>
          <w:smallCaps/>
        </w:rPr>
        <w:t>Appendix F—Form of Continuing Disclosure Agreement</w:t>
      </w:r>
      <w:r w:rsidRPr="00D52CB7">
        <w:t>.”  These covenants have been made in order to assist the Underwriter in complying with Rule 15c2-12(b)(5).</w:t>
      </w:r>
    </w:p>
    <w:p w:rsidRPr="00D52CB7" w:rsidR="00BE4E21" w:rsidP="00BE4E21" w:rsidRDefault="00BE4E21" w14:paraId="09A4C6AC" w14:textId="77777777">
      <w:pPr>
        <w:pStyle w:val="ParaNORMAL"/>
      </w:pPr>
      <w:r w:rsidRPr="00D52CB7">
        <w:rPr>
          <w:color w:val="000000"/>
          <w:szCs w:val="24"/>
        </w:rPr>
        <w:t xml:space="preserve">The Issuer has no obligation to provide any of its financial or operating data in connection with the offering of the Series 2025 Bonds and no such financial or operating data should be considered material to an evaluation of the offering of the Series 2025 Bonds or to any decisions to purchase, hold, or sell the Series 2025 Bonds.  The Charter School has undertaken all </w:t>
      </w:r>
      <w:r w:rsidRPr="00D52CB7">
        <w:rPr>
          <w:color w:val="000000"/>
          <w:szCs w:val="24"/>
        </w:rPr>
        <w:lastRenderedPageBreak/>
        <w:t>responsibility for any continuing disclosure obligations to Bondholders as described below, and the Issuer has no liability to the Bondholders or any other person with respect to such disclosures.</w:t>
      </w:r>
    </w:p>
    <w:p w:rsidRPr="00D52CB7" w:rsidR="00BE4E21" w:rsidP="00BE4E21" w:rsidRDefault="00BE4E21" w14:paraId="11667C58" w14:textId="2BD1C489">
      <w:pPr>
        <w:pStyle w:val="ParaNORMAL"/>
      </w:pPr>
      <w:r w:rsidRPr="00D52CB7">
        <w:t>A failure by the Charter School to comply with the Continuing Disclosure Undertaking will not constitute a default under the Indenture or the Loan Agreement, and Beneficial Owners of the Series 2025 Bonds are limited to the remedies described in the Continuing Disclosure Agreement.  See “</w:t>
      </w:r>
      <w:r w:rsidRPr="00D52CB7">
        <w:rPr>
          <w:smallCaps/>
        </w:rPr>
        <w:t>Appendix F—Form of Continuing Disclosure Agreement</w:t>
      </w:r>
      <w:r w:rsidRPr="00D52CB7">
        <w:t>.”  The Charter School must report any failure to comply with the Continuing Disclosure Agreement</w:t>
      </w:r>
      <w:r w:rsidRPr="00D52CB7" w:rsidR="006F005D">
        <w:t xml:space="preserve"> </w:t>
      </w:r>
      <w:r w:rsidRPr="00D52CB7">
        <w:t>in accordance with Rule 15c2-12.  Any broker, dealer or municipal securities dealer must consider such report before recommending the purchase or sale of the Series 2025 Bonds in the secondary market.  Consequently, such a failure may adversely</w:t>
      </w:r>
      <w:r w:rsidRPr="00D52CB7">
        <w:rPr>
          <w:position w:val="6"/>
        </w:rPr>
        <w:t xml:space="preserve"> </w:t>
      </w:r>
      <w:r w:rsidRPr="00D52CB7">
        <w:t>affect the transferability and liquidity of the Series 2025 Bonds and their market price.</w:t>
      </w:r>
    </w:p>
    <w:p w:rsidRPr="00D52CB7" w:rsidR="00743467" w:rsidP="006F005D" w:rsidRDefault="00BE4E21" w14:paraId="21FBA3E8" w14:textId="61505E17">
      <w:pPr>
        <w:pStyle w:val="ParaNORMAL"/>
        <w:rPr>
          <w:b/>
          <w:bCs/>
        </w:rPr>
      </w:pPr>
      <w:r w:rsidRPr="00D52CB7">
        <w:t xml:space="preserve">The Charter School previously entered into a continuing disclosure undertaking pursuant to Rule 15c2-12 with respect to the Series 2018 Bonds (the </w:t>
      </w:r>
      <w:r w:rsidRPr="00D52CB7">
        <w:rPr>
          <w:i/>
          <w:iCs/>
        </w:rPr>
        <w:t>“Prior Undertaking”</w:t>
      </w:r>
      <w:r w:rsidRPr="00D52CB7">
        <w:t xml:space="preserve">).   </w:t>
      </w:r>
      <w:r w:rsidRPr="00D52CB7">
        <w:rPr>
          <w:b/>
          <w:bCs/>
        </w:rPr>
        <w:t>[any late filings or omissions?]</w:t>
      </w:r>
    </w:p>
    <w:p w:rsidRPr="00D52CB7" w:rsidR="00743467" w:rsidP="00743467" w:rsidRDefault="00743467" w14:paraId="4DCBD199" w14:textId="77777777">
      <w:pPr>
        <w:pStyle w:val="TitleCenterBold"/>
        <w:spacing w:before="320"/>
      </w:pPr>
      <w:r w:rsidRPr="00D52CB7">
        <w:t>Financial Statements of the Charter School</w:t>
      </w:r>
      <w:r w:rsidRPr="00D52CB7">
        <w:fldChar w:fldCharType="begin"/>
      </w:r>
      <w:r w:rsidRPr="00D52CB7">
        <w:rPr>
          <w:b w:val="0"/>
        </w:rPr>
        <w:instrText>tc "</w:instrText>
      </w:r>
      <w:bookmarkStart w:name="_Toc156025687" w:id="155"/>
      <w:bookmarkStart w:name="_Toc195093897" w:id="156"/>
      <w:r w:rsidRPr="00D52CB7">
        <w:rPr>
          <w:b w:val="0"/>
        </w:rPr>
        <w:instrText>Financial Statements of the Charter School</w:instrText>
      </w:r>
      <w:bookmarkEnd w:id="155"/>
      <w:bookmarkEnd w:id="156"/>
      <w:r w:rsidRPr="00D52CB7">
        <w:rPr>
          <w:b w:val="0"/>
        </w:rPr>
        <w:instrText>" \f C \l 1</w:instrText>
      </w:r>
      <w:r w:rsidRPr="00D52CB7">
        <w:fldChar w:fldCharType="end"/>
      </w:r>
    </w:p>
    <w:p w:rsidRPr="00D52CB7" w:rsidR="00743467" w:rsidP="00743467" w:rsidRDefault="00743467" w14:paraId="1F34BE04" w14:textId="0F2435BD">
      <w:pPr>
        <w:pStyle w:val="ParaNORMAL"/>
      </w:pPr>
      <w:r w:rsidRPr="00D52CB7">
        <w:t xml:space="preserve">The financial statements of the Charter School, as of and for the fiscal year ended </w:t>
      </w:r>
      <w:r w:rsidRPr="00D52CB7" w:rsidR="00AD6995">
        <w:t>June 30, 2024</w:t>
      </w:r>
      <w:r w:rsidRPr="00D52CB7">
        <w:t>, included in this Official Statement in “</w:t>
      </w:r>
      <w:r w:rsidRPr="00D52CB7">
        <w:rPr>
          <w:smallCaps/>
        </w:rPr>
        <w:t xml:space="preserve">Appendix C—Financial Statements of the Charter School as of and for the Fiscal Year Ended </w:t>
      </w:r>
      <w:r w:rsidRPr="00D52CB7" w:rsidR="00AD6995">
        <w:rPr>
          <w:smallCaps/>
        </w:rPr>
        <w:t>June 30, 2024</w:t>
      </w:r>
      <w:r w:rsidRPr="00D52CB7">
        <w:t xml:space="preserve">,” have been audited by </w:t>
      </w:r>
      <w:r w:rsidRPr="00D52CB7" w:rsidR="00907DE7">
        <w:t>Eide Bailly LLP</w:t>
      </w:r>
      <w:r w:rsidRPr="00D52CB7">
        <w:t>, independent certified public accountants, as indicated in their report thereon.</w:t>
      </w:r>
    </w:p>
    <w:p w:rsidRPr="00D52CB7" w:rsidR="00743467" w:rsidP="00743467" w:rsidRDefault="00743467" w14:paraId="456A545A" w14:textId="77777777">
      <w:pPr>
        <w:pStyle w:val="TitleCenterBold"/>
        <w:spacing w:before="320"/>
      </w:pPr>
      <w:r w:rsidRPr="00D52CB7">
        <w:t>Underwriting</w:t>
      </w:r>
      <w:r w:rsidRPr="00D52CB7">
        <w:fldChar w:fldCharType="begin"/>
      </w:r>
      <w:r w:rsidRPr="00D52CB7">
        <w:rPr>
          <w:b w:val="0"/>
          <w:smallCaps w:val="0"/>
        </w:rPr>
        <w:instrText>tc "</w:instrText>
      </w:r>
      <w:bookmarkStart w:name="_Toc195093898" w:id="157"/>
      <w:r w:rsidRPr="00D52CB7">
        <w:rPr>
          <w:b w:val="0"/>
        </w:rPr>
        <w:instrText>Underwriting</w:instrText>
      </w:r>
      <w:bookmarkEnd w:id="157"/>
      <w:r w:rsidRPr="00D52CB7">
        <w:rPr>
          <w:b w:val="0"/>
          <w:smallCaps w:val="0"/>
        </w:rPr>
        <w:instrText>" \f C \l 1</w:instrText>
      </w:r>
      <w:r w:rsidRPr="00D52CB7">
        <w:fldChar w:fldCharType="end"/>
      </w:r>
    </w:p>
    <w:p w:rsidRPr="00D52CB7" w:rsidR="006F005D" w:rsidP="006F005D" w:rsidRDefault="006F005D" w14:paraId="6F39E32A" w14:textId="77777777">
      <w:pPr>
        <w:pStyle w:val="ParaNORMAL"/>
      </w:pPr>
      <w:r w:rsidRPr="00D52CB7">
        <w:t xml:space="preserve">The Series 2025 Bonds are being sold to </w:t>
      </w:r>
      <w:r w:rsidRPr="00D52CB7">
        <w:rPr>
          <w:color w:val="000000"/>
        </w:rPr>
        <w:t>Herbert J. Sims &amp; Co., Inc.</w:t>
      </w:r>
      <w:r w:rsidRPr="00D52CB7">
        <w:t xml:space="preserve"> (the </w:t>
      </w:r>
      <w:r w:rsidRPr="00D52CB7">
        <w:rPr>
          <w:i/>
          <w:iCs/>
        </w:rPr>
        <w:t>“Underwriter”</w:t>
      </w:r>
      <w:r w:rsidRPr="00D52CB7">
        <w:t xml:space="preserve">) at an aggregate price of (i) with respect to the Series 2025A Bonds, $_____ (representing the principal amount of the Series 2025A Bonds, less original issue discount of $_____, less an Underwriter’s discount of $_____), and (b) with respect to the Series 2025B Bonds, $_____ (representing the principal amount of the Series 2025B Bonds, less an Underwriter’s discount of $_____), as set forth in the bond purchase agreement for the Series 2025 Bonds (the “Bond Purchase Agreement”).  </w:t>
      </w:r>
    </w:p>
    <w:p w:rsidRPr="00D52CB7" w:rsidR="006F005D" w:rsidP="006F005D" w:rsidRDefault="006F005D" w14:paraId="1ACCB50D" w14:textId="6B20EADF">
      <w:pPr>
        <w:pStyle w:val="ParaNORMAL"/>
      </w:pPr>
      <w:r w:rsidRPr="00D52CB7">
        <w:t xml:space="preserve">Expenses associated with the issuance of the Series 2025 Bonds are being paid from proceeds of the Series 2025 Bonds.  The right of the Underwriter to receive compensation in connection with the Series 2025 Bonds is contingent upon the actual sale and delivery of the Series 2025 Bonds.  The Underwriter has initially offered the Series 2025 Bonds to the public at the prices or yields set forth on the inside cover page of this </w:t>
      </w:r>
      <w:r w:rsidRPr="00D52CB7" w:rsidR="00B55AA7">
        <w:t>Official Statement</w:t>
      </w:r>
      <w:r w:rsidRPr="00D52CB7">
        <w:t xml:space="preserve">.  Such prices or yields may subsequently change without any requirement of prior notice.  The Underwriter reserves the right to join with dealers and other investment banking firms in offering the Series 2025 Bonds to the public.  The Charter School has agreed to indemnify the Underwriter and the Issuer against losses, claims, damages and liabilities arising out of any incorrect statement or information contained in or information omitted from this </w:t>
      </w:r>
      <w:r w:rsidRPr="00D52CB7" w:rsidR="00B55AA7">
        <w:t>Official Statement</w:t>
      </w:r>
      <w:r w:rsidRPr="00D52CB7">
        <w:t xml:space="preserve"> to the extent set forth in the Bond Purchase Agreement. The Underwriter reserves the right to join with dealers and other underwriters in offering the Series 2025 Bonds to the public.  The Underwriter may offer and sell the Series 2025 </w:t>
      </w:r>
      <w:r w:rsidRPr="00D52CB7">
        <w:lastRenderedPageBreak/>
        <w:t xml:space="preserve">Bonds to certain dealers (including dealers depositing Series 2025 Bonds into investment trusts) at prices lower than the public offering prices set forth on the inside cover page of this </w:t>
      </w:r>
      <w:r w:rsidRPr="00D52CB7" w:rsidR="00B55AA7">
        <w:t>Official Statement</w:t>
      </w:r>
      <w:r w:rsidRPr="00D52CB7">
        <w:t xml:space="preserve"> or otherwise allow concessions to such dealers who may re-allow concessions to other dealers. Any discounts or commissions that may be received by such dealers in connection with the sale of the Series 2025 Bonds will be deducted from the Underwriter’s underwriting discount. The obligation of the Underwriter to accept delivery of the Series 2025 Bonds is subject to various conditions contained in the Bond Purchase Agreement.</w:t>
      </w:r>
    </w:p>
    <w:p w:rsidRPr="00D52CB7" w:rsidR="00743467" w:rsidP="00743467" w:rsidRDefault="00743467" w14:paraId="0A553BAB" w14:textId="77777777">
      <w:pPr>
        <w:pStyle w:val="TitleCenterBold"/>
        <w:spacing w:before="320"/>
      </w:pPr>
      <w:r w:rsidRPr="00D52CB7">
        <w:t>Miscellaneous</w:t>
      </w:r>
      <w:r w:rsidRPr="00D52CB7">
        <w:fldChar w:fldCharType="begin"/>
      </w:r>
      <w:r w:rsidRPr="00D52CB7">
        <w:rPr>
          <w:b w:val="0"/>
          <w:smallCaps w:val="0"/>
        </w:rPr>
        <w:instrText>tc "</w:instrText>
      </w:r>
      <w:bookmarkStart w:name="_Toc195093899" w:id="158"/>
      <w:r w:rsidRPr="00D52CB7">
        <w:rPr>
          <w:b w:val="0"/>
        </w:rPr>
        <w:instrText>Miscellaneous</w:instrText>
      </w:r>
      <w:bookmarkEnd w:id="158"/>
      <w:r w:rsidRPr="00D52CB7">
        <w:rPr>
          <w:b w:val="0"/>
          <w:smallCaps w:val="0"/>
        </w:rPr>
        <w:instrText>" \f C \l 1</w:instrText>
      </w:r>
      <w:r w:rsidRPr="00D52CB7">
        <w:fldChar w:fldCharType="end"/>
      </w:r>
    </w:p>
    <w:p w:rsidRPr="00D52CB7" w:rsidR="00743467" w:rsidP="00743467" w:rsidRDefault="00743467" w14:paraId="02DEBE1B" w14:textId="0B655319">
      <w:pPr>
        <w:pStyle w:val="ParaNORMAL"/>
      </w:pPr>
      <w:r w:rsidRPr="00D52CB7">
        <w:t xml:space="preserve">All references to any document herein are qualified in their entirety by reference to each such document.  All references to the </w:t>
      </w:r>
      <w:r w:rsidRPr="00D52CB7" w:rsidR="00B935C1">
        <w:t xml:space="preserve">Series </w:t>
      </w:r>
      <w:r w:rsidRPr="00D52CB7" w:rsidR="00D50213">
        <w:t>2025</w:t>
      </w:r>
      <w:r w:rsidRPr="00D52CB7" w:rsidR="00B935C1">
        <w:t xml:space="preserve"> Bond</w:t>
      </w:r>
      <w:r w:rsidRPr="00D52CB7">
        <w:t>s are qualified in their entirety by reference to the forms thereof and the information with respect thereto included in the aforesaid documents.  Copies of these documents are available for inspection at the principal corporate trust office of the Trustee.</w:t>
      </w:r>
    </w:p>
    <w:p w:rsidRPr="00D52CB7" w:rsidR="00743467" w:rsidP="00743467" w:rsidRDefault="00743467" w14:paraId="362FC104" w14:textId="10E23D58">
      <w:pPr>
        <w:pStyle w:val="ParaNORMAL"/>
      </w:pPr>
      <w:r w:rsidRPr="00D52CB7">
        <w:t xml:space="preserve">The fees to be paid to Bond Counsel, counsel to the Charter School, the Trustee, the Underwriter, and the Financial Advisor are contingent upon the sale and delivery of the </w:t>
      </w:r>
      <w:r w:rsidRPr="00D52CB7" w:rsidR="00B935C1">
        <w:t xml:space="preserve">Series </w:t>
      </w:r>
      <w:r w:rsidRPr="00D52CB7" w:rsidR="00D50213">
        <w:t>2025</w:t>
      </w:r>
      <w:r w:rsidRPr="00D52CB7" w:rsidR="00B935C1">
        <w:t xml:space="preserve"> Bond</w:t>
      </w:r>
      <w:r w:rsidRPr="00D52CB7">
        <w:t>s.</w:t>
      </w:r>
    </w:p>
    <w:p w:rsidRPr="00D52CB7" w:rsidR="00743467" w:rsidP="00743467" w:rsidRDefault="00743467" w14:paraId="610C7A90" w14:textId="77777777">
      <w:pPr>
        <w:pStyle w:val="TitleCenterBold"/>
        <w:spacing w:before="320"/>
      </w:pPr>
      <w:bookmarkStart w:name="_Toc372192127" w:id="159"/>
      <w:bookmarkStart w:name="_Toc459906173" w:id="160"/>
      <w:r w:rsidRPr="00D52CB7">
        <w:t>Ratings</w:t>
      </w:r>
      <w:r w:rsidRPr="00D52CB7">
        <w:fldChar w:fldCharType="begin"/>
      </w:r>
      <w:r w:rsidRPr="00D52CB7">
        <w:rPr>
          <w:b w:val="0"/>
        </w:rPr>
        <w:instrText>tc "</w:instrText>
      </w:r>
      <w:bookmarkStart w:name="_Toc195093900" w:id="161"/>
      <w:r w:rsidRPr="00D52CB7">
        <w:rPr>
          <w:b w:val="0"/>
        </w:rPr>
        <w:instrText>Ratings</w:instrText>
      </w:r>
      <w:bookmarkEnd w:id="161"/>
      <w:r w:rsidRPr="00D52CB7">
        <w:rPr>
          <w:b w:val="0"/>
        </w:rPr>
        <w:instrText>" \f C \l 1</w:instrText>
      </w:r>
      <w:r w:rsidRPr="00D52CB7">
        <w:fldChar w:fldCharType="end"/>
      </w:r>
    </w:p>
    <w:p w:rsidRPr="00D52CB7" w:rsidR="00646264" w:rsidP="00646264" w:rsidRDefault="00B31E58" w14:paraId="09F2BF57" w14:textId="47187ADC">
      <w:pPr>
        <w:pStyle w:val="ParaNORMAL"/>
      </w:pPr>
      <w:r w:rsidRPr="00D52CB7">
        <w:rPr>
          <w:szCs w:val="19"/>
        </w:rPr>
        <w:t>[S&amp;P Global Ratings</w:t>
      </w:r>
      <w:r w:rsidRPr="00D52CB7" w:rsidR="00646264">
        <w:rPr>
          <w:szCs w:val="19"/>
        </w:rPr>
        <w:t xml:space="preserve"> (</w:t>
      </w:r>
      <w:r w:rsidRPr="00D52CB7" w:rsidR="00646264">
        <w:rPr>
          <w:i/>
          <w:szCs w:val="19"/>
        </w:rPr>
        <w:t>“</w:t>
      </w:r>
      <w:r w:rsidRPr="00D52CB7">
        <w:rPr>
          <w:i/>
          <w:szCs w:val="19"/>
        </w:rPr>
        <w:t>S&amp;P</w:t>
      </w:r>
      <w:r w:rsidRPr="00D52CB7" w:rsidR="00646264">
        <w:rPr>
          <w:i/>
          <w:szCs w:val="19"/>
        </w:rPr>
        <w:t>”</w:t>
      </w:r>
      <w:r w:rsidRPr="00D52CB7">
        <w:rPr>
          <w:i/>
          <w:szCs w:val="19"/>
        </w:rPr>
        <w:t xml:space="preserve"> </w:t>
      </w:r>
      <w:r w:rsidRPr="00D52CB7">
        <w:rPr>
          <w:iCs/>
          <w:szCs w:val="19"/>
        </w:rPr>
        <w:t xml:space="preserve">or the </w:t>
      </w:r>
      <w:r w:rsidRPr="00D52CB7">
        <w:rPr>
          <w:i/>
          <w:szCs w:val="19"/>
        </w:rPr>
        <w:t>“Rating Agency”</w:t>
      </w:r>
      <w:r w:rsidRPr="00D52CB7" w:rsidR="00646264">
        <w:rPr>
          <w:szCs w:val="19"/>
        </w:rPr>
        <w:t xml:space="preserve">) has assigned the </w:t>
      </w:r>
      <w:r w:rsidRPr="00D52CB7" w:rsidR="00B935C1">
        <w:rPr>
          <w:szCs w:val="19"/>
        </w:rPr>
        <w:t xml:space="preserve">Series </w:t>
      </w:r>
      <w:r w:rsidRPr="00D52CB7" w:rsidR="00D50213">
        <w:rPr>
          <w:szCs w:val="19"/>
        </w:rPr>
        <w:t>2025</w:t>
      </w:r>
      <w:r w:rsidRPr="00D52CB7" w:rsidR="00B935C1">
        <w:rPr>
          <w:szCs w:val="19"/>
        </w:rPr>
        <w:t xml:space="preserve"> Bond</w:t>
      </w:r>
      <w:r w:rsidRPr="00D52CB7" w:rsidR="00646264">
        <w:rPr>
          <w:szCs w:val="19"/>
        </w:rPr>
        <w:t>s a rating of “</w:t>
      </w:r>
      <w:r w:rsidRPr="00D52CB7">
        <w:rPr>
          <w:szCs w:val="19"/>
        </w:rPr>
        <w:t>___</w:t>
      </w:r>
      <w:r w:rsidRPr="00D52CB7" w:rsidR="00646264">
        <w:rPr>
          <w:szCs w:val="19"/>
        </w:rPr>
        <w:t xml:space="preserve">”, reflective of the CSCE Program.  </w:t>
      </w:r>
      <w:r w:rsidRPr="00D52CB7">
        <w:rPr>
          <w:szCs w:val="19"/>
        </w:rPr>
        <w:t>S&amp;P</w:t>
      </w:r>
      <w:r w:rsidRPr="00D52CB7" w:rsidR="00646264">
        <w:rPr>
          <w:szCs w:val="19"/>
        </w:rPr>
        <w:t xml:space="preserve"> has also assigned the </w:t>
      </w:r>
      <w:r w:rsidRPr="00D52CB7" w:rsidR="00B935C1">
        <w:rPr>
          <w:szCs w:val="19"/>
        </w:rPr>
        <w:t xml:space="preserve">Series </w:t>
      </w:r>
      <w:r w:rsidRPr="00D52CB7" w:rsidR="00D50213">
        <w:rPr>
          <w:szCs w:val="19"/>
        </w:rPr>
        <w:t>2025</w:t>
      </w:r>
      <w:r w:rsidRPr="00D52CB7" w:rsidR="00B935C1">
        <w:rPr>
          <w:szCs w:val="19"/>
        </w:rPr>
        <w:t xml:space="preserve"> Bond</w:t>
      </w:r>
      <w:r w:rsidRPr="00D52CB7" w:rsidR="00646264">
        <w:rPr>
          <w:szCs w:val="19"/>
        </w:rPr>
        <w:t>s an underlying rating of “B</w:t>
      </w:r>
      <w:r w:rsidRPr="00D52CB7" w:rsidR="008B7D09">
        <w:rPr>
          <w:szCs w:val="19"/>
        </w:rPr>
        <w:t>B</w:t>
      </w:r>
      <w:r w:rsidRPr="00D52CB7" w:rsidR="00646264">
        <w:rPr>
          <w:szCs w:val="19"/>
        </w:rPr>
        <w:t>”.</w:t>
      </w:r>
    </w:p>
    <w:p w:rsidRPr="00D52CB7" w:rsidR="00743467" w:rsidP="00743467" w:rsidRDefault="00743467" w14:paraId="05DCBAC5" w14:textId="210FBFF0">
      <w:pPr>
        <w:pStyle w:val="ParaNORMAL"/>
      </w:pPr>
      <w:r w:rsidRPr="00D52CB7">
        <w:rPr>
          <w:szCs w:val="19"/>
        </w:rPr>
        <w:t xml:space="preserve">The ratings reflect only the view of the </w:t>
      </w:r>
      <w:r w:rsidRPr="00D52CB7" w:rsidR="008B7D09">
        <w:rPr>
          <w:szCs w:val="19"/>
        </w:rPr>
        <w:t>R</w:t>
      </w:r>
      <w:r w:rsidRPr="00D52CB7">
        <w:rPr>
          <w:szCs w:val="19"/>
        </w:rPr>
        <w:t>ating</w:t>
      </w:r>
      <w:r w:rsidRPr="00D52CB7" w:rsidR="008B7D09">
        <w:rPr>
          <w:szCs w:val="19"/>
        </w:rPr>
        <w:t xml:space="preserve"> A</w:t>
      </w:r>
      <w:r w:rsidRPr="00D52CB7">
        <w:rPr>
          <w:szCs w:val="19"/>
        </w:rPr>
        <w:t xml:space="preserve">gency and any desired explanation of the significance of such ratings should be obtained from the </w:t>
      </w:r>
      <w:r w:rsidRPr="00D52CB7" w:rsidR="008B7D09">
        <w:rPr>
          <w:szCs w:val="19"/>
        </w:rPr>
        <w:t>Rating Agency</w:t>
      </w:r>
      <w:r w:rsidRPr="00D52CB7">
        <w:rPr>
          <w:szCs w:val="19"/>
        </w:rPr>
        <w:t xml:space="preserve">.  Generally, a rating agency bases its rating on the information and materials furnished to it and on investigations, studies and assumptions of its own.  There is no assurance that such ratings will continue for any given period of time or that such ratings will not be revised downward or withdrawn entirely by the </w:t>
      </w:r>
      <w:r w:rsidRPr="00D52CB7" w:rsidR="008B7D09">
        <w:rPr>
          <w:szCs w:val="19"/>
        </w:rPr>
        <w:t>Rating Agency</w:t>
      </w:r>
      <w:r w:rsidRPr="00D52CB7">
        <w:rPr>
          <w:szCs w:val="19"/>
        </w:rPr>
        <w:t xml:space="preserve">, if, in the judgment of such </w:t>
      </w:r>
      <w:r w:rsidRPr="00D52CB7" w:rsidR="008B7D09">
        <w:rPr>
          <w:szCs w:val="19"/>
        </w:rPr>
        <w:t>Rating Agency</w:t>
      </w:r>
      <w:r w:rsidRPr="00D52CB7">
        <w:rPr>
          <w:szCs w:val="19"/>
        </w:rPr>
        <w:t xml:space="preserve">, circumstances so warrant.  Any such downward revision or withdrawal of the ratings may have an adverse effect on the market price of the </w:t>
      </w:r>
      <w:r w:rsidRPr="00D52CB7" w:rsidR="00B935C1">
        <w:rPr>
          <w:szCs w:val="19"/>
        </w:rPr>
        <w:t xml:space="preserve">Series </w:t>
      </w:r>
      <w:r w:rsidRPr="00D52CB7" w:rsidR="00D50213">
        <w:rPr>
          <w:szCs w:val="19"/>
        </w:rPr>
        <w:t>2025</w:t>
      </w:r>
      <w:r w:rsidRPr="00D52CB7" w:rsidR="00B935C1">
        <w:rPr>
          <w:szCs w:val="19"/>
        </w:rPr>
        <w:t xml:space="preserve"> Bond</w:t>
      </w:r>
      <w:r w:rsidRPr="00D52CB7">
        <w:rPr>
          <w:szCs w:val="19"/>
        </w:rPr>
        <w:t>s.</w:t>
      </w:r>
    </w:p>
    <w:p w:rsidRPr="00D52CB7" w:rsidR="00743467" w:rsidP="00743467" w:rsidRDefault="00743467" w14:paraId="7FF5C6B1" w14:textId="77777777">
      <w:pPr>
        <w:pStyle w:val="TitleCenterBold"/>
        <w:spacing w:before="320"/>
      </w:pPr>
      <w:r w:rsidRPr="00D52CB7">
        <w:t>Financial Advisor to the Charter School</w:t>
      </w:r>
      <w:bookmarkEnd w:id="159"/>
      <w:bookmarkEnd w:id="160"/>
      <w:r w:rsidRPr="00D52CB7">
        <w:rPr>
          <w:b w:val="0"/>
        </w:rPr>
        <w:fldChar w:fldCharType="begin"/>
      </w:r>
      <w:r w:rsidRPr="00D52CB7">
        <w:rPr>
          <w:b w:val="0"/>
        </w:rPr>
        <w:instrText>tc "</w:instrText>
      </w:r>
      <w:bookmarkStart w:name="_Toc195093901" w:id="162"/>
      <w:r w:rsidRPr="00D52CB7">
        <w:rPr>
          <w:b w:val="0"/>
        </w:rPr>
        <w:instrText>Financial Advisor to the Charter School</w:instrText>
      </w:r>
      <w:bookmarkEnd w:id="162"/>
      <w:r w:rsidRPr="00D52CB7">
        <w:rPr>
          <w:b w:val="0"/>
        </w:rPr>
        <w:instrText>" \f C \l 1</w:instrText>
      </w:r>
      <w:r w:rsidRPr="00D52CB7">
        <w:rPr>
          <w:b w:val="0"/>
        </w:rPr>
        <w:fldChar w:fldCharType="end"/>
      </w:r>
    </w:p>
    <w:p w:rsidRPr="00D52CB7" w:rsidR="00743467" w:rsidP="00743467" w:rsidRDefault="00244666" w14:paraId="12D47E2C" w14:textId="50446002">
      <w:pPr>
        <w:pStyle w:val="00BodyText5"/>
        <w:spacing w:before="280" w:after="0" w:line="280" w:lineRule="exact"/>
        <w:rPr>
          <w:rFonts w:ascii="Times" w:hAnsi="Times"/>
        </w:rPr>
      </w:pPr>
      <w:r w:rsidRPr="00D52CB7">
        <w:rPr>
          <w:rFonts w:ascii="Times" w:hAnsi="Times"/>
          <w:lang w:val="en-US"/>
        </w:rPr>
        <w:t>LRB Public Finance Advisors</w:t>
      </w:r>
      <w:r w:rsidRPr="00D52CB7" w:rsidR="00743467">
        <w:rPr>
          <w:rFonts w:ascii="Times" w:hAnsi="Times"/>
        </w:rPr>
        <w:t xml:space="preserve"> is acting as financial advisor to the Charter School in connection with the issuance of the </w:t>
      </w:r>
      <w:r w:rsidRPr="00D52CB7" w:rsidR="00B935C1">
        <w:rPr>
          <w:rFonts w:ascii="Times" w:hAnsi="Times"/>
        </w:rPr>
        <w:t xml:space="preserve">Series </w:t>
      </w:r>
      <w:r w:rsidRPr="00D52CB7" w:rsidR="00D50213">
        <w:rPr>
          <w:rFonts w:ascii="Times" w:hAnsi="Times"/>
        </w:rPr>
        <w:t>2025</w:t>
      </w:r>
      <w:r w:rsidRPr="00D52CB7" w:rsidR="00B935C1">
        <w:rPr>
          <w:rFonts w:ascii="Times" w:hAnsi="Times"/>
        </w:rPr>
        <w:t xml:space="preserve"> Bond</w:t>
      </w:r>
      <w:r w:rsidRPr="00D52CB7" w:rsidR="00743467">
        <w:rPr>
          <w:rFonts w:ascii="Times" w:hAnsi="Times"/>
        </w:rPr>
        <w:t xml:space="preserve">s.  </w:t>
      </w:r>
      <w:r w:rsidRPr="00D52CB7">
        <w:rPr>
          <w:rFonts w:ascii="Times" w:hAnsi="Times"/>
          <w:lang w:val="en-US"/>
        </w:rPr>
        <w:t>LRB Public Finance Advisors</w:t>
      </w:r>
      <w:r w:rsidRPr="00D52CB7" w:rsidR="00E84432">
        <w:rPr>
          <w:rFonts w:ascii="Times" w:hAnsi="Times"/>
          <w:lang w:val="en-US"/>
        </w:rPr>
        <w:t xml:space="preserve"> </w:t>
      </w:r>
      <w:r w:rsidRPr="00D52CB7" w:rsidR="00743467">
        <w:rPr>
          <w:rFonts w:ascii="Times" w:hAnsi="Times"/>
        </w:rPr>
        <w:t>is not obligated, nor has undertaken, to make an independent verification or to assume responsibility for the accuracy or completeness of the information contained in thi</w:t>
      </w:r>
      <w:bookmarkStart w:name="_Toc358645417" w:id="163"/>
      <w:r w:rsidRPr="00D52CB7" w:rsidR="00743467">
        <w:rPr>
          <w:rFonts w:ascii="Times" w:hAnsi="Times"/>
        </w:rPr>
        <w:t>s Official Statement.</w:t>
      </w:r>
    </w:p>
    <w:p w:rsidRPr="00D52CB7" w:rsidR="00743467" w:rsidP="00743467" w:rsidRDefault="00743467" w14:paraId="7CF919D9" w14:textId="77777777">
      <w:pPr>
        <w:pStyle w:val="TitleCenterBold"/>
        <w:spacing w:before="320"/>
      </w:pPr>
      <w:r w:rsidRPr="00D52CB7">
        <w:lastRenderedPageBreak/>
        <w:t>Trustee</w:t>
      </w:r>
      <w:r w:rsidRPr="00D52CB7">
        <w:rPr>
          <w:b w:val="0"/>
        </w:rPr>
        <w:fldChar w:fldCharType="begin"/>
      </w:r>
      <w:r w:rsidRPr="00D52CB7">
        <w:rPr>
          <w:b w:val="0"/>
        </w:rPr>
        <w:instrText>tc "</w:instrText>
      </w:r>
      <w:bookmarkStart w:name="_Toc195093902" w:id="164"/>
      <w:r w:rsidRPr="00D52CB7">
        <w:rPr>
          <w:b w:val="0"/>
        </w:rPr>
        <w:instrText>Trustee</w:instrText>
      </w:r>
      <w:bookmarkEnd w:id="164"/>
      <w:r w:rsidRPr="00D52CB7">
        <w:rPr>
          <w:b w:val="0"/>
        </w:rPr>
        <w:instrText>" \f C \l 1</w:instrText>
      </w:r>
      <w:r w:rsidRPr="00D52CB7">
        <w:rPr>
          <w:b w:val="0"/>
        </w:rPr>
        <w:fldChar w:fldCharType="end"/>
      </w:r>
    </w:p>
    <w:p w:rsidRPr="00D52CB7" w:rsidR="00743467" w:rsidP="00743467" w:rsidRDefault="00743467" w14:paraId="7B619F0D" w14:textId="32178315">
      <w:pPr>
        <w:pStyle w:val="00BodyText5"/>
        <w:spacing w:before="280" w:after="0" w:line="280" w:lineRule="exact"/>
        <w:rPr>
          <w:rFonts w:ascii="Times" w:hAnsi="Times"/>
        </w:rPr>
      </w:pPr>
      <w:r w:rsidRPr="00D52CB7">
        <w:rPr>
          <w:rFonts w:ascii="Times" w:hAnsi="Times"/>
        </w:rPr>
        <w:t xml:space="preserve">The Trustee did not participate in the preparation of this Official Statement and makes no representations concerning the notes, the collateral or any other matter stated in this Official Statement.  The Trustee has no duty or obligation to pay the </w:t>
      </w:r>
      <w:r w:rsidRPr="00D52CB7" w:rsidR="00B935C1">
        <w:rPr>
          <w:rFonts w:ascii="Times" w:hAnsi="Times"/>
        </w:rPr>
        <w:t xml:space="preserve">Series </w:t>
      </w:r>
      <w:r w:rsidRPr="00D52CB7" w:rsidR="00D50213">
        <w:rPr>
          <w:rFonts w:ascii="Times" w:hAnsi="Times"/>
        </w:rPr>
        <w:t>2025</w:t>
      </w:r>
      <w:r w:rsidRPr="00D52CB7" w:rsidR="00B935C1">
        <w:rPr>
          <w:rFonts w:ascii="Times" w:hAnsi="Times"/>
        </w:rPr>
        <w:t xml:space="preserve"> Bond</w:t>
      </w:r>
      <w:r w:rsidRPr="00D52CB7">
        <w:rPr>
          <w:rFonts w:ascii="Times" w:hAnsi="Times"/>
        </w:rPr>
        <w:t>s from its own funds, assets or corporate capital or to make inquiry regarding, or investigate the use of, amounts disbursed from the Trust Estate.</w:t>
      </w:r>
    </w:p>
    <w:p w:rsidRPr="00D52CB7" w:rsidR="00743467" w:rsidP="00743467" w:rsidRDefault="00743467" w14:paraId="6B1FB46D" w14:textId="77777777">
      <w:pPr>
        <w:pStyle w:val="TitleCenterBold"/>
        <w:spacing w:before="320"/>
      </w:pPr>
      <w:bookmarkStart w:name="_Toc358645421" w:id="165"/>
      <w:bookmarkStart w:name="_Toc459906177" w:id="166"/>
      <w:bookmarkEnd w:id="163"/>
      <w:r w:rsidRPr="00D52CB7">
        <w:t>Additional Information</w:t>
      </w:r>
      <w:bookmarkEnd w:id="165"/>
      <w:bookmarkEnd w:id="166"/>
      <w:r w:rsidRPr="00D52CB7">
        <w:fldChar w:fldCharType="begin"/>
      </w:r>
      <w:r w:rsidRPr="00D52CB7">
        <w:instrText>tc "</w:instrText>
      </w:r>
      <w:bookmarkStart w:name="_Toc195093903" w:id="167"/>
      <w:r w:rsidRPr="00D52CB7">
        <w:rPr>
          <w:b w:val="0"/>
        </w:rPr>
        <w:instrText>Additional Information</w:instrText>
      </w:r>
      <w:bookmarkEnd w:id="167"/>
      <w:r w:rsidRPr="00D52CB7">
        <w:instrText>" \f C \l 1</w:instrText>
      </w:r>
      <w:r w:rsidRPr="00D52CB7">
        <w:fldChar w:fldCharType="end"/>
      </w:r>
    </w:p>
    <w:p w:rsidRPr="00D52CB7" w:rsidR="00743467" w:rsidP="00743467" w:rsidRDefault="00743467" w14:paraId="3A59996E" w14:textId="77777777">
      <w:pPr>
        <w:pStyle w:val="00BodyText5"/>
        <w:spacing w:before="280" w:after="0" w:line="280" w:lineRule="exact"/>
        <w:rPr>
          <w:rFonts w:ascii="Times" w:hAnsi="Times"/>
        </w:rPr>
      </w:pPr>
      <w:r w:rsidRPr="00D52CB7">
        <w:rPr>
          <w:rFonts w:ascii="Times" w:hAnsi="Times"/>
        </w:rPr>
        <w:t>Copies of constitutional provisions, statutes, resolutions, agreements, contracts, financial statements, reports, publications and other documents or compilations of data or information summarized or referred to herein are available as described in “</w:t>
      </w:r>
      <w:r w:rsidRPr="00D52CB7">
        <w:rPr>
          <w:rFonts w:ascii="Times" w:hAnsi="Times"/>
          <w:smallCaps/>
        </w:rPr>
        <w:t>Introduction–</w:t>
      </w:r>
      <w:r w:rsidRPr="00D52CB7">
        <w:rPr>
          <w:rFonts w:ascii="Times" w:hAnsi="Times"/>
        </w:rPr>
        <w:t>Additional Information.”</w:t>
      </w:r>
    </w:p>
    <w:p w:rsidRPr="00D52CB7" w:rsidR="00743467" w:rsidP="00743467" w:rsidRDefault="00743467" w14:paraId="1A5FF717" w14:textId="77777777">
      <w:pPr>
        <w:pStyle w:val="TitleCenterBold"/>
        <w:spacing w:before="320"/>
      </w:pPr>
      <w:bookmarkStart w:name="_Toc358645422" w:id="168"/>
      <w:bookmarkStart w:name="_Toc459906178" w:id="169"/>
      <w:r w:rsidRPr="00D52CB7">
        <w:t>Official Statement Certification</w:t>
      </w:r>
      <w:bookmarkEnd w:id="168"/>
      <w:bookmarkEnd w:id="169"/>
      <w:r w:rsidRPr="00D52CB7">
        <w:fldChar w:fldCharType="begin"/>
      </w:r>
      <w:r w:rsidRPr="00D52CB7">
        <w:instrText>tc "</w:instrText>
      </w:r>
      <w:bookmarkStart w:name="_Toc195093904" w:id="170"/>
      <w:r w:rsidRPr="00D52CB7">
        <w:rPr>
          <w:b w:val="0"/>
        </w:rPr>
        <w:instrText>Official Statement Certification</w:instrText>
      </w:r>
      <w:bookmarkEnd w:id="170"/>
      <w:r w:rsidRPr="00D52CB7">
        <w:instrText>" \f C \l 1</w:instrText>
      </w:r>
      <w:r w:rsidRPr="00D52CB7">
        <w:fldChar w:fldCharType="end"/>
      </w:r>
    </w:p>
    <w:p w:rsidRPr="00D52CB7" w:rsidR="00743467" w:rsidP="00743467" w:rsidRDefault="00743467" w14:paraId="6E96F6EF" w14:textId="3381825A">
      <w:pPr>
        <w:pStyle w:val="ParaNORMAL"/>
      </w:pPr>
      <w:r w:rsidRPr="00D52CB7">
        <w:t xml:space="preserve">The preparation of this Official Statement and its distribution have been authorized by the Charter School.  This Official Statement is not to be construed as an agreement or contract between the Charter School and any purchaser, owner or holder of any </w:t>
      </w:r>
      <w:r w:rsidRPr="00D52CB7" w:rsidR="00B935C1">
        <w:t xml:space="preserve">Series </w:t>
      </w:r>
      <w:r w:rsidRPr="00D52CB7" w:rsidR="00D50213">
        <w:t>2025</w:t>
      </w:r>
      <w:r w:rsidRPr="00D52CB7" w:rsidR="00B935C1">
        <w:t xml:space="preserve"> Bond</w:t>
      </w:r>
      <w:r w:rsidRPr="00D52CB7">
        <w:t>.</w:t>
      </w:r>
    </w:p>
    <w:p w:rsidRPr="00D52CB7" w:rsidR="00743467" w:rsidP="00743467" w:rsidRDefault="00743467" w14:paraId="308C16E7" w14:textId="77777777">
      <w:pPr>
        <w:pStyle w:val="Signature"/>
        <w:keepNext/>
        <w:keepLines/>
      </w:pPr>
    </w:p>
    <w:p w:rsidRPr="00D52CB7" w:rsidR="00743467" w:rsidP="00743467" w:rsidRDefault="00B85642" w14:paraId="09575AF0" w14:textId="31CF7F63">
      <w:pPr>
        <w:pStyle w:val="Signature"/>
        <w:keepNext/>
        <w:keepLines/>
        <w:rPr>
          <w:smallCaps/>
        </w:rPr>
      </w:pPr>
      <w:r w:rsidRPr="00D52CB7">
        <w:rPr>
          <w:smallCaps/>
        </w:rPr>
        <w:t xml:space="preserve">Generacion </w:t>
      </w:r>
      <w:proofErr w:type="spellStart"/>
      <w:r w:rsidRPr="00D52CB7">
        <w:rPr>
          <w:smallCaps/>
        </w:rPr>
        <w:t>Floreciente</w:t>
      </w:r>
      <w:proofErr w:type="spellEnd"/>
      <w:r w:rsidRPr="00D52CB7">
        <w:rPr>
          <w:smallCaps/>
        </w:rPr>
        <w:t xml:space="preserve"> dba Esperanza Elementary</w:t>
      </w:r>
    </w:p>
    <w:p w:rsidRPr="00D52CB7" w:rsidR="00743467" w:rsidP="00743467" w:rsidRDefault="00743467" w14:paraId="77485372" w14:textId="77777777">
      <w:pPr>
        <w:pStyle w:val="ParaFLUSH"/>
        <w:keepNext/>
        <w:keepLines/>
        <w:spacing w:before="0"/>
      </w:pPr>
    </w:p>
    <w:p w:rsidRPr="00D52CB7" w:rsidR="00743467" w:rsidP="00743467" w:rsidRDefault="00743467" w14:paraId="2CB62757" w14:textId="77777777">
      <w:pPr>
        <w:pStyle w:val="ParaFLUSH"/>
        <w:keepNext/>
        <w:keepLines/>
        <w:spacing w:before="0"/>
      </w:pPr>
    </w:p>
    <w:p w:rsidRPr="00D52CB7" w:rsidR="00743467" w:rsidP="00743467" w:rsidRDefault="00743467" w14:paraId="757231D9" w14:textId="77777777">
      <w:pPr>
        <w:pStyle w:val="TitleCenterBold"/>
        <w:sectPr w:rsidRPr="00D52CB7" w:rsidR="00743467" w:rsidSect="00236E78">
          <w:headerReference w:type="default" r:id="rId18"/>
          <w:footerReference w:type="default" r:id="rId19"/>
          <w:footerReference w:type="first" r:id="rId20"/>
          <w:pgSz w:w="12240" w:h="15840"/>
          <w:pgMar w:top="1440" w:right="1440" w:bottom="1440" w:left="1440" w:header="720" w:footer="720" w:gutter="0"/>
          <w:pgNumType w:start="1"/>
          <w:cols w:space="720"/>
          <w:titlePg/>
          <w:docGrid w:linePitch="326"/>
        </w:sectPr>
      </w:pPr>
    </w:p>
    <w:p w:rsidRPr="00D52CB7" w:rsidR="00743467" w:rsidP="00743467" w:rsidRDefault="00743467" w14:paraId="38EF4AFE" w14:textId="77777777">
      <w:pPr>
        <w:pStyle w:val="00TitleC"/>
        <w:rPr>
          <w:rFonts w:ascii="Times" w:hAnsi="Times"/>
        </w:rPr>
      </w:pPr>
      <w:r w:rsidRPr="00D52CB7">
        <w:rPr>
          <w:rFonts w:ascii="Times" w:hAnsi="Times"/>
          <w:smallCaps/>
          <w:sz w:val="24"/>
        </w:rPr>
        <w:lastRenderedPageBreak/>
        <w:t>Appendix A</w:t>
      </w:r>
      <w:r w:rsidRPr="00D52CB7">
        <w:rPr>
          <w:rFonts w:ascii="Times" w:hAnsi="Times"/>
        </w:rPr>
        <w:br/>
      </w:r>
      <w:r w:rsidRPr="00D52CB7">
        <w:rPr>
          <w:rFonts w:ascii="Times" w:hAnsi="Times"/>
        </w:rPr>
        <w:br/>
      </w:r>
      <w:r w:rsidRPr="00D52CB7">
        <w:rPr>
          <w:rFonts w:ascii="Times" w:hAnsi="Times"/>
          <w:smallCaps/>
          <w:sz w:val="24"/>
        </w:rPr>
        <w:t>Charter Schools in Utah</w:t>
      </w:r>
    </w:p>
    <w:p w:rsidRPr="00D52CB7" w:rsidR="00743467" w:rsidP="00743467" w:rsidRDefault="00743467" w14:paraId="4F1CC12C" w14:textId="77777777">
      <w:pPr>
        <w:ind w:firstLine="720"/>
        <w:jc w:val="both"/>
        <w:rPr>
          <w:rFonts w:ascii="Times" w:hAnsi="Times"/>
        </w:rPr>
      </w:pPr>
    </w:p>
    <w:p w:rsidRPr="00D52CB7" w:rsidR="00743467" w:rsidP="00743467" w:rsidRDefault="00743467" w14:paraId="1D2B9917" w14:textId="77777777">
      <w:pPr>
        <w:pStyle w:val="NormalCenterBold"/>
        <w:sectPr w:rsidRPr="00D52CB7" w:rsidR="00743467" w:rsidSect="00236E78">
          <w:headerReference w:type="default" r:id="rId21"/>
          <w:footerReference w:type="default" r:id="rId22"/>
          <w:headerReference w:type="first" r:id="rId23"/>
          <w:footerReference w:type="first" r:id="rId24"/>
          <w:pgSz w:w="12240" w:h="15840"/>
          <w:pgMar w:top="1440" w:right="1440" w:bottom="1440" w:left="1440" w:header="720" w:footer="720" w:gutter="0"/>
          <w:pgNumType w:start="1"/>
          <w:cols w:space="720"/>
          <w:titlePg/>
          <w:docGrid w:linePitch="326"/>
        </w:sectPr>
      </w:pPr>
    </w:p>
    <w:p w:rsidRPr="00D52CB7" w:rsidR="00743467" w:rsidP="00743467" w:rsidRDefault="00743467" w14:paraId="2C9CD49C" w14:textId="77777777">
      <w:pPr>
        <w:pStyle w:val="NormalCenterBold"/>
      </w:pPr>
      <w:r w:rsidRPr="00D52CB7">
        <w:lastRenderedPageBreak/>
        <w:t>Appendix B</w:t>
      </w:r>
      <w:r w:rsidRPr="00D52CB7">
        <w:br/>
      </w:r>
      <w:r w:rsidRPr="00D52CB7">
        <w:br/>
        <w:t>The Charter School</w:t>
      </w:r>
    </w:p>
    <w:p w:rsidRPr="00D52CB7" w:rsidR="00743467" w:rsidP="00743467" w:rsidRDefault="00743467" w14:paraId="17952291" w14:textId="77777777">
      <w:pPr>
        <w:pStyle w:val="ParaNORMAL"/>
        <w:rPr>
          <w:snapToGrid w:val="0"/>
        </w:rPr>
        <w:sectPr w:rsidRPr="00D52CB7" w:rsidR="00743467" w:rsidSect="00236E78">
          <w:footerReference w:type="default" r:id="rId25"/>
          <w:footerReference w:type="first" r:id="rId26"/>
          <w:pgSz w:w="12240" w:h="15840"/>
          <w:pgMar w:top="1440" w:right="1440" w:bottom="1440" w:left="1440" w:header="720" w:footer="720" w:gutter="0"/>
          <w:pgNumType w:start="1"/>
          <w:cols w:space="720"/>
          <w:docGrid w:linePitch="326"/>
        </w:sectPr>
      </w:pPr>
    </w:p>
    <w:p w:rsidRPr="00D52CB7" w:rsidR="00743467" w:rsidP="00743467" w:rsidRDefault="00743467" w14:paraId="4F5BC980" w14:textId="3885E5BC">
      <w:pPr>
        <w:pStyle w:val="NormalCenterBold"/>
      </w:pPr>
      <w:r w:rsidRPr="00D52CB7">
        <w:lastRenderedPageBreak/>
        <w:t>Appendix C</w:t>
      </w:r>
      <w:r w:rsidRPr="00D52CB7">
        <w:br/>
      </w:r>
      <w:r w:rsidRPr="00D52CB7">
        <w:br/>
        <w:t>Financial Statements of the Charter School as of and</w:t>
      </w:r>
      <w:r w:rsidRPr="00D52CB7">
        <w:br/>
        <w:t xml:space="preserve">for the Fiscal Year Ended </w:t>
      </w:r>
      <w:r w:rsidRPr="00D52CB7" w:rsidR="00AD6995">
        <w:t>June 30, 2024</w:t>
      </w:r>
    </w:p>
    <w:p w:rsidRPr="00D52CB7" w:rsidR="00743467" w:rsidP="00743467" w:rsidRDefault="00743467" w14:paraId="0F4E0F84" w14:textId="77777777">
      <w:pPr>
        <w:rPr>
          <w:rFonts w:ascii="Times" w:hAnsi="Times"/>
        </w:rPr>
      </w:pPr>
    </w:p>
    <w:p w:rsidRPr="00D52CB7" w:rsidR="00743467" w:rsidP="00743467" w:rsidRDefault="00743467" w14:paraId="40B5F087" w14:textId="77777777">
      <w:pPr>
        <w:rPr>
          <w:rFonts w:ascii="Times" w:hAnsi="Times"/>
        </w:rPr>
      </w:pPr>
    </w:p>
    <w:p w:rsidRPr="00D52CB7" w:rsidR="00743467" w:rsidP="00743467" w:rsidRDefault="00743467" w14:paraId="1ED94004" w14:textId="77777777">
      <w:pPr>
        <w:rPr>
          <w:rFonts w:ascii="Times" w:hAnsi="Times"/>
        </w:rPr>
      </w:pPr>
    </w:p>
    <w:p w:rsidRPr="00D52CB7" w:rsidR="00743467" w:rsidP="00743467" w:rsidRDefault="00743467" w14:paraId="0F798C2F" w14:textId="77777777">
      <w:pPr>
        <w:pStyle w:val="ParaNORMAL"/>
        <w:sectPr w:rsidRPr="00D52CB7" w:rsidR="00743467" w:rsidSect="00236E78">
          <w:footerReference w:type="default" r:id="rId27"/>
          <w:footerReference w:type="first" r:id="rId28"/>
          <w:pgSz w:w="12240" w:h="15840"/>
          <w:pgMar w:top="1440" w:right="1440" w:bottom="1440" w:left="1440" w:header="720" w:footer="720" w:gutter="0"/>
          <w:pgNumType w:start="1"/>
          <w:cols w:space="720"/>
          <w:docGrid w:linePitch="326"/>
        </w:sectPr>
      </w:pPr>
    </w:p>
    <w:p w:rsidRPr="00D52CB7" w:rsidR="00743467" w:rsidP="00743467" w:rsidRDefault="00743467" w14:paraId="4503996D" w14:textId="77777777">
      <w:pPr>
        <w:pStyle w:val="NormalCenterBold"/>
      </w:pPr>
      <w:r w:rsidRPr="00D52CB7">
        <w:lastRenderedPageBreak/>
        <w:t>Appendix D</w:t>
      </w:r>
      <w:r w:rsidRPr="00D52CB7">
        <w:br/>
      </w:r>
      <w:r w:rsidRPr="00D52CB7">
        <w:br/>
        <w:t>Forms of Bond Documents</w:t>
      </w:r>
    </w:p>
    <w:p w:rsidRPr="00D52CB7" w:rsidR="00743467" w:rsidP="00743467" w:rsidRDefault="00743467" w14:paraId="3621C6D6" w14:textId="77777777">
      <w:pPr>
        <w:pStyle w:val="NormalCenterBold"/>
        <w:sectPr w:rsidRPr="00D52CB7" w:rsidR="00743467" w:rsidSect="00236E78">
          <w:footerReference w:type="default" r:id="rId29"/>
          <w:footerReference w:type="first" r:id="rId30"/>
          <w:pgSz w:w="12240" w:h="15840"/>
          <w:pgMar w:top="1440" w:right="1440" w:bottom="1440" w:left="1440" w:header="720" w:footer="720" w:gutter="0"/>
          <w:pgNumType w:start="1"/>
          <w:cols w:space="720"/>
          <w:docGrid w:linePitch="326"/>
        </w:sectPr>
      </w:pPr>
    </w:p>
    <w:p w:rsidRPr="00D52CB7" w:rsidR="00743467" w:rsidP="00743467" w:rsidRDefault="00743467" w14:paraId="48D5CA38" w14:textId="77777777">
      <w:pPr>
        <w:pStyle w:val="NormalCenterBold"/>
      </w:pPr>
      <w:r w:rsidRPr="00D52CB7">
        <w:lastRenderedPageBreak/>
        <w:t>Appendix E</w:t>
      </w:r>
      <w:r w:rsidRPr="00D52CB7">
        <w:br/>
      </w:r>
      <w:r w:rsidRPr="00D52CB7">
        <w:br/>
        <w:t>Form of Opinion of Bond Counsel</w:t>
      </w:r>
    </w:p>
    <w:p w:rsidRPr="00D52CB7" w:rsidR="00743467" w:rsidP="00743467" w:rsidRDefault="00743467" w14:paraId="4CBBB550" w14:textId="77777777">
      <w:pPr>
        <w:rPr>
          <w:rFonts w:ascii="Times" w:hAnsi="Times"/>
        </w:rPr>
      </w:pPr>
    </w:p>
    <w:p w:rsidRPr="00D52CB7" w:rsidR="00743467" w:rsidP="00743467" w:rsidRDefault="00743467" w14:paraId="58279846" w14:textId="77777777">
      <w:pPr>
        <w:pStyle w:val="ParaNORMAL"/>
        <w:sectPr w:rsidRPr="00D52CB7" w:rsidR="00743467" w:rsidSect="00236E78">
          <w:footerReference w:type="default" r:id="rId31"/>
          <w:footerReference w:type="first" r:id="rId32"/>
          <w:pgSz w:w="12240" w:h="15840"/>
          <w:pgMar w:top="1440" w:right="1440" w:bottom="1440" w:left="1440" w:header="720" w:footer="720" w:gutter="0"/>
          <w:pgNumType w:start="1"/>
          <w:cols w:space="720"/>
          <w:docGrid w:linePitch="326"/>
        </w:sectPr>
      </w:pPr>
    </w:p>
    <w:p w:rsidRPr="00485B8C" w:rsidR="00743467" w:rsidP="00743467" w:rsidRDefault="00743467" w14:paraId="0209A9F3" w14:textId="23350042">
      <w:pPr>
        <w:pStyle w:val="NormalCenterBold"/>
      </w:pPr>
      <w:r w:rsidRPr="00D52CB7">
        <w:lastRenderedPageBreak/>
        <w:t>Appendix F</w:t>
      </w:r>
      <w:r w:rsidRPr="00D52CB7">
        <w:br/>
      </w:r>
      <w:r w:rsidRPr="00D52CB7">
        <w:br/>
        <w:t xml:space="preserve">Form of </w:t>
      </w:r>
      <w:r w:rsidRPr="00D52CB7" w:rsidR="00244666">
        <w:t>Continuing Disclosure Agreement</w:t>
      </w:r>
    </w:p>
    <w:p w:rsidRPr="00485B8C" w:rsidR="00743467" w:rsidP="00743467" w:rsidRDefault="00743467" w14:paraId="47C96DB3" w14:textId="77777777">
      <w:pPr>
        <w:rPr>
          <w:rFonts w:ascii="Times" w:hAnsi="Times"/>
        </w:rPr>
      </w:pPr>
    </w:p>
    <w:p w:rsidRPr="00485B8C" w:rsidR="00743467" w:rsidP="00743467" w:rsidRDefault="00743467" w14:paraId="15823C22" w14:textId="77777777">
      <w:pPr>
        <w:rPr>
          <w:rFonts w:ascii="Times" w:hAnsi="Times"/>
        </w:rPr>
      </w:pPr>
    </w:p>
    <w:p w:rsidRPr="00485B8C" w:rsidR="00981CBE" w:rsidP="00743467" w:rsidRDefault="00981CBE" w14:paraId="281BBB90" w14:textId="2B985981">
      <w:pPr>
        <w:rPr>
          <w:rFonts w:ascii="Times" w:hAnsi="Times"/>
        </w:rPr>
      </w:pPr>
    </w:p>
    <w:sectPr w:rsidRPr="00485B8C" w:rsidR="00981CBE" w:rsidSect="00236E78">
      <w:footerReference w:type="default" r:id="rId33"/>
      <w:footerReference w:type="first" r:id="rId34"/>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295E" w:rsidRDefault="002D295E" w14:paraId="719FAFAC" w14:textId="77777777">
      <w:r>
        <w:separator/>
      </w:r>
    </w:p>
  </w:endnote>
  <w:endnote w:type="continuationSeparator" w:id="0">
    <w:p w:rsidR="002D295E" w:rsidRDefault="002D295E" w14:paraId="640C73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ms Rmn">
    <w:panose1 w:val="020B0604020202020204"/>
    <w:charset w:val="4D"/>
    <w:family w:val="roman"/>
    <w:pitch w:val="variable"/>
    <w:sig w:usb0="00000003" w:usb1="00000000" w:usb2="00000000" w:usb3="00000000" w:csb0="00000001" w:csb1="00000000"/>
  </w:font>
  <w:font w:name="Times">
    <w:altName w:val="Times New Roman"/>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TimesNewRomanPSMT">
    <w:altName w:val="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A4B47" w:rsidR="00176C30" w:rsidP="00D33AA1" w:rsidRDefault="00176C30" w14:paraId="244F5074" w14:textId="544E7A0D">
    <w:pPr>
      <w:pStyle w:val="Footer"/>
      <w:tabs>
        <w:tab w:val="clear" w:pos="4680"/>
        <w:tab w:val="clear" w:pos="9360"/>
        <w:tab w:val="left" w:pos="540"/>
      </w:tabs>
      <w:spacing w:line="180" w:lineRule="exact"/>
      <w:rPr>
        <w:sz w:val="16"/>
        <w:szCs w:val="16"/>
      </w:rPr>
    </w:pPr>
    <w:r w:rsidRPr="007E0E11">
      <w:rPr>
        <w:vanish/>
        <w:sz w:val="16"/>
        <w:szCs w:val="16"/>
      </w:rPr>
      <w:fldChar w:fldCharType="begin"/>
    </w:r>
    <w:r w:rsidRPr="007E0E11">
      <w:rPr>
        <w:vanish/>
        <w:sz w:val="16"/>
        <w:szCs w:val="16"/>
      </w:rPr>
      <w:instrText xml:space="preserve"> FILENAME </w:instrText>
    </w:r>
    <w:r w:rsidRPr="007E0E11">
      <w:rPr>
        <w:vanish/>
        <w:sz w:val="16"/>
        <w:szCs w:val="16"/>
      </w:rPr>
      <w:fldChar w:fldCharType="separate"/>
    </w:r>
    <w:r w:rsidR="00A1016C">
      <w:rPr>
        <w:noProof/>
        <w:vanish/>
        <w:sz w:val="16"/>
        <w:szCs w:val="16"/>
      </w:rPr>
      <w:t>Promontory Official Statement 4880-7867-0165 v12.docx</w:t>
    </w:r>
    <w:r w:rsidRPr="007E0E11">
      <w:rPr>
        <w:vanish/>
        <w:sz w:val="16"/>
        <w:szCs w:val="16"/>
      </w:rPr>
      <w:fldChar w:fldCharType="end"/>
    </w:r>
    <w:r w:rsidRPr="007E0E11">
      <w:rPr>
        <w:vanish/>
        <w:sz w:val="16"/>
        <w:szCs w:val="16"/>
      </w:rPr>
      <w:t>—</w:t>
    </w:r>
    <w:r w:rsidR="00A0184A">
      <w:rPr>
        <w:vanish/>
        <w:sz w:val="16"/>
        <w:szCs w:val="16"/>
      </w:rPr>
      <w:t>8711525</w:t>
    </w:r>
    <w:r w:rsidRPr="007E0E11">
      <w:rPr>
        <w:vanish/>
        <w:sz w:val="16"/>
        <w:szCs w:val="16"/>
      </w:rPr>
      <w:t>/ETH/</w:t>
    </w:r>
    <w:r>
      <w:rPr>
        <w:vanish/>
        <w:sz w:val="16"/>
        <w:szCs w:val="16"/>
      </w:rPr>
      <w:t>mo</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65E0" w:rsidR="00176C30" w:rsidP="00981CBE" w:rsidRDefault="00176C30" w14:paraId="197ED436" w14:textId="77777777">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6E78" w:rsidR="00176C30" w:rsidP="00236E78" w:rsidRDefault="00176C30" w14:paraId="59C4A9CE" w14:textId="77777777">
    <w:pPr>
      <w:pStyle w:val="Footer"/>
      <w:jc w:val="cen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65E0" w:rsidR="00176C30" w:rsidP="00981CBE" w:rsidRDefault="00176C30" w14:paraId="3C40F39B" w14:textId="77777777">
    <w:pPr>
      <w:pStyle w:val="Footer"/>
      <w:jc w:val="cen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C30" w:rsidP="00981CBE" w:rsidRDefault="00176C30" w14:paraId="5E5B3734" w14:textId="77777777">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65E0" w:rsidR="00176C30" w:rsidP="00981CBE" w:rsidRDefault="00176C30" w14:paraId="7B13B9C1" w14:textId="77777777">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C30" w:rsidP="00981CBE" w:rsidRDefault="00176C30" w14:paraId="69B805D4" w14:textId="77777777">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93B9D" w:rsidR="00176C30" w:rsidP="00981CBE" w:rsidRDefault="00176C30" w14:paraId="34E0F541" w14:textId="77777777">
    <w:pPr>
      <w:pStyle w:val="Footer"/>
      <w:jc w:val="center"/>
    </w:pPr>
    <w:r>
      <w:t>D</w:t>
    </w:r>
    <w:r w:rsidRPr="005E4595">
      <w:t>-</w:t>
    </w:r>
    <w:r w:rsidRPr="005E4595">
      <w:fldChar w:fldCharType="begin"/>
    </w:r>
    <w:r w:rsidRPr="005E4595">
      <w:instrText xml:space="preserve"> PAGE </w:instrText>
    </w:r>
    <w:r w:rsidRPr="005E4595">
      <w:fldChar w:fldCharType="separate"/>
    </w:r>
    <w:r>
      <w:rPr>
        <w:noProof/>
      </w:rPr>
      <w:t>1</w:t>
    </w:r>
    <w:r w:rsidRPr="005E4595">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C30" w:rsidP="00981CBE" w:rsidRDefault="00176C30" w14:paraId="2EEB6696" w14:textId="77777777">
    <w:pPr>
      <w:pStyle w:val="Footer"/>
      <w:jc w:val="center"/>
    </w:pPr>
    <w:r>
      <w:t>E-</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93B9D" w:rsidR="00176C30" w:rsidP="00981CBE" w:rsidRDefault="00176C30" w14:paraId="6C12FBE4" w14:textId="77777777">
    <w:pPr>
      <w:pStyle w:val="Footer"/>
      <w:jc w:val="center"/>
    </w:pPr>
    <w:r>
      <w:t>E</w:t>
    </w:r>
    <w:r w:rsidRPr="005E4595">
      <w:t>-</w:t>
    </w:r>
    <w:r w:rsidRPr="005E4595">
      <w:fldChar w:fldCharType="begin"/>
    </w:r>
    <w:r w:rsidRPr="005E4595">
      <w:instrText xml:space="preserve"> PAGE </w:instrText>
    </w:r>
    <w:r w:rsidRPr="005E4595">
      <w:fldChar w:fldCharType="separate"/>
    </w:r>
    <w:r>
      <w:rPr>
        <w:noProof/>
      </w:rPr>
      <w:t>1</w:t>
    </w:r>
    <w:r w:rsidRPr="005E4595">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6792" w:rsidR="00176C30" w:rsidP="00981CBE" w:rsidRDefault="00176C30" w14:paraId="4C62C980" w14:textId="6B2D3E87">
    <w:pPr>
      <w:pStyle w:val="Footer"/>
      <w:jc w:val="center"/>
    </w:pPr>
    <w:r>
      <w:t>F</w:t>
    </w:r>
    <w:r w:rsidRPr="005E4595">
      <w:t>-</w:t>
    </w:r>
    <w:r w:rsidRPr="005E4595">
      <w:fldChar w:fldCharType="begin"/>
    </w:r>
    <w:r w:rsidRPr="005E4595">
      <w:instrText xml:space="preserve"> PAGE </w:instrText>
    </w:r>
    <w:r w:rsidRPr="005E4595">
      <w:fldChar w:fldCharType="separate"/>
    </w:r>
    <w:r>
      <w:rPr>
        <w:noProof/>
      </w:rPr>
      <w:t>1</w:t>
    </w:r>
    <w:r w:rsidRPr="005E459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20D8A" w:rsidR="00720D8A" w:rsidP="00720D8A" w:rsidRDefault="00720D8A" w14:paraId="657D1FDA" w14:textId="4111088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93B9D" w:rsidR="00176C30" w:rsidP="00981CBE" w:rsidRDefault="00176C30" w14:paraId="183A5940" w14:textId="77777777">
    <w:pPr>
      <w:pStyle w:val="Footer"/>
      <w:jc w:val="center"/>
    </w:pPr>
    <w:r>
      <w:t>G</w:t>
    </w:r>
    <w:r w:rsidRPr="005E4595">
      <w:t>-</w:t>
    </w:r>
    <w:r w:rsidRPr="005E4595">
      <w:fldChar w:fldCharType="begin"/>
    </w:r>
    <w:r w:rsidRPr="005E4595">
      <w:instrText xml:space="preserve"> PAGE </w:instrText>
    </w:r>
    <w:r w:rsidRPr="005E4595">
      <w:fldChar w:fldCharType="separate"/>
    </w:r>
    <w:r>
      <w:rPr>
        <w:noProof/>
      </w:rPr>
      <w:t>1</w:t>
    </w:r>
    <w:r w:rsidRPr="005E459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01312" w:rsidR="00176C30" w:rsidP="00981CBE" w:rsidRDefault="00176C30" w14:paraId="5A966AEE" w14:textId="77777777">
    <w:pPr>
      <w:pStyle w:val="Footer"/>
      <w:jc w:val="center"/>
    </w:pPr>
    <w:r w:rsidRPr="005E4595">
      <w:t xml:space="preserve">- </w:t>
    </w:r>
    <w:r w:rsidRPr="005E4595">
      <w:fldChar w:fldCharType="begin"/>
    </w:r>
    <w:r w:rsidRPr="005E4595">
      <w:instrText xml:space="preserve"> PAGE </w:instrText>
    </w:r>
    <w:r w:rsidRPr="005E4595">
      <w:fldChar w:fldCharType="separate"/>
    </w:r>
    <w:r>
      <w:rPr>
        <w:noProof/>
      </w:rPr>
      <w:t>i</w:t>
    </w:r>
    <w:r w:rsidRPr="005E4595">
      <w:fldChar w:fldCharType="end"/>
    </w:r>
    <w:r w:rsidRPr="005E4595">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20D8A" w:rsidR="00720D8A" w:rsidP="00720D8A" w:rsidRDefault="00720D8A" w14:paraId="33B59C4C" w14:textId="1B0BD17D">
    <w:pPr>
      <w:pStyle w:val="Footer"/>
      <w:jc w:val="center"/>
    </w:pPr>
    <w:r w:rsidRPr="005E4595">
      <w:t xml:space="preserve">- </w:t>
    </w:r>
    <w:r w:rsidRPr="005E4595">
      <w:fldChar w:fldCharType="begin"/>
    </w:r>
    <w:r w:rsidRPr="005E4595">
      <w:instrText xml:space="preserve"> PAGE </w:instrText>
    </w:r>
    <w:r w:rsidRPr="005E4595">
      <w:fldChar w:fldCharType="separate"/>
    </w:r>
    <w:r>
      <w:t>i</w:t>
    </w:r>
    <w:r w:rsidRPr="005E4595">
      <w:fldChar w:fldCharType="end"/>
    </w:r>
    <w:r w:rsidRPr="005E4595">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F7323" w:rsidR="00176C30" w:rsidP="00981CBE" w:rsidRDefault="00176C30" w14:paraId="729CFEC7" w14:textId="77777777">
    <w:pPr>
      <w:pStyle w:val="Footer"/>
      <w:jc w:val="center"/>
    </w:pPr>
    <w:r w:rsidRPr="005E4595">
      <w:t xml:space="preserve">- </w:t>
    </w:r>
    <w:r w:rsidRPr="005E4595">
      <w:fldChar w:fldCharType="begin"/>
    </w:r>
    <w:r w:rsidRPr="005E4595">
      <w:instrText xml:space="preserve"> PAGE </w:instrText>
    </w:r>
    <w:r w:rsidRPr="005E4595">
      <w:fldChar w:fldCharType="separate"/>
    </w:r>
    <w:r>
      <w:rPr>
        <w:noProof/>
      </w:rPr>
      <w:t>vi</w:t>
    </w:r>
    <w:r w:rsidRPr="005E4595">
      <w:fldChar w:fldCharType="end"/>
    </w:r>
    <w:r w:rsidRPr="005E4595">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01312" w:rsidR="00176C30" w:rsidP="00981CBE" w:rsidRDefault="00176C30" w14:paraId="3B6FD436" w14:textId="77777777">
    <w:pPr>
      <w:pStyle w:val="Footer"/>
      <w:jc w:val="center"/>
    </w:pPr>
    <w:r w:rsidRPr="005E4595">
      <w:t xml:space="preserve">- </w:t>
    </w:r>
    <w:r w:rsidRPr="005E4595">
      <w:fldChar w:fldCharType="begin"/>
    </w:r>
    <w:r w:rsidRPr="005E4595">
      <w:instrText xml:space="preserve"> PAGE </w:instrText>
    </w:r>
    <w:r w:rsidRPr="005E4595">
      <w:fldChar w:fldCharType="separate"/>
    </w:r>
    <w:r>
      <w:rPr>
        <w:noProof/>
      </w:rPr>
      <w:t>iv</w:t>
    </w:r>
    <w:r w:rsidRPr="005E4595">
      <w:fldChar w:fldCharType="end"/>
    </w:r>
    <w:r w:rsidRPr="005E4595">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C30" w:rsidP="00981CBE" w:rsidRDefault="00176C30" w14:paraId="32832B0D" w14:textId="77777777">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475A6" w:rsidR="00176C30" w:rsidP="00981CBE" w:rsidRDefault="00176C30" w14:paraId="32F70DF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C30" w:rsidP="00981CBE" w:rsidRDefault="00176C30" w14:paraId="1793C02E" w14:textId="77777777">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295E" w:rsidRDefault="002D295E" w14:paraId="473431DB" w14:textId="77777777">
      <w:r>
        <w:separator/>
      </w:r>
    </w:p>
  </w:footnote>
  <w:footnote w:type="continuationSeparator" w:id="0">
    <w:p w:rsidR="002D295E" w:rsidRDefault="002D295E" w14:paraId="3F232AE9" w14:textId="77777777">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48A" w:rsidP="004B648A" w:rsidRDefault="004B648A" w14:paraId="6BFB2E8C" w14:textId="0785D36D">
    <w:pPr>
      <w:pStyle w:val="CoverCenter"/>
      <w:spacing w:line="240" w:lineRule="exact"/>
      <w:ind w:right="-360"/>
    </w:pPr>
    <w:r w:rsidRPr="00B17F31">
      <w:rPr>
        <w:b/>
        <w:noProof/>
        <w:color w:val="FF0000"/>
        <w:sz w:val="20"/>
      </w:rPr>
      <mc:AlternateContent>
        <mc:Choice Requires="wps">
          <w:drawing>
            <wp:anchor distT="0" distB="0" distL="114300" distR="114300" simplePos="0" relativeHeight="251659264" behindDoc="1" locked="1" layoutInCell="1" allowOverlap="1" wp14:editId="08221AAD" wp14:anchorId="1E3591AB">
              <wp:simplePos x="0" y="0"/>
              <wp:positionH relativeFrom="page">
                <wp:posOffset>172720</wp:posOffset>
              </wp:positionH>
              <wp:positionV relativeFrom="page">
                <wp:posOffset>558800</wp:posOffset>
              </wp:positionV>
              <wp:extent cx="386080" cy="9052560"/>
              <wp:effectExtent l="0" t="0" r="0" b="2540"/>
              <wp:wrapTight wrapText="right">
                <wp:wrapPolygon edited="0">
                  <wp:start x="0" y="0"/>
                  <wp:lineTo x="0" y="21576"/>
                  <wp:lineTo x="20605" y="21576"/>
                  <wp:lineTo x="20605" y="0"/>
                  <wp:lineTo x="0" y="0"/>
                </wp:wrapPolygon>
              </wp:wrapTight>
              <wp:docPr id="1" name="Text Box 23"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905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17F31" w:rsidR="004B648A" w:rsidP="004B648A" w:rsidRDefault="004B648A" w14:paraId="05C0EC4D" w14:textId="33069EA4">
                          <w:pPr>
                            <w:spacing w:line="160" w:lineRule="atLeast"/>
                            <w:jc w:val="both"/>
                            <w:rPr>
                              <w:color w:val="FF0000"/>
                              <w:sz w:val="13"/>
                              <w:szCs w:val="13"/>
                            </w:rPr>
                          </w:pPr>
                          <w:r w:rsidRPr="00B17F31">
                            <w:rPr>
                              <w:color w:val="FF0000"/>
                              <w:sz w:val="13"/>
                              <w:szCs w:val="13"/>
                            </w:rPr>
                            <w:t xml:space="preserve">This Preliminary Official Statement and the  information contained herein are subject to completion, amendment or other change without any notice.  Under no circumstances shall this Preliminary </w:t>
                          </w:r>
                          <w:r>
                            <w:rPr>
                              <w:color w:val="FF0000"/>
                              <w:sz w:val="13"/>
                              <w:szCs w:val="13"/>
                            </w:rPr>
                            <w:t xml:space="preserve">Official Statement </w:t>
                          </w:r>
                          <w:r w:rsidRPr="00B17F31">
                            <w:rPr>
                              <w:color w:val="FF0000"/>
                              <w:sz w:val="13"/>
                              <w:szCs w:val="13"/>
                            </w:rPr>
                            <w:t>constitute  an offer to sell or the  solicitation of an offer to buy, nor shall there be any sale of these securities in any jurisdiction in which such offer, solicitation or sale  would be unlawful  prior to registration or qualification under the securities laws of any such jurisdiction.</w:t>
                          </w:r>
                        </w:p>
                        <w:p w:rsidR="004B648A" w:rsidP="004B648A" w:rsidRDefault="004B648A" w14:paraId="553604D6" w14:textId="77777777">
                          <w:pPr>
                            <w:spacing w:line="180" w:lineRule="atLeast"/>
                            <w:jc w:val="both"/>
                            <w:rPr>
                              <w:color w:val="FF0000"/>
                              <w:sz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E3591AB">
              <v:stroke joinstyle="miter"/>
              <v:path gradientshapeok="t" o:connecttype="rect"/>
            </v:shapetype>
            <v:shape id="Text Box 23" style="position:absolute;left:0;text-align:left;margin-left:13.6pt;margin-top:44pt;width:30.4pt;height:712.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">
              <v:textbox style="layout-flow:vertical;mso-layout-flow-alt:bottom-to-top">
                <w:txbxContent>
                  <w:p w:rsidRPr="00B17F31" w:rsidR="004B648A" w:rsidP="004B648A" w:rsidRDefault="004B648A" w14:paraId="05C0EC4D" w14:textId="33069EA4">
                    <w:pPr>
                      <w:spacing w:line="160" w:lineRule="atLeast"/>
                      <w:jc w:val="both"/>
                      <w:rPr>
                        <w:color w:val="FF0000"/>
                        <w:sz w:val="13"/>
                        <w:szCs w:val="13"/>
                      </w:rPr>
                    </w:pPr>
                    <w:r w:rsidRPr="00B17F31">
                      <w:rPr>
                        <w:color w:val="FF0000"/>
                        <w:sz w:val="13"/>
                        <w:szCs w:val="13"/>
                      </w:rPr>
                      <w:t xml:space="preserve">This Preliminary Official Statement and the  information contained herein are subject to completion, amendment or other change without any notice.  Under no circumstances shall this Preliminary </w:t>
                    </w:r>
                    <w:r>
                      <w:rPr>
                        <w:color w:val="FF0000"/>
                        <w:sz w:val="13"/>
                        <w:szCs w:val="13"/>
                      </w:rPr>
                      <w:t xml:space="preserve">Official Statement </w:t>
                    </w:r>
                    <w:r w:rsidRPr="00B17F31">
                      <w:rPr>
                        <w:color w:val="FF0000"/>
                        <w:sz w:val="13"/>
                        <w:szCs w:val="13"/>
                      </w:rPr>
                      <w:t>constitute  an offer to sell or the  solicitation of an offer to buy, nor shall there be any sale of these securities in any jurisdiction in which such offer, solicitation or sale  would be unlawful  prior to registration or qualification under the securities laws of any such jurisdiction.</w:t>
                    </w:r>
                  </w:p>
                  <w:p w:rsidR="004B648A" w:rsidP="004B648A" w:rsidRDefault="004B648A" w14:paraId="553604D6" w14:textId="77777777">
                    <w:pPr>
                      <w:spacing w:line="180" w:lineRule="atLeast"/>
                      <w:jc w:val="both"/>
                      <w:rPr>
                        <w:color w:val="FF0000"/>
                        <w:sz w:val="16"/>
                      </w:rPr>
                    </w:pPr>
                  </w:p>
                </w:txbxContent>
              </v:textbox>
              <w10:wrap type="tight" side="right" anchorx="page" anchory="page"/>
              <w10:anchorlock/>
            </v:shape>
          </w:pict>
        </mc:Fallback>
      </mc:AlternateContent>
    </w:r>
    <w:r w:rsidRPr="00B17F31">
      <w:rPr>
        <w:b/>
        <w:color w:val="FF0000"/>
        <w:sz w:val="20"/>
      </w:rPr>
      <w:t xml:space="preserve">Preliminary </w:t>
    </w:r>
    <w:r>
      <w:rPr>
        <w:b/>
        <w:color w:val="FF0000"/>
        <w:sz w:val="20"/>
      </w:rPr>
      <w:t>Official Statement</w:t>
    </w:r>
    <w:r w:rsidRPr="00B17F31">
      <w:rPr>
        <w:b/>
        <w:color w:val="FF0000"/>
        <w:sz w:val="20"/>
      </w:rPr>
      <w:t xml:space="preserve"> Dated </w:t>
    </w:r>
    <w:r>
      <w:rPr>
        <w:b/>
        <w:color w:val="FF0000"/>
        <w:sz w:val="20"/>
      </w:rPr>
      <w:t>___________</w:t>
    </w:r>
    <w:r w:rsidRPr="00B17F31">
      <w:rPr>
        <w:b/>
        <w:color w:val="FF0000"/>
        <w:sz w:val="20"/>
      </w:rPr>
      <w:t xml:space="preserve">, </w:t>
    </w:r>
    <w:r>
      <w:rPr>
        <w:b/>
        <w:color w:val="FF0000"/>
        <w:sz w:val="20"/>
      </w:rPr>
      <w:t>2025</w:t>
    </w:r>
  </w:p>
  <w:p w:rsidRPr="004B648A" w:rsidR="00176C30" w:rsidP="004B648A" w:rsidRDefault="00176C30" w14:paraId="24BEE320" w14:textId="49DE4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C30" w:rsidRDefault="00176C30" w14:paraId="2CB3EE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C30" w:rsidRDefault="00176C30" w14:paraId="7469B452" w14:textId="77777777">
    <w:pPr>
      <w:pStyle w:val="Header"/>
    </w:pPr>
  </w:p>
  <w:p w:rsidR="00176C30" w:rsidP="00981CBE" w:rsidRDefault="00176C30" w14:paraId="163792F2" w14:textId="77777777">
    <w:pPr>
      <w:pStyle w:val="ParaFLUSH"/>
      <w:tabs>
        <w:tab w:val="center" w:pos="4680"/>
        <w:tab w:val="right" w:pos="9360"/>
        <w:tab w:val="right" w:pos="10800"/>
      </w:tabs>
      <w:rPr>
        <w:smallCaps/>
      </w:rPr>
    </w:pPr>
    <w:r>
      <w:rPr>
        <w:smallCaps/>
      </w:rPr>
      <w:t>Section</w:t>
    </w:r>
    <w:r>
      <w:rPr>
        <w:smallCaps/>
      </w:rPr>
      <w:tab/>
    </w:r>
    <w:r>
      <w:rPr>
        <w:smallCaps/>
      </w:rPr>
      <w:tab/>
      <w:t>Page</w:t>
    </w:r>
  </w:p>
  <w:p w:rsidR="00176C30" w:rsidRDefault="00176C30" w14:paraId="6D0D09C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64577" w:rsidR="00176C30" w:rsidP="00864577" w:rsidRDefault="00176C30" w14:paraId="4B7BCC4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710FE" w:rsidR="00176C30" w:rsidP="00981CBE" w:rsidRDefault="00176C30" w14:paraId="64ECBA7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710FE" w:rsidR="00176C30" w:rsidP="00981CBE" w:rsidRDefault="00176C30" w14:paraId="15DE650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04800" w:rsidR="00176C30" w:rsidP="00404800" w:rsidRDefault="00176C30" w14:paraId="350A92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2.75pt;height:126.55pt;visibility:visible;mso-wrap-style:square" o:bullet="t">
        <v:imagedata r:id="rId1" o:title=""/>
      </v:shape>
    </w:pict>
  </w:numPicBullet>
  <w:abstractNum w:abstractNumId="0" w15:restartNumberingAfterBreak="0">
    <w:nsid w:val="FFFFFF1D"/>
    <w:multiLevelType w:val="multilevel"/>
    <w:tmpl w:val="890E6EBA"/>
    <w:lvl w:ilvl="0">
      <w:start w:val="1"/>
      <w:numFmt w:val="bullet"/>
      <w:pStyle w:val="NoteLevel1"/>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73410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E8CB75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2DC7B4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9F8513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808369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7B225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680A21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EE44ED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6E005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464FB4"/>
    <w:lvl w:ilvl="0">
      <w:start w:val="1"/>
      <w:numFmt w:val="bullet"/>
      <w:pStyle w:val="Heading9"/>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00000000"/>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081257BF"/>
    <w:multiLevelType w:val="hybridMultilevel"/>
    <w:tmpl w:val="5C3E0F8C"/>
    <w:lvl w:ilvl="0" w:tplc="9B1873D0">
      <w:numFmt w:val="bullet"/>
      <w:pStyle w:val="ListParagraph"/>
      <w:lvlText w:val=""/>
      <w:lvlPicBulletId w:val="0"/>
      <w:lvlJc w:val="left"/>
      <w:pPr>
        <w:ind w:left="1440" w:hanging="360"/>
      </w:pPr>
      <w:rPr>
        <w:rFonts w:ascii="Symbol" w:eastAsia="Times New Roman"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0F1D51"/>
    <w:multiLevelType w:val="multilevel"/>
    <w:tmpl w:val="04090023"/>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F6A127D"/>
    <w:multiLevelType w:val="hybridMultilevel"/>
    <w:tmpl w:val="DB027412"/>
    <w:lvl w:ilvl="0" w:tplc="6A9663D4">
      <w:start w:val="1"/>
      <w:numFmt w:val="decimal"/>
      <w:pStyle w:val="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72553D"/>
    <w:multiLevelType w:val="multilevel"/>
    <w:tmpl w:val="2DE86826"/>
    <w:name w:val="zzmpKutak1||Kutak1 (OS-POS)|2|4|1|0|0|41||0|2|33||0|0|3||1|0|2||1|0|2||1|0|2||1|0|2||mpNA||mpNA||"/>
    <w:lvl w:ilvl="0">
      <w:start w:val="1"/>
      <w:numFmt w:val="none"/>
      <w:pStyle w:val="Kutak1L1"/>
      <w:suff w:val="nothing"/>
      <w:lvlText w:val=""/>
      <w:lvlJc w:val="left"/>
      <w:pPr>
        <w:tabs>
          <w:tab w:val="num" w:pos="0"/>
        </w:tabs>
      </w:pPr>
      <w:rPr>
        <w:rFonts w:ascii="Times New Roman" w:hAnsi="Times New Roman"/>
        <w:b w:val="0"/>
        <w:i w:val="0"/>
        <w:caps/>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Kutak1L2"/>
      <w:suff w:val="nothing"/>
      <w:lvlText w:val=""/>
      <w:lvlJc w:val="left"/>
      <w:pPr>
        <w:tabs>
          <w:tab w:val="num" w:pos="0"/>
        </w:tabs>
      </w:pPr>
      <w:rPr>
        <w:rFonts w:ascii="Times New Roman" w:hAnsi="Times New Roman"/>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Kutak1L3"/>
      <w:suff w:val="nothing"/>
      <w:lvlText w:val=""/>
      <w:lvlJc w:val="left"/>
      <w:pPr>
        <w:tabs>
          <w:tab w:val="num" w:pos="720"/>
        </w:tabs>
        <w:ind w:firstLine="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Kutak1L4"/>
      <w:lvlText w:val="(%4)"/>
      <w:lvlJc w:val="left"/>
      <w:pPr>
        <w:tabs>
          <w:tab w:val="num" w:pos="2160"/>
        </w:tabs>
        <w:ind w:left="720" w:firstLine="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Kutak1L5"/>
      <w:lvlText w:val="(%5)"/>
      <w:lvlJc w:val="left"/>
      <w:pPr>
        <w:tabs>
          <w:tab w:val="num" w:pos="2880"/>
        </w:tabs>
        <w:ind w:left="1440" w:firstLine="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Kutak1L6"/>
      <w:lvlText w:val="(%6)"/>
      <w:lvlJc w:val="left"/>
      <w:pPr>
        <w:tabs>
          <w:tab w:val="num" w:pos="3600"/>
        </w:tabs>
        <w:ind w:left="2160" w:firstLine="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utak1L7"/>
      <w:lvlText w:val="(%7)"/>
      <w:lvlJc w:val="left"/>
      <w:pPr>
        <w:tabs>
          <w:tab w:val="num" w:pos="4320"/>
        </w:tabs>
        <w:ind w:left="2880" w:firstLine="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pPr>
      <w:rPr>
        <w:rFonts w:ascii="Times New Roman" w:hAnsi="Times New Roman"/>
        <w:b w:val="0"/>
        <w:i w:val="0"/>
        <w:caps w:val="0"/>
        <w:smallCaps w:val="0"/>
        <w:strike w:val="0"/>
        <w:dstrike w:val="0"/>
        <w:vanish w:val="0"/>
        <w:color w:val="000000"/>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pPr>
      <w:rPr>
        <w:rFonts w:ascii="Times New Roman" w:hAnsi="Times New Roman"/>
        <w:b w:val="0"/>
        <w:i w:val="0"/>
        <w:caps w:val="0"/>
        <w:smallCaps w:val="0"/>
        <w:strike w:val="0"/>
        <w:dstrike w:val="0"/>
        <w:vanish w:val="0"/>
        <w:color w:val="000000"/>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596E6A"/>
    <w:multiLevelType w:val="hybridMultilevel"/>
    <w:tmpl w:val="A8B23330"/>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646AF3"/>
    <w:multiLevelType w:val="multilevel"/>
    <w:tmpl w:val="04090023"/>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637F84"/>
    <w:multiLevelType w:val="hybridMultilevel"/>
    <w:tmpl w:val="6868D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3E3B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7553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7E24AC"/>
    <w:multiLevelType w:val="multilevel"/>
    <w:tmpl w:val="1FEE3B86"/>
    <w:name w:val="zzmpFernandes||Fernandes|3|1|1|5|0|41||1|0|1||1|0|1||1|0|1||1|0|0||mpNA||mpNA||mpNA||mpNA||"/>
    <w:lvl w:ilvl="0">
      <w:start w:val="1"/>
      <w:numFmt w:val="decimal"/>
      <w:lvlRestart w:val="0"/>
      <w:pStyle w:val="TabbedL1"/>
      <w:lvlText w:val="%1."/>
      <w:lvlJc w:val="left"/>
      <w:pPr>
        <w:tabs>
          <w:tab w:val="num" w:pos="1440"/>
        </w:tabs>
        <w:ind w:left="0" w:firstLine="720"/>
      </w:pPr>
      <w:rPr>
        <w:rFonts w:ascii="Times New Roman" w:hAnsi="Times New Roman"/>
        <w:b w:val="0"/>
        <w:i w:val="0"/>
        <w:caps w:val="0"/>
        <w:color w:val="auto"/>
        <w:sz w:val="24"/>
        <w:szCs w:val="24"/>
        <w:u w:val="none"/>
      </w:rPr>
    </w:lvl>
    <w:lvl w:ilvl="1">
      <w:start w:val="1"/>
      <w:numFmt w:val="lowerLetter"/>
      <w:pStyle w:val="TabbedL2"/>
      <w:lvlText w:val="(%2)"/>
      <w:lvlJc w:val="left"/>
      <w:pPr>
        <w:tabs>
          <w:tab w:val="num" w:pos="2160"/>
        </w:tabs>
        <w:ind w:left="720" w:firstLine="720"/>
      </w:pPr>
      <w:rPr>
        <w:rFonts w:ascii="Times New Roman" w:hAnsi="Times New Roman" w:cs="Times New Roman"/>
        <w:b w:val="0"/>
        <w:i w:val="0"/>
        <w:caps w:val="0"/>
        <w:color w:val="auto"/>
        <w:sz w:val="20"/>
        <w:szCs w:val="20"/>
        <w:u w:val="none"/>
      </w:rPr>
    </w:lvl>
    <w:lvl w:ilvl="2">
      <w:start w:val="1"/>
      <w:numFmt w:val="lowerRoman"/>
      <w:pStyle w:val="TabbedL3"/>
      <w:lvlText w:val="(%3)"/>
      <w:lvlJc w:val="left"/>
      <w:pPr>
        <w:tabs>
          <w:tab w:val="num" w:pos="2880"/>
        </w:tabs>
        <w:ind w:left="1440" w:firstLine="720"/>
      </w:pPr>
      <w:rPr>
        <w:rFonts w:ascii="Times New Roman" w:hAnsi="Times New Roman"/>
        <w:b w:val="0"/>
        <w:i w:val="0"/>
        <w:caps w:val="0"/>
        <w:color w:val="auto"/>
        <w:sz w:val="20"/>
        <w:szCs w:val="20"/>
        <w:u w:val="none"/>
      </w:rPr>
    </w:lvl>
    <w:lvl w:ilvl="3">
      <w:start w:val="1"/>
      <w:numFmt w:val="upperLetter"/>
      <w:pStyle w:val="TabbedL4"/>
      <w:lvlText w:val="(%4)"/>
      <w:lvlJc w:val="left"/>
      <w:pPr>
        <w:tabs>
          <w:tab w:val="num" w:pos="3600"/>
        </w:tabs>
        <w:ind w:left="2160" w:firstLine="720"/>
      </w:pPr>
      <w:rPr>
        <w:rFonts w:ascii="Times New Roman" w:hAnsi="Times New Roman"/>
        <w:b w:val="0"/>
        <w:i w:val="0"/>
        <w:caps w:val="0"/>
        <w:color w:val="auto"/>
        <w:sz w:val="22"/>
        <w:u w:val="none"/>
      </w:rPr>
    </w:lvl>
    <w:lvl w:ilvl="4">
      <w:start w:val="1"/>
      <w:numFmt w:val="decimal"/>
      <w:pStyle w:val="TabbedL5"/>
      <w:lvlText w:val="(%5)"/>
      <w:lvlJc w:val="left"/>
      <w:pPr>
        <w:tabs>
          <w:tab w:val="num" w:pos="4320"/>
        </w:tabs>
        <w:ind w:left="2880" w:firstLine="720"/>
      </w:pPr>
      <w:rPr>
        <w:rFonts w:ascii="Times New Roman" w:hAnsi="Times New Roman"/>
        <w:b w:val="0"/>
        <w:i w:val="0"/>
        <w:caps w:val="0"/>
        <w:color w:val="auto"/>
        <w:sz w:val="22"/>
        <w:u w:val="none"/>
      </w:rPr>
    </w:lvl>
    <w:lvl w:ilvl="5">
      <w:start w:val="1"/>
      <w:numFmt w:val="none"/>
      <w:lvlText w:val="%6"/>
      <w:lvlJc w:val="left"/>
      <w:pPr>
        <w:tabs>
          <w:tab w:val="num" w:pos="3960"/>
        </w:tabs>
        <w:ind w:left="0" w:firstLine="3600"/>
      </w:pPr>
      <w:rPr>
        <w:rFonts w:ascii="Times New Roman" w:hAnsi="Times New Roman"/>
        <w:b w:val="0"/>
        <w:i w:val="0"/>
        <w:caps w:val="0"/>
        <w:color w:val="auto"/>
        <w:sz w:val="40"/>
        <w:u w:val="none"/>
      </w:rPr>
    </w:lvl>
    <w:lvl w:ilvl="6">
      <w:start w:val="1"/>
      <w:numFmt w:val="none"/>
      <w:lvlText w:val=""/>
      <w:lvlJc w:val="left"/>
      <w:pPr>
        <w:tabs>
          <w:tab w:val="num" w:pos="4680"/>
        </w:tabs>
        <w:ind w:left="0" w:firstLine="4320"/>
      </w:pPr>
      <w:rPr>
        <w:rFonts w:ascii="Times New Roman" w:hAnsi="Times New Roman"/>
        <w:b w:val="0"/>
        <w:i w:val="0"/>
        <w:caps w:val="0"/>
        <w:color w:val="auto"/>
        <w:sz w:val="40"/>
        <w:u w:val="none"/>
      </w:rPr>
    </w:lvl>
    <w:lvl w:ilvl="7">
      <w:start w:val="1"/>
      <w:numFmt w:val="none"/>
      <w:lvlText w:val=""/>
      <w:lvlJc w:val="left"/>
      <w:pPr>
        <w:tabs>
          <w:tab w:val="num" w:pos="5400"/>
        </w:tabs>
        <w:ind w:left="0" w:firstLine="5040"/>
      </w:pPr>
      <w:rPr>
        <w:rFonts w:ascii="Times New Roman" w:hAnsi="Times New Roman"/>
        <w:b w:val="0"/>
        <w:i w:val="0"/>
        <w:caps w:val="0"/>
        <w:color w:val="auto"/>
        <w:sz w:val="40"/>
        <w:u w:val="none"/>
      </w:rPr>
    </w:lvl>
    <w:lvl w:ilvl="8">
      <w:start w:val="1"/>
      <w:numFmt w:val="none"/>
      <w:lvlText w:val=""/>
      <w:lvlJc w:val="left"/>
      <w:pPr>
        <w:tabs>
          <w:tab w:val="num" w:pos="6120"/>
        </w:tabs>
        <w:ind w:left="0" w:firstLine="5760"/>
      </w:pPr>
      <w:rPr>
        <w:rFonts w:ascii="Times New Roman" w:hAnsi="Times New Roman"/>
        <w:b w:val="0"/>
        <w:i w:val="0"/>
        <w:caps w:val="0"/>
        <w:color w:val="auto"/>
        <w:sz w:val="40"/>
        <w:u w:val="none"/>
      </w:rPr>
    </w:lvl>
  </w:abstractNum>
  <w:abstractNum w:abstractNumId="24" w15:restartNumberingAfterBreak="0">
    <w:nsid w:val="56344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5518DE"/>
    <w:multiLevelType w:val="hybridMultilevel"/>
    <w:tmpl w:val="3AF05A66"/>
    <w:lvl w:ilvl="0" w:tplc="161441CE">
      <w:start w:val="1"/>
      <w:numFmt w:val="bullet"/>
      <w:pStyle w:val="00BulletList"/>
      <w:lvlText w:val=""/>
      <w:lvlJc w:val="left"/>
      <w:pPr>
        <w:ind w:left="1440" w:hanging="720"/>
      </w:pPr>
      <w:rPr>
        <w:rFonts w:ascii="Symbol" w:hAnsi="Symbol" w:hint="default"/>
      </w:rPr>
    </w:lvl>
    <w:lvl w:ilvl="1" w:tplc="CB88CB52" w:tentative="1">
      <w:start w:val="1"/>
      <w:numFmt w:val="bullet"/>
      <w:lvlText w:val="o"/>
      <w:lvlJc w:val="left"/>
      <w:pPr>
        <w:ind w:left="1440" w:hanging="360"/>
      </w:pPr>
      <w:rPr>
        <w:rFonts w:ascii="Courier New" w:hAnsi="Courier New" w:cs="Courier New" w:hint="default"/>
      </w:rPr>
    </w:lvl>
    <w:lvl w:ilvl="2" w:tplc="81F88200" w:tentative="1">
      <w:start w:val="1"/>
      <w:numFmt w:val="bullet"/>
      <w:lvlText w:val=""/>
      <w:lvlJc w:val="left"/>
      <w:pPr>
        <w:ind w:left="2160" w:hanging="360"/>
      </w:pPr>
      <w:rPr>
        <w:rFonts w:ascii="Wingdings" w:hAnsi="Wingdings" w:hint="default"/>
      </w:rPr>
    </w:lvl>
    <w:lvl w:ilvl="3" w:tplc="A3709516" w:tentative="1">
      <w:start w:val="1"/>
      <w:numFmt w:val="bullet"/>
      <w:lvlText w:val=""/>
      <w:lvlJc w:val="left"/>
      <w:pPr>
        <w:ind w:left="2880" w:hanging="360"/>
      </w:pPr>
      <w:rPr>
        <w:rFonts w:ascii="Symbol" w:hAnsi="Symbol" w:hint="default"/>
      </w:rPr>
    </w:lvl>
    <w:lvl w:ilvl="4" w:tplc="D916AA20" w:tentative="1">
      <w:start w:val="1"/>
      <w:numFmt w:val="bullet"/>
      <w:lvlText w:val="o"/>
      <w:lvlJc w:val="left"/>
      <w:pPr>
        <w:ind w:left="3600" w:hanging="360"/>
      </w:pPr>
      <w:rPr>
        <w:rFonts w:ascii="Courier New" w:hAnsi="Courier New" w:cs="Courier New" w:hint="default"/>
      </w:rPr>
    </w:lvl>
    <w:lvl w:ilvl="5" w:tplc="081C68EC" w:tentative="1">
      <w:start w:val="1"/>
      <w:numFmt w:val="bullet"/>
      <w:lvlText w:val=""/>
      <w:lvlJc w:val="left"/>
      <w:pPr>
        <w:ind w:left="4320" w:hanging="360"/>
      </w:pPr>
      <w:rPr>
        <w:rFonts w:ascii="Wingdings" w:hAnsi="Wingdings" w:hint="default"/>
      </w:rPr>
    </w:lvl>
    <w:lvl w:ilvl="6" w:tplc="8F564ACC" w:tentative="1">
      <w:start w:val="1"/>
      <w:numFmt w:val="bullet"/>
      <w:lvlText w:val=""/>
      <w:lvlJc w:val="left"/>
      <w:pPr>
        <w:ind w:left="5040" w:hanging="360"/>
      </w:pPr>
      <w:rPr>
        <w:rFonts w:ascii="Symbol" w:hAnsi="Symbol" w:hint="default"/>
      </w:rPr>
    </w:lvl>
    <w:lvl w:ilvl="7" w:tplc="CC7C2924" w:tentative="1">
      <w:start w:val="1"/>
      <w:numFmt w:val="bullet"/>
      <w:lvlText w:val="o"/>
      <w:lvlJc w:val="left"/>
      <w:pPr>
        <w:ind w:left="5760" w:hanging="360"/>
      </w:pPr>
      <w:rPr>
        <w:rFonts w:ascii="Courier New" w:hAnsi="Courier New" w:cs="Courier New" w:hint="default"/>
      </w:rPr>
    </w:lvl>
    <w:lvl w:ilvl="8" w:tplc="C80CEEA2" w:tentative="1">
      <w:start w:val="1"/>
      <w:numFmt w:val="bullet"/>
      <w:lvlText w:val=""/>
      <w:lvlJc w:val="left"/>
      <w:pPr>
        <w:ind w:left="6480" w:hanging="360"/>
      </w:pPr>
      <w:rPr>
        <w:rFonts w:ascii="Wingdings" w:hAnsi="Wingdings" w:hint="default"/>
      </w:rPr>
    </w:lvl>
  </w:abstractNum>
  <w:abstractNum w:abstractNumId="26" w15:restartNumberingAfterBreak="0">
    <w:nsid w:val="5D9722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0D93343"/>
    <w:multiLevelType w:val="hybridMultilevel"/>
    <w:tmpl w:val="E056D34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195898">
    <w:abstractNumId w:val="0"/>
  </w:num>
  <w:num w:numId="2" w16cid:durableId="585502121">
    <w:abstractNumId w:val="10"/>
  </w:num>
  <w:num w:numId="3" w16cid:durableId="1414548421">
    <w:abstractNumId w:val="8"/>
  </w:num>
  <w:num w:numId="4" w16cid:durableId="1081367692">
    <w:abstractNumId w:val="7"/>
  </w:num>
  <w:num w:numId="5" w16cid:durableId="173036304">
    <w:abstractNumId w:val="6"/>
  </w:num>
  <w:num w:numId="6" w16cid:durableId="897671705">
    <w:abstractNumId w:val="5"/>
  </w:num>
  <w:num w:numId="7" w16cid:durableId="42603200">
    <w:abstractNumId w:val="9"/>
  </w:num>
  <w:num w:numId="8" w16cid:durableId="2089839205">
    <w:abstractNumId w:val="4"/>
  </w:num>
  <w:num w:numId="9" w16cid:durableId="1840729545">
    <w:abstractNumId w:val="3"/>
  </w:num>
  <w:num w:numId="10" w16cid:durableId="163938093">
    <w:abstractNumId w:val="2"/>
  </w:num>
  <w:num w:numId="11" w16cid:durableId="1055005009">
    <w:abstractNumId w:val="1"/>
  </w:num>
  <w:num w:numId="12" w16cid:durableId="586311292">
    <w:abstractNumId w:val="11"/>
  </w:num>
  <w:num w:numId="13" w16cid:durableId="1163160789">
    <w:abstractNumId w:val="11"/>
  </w:num>
  <w:num w:numId="14" w16cid:durableId="911543875">
    <w:abstractNumId w:val="0"/>
  </w:num>
  <w:num w:numId="15" w16cid:durableId="930626051">
    <w:abstractNumId w:val="15"/>
  </w:num>
  <w:num w:numId="16" w16cid:durableId="199050188">
    <w:abstractNumId w:val="20"/>
  </w:num>
  <w:num w:numId="17" w16cid:durableId="1162889868">
    <w:abstractNumId w:val="12"/>
  </w:num>
  <w:num w:numId="18" w16cid:durableId="1515607756">
    <w:abstractNumId w:val="21"/>
  </w:num>
  <w:num w:numId="19" w16cid:durableId="324286310">
    <w:abstractNumId w:val="26"/>
  </w:num>
  <w:num w:numId="20" w16cid:durableId="121921449">
    <w:abstractNumId w:val="13"/>
  </w:num>
  <w:num w:numId="21" w16cid:durableId="744961187">
    <w:abstractNumId w:val="24"/>
  </w:num>
  <w:num w:numId="22" w16cid:durableId="835416816">
    <w:abstractNumId w:val="22"/>
  </w:num>
  <w:num w:numId="23" w16cid:durableId="7950952">
    <w:abstractNumId w:val="19"/>
  </w:num>
  <w:num w:numId="24" w16cid:durableId="1367178611">
    <w:abstractNumId w:val="16"/>
  </w:num>
  <w:num w:numId="25" w16cid:durableId="1548295902">
    <w:abstractNumId w:val="25"/>
  </w:num>
  <w:num w:numId="26" w16cid:durableId="209878810">
    <w:abstractNumId w:val="18"/>
  </w:num>
  <w:num w:numId="27" w16cid:durableId="1495220507">
    <w:abstractNumId w:val="14"/>
  </w:num>
  <w:num w:numId="28" w16cid:durableId="662708416">
    <w:abstractNumId w:val="23"/>
  </w:num>
  <w:num w:numId="29" w16cid:durableId="1393389087">
    <w:abstractNumId w:val="27"/>
  </w:num>
  <w:num w:numId="30" w16cid:durableId="15489086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stylePaneSortMethod w:val="0000"/>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168"/>
    <w:rsid w:val="00001242"/>
    <w:rsid w:val="0000156E"/>
    <w:rsid w:val="00002516"/>
    <w:rsid w:val="00002B5D"/>
    <w:rsid w:val="00003DDB"/>
    <w:rsid w:val="00004864"/>
    <w:rsid w:val="00004865"/>
    <w:rsid w:val="00006859"/>
    <w:rsid w:val="00006A60"/>
    <w:rsid w:val="00006CB8"/>
    <w:rsid w:val="0000749E"/>
    <w:rsid w:val="00010D03"/>
    <w:rsid w:val="00012CFD"/>
    <w:rsid w:val="000143EB"/>
    <w:rsid w:val="00015087"/>
    <w:rsid w:val="00024BB4"/>
    <w:rsid w:val="000252AF"/>
    <w:rsid w:val="0002543F"/>
    <w:rsid w:val="000268DD"/>
    <w:rsid w:val="0002754A"/>
    <w:rsid w:val="00030FB5"/>
    <w:rsid w:val="00031438"/>
    <w:rsid w:val="00031B36"/>
    <w:rsid w:val="00031D85"/>
    <w:rsid w:val="0003336B"/>
    <w:rsid w:val="0003374B"/>
    <w:rsid w:val="0004060D"/>
    <w:rsid w:val="00040DC4"/>
    <w:rsid w:val="0004285A"/>
    <w:rsid w:val="0004477A"/>
    <w:rsid w:val="000449FC"/>
    <w:rsid w:val="00046514"/>
    <w:rsid w:val="00046B39"/>
    <w:rsid w:val="000470D4"/>
    <w:rsid w:val="00050FED"/>
    <w:rsid w:val="0005228C"/>
    <w:rsid w:val="000540C3"/>
    <w:rsid w:val="0005676F"/>
    <w:rsid w:val="00065752"/>
    <w:rsid w:val="0007012E"/>
    <w:rsid w:val="00071844"/>
    <w:rsid w:val="0007393A"/>
    <w:rsid w:val="00074030"/>
    <w:rsid w:val="00074C4C"/>
    <w:rsid w:val="000770CA"/>
    <w:rsid w:val="0007753A"/>
    <w:rsid w:val="00081820"/>
    <w:rsid w:val="00082246"/>
    <w:rsid w:val="000828E7"/>
    <w:rsid w:val="00084CFE"/>
    <w:rsid w:val="0008615A"/>
    <w:rsid w:val="00086614"/>
    <w:rsid w:val="00086994"/>
    <w:rsid w:val="0009070C"/>
    <w:rsid w:val="00090927"/>
    <w:rsid w:val="00090E89"/>
    <w:rsid w:val="00093E61"/>
    <w:rsid w:val="00094EE0"/>
    <w:rsid w:val="000969CA"/>
    <w:rsid w:val="00097D00"/>
    <w:rsid w:val="000A0408"/>
    <w:rsid w:val="000A069D"/>
    <w:rsid w:val="000A09B6"/>
    <w:rsid w:val="000A1182"/>
    <w:rsid w:val="000A1CBC"/>
    <w:rsid w:val="000A1F92"/>
    <w:rsid w:val="000A24B3"/>
    <w:rsid w:val="000A65F9"/>
    <w:rsid w:val="000A75E4"/>
    <w:rsid w:val="000A7849"/>
    <w:rsid w:val="000A7C5F"/>
    <w:rsid w:val="000B05D8"/>
    <w:rsid w:val="000B06F7"/>
    <w:rsid w:val="000B24D5"/>
    <w:rsid w:val="000B252D"/>
    <w:rsid w:val="000B3746"/>
    <w:rsid w:val="000B77F1"/>
    <w:rsid w:val="000C1119"/>
    <w:rsid w:val="000C6408"/>
    <w:rsid w:val="000C64E4"/>
    <w:rsid w:val="000C69DE"/>
    <w:rsid w:val="000C75E3"/>
    <w:rsid w:val="000D15C7"/>
    <w:rsid w:val="000D214F"/>
    <w:rsid w:val="000D4084"/>
    <w:rsid w:val="000D67F3"/>
    <w:rsid w:val="000E29FC"/>
    <w:rsid w:val="000E2B74"/>
    <w:rsid w:val="000E3797"/>
    <w:rsid w:val="000E4A46"/>
    <w:rsid w:val="000F0121"/>
    <w:rsid w:val="000F06A2"/>
    <w:rsid w:val="000F2E95"/>
    <w:rsid w:val="000F3357"/>
    <w:rsid w:val="000F3CEF"/>
    <w:rsid w:val="000F4655"/>
    <w:rsid w:val="001042E4"/>
    <w:rsid w:val="001049A3"/>
    <w:rsid w:val="0010650B"/>
    <w:rsid w:val="00106FA9"/>
    <w:rsid w:val="00107203"/>
    <w:rsid w:val="001121FA"/>
    <w:rsid w:val="0011391C"/>
    <w:rsid w:val="00113A36"/>
    <w:rsid w:val="00113E53"/>
    <w:rsid w:val="0011509A"/>
    <w:rsid w:val="001157A5"/>
    <w:rsid w:val="0012390C"/>
    <w:rsid w:val="0012437F"/>
    <w:rsid w:val="001264FD"/>
    <w:rsid w:val="0013085E"/>
    <w:rsid w:val="00131514"/>
    <w:rsid w:val="00132A14"/>
    <w:rsid w:val="001350D4"/>
    <w:rsid w:val="00135435"/>
    <w:rsid w:val="00135D28"/>
    <w:rsid w:val="001370C4"/>
    <w:rsid w:val="0013735E"/>
    <w:rsid w:val="00137AEC"/>
    <w:rsid w:val="00141C7D"/>
    <w:rsid w:val="001426DA"/>
    <w:rsid w:val="001455C8"/>
    <w:rsid w:val="00145A72"/>
    <w:rsid w:val="001460A9"/>
    <w:rsid w:val="001463CE"/>
    <w:rsid w:val="00146A54"/>
    <w:rsid w:val="00147668"/>
    <w:rsid w:val="001500BB"/>
    <w:rsid w:val="00150C44"/>
    <w:rsid w:val="00151D50"/>
    <w:rsid w:val="001538CE"/>
    <w:rsid w:val="00154746"/>
    <w:rsid w:val="00154C5E"/>
    <w:rsid w:val="001550AB"/>
    <w:rsid w:val="001554BD"/>
    <w:rsid w:val="00157A26"/>
    <w:rsid w:val="001609E6"/>
    <w:rsid w:val="00162903"/>
    <w:rsid w:val="0016420F"/>
    <w:rsid w:val="0016433A"/>
    <w:rsid w:val="001654AD"/>
    <w:rsid w:val="00165CC3"/>
    <w:rsid w:val="00166370"/>
    <w:rsid w:val="001671C5"/>
    <w:rsid w:val="001674A6"/>
    <w:rsid w:val="001732F6"/>
    <w:rsid w:val="00174973"/>
    <w:rsid w:val="00174EB0"/>
    <w:rsid w:val="001759A6"/>
    <w:rsid w:val="00176C30"/>
    <w:rsid w:val="0017758E"/>
    <w:rsid w:val="00177BF0"/>
    <w:rsid w:val="00180418"/>
    <w:rsid w:val="0018176F"/>
    <w:rsid w:val="00181871"/>
    <w:rsid w:val="00183A77"/>
    <w:rsid w:val="00184762"/>
    <w:rsid w:val="00185020"/>
    <w:rsid w:val="00185CEA"/>
    <w:rsid w:val="001870A3"/>
    <w:rsid w:val="00191D31"/>
    <w:rsid w:val="001A0B17"/>
    <w:rsid w:val="001A3D98"/>
    <w:rsid w:val="001A51CB"/>
    <w:rsid w:val="001A5AB1"/>
    <w:rsid w:val="001A70D8"/>
    <w:rsid w:val="001B2955"/>
    <w:rsid w:val="001B2D6D"/>
    <w:rsid w:val="001B3899"/>
    <w:rsid w:val="001B4721"/>
    <w:rsid w:val="001B5C05"/>
    <w:rsid w:val="001B7BF3"/>
    <w:rsid w:val="001C0942"/>
    <w:rsid w:val="001C0FAF"/>
    <w:rsid w:val="001C195C"/>
    <w:rsid w:val="001C25F0"/>
    <w:rsid w:val="001C4438"/>
    <w:rsid w:val="001C44E5"/>
    <w:rsid w:val="001C45E3"/>
    <w:rsid w:val="001C64AB"/>
    <w:rsid w:val="001C682B"/>
    <w:rsid w:val="001C719A"/>
    <w:rsid w:val="001D089F"/>
    <w:rsid w:val="001D1275"/>
    <w:rsid w:val="001D1D3F"/>
    <w:rsid w:val="001D242E"/>
    <w:rsid w:val="001D4527"/>
    <w:rsid w:val="001E11C2"/>
    <w:rsid w:val="001E227A"/>
    <w:rsid w:val="001E27CF"/>
    <w:rsid w:val="001E5609"/>
    <w:rsid w:val="001F2D3B"/>
    <w:rsid w:val="001F2FAC"/>
    <w:rsid w:val="001F3180"/>
    <w:rsid w:val="001F5CF8"/>
    <w:rsid w:val="001F5EC8"/>
    <w:rsid w:val="001F66E1"/>
    <w:rsid w:val="001F7CBF"/>
    <w:rsid w:val="0020033D"/>
    <w:rsid w:val="002039BF"/>
    <w:rsid w:val="00206144"/>
    <w:rsid w:val="00206A4C"/>
    <w:rsid w:val="00206D72"/>
    <w:rsid w:val="00210FEF"/>
    <w:rsid w:val="00212043"/>
    <w:rsid w:val="00214C56"/>
    <w:rsid w:val="00216CB8"/>
    <w:rsid w:val="00216F03"/>
    <w:rsid w:val="00216F51"/>
    <w:rsid w:val="002172BE"/>
    <w:rsid w:val="0022001E"/>
    <w:rsid w:val="002201EF"/>
    <w:rsid w:val="00220FC7"/>
    <w:rsid w:val="0022152D"/>
    <w:rsid w:val="00221C2C"/>
    <w:rsid w:val="00223F2E"/>
    <w:rsid w:val="002256F5"/>
    <w:rsid w:val="00225CBA"/>
    <w:rsid w:val="00226732"/>
    <w:rsid w:val="002270EC"/>
    <w:rsid w:val="00233E8F"/>
    <w:rsid w:val="0023470E"/>
    <w:rsid w:val="00234AE4"/>
    <w:rsid w:val="0023599D"/>
    <w:rsid w:val="00236E78"/>
    <w:rsid w:val="00241184"/>
    <w:rsid w:val="002429BB"/>
    <w:rsid w:val="00243597"/>
    <w:rsid w:val="00243E96"/>
    <w:rsid w:val="00244666"/>
    <w:rsid w:val="002457B4"/>
    <w:rsid w:val="002463F9"/>
    <w:rsid w:val="0024659B"/>
    <w:rsid w:val="002467E1"/>
    <w:rsid w:val="00246A0C"/>
    <w:rsid w:val="00255383"/>
    <w:rsid w:val="00255E98"/>
    <w:rsid w:val="002623CB"/>
    <w:rsid w:val="00262617"/>
    <w:rsid w:val="00266B04"/>
    <w:rsid w:val="00270950"/>
    <w:rsid w:val="00271BE8"/>
    <w:rsid w:val="002835BA"/>
    <w:rsid w:val="002849A1"/>
    <w:rsid w:val="00285267"/>
    <w:rsid w:val="00292932"/>
    <w:rsid w:val="00292B19"/>
    <w:rsid w:val="00292B50"/>
    <w:rsid w:val="00292D44"/>
    <w:rsid w:val="00295697"/>
    <w:rsid w:val="002962E1"/>
    <w:rsid w:val="00297CA9"/>
    <w:rsid w:val="002A0405"/>
    <w:rsid w:val="002A0E67"/>
    <w:rsid w:val="002A168C"/>
    <w:rsid w:val="002A21E5"/>
    <w:rsid w:val="002A23A8"/>
    <w:rsid w:val="002A4587"/>
    <w:rsid w:val="002B007E"/>
    <w:rsid w:val="002B1317"/>
    <w:rsid w:val="002B39A0"/>
    <w:rsid w:val="002B406C"/>
    <w:rsid w:val="002B4F03"/>
    <w:rsid w:val="002B65CB"/>
    <w:rsid w:val="002B7C19"/>
    <w:rsid w:val="002C0D91"/>
    <w:rsid w:val="002C1361"/>
    <w:rsid w:val="002C1C2E"/>
    <w:rsid w:val="002C24C1"/>
    <w:rsid w:val="002C6D95"/>
    <w:rsid w:val="002C7886"/>
    <w:rsid w:val="002D02F8"/>
    <w:rsid w:val="002D18B7"/>
    <w:rsid w:val="002D2324"/>
    <w:rsid w:val="002D295E"/>
    <w:rsid w:val="002D78BE"/>
    <w:rsid w:val="002E37D0"/>
    <w:rsid w:val="002E3BF0"/>
    <w:rsid w:val="002E4F77"/>
    <w:rsid w:val="002E505C"/>
    <w:rsid w:val="002E7EB0"/>
    <w:rsid w:val="002F06F2"/>
    <w:rsid w:val="002F2ECE"/>
    <w:rsid w:val="002F3354"/>
    <w:rsid w:val="002F357E"/>
    <w:rsid w:val="002F7C93"/>
    <w:rsid w:val="00304095"/>
    <w:rsid w:val="0030468F"/>
    <w:rsid w:val="00305D01"/>
    <w:rsid w:val="003079C0"/>
    <w:rsid w:val="003144E8"/>
    <w:rsid w:val="003146FF"/>
    <w:rsid w:val="003164F2"/>
    <w:rsid w:val="00321421"/>
    <w:rsid w:val="00323ABB"/>
    <w:rsid w:val="00323C3C"/>
    <w:rsid w:val="00324328"/>
    <w:rsid w:val="00324DB7"/>
    <w:rsid w:val="003250E7"/>
    <w:rsid w:val="00326727"/>
    <w:rsid w:val="003279E7"/>
    <w:rsid w:val="0033146A"/>
    <w:rsid w:val="00333A4E"/>
    <w:rsid w:val="00334CAA"/>
    <w:rsid w:val="00336D38"/>
    <w:rsid w:val="00337124"/>
    <w:rsid w:val="00340A1E"/>
    <w:rsid w:val="00341E3F"/>
    <w:rsid w:val="003448E7"/>
    <w:rsid w:val="00346EA3"/>
    <w:rsid w:val="00352B88"/>
    <w:rsid w:val="00352E2B"/>
    <w:rsid w:val="00356711"/>
    <w:rsid w:val="00357BE7"/>
    <w:rsid w:val="00360158"/>
    <w:rsid w:val="003607F6"/>
    <w:rsid w:val="00361768"/>
    <w:rsid w:val="00362851"/>
    <w:rsid w:val="00362A5A"/>
    <w:rsid w:val="00363EB9"/>
    <w:rsid w:val="00363F04"/>
    <w:rsid w:val="0036716B"/>
    <w:rsid w:val="00367FE5"/>
    <w:rsid w:val="00371B79"/>
    <w:rsid w:val="00372417"/>
    <w:rsid w:val="00373386"/>
    <w:rsid w:val="00377E9E"/>
    <w:rsid w:val="003807DE"/>
    <w:rsid w:val="0038121E"/>
    <w:rsid w:val="00381356"/>
    <w:rsid w:val="0038218F"/>
    <w:rsid w:val="00382DF9"/>
    <w:rsid w:val="0038314D"/>
    <w:rsid w:val="003859E2"/>
    <w:rsid w:val="00386022"/>
    <w:rsid w:val="003873E1"/>
    <w:rsid w:val="00390385"/>
    <w:rsid w:val="00392D04"/>
    <w:rsid w:val="0039471A"/>
    <w:rsid w:val="00394FF6"/>
    <w:rsid w:val="003951FA"/>
    <w:rsid w:val="00396D20"/>
    <w:rsid w:val="0039756E"/>
    <w:rsid w:val="003977DD"/>
    <w:rsid w:val="003A02D7"/>
    <w:rsid w:val="003A2E4C"/>
    <w:rsid w:val="003A5994"/>
    <w:rsid w:val="003A5CE0"/>
    <w:rsid w:val="003A6F45"/>
    <w:rsid w:val="003A7F66"/>
    <w:rsid w:val="003B04D9"/>
    <w:rsid w:val="003B39AE"/>
    <w:rsid w:val="003B3B45"/>
    <w:rsid w:val="003B4E4F"/>
    <w:rsid w:val="003B4F87"/>
    <w:rsid w:val="003B5AB3"/>
    <w:rsid w:val="003B6121"/>
    <w:rsid w:val="003B6D2E"/>
    <w:rsid w:val="003B7131"/>
    <w:rsid w:val="003B78E0"/>
    <w:rsid w:val="003B7E88"/>
    <w:rsid w:val="003C1C0E"/>
    <w:rsid w:val="003C3254"/>
    <w:rsid w:val="003C3863"/>
    <w:rsid w:val="003D1CB8"/>
    <w:rsid w:val="003D30DF"/>
    <w:rsid w:val="003D58F0"/>
    <w:rsid w:val="003D6B43"/>
    <w:rsid w:val="003D7704"/>
    <w:rsid w:val="003E07B8"/>
    <w:rsid w:val="003E27DB"/>
    <w:rsid w:val="003E2DD1"/>
    <w:rsid w:val="003E35CE"/>
    <w:rsid w:val="003E5DB4"/>
    <w:rsid w:val="003E6876"/>
    <w:rsid w:val="003F4ADA"/>
    <w:rsid w:val="003F5B81"/>
    <w:rsid w:val="00400151"/>
    <w:rsid w:val="00400D79"/>
    <w:rsid w:val="004011B6"/>
    <w:rsid w:val="00401B24"/>
    <w:rsid w:val="00402B12"/>
    <w:rsid w:val="00404112"/>
    <w:rsid w:val="004042A4"/>
    <w:rsid w:val="00404800"/>
    <w:rsid w:val="00404CEC"/>
    <w:rsid w:val="00406ED4"/>
    <w:rsid w:val="00407E00"/>
    <w:rsid w:val="00410388"/>
    <w:rsid w:val="00413E62"/>
    <w:rsid w:val="004158D4"/>
    <w:rsid w:val="00416BE0"/>
    <w:rsid w:val="004177D6"/>
    <w:rsid w:val="00420415"/>
    <w:rsid w:val="004205FF"/>
    <w:rsid w:val="0042119F"/>
    <w:rsid w:val="004212D6"/>
    <w:rsid w:val="00421CF7"/>
    <w:rsid w:val="00426736"/>
    <w:rsid w:val="004271C1"/>
    <w:rsid w:val="004311D7"/>
    <w:rsid w:val="00433448"/>
    <w:rsid w:val="00434141"/>
    <w:rsid w:val="004356DA"/>
    <w:rsid w:val="00437381"/>
    <w:rsid w:val="0043747D"/>
    <w:rsid w:val="00437BFE"/>
    <w:rsid w:val="00437FDB"/>
    <w:rsid w:val="0044019A"/>
    <w:rsid w:val="004409D9"/>
    <w:rsid w:val="00440C93"/>
    <w:rsid w:val="00442CD7"/>
    <w:rsid w:val="004430A0"/>
    <w:rsid w:val="004453D8"/>
    <w:rsid w:val="00445FD5"/>
    <w:rsid w:val="00446671"/>
    <w:rsid w:val="004476F2"/>
    <w:rsid w:val="004527CA"/>
    <w:rsid w:val="00452FB8"/>
    <w:rsid w:val="0045775F"/>
    <w:rsid w:val="0046174E"/>
    <w:rsid w:val="004621BF"/>
    <w:rsid w:val="00462FE6"/>
    <w:rsid w:val="004636CB"/>
    <w:rsid w:val="00473BDA"/>
    <w:rsid w:val="00474423"/>
    <w:rsid w:val="00474DCB"/>
    <w:rsid w:val="00477C51"/>
    <w:rsid w:val="00485B8C"/>
    <w:rsid w:val="00486F33"/>
    <w:rsid w:val="00490BB2"/>
    <w:rsid w:val="00491D31"/>
    <w:rsid w:val="00492C80"/>
    <w:rsid w:val="0049386B"/>
    <w:rsid w:val="00493FE4"/>
    <w:rsid w:val="004944A0"/>
    <w:rsid w:val="00494F2C"/>
    <w:rsid w:val="00495453"/>
    <w:rsid w:val="004A04A1"/>
    <w:rsid w:val="004A152E"/>
    <w:rsid w:val="004A38ED"/>
    <w:rsid w:val="004A3B4B"/>
    <w:rsid w:val="004A650A"/>
    <w:rsid w:val="004A6C47"/>
    <w:rsid w:val="004A7954"/>
    <w:rsid w:val="004B0C47"/>
    <w:rsid w:val="004B0F05"/>
    <w:rsid w:val="004B1558"/>
    <w:rsid w:val="004B1722"/>
    <w:rsid w:val="004B1867"/>
    <w:rsid w:val="004B26E8"/>
    <w:rsid w:val="004B4EB2"/>
    <w:rsid w:val="004B52B5"/>
    <w:rsid w:val="004B5577"/>
    <w:rsid w:val="004B595B"/>
    <w:rsid w:val="004B648A"/>
    <w:rsid w:val="004B680F"/>
    <w:rsid w:val="004C1100"/>
    <w:rsid w:val="004C1589"/>
    <w:rsid w:val="004C4454"/>
    <w:rsid w:val="004C4629"/>
    <w:rsid w:val="004C52F6"/>
    <w:rsid w:val="004C58F6"/>
    <w:rsid w:val="004C70CE"/>
    <w:rsid w:val="004C7999"/>
    <w:rsid w:val="004C7D62"/>
    <w:rsid w:val="004D12F6"/>
    <w:rsid w:val="004D2FFB"/>
    <w:rsid w:val="004D3224"/>
    <w:rsid w:val="004D34CC"/>
    <w:rsid w:val="004D650A"/>
    <w:rsid w:val="004E5E63"/>
    <w:rsid w:val="004E7438"/>
    <w:rsid w:val="004F369C"/>
    <w:rsid w:val="004F4321"/>
    <w:rsid w:val="004F56D2"/>
    <w:rsid w:val="004F634A"/>
    <w:rsid w:val="004F6414"/>
    <w:rsid w:val="005021CA"/>
    <w:rsid w:val="0050248A"/>
    <w:rsid w:val="00502A42"/>
    <w:rsid w:val="00504DA1"/>
    <w:rsid w:val="00505818"/>
    <w:rsid w:val="00506168"/>
    <w:rsid w:val="00506CC0"/>
    <w:rsid w:val="00507360"/>
    <w:rsid w:val="00507D20"/>
    <w:rsid w:val="00510FF1"/>
    <w:rsid w:val="00511AAA"/>
    <w:rsid w:val="00513551"/>
    <w:rsid w:val="00515062"/>
    <w:rsid w:val="00520026"/>
    <w:rsid w:val="005218EF"/>
    <w:rsid w:val="00522122"/>
    <w:rsid w:val="005260B4"/>
    <w:rsid w:val="0052639E"/>
    <w:rsid w:val="0052643E"/>
    <w:rsid w:val="00527175"/>
    <w:rsid w:val="005271C6"/>
    <w:rsid w:val="00533BA5"/>
    <w:rsid w:val="005360CE"/>
    <w:rsid w:val="0053614D"/>
    <w:rsid w:val="00537250"/>
    <w:rsid w:val="00542A2F"/>
    <w:rsid w:val="0054380B"/>
    <w:rsid w:val="005452F2"/>
    <w:rsid w:val="00546B61"/>
    <w:rsid w:val="005476F2"/>
    <w:rsid w:val="00547F22"/>
    <w:rsid w:val="005503A6"/>
    <w:rsid w:val="0055110C"/>
    <w:rsid w:val="005542ED"/>
    <w:rsid w:val="00554E8D"/>
    <w:rsid w:val="005555CC"/>
    <w:rsid w:val="0055590A"/>
    <w:rsid w:val="005562D4"/>
    <w:rsid w:val="005576D5"/>
    <w:rsid w:val="00557E13"/>
    <w:rsid w:val="00560AB0"/>
    <w:rsid w:val="005619C9"/>
    <w:rsid w:val="00563ABD"/>
    <w:rsid w:val="00563CD5"/>
    <w:rsid w:val="0056567F"/>
    <w:rsid w:val="00565FDF"/>
    <w:rsid w:val="00570A77"/>
    <w:rsid w:val="00570EB4"/>
    <w:rsid w:val="00572825"/>
    <w:rsid w:val="00572E91"/>
    <w:rsid w:val="005758A8"/>
    <w:rsid w:val="00577D97"/>
    <w:rsid w:val="00583009"/>
    <w:rsid w:val="00583870"/>
    <w:rsid w:val="00591BCA"/>
    <w:rsid w:val="005934F2"/>
    <w:rsid w:val="00594992"/>
    <w:rsid w:val="00594CDC"/>
    <w:rsid w:val="005960E8"/>
    <w:rsid w:val="005A0AD4"/>
    <w:rsid w:val="005A2878"/>
    <w:rsid w:val="005A2A0A"/>
    <w:rsid w:val="005A2E81"/>
    <w:rsid w:val="005A366D"/>
    <w:rsid w:val="005A5DEC"/>
    <w:rsid w:val="005B0092"/>
    <w:rsid w:val="005B0862"/>
    <w:rsid w:val="005B3CF1"/>
    <w:rsid w:val="005B48A1"/>
    <w:rsid w:val="005B7F9F"/>
    <w:rsid w:val="005C0A49"/>
    <w:rsid w:val="005C2C17"/>
    <w:rsid w:val="005C2FCF"/>
    <w:rsid w:val="005C4DFA"/>
    <w:rsid w:val="005C525C"/>
    <w:rsid w:val="005D30DD"/>
    <w:rsid w:val="005D5EB1"/>
    <w:rsid w:val="005D76C1"/>
    <w:rsid w:val="005E36B5"/>
    <w:rsid w:val="005E3A24"/>
    <w:rsid w:val="005E7D21"/>
    <w:rsid w:val="00600AA2"/>
    <w:rsid w:val="006030E9"/>
    <w:rsid w:val="0060512A"/>
    <w:rsid w:val="006052CA"/>
    <w:rsid w:val="00607893"/>
    <w:rsid w:val="00610FF7"/>
    <w:rsid w:val="00611F20"/>
    <w:rsid w:val="006129FD"/>
    <w:rsid w:val="00612D87"/>
    <w:rsid w:val="006152EC"/>
    <w:rsid w:val="006154A2"/>
    <w:rsid w:val="0061671C"/>
    <w:rsid w:val="00621170"/>
    <w:rsid w:val="0062157B"/>
    <w:rsid w:val="006219C8"/>
    <w:rsid w:val="00621A15"/>
    <w:rsid w:val="00622636"/>
    <w:rsid w:val="00624F7D"/>
    <w:rsid w:val="0062538C"/>
    <w:rsid w:val="00625A05"/>
    <w:rsid w:val="00626767"/>
    <w:rsid w:val="00627BF6"/>
    <w:rsid w:val="00627D5B"/>
    <w:rsid w:val="00627FD2"/>
    <w:rsid w:val="00630528"/>
    <w:rsid w:val="00630D64"/>
    <w:rsid w:val="00631E13"/>
    <w:rsid w:val="006343A4"/>
    <w:rsid w:val="00635A0C"/>
    <w:rsid w:val="00636C02"/>
    <w:rsid w:val="00637C25"/>
    <w:rsid w:val="00640BC9"/>
    <w:rsid w:val="0064142C"/>
    <w:rsid w:val="00642E68"/>
    <w:rsid w:val="00644247"/>
    <w:rsid w:val="00644F02"/>
    <w:rsid w:val="006457BF"/>
    <w:rsid w:val="00645A00"/>
    <w:rsid w:val="00646264"/>
    <w:rsid w:val="00647FEE"/>
    <w:rsid w:val="0065216A"/>
    <w:rsid w:val="00653EDD"/>
    <w:rsid w:val="0065474E"/>
    <w:rsid w:val="00655E57"/>
    <w:rsid w:val="00656B15"/>
    <w:rsid w:val="0065768A"/>
    <w:rsid w:val="00657C97"/>
    <w:rsid w:val="00660F1B"/>
    <w:rsid w:val="0066138C"/>
    <w:rsid w:val="006645EC"/>
    <w:rsid w:val="00667F88"/>
    <w:rsid w:val="006700DA"/>
    <w:rsid w:val="00670754"/>
    <w:rsid w:val="00671978"/>
    <w:rsid w:val="006742AC"/>
    <w:rsid w:val="00674374"/>
    <w:rsid w:val="00674556"/>
    <w:rsid w:val="006753F4"/>
    <w:rsid w:val="00676023"/>
    <w:rsid w:val="00682A7A"/>
    <w:rsid w:val="006834A1"/>
    <w:rsid w:val="00683B91"/>
    <w:rsid w:val="00685F3D"/>
    <w:rsid w:val="0068635B"/>
    <w:rsid w:val="00686AD3"/>
    <w:rsid w:val="00687601"/>
    <w:rsid w:val="00692FA1"/>
    <w:rsid w:val="00694134"/>
    <w:rsid w:val="00695DD0"/>
    <w:rsid w:val="006976E7"/>
    <w:rsid w:val="006A11A6"/>
    <w:rsid w:val="006A2020"/>
    <w:rsid w:val="006A2120"/>
    <w:rsid w:val="006A42FE"/>
    <w:rsid w:val="006A4B47"/>
    <w:rsid w:val="006A6FD2"/>
    <w:rsid w:val="006A7FD4"/>
    <w:rsid w:val="006B1BD9"/>
    <w:rsid w:val="006B2B25"/>
    <w:rsid w:val="006B3AA8"/>
    <w:rsid w:val="006B4323"/>
    <w:rsid w:val="006B667D"/>
    <w:rsid w:val="006B73CB"/>
    <w:rsid w:val="006B73F3"/>
    <w:rsid w:val="006B741C"/>
    <w:rsid w:val="006C035D"/>
    <w:rsid w:val="006C0C57"/>
    <w:rsid w:val="006C1A31"/>
    <w:rsid w:val="006C3545"/>
    <w:rsid w:val="006C3BFC"/>
    <w:rsid w:val="006D0814"/>
    <w:rsid w:val="006D25C3"/>
    <w:rsid w:val="006D45D6"/>
    <w:rsid w:val="006D5180"/>
    <w:rsid w:val="006D520E"/>
    <w:rsid w:val="006D56FB"/>
    <w:rsid w:val="006D5E6D"/>
    <w:rsid w:val="006D5F42"/>
    <w:rsid w:val="006D7E08"/>
    <w:rsid w:val="006E0858"/>
    <w:rsid w:val="006E0A1A"/>
    <w:rsid w:val="006E1255"/>
    <w:rsid w:val="006E18CC"/>
    <w:rsid w:val="006E3DDA"/>
    <w:rsid w:val="006E43D0"/>
    <w:rsid w:val="006E5AF4"/>
    <w:rsid w:val="006E6AEB"/>
    <w:rsid w:val="006E73EE"/>
    <w:rsid w:val="006F005D"/>
    <w:rsid w:val="006F0E4B"/>
    <w:rsid w:val="006F1678"/>
    <w:rsid w:val="006F23D5"/>
    <w:rsid w:val="006F2591"/>
    <w:rsid w:val="006F2B4A"/>
    <w:rsid w:val="006F469C"/>
    <w:rsid w:val="006F6FCE"/>
    <w:rsid w:val="007003D3"/>
    <w:rsid w:val="0070298E"/>
    <w:rsid w:val="007039DA"/>
    <w:rsid w:val="00703C4C"/>
    <w:rsid w:val="0070581D"/>
    <w:rsid w:val="007067F6"/>
    <w:rsid w:val="00707243"/>
    <w:rsid w:val="007073BC"/>
    <w:rsid w:val="00707A6F"/>
    <w:rsid w:val="00710410"/>
    <w:rsid w:val="0071151D"/>
    <w:rsid w:val="00711526"/>
    <w:rsid w:val="00711D3C"/>
    <w:rsid w:val="007131E7"/>
    <w:rsid w:val="00714038"/>
    <w:rsid w:val="007153A4"/>
    <w:rsid w:val="007155C7"/>
    <w:rsid w:val="00717F83"/>
    <w:rsid w:val="00720D8A"/>
    <w:rsid w:val="0072109B"/>
    <w:rsid w:val="0072161F"/>
    <w:rsid w:val="007217EB"/>
    <w:rsid w:val="00726787"/>
    <w:rsid w:val="007267D1"/>
    <w:rsid w:val="00731260"/>
    <w:rsid w:val="007331DC"/>
    <w:rsid w:val="0073417C"/>
    <w:rsid w:val="00734A79"/>
    <w:rsid w:val="00735659"/>
    <w:rsid w:val="007359E9"/>
    <w:rsid w:val="00735EB8"/>
    <w:rsid w:val="00736772"/>
    <w:rsid w:val="0073677F"/>
    <w:rsid w:val="007369B4"/>
    <w:rsid w:val="00736FC4"/>
    <w:rsid w:val="00741832"/>
    <w:rsid w:val="00743467"/>
    <w:rsid w:val="007440B4"/>
    <w:rsid w:val="00745AE5"/>
    <w:rsid w:val="00746446"/>
    <w:rsid w:val="007474FB"/>
    <w:rsid w:val="0074795A"/>
    <w:rsid w:val="00750413"/>
    <w:rsid w:val="007509E1"/>
    <w:rsid w:val="00750D60"/>
    <w:rsid w:val="0075327B"/>
    <w:rsid w:val="00754114"/>
    <w:rsid w:val="007541B4"/>
    <w:rsid w:val="007553F9"/>
    <w:rsid w:val="00755F37"/>
    <w:rsid w:val="007569FA"/>
    <w:rsid w:val="00756A54"/>
    <w:rsid w:val="0076039C"/>
    <w:rsid w:val="00761E6C"/>
    <w:rsid w:val="00763A56"/>
    <w:rsid w:val="00763B37"/>
    <w:rsid w:val="00766548"/>
    <w:rsid w:val="00766753"/>
    <w:rsid w:val="0077075A"/>
    <w:rsid w:val="007722F9"/>
    <w:rsid w:val="007726D2"/>
    <w:rsid w:val="007742D5"/>
    <w:rsid w:val="0077531A"/>
    <w:rsid w:val="007765B9"/>
    <w:rsid w:val="0077681B"/>
    <w:rsid w:val="00780166"/>
    <w:rsid w:val="007811FF"/>
    <w:rsid w:val="00783428"/>
    <w:rsid w:val="00783B7F"/>
    <w:rsid w:val="0078549C"/>
    <w:rsid w:val="00786C60"/>
    <w:rsid w:val="00787EA4"/>
    <w:rsid w:val="00791749"/>
    <w:rsid w:val="00794929"/>
    <w:rsid w:val="007965E0"/>
    <w:rsid w:val="00796670"/>
    <w:rsid w:val="007A3A61"/>
    <w:rsid w:val="007A6CBA"/>
    <w:rsid w:val="007A7BF7"/>
    <w:rsid w:val="007B093F"/>
    <w:rsid w:val="007B1C69"/>
    <w:rsid w:val="007B4AA8"/>
    <w:rsid w:val="007C1E7E"/>
    <w:rsid w:val="007C3143"/>
    <w:rsid w:val="007C37FE"/>
    <w:rsid w:val="007C45A1"/>
    <w:rsid w:val="007C5726"/>
    <w:rsid w:val="007C63F5"/>
    <w:rsid w:val="007C6F64"/>
    <w:rsid w:val="007C735B"/>
    <w:rsid w:val="007D0EDA"/>
    <w:rsid w:val="007D47FC"/>
    <w:rsid w:val="007D54B3"/>
    <w:rsid w:val="007D6F5E"/>
    <w:rsid w:val="007D7BDD"/>
    <w:rsid w:val="007D7CB3"/>
    <w:rsid w:val="007E0E11"/>
    <w:rsid w:val="007E274C"/>
    <w:rsid w:val="007E4FD7"/>
    <w:rsid w:val="007E5A5D"/>
    <w:rsid w:val="007F1041"/>
    <w:rsid w:val="007F12A5"/>
    <w:rsid w:val="007F29A1"/>
    <w:rsid w:val="007F2AE9"/>
    <w:rsid w:val="007F3044"/>
    <w:rsid w:val="007F3AF7"/>
    <w:rsid w:val="007F485B"/>
    <w:rsid w:val="007F5EAD"/>
    <w:rsid w:val="007F7FBB"/>
    <w:rsid w:val="008003F2"/>
    <w:rsid w:val="008026CD"/>
    <w:rsid w:val="0080308E"/>
    <w:rsid w:val="00804583"/>
    <w:rsid w:val="00807583"/>
    <w:rsid w:val="00811D96"/>
    <w:rsid w:val="0081402E"/>
    <w:rsid w:val="0081517F"/>
    <w:rsid w:val="00816B29"/>
    <w:rsid w:val="00817578"/>
    <w:rsid w:val="008205D9"/>
    <w:rsid w:val="008208F6"/>
    <w:rsid w:val="00821A39"/>
    <w:rsid w:val="00821AFC"/>
    <w:rsid w:val="00824A86"/>
    <w:rsid w:val="00832593"/>
    <w:rsid w:val="00832DFB"/>
    <w:rsid w:val="0083536F"/>
    <w:rsid w:val="0083539D"/>
    <w:rsid w:val="008408C2"/>
    <w:rsid w:val="0084090D"/>
    <w:rsid w:val="00846388"/>
    <w:rsid w:val="008476E7"/>
    <w:rsid w:val="008511F2"/>
    <w:rsid w:val="00851F15"/>
    <w:rsid w:val="00853045"/>
    <w:rsid w:val="00853B2D"/>
    <w:rsid w:val="008553F8"/>
    <w:rsid w:val="008568DE"/>
    <w:rsid w:val="0085716B"/>
    <w:rsid w:val="0086133A"/>
    <w:rsid w:val="00863A52"/>
    <w:rsid w:val="00864577"/>
    <w:rsid w:val="0086525B"/>
    <w:rsid w:val="00865351"/>
    <w:rsid w:val="008655AA"/>
    <w:rsid w:val="00867643"/>
    <w:rsid w:val="00867A0D"/>
    <w:rsid w:val="008708CF"/>
    <w:rsid w:val="00872C0A"/>
    <w:rsid w:val="008770EF"/>
    <w:rsid w:val="00877467"/>
    <w:rsid w:val="00877F0B"/>
    <w:rsid w:val="008808C9"/>
    <w:rsid w:val="00880C36"/>
    <w:rsid w:val="00880D7F"/>
    <w:rsid w:val="008815EE"/>
    <w:rsid w:val="00881964"/>
    <w:rsid w:val="00881B5F"/>
    <w:rsid w:val="00882B6C"/>
    <w:rsid w:val="00882BFF"/>
    <w:rsid w:val="00885188"/>
    <w:rsid w:val="00885783"/>
    <w:rsid w:val="00892730"/>
    <w:rsid w:val="008937C0"/>
    <w:rsid w:val="00894164"/>
    <w:rsid w:val="008946F2"/>
    <w:rsid w:val="0089503F"/>
    <w:rsid w:val="00896379"/>
    <w:rsid w:val="008A1C58"/>
    <w:rsid w:val="008A2A24"/>
    <w:rsid w:val="008A3331"/>
    <w:rsid w:val="008A4193"/>
    <w:rsid w:val="008A55D6"/>
    <w:rsid w:val="008A6721"/>
    <w:rsid w:val="008A713E"/>
    <w:rsid w:val="008B009D"/>
    <w:rsid w:val="008B4F88"/>
    <w:rsid w:val="008B502E"/>
    <w:rsid w:val="008B7D09"/>
    <w:rsid w:val="008C1CD4"/>
    <w:rsid w:val="008C2531"/>
    <w:rsid w:val="008C2C55"/>
    <w:rsid w:val="008C3B43"/>
    <w:rsid w:val="008C4124"/>
    <w:rsid w:val="008C488E"/>
    <w:rsid w:val="008C4E54"/>
    <w:rsid w:val="008D4283"/>
    <w:rsid w:val="008D4B24"/>
    <w:rsid w:val="008D7B9D"/>
    <w:rsid w:val="008E0D32"/>
    <w:rsid w:val="008E19AB"/>
    <w:rsid w:val="008E1A7D"/>
    <w:rsid w:val="008E2D8D"/>
    <w:rsid w:val="008E61C4"/>
    <w:rsid w:val="008E74BC"/>
    <w:rsid w:val="008F0381"/>
    <w:rsid w:val="008F1037"/>
    <w:rsid w:val="008F2710"/>
    <w:rsid w:val="008F3983"/>
    <w:rsid w:val="008F3FE6"/>
    <w:rsid w:val="008F5E3A"/>
    <w:rsid w:val="008F61EF"/>
    <w:rsid w:val="008F6BA2"/>
    <w:rsid w:val="00902C96"/>
    <w:rsid w:val="009049E8"/>
    <w:rsid w:val="00907DE7"/>
    <w:rsid w:val="009102A0"/>
    <w:rsid w:val="00911952"/>
    <w:rsid w:val="00912B96"/>
    <w:rsid w:val="00913059"/>
    <w:rsid w:val="009148D8"/>
    <w:rsid w:val="009172A2"/>
    <w:rsid w:val="00920349"/>
    <w:rsid w:val="00920ED2"/>
    <w:rsid w:val="00924029"/>
    <w:rsid w:val="009270C1"/>
    <w:rsid w:val="009309E8"/>
    <w:rsid w:val="009330FC"/>
    <w:rsid w:val="00934A5C"/>
    <w:rsid w:val="00937736"/>
    <w:rsid w:val="00937C51"/>
    <w:rsid w:val="00941A30"/>
    <w:rsid w:val="00942D95"/>
    <w:rsid w:val="0094308E"/>
    <w:rsid w:val="00944008"/>
    <w:rsid w:val="00947E00"/>
    <w:rsid w:val="009528B9"/>
    <w:rsid w:val="00957918"/>
    <w:rsid w:val="00961BEA"/>
    <w:rsid w:val="0096249B"/>
    <w:rsid w:val="00963539"/>
    <w:rsid w:val="0096575C"/>
    <w:rsid w:val="00965DFE"/>
    <w:rsid w:val="00966565"/>
    <w:rsid w:val="00967FA9"/>
    <w:rsid w:val="00971D00"/>
    <w:rsid w:val="00976B24"/>
    <w:rsid w:val="00976E23"/>
    <w:rsid w:val="009802B4"/>
    <w:rsid w:val="009812AA"/>
    <w:rsid w:val="009815C2"/>
    <w:rsid w:val="00981CBE"/>
    <w:rsid w:val="00982A68"/>
    <w:rsid w:val="00983264"/>
    <w:rsid w:val="009848C3"/>
    <w:rsid w:val="0099100D"/>
    <w:rsid w:val="0099226A"/>
    <w:rsid w:val="009939CA"/>
    <w:rsid w:val="00994DA1"/>
    <w:rsid w:val="00996967"/>
    <w:rsid w:val="009A058A"/>
    <w:rsid w:val="009A2101"/>
    <w:rsid w:val="009A380C"/>
    <w:rsid w:val="009A462B"/>
    <w:rsid w:val="009A5360"/>
    <w:rsid w:val="009A709A"/>
    <w:rsid w:val="009A77DE"/>
    <w:rsid w:val="009B16B1"/>
    <w:rsid w:val="009B173F"/>
    <w:rsid w:val="009B1C0B"/>
    <w:rsid w:val="009B2C91"/>
    <w:rsid w:val="009B67F7"/>
    <w:rsid w:val="009B6CF9"/>
    <w:rsid w:val="009C2608"/>
    <w:rsid w:val="009C2979"/>
    <w:rsid w:val="009C547D"/>
    <w:rsid w:val="009C7A07"/>
    <w:rsid w:val="009E0FDA"/>
    <w:rsid w:val="009E1571"/>
    <w:rsid w:val="009E1DC6"/>
    <w:rsid w:val="009E26A4"/>
    <w:rsid w:val="009E2E7B"/>
    <w:rsid w:val="009E4594"/>
    <w:rsid w:val="009E4BAB"/>
    <w:rsid w:val="009E5FE9"/>
    <w:rsid w:val="009E67FE"/>
    <w:rsid w:val="009E700C"/>
    <w:rsid w:val="009F0D93"/>
    <w:rsid w:val="009F3855"/>
    <w:rsid w:val="009F5E67"/>
    <w:rsid w:val="00A00EED"/>
    <w:rsid w:val="00A0172A"/>
    <w:rsid w:val="00A0184A"/>
    <w:rsid w:val="00A02D9B"/>
    <w:rsid w:val="00A02DB5"/>
    <w:rsid w:val="00A042AD"/>
    <w:rsid w:val="00A053AF"/>
    <w:rsid w:val="00A055DB"/>
    <w:rsid w:val="00A05DAD"/>
    <w:rsid w:val="00A0688E"/>
    <w:rsid w:val="00A06A31"/>
    <w:rsid w:val="00A1016C"/>
    <w:rsid w:val="00A1428D"/>
    <w:rsid w:val="00A14C66"/>
    <w:rsid w:val="00A219E5"/>
    <w:rsid w:val="00A22A51"/>
    <w:rsid w:val="00A22DED"/>
    <w:rsid w:val="00A2351D"/>
    <w:rsid w:val="00A24081"/>
    <w:rsid w:val="00A245BC"/>
    <w:rsid w:val="00A253B2"/>
    <w:rsid w:val="00A26C00"/>
    <w:rsid w:val="00A271C6"/>
    <w:rsid w:val="00A30E56"/>
    <w:rsid w:val="00A314DC"/>
    <w:rsid w:val="00A33F6A"/>
    <w:rsid w:val="00A35705"/>
    <w:rsid w:val="00A367BE"/>
    <w:rsid w:val="00A40DA9"/>
    <w:rsid w:val="00A40DB2"/>
    <w:rsid w:val="00A4217E"/>
    <w:rsid w:val="00A426B1"/>
    <w:rsid w:val="00A4440E"/>
    <w:rsid w:val="00A44ECA"/>
    <w:rsid w:val="00A47E15"/>
    <w:rsid w:val="00A504C2"/>
    <w:rsid w:val="00A5058E"/>
    <w:rsid w:val="00A5066C"/>
    <w:rsid w:val="00A516F3"/>
    <w:rsid w:val="00A51C25"/>
    <w:rsid w:val="00A51D56"/>
    <w:rsid w:val="00A53EA1"/>
    <w:rsid w:val="00A54C26"/>
    <w:rsid w:val="00A55C24"/>
    <w:rsid w:val="00A5682B"/>
    <w:rsid w:val="00A6029C"/>
    <w:rsid w:val="00A6276A"/>
    <w:rsid w:val="00A6298D"/>
    <w:rsid w:val="00A63149"/>
    <w:rsid w:val="00A63CC0"/>
    <w:rsid w:val="00A66753"/>
    <w:rsid w:val="00A703DC"/>
    <w:rsid w:val="00A70827"/>
    <w:rsid w:val="00A72FD2"/>
    <w:rsid w:val="00A74253"/>
    <w:rsid w:val="00A7448E"/>
    <w:rsid w:val="00A76AEE"/>
    <w:rsid w:val="00A76D4E"/>
    <w:rsid w:val="00A778F9"/>
    <w:rsid w:val="00A80554"/>
    <w:rsid w:val="00A80880"/>
    <w:rsid w:val="00A8158E"/>
    <w:rsid w:val="00A82866"/>
    <w:rsid w:val="00A8317C"/>
    <w:rsid w:val="00A84083"/>
    <w:rsid w:val="00A84FA2"/>
    <w:rsid w:val="00A86B9C"/>
    <w:rsid w:val="00A90E06"/>
    <w:rsid w:val="00A9292A"/>
    <w:rsid w:val="00A933F9"/>
    <w:rsid w:val="00A956FF"/>
    <w:rsid w:val="00A95B7D"/>
    <w:rsid w:val="00A9721B"/>
    <w:rsid w:val="00AA0737"/>
    <w:rsid w:val="00AA1F4B"/>
    <w:rsid w:val="00AA25F1"/>
    <w:rsid w:val="00AA4382"/>
    <w:rsid w:val="00AA4D0C"/>
    <w:rsid w:val="00AA6C93"/>
    <w:rsid w:val="00AA7014"/>
    <w:rsid w:val="00AA7099"/>
    <w:rsid w:val="00AA7DAF"/>
    <w:rsid w:val="00AA7E8F"/>
    <w:rsid w:val="00AB2924"/>
    <w:rsid w:val="00AB5068"/>
    <w:rsid w:val="00AC082C"/>
    <w:rsid w:val="00AC1058"/>
    <w:rsid w:val="00AC3A6F"/>
    <w:rsid w:val="00AC4BCE"/>
    <w:rsid w:val="00AC6C78"/>
    <w:rsid w:val="00AD2A17"/>
    <w:rsid w:val="00AD2EC4"/>
    <w:rsid w:val="00AD50CD"/>
    <w:rsid w:val="00AD5C98"/>
    <w:rsid w:val="00AD6995"/>
    <w:rsid w:val="00AD6EBF"/>
    <w:rsid w:val="00AE065D"/>
    <w:rsid w:val="00AE0AF2"/>
    <w:rsid w:val="00AE1BC3"/>
    <w:rsid w:val="00AE3B6C"/>
    <w:rsid w:val="00AE4E22"/>
    <w:rsid w:val="00AF056E"/>
    <w:rsid w:val="00AF1BA1"/>
    <w:rsid w:val="00AF24AD"/>
    <w:rsid w:val="00AF6444"/>
    <w:rsid w:val="00AF7C15"/>
    <w:rsid w:val="00B03A00"/>
    <w:rsid w:val="00B04959"/>
    <w:rsid w:val="00B11F70"/>
    <w:rsid w:val="00B12E39"/>
    <w:rsid w:val="00B1338F"/>
    <w:rsid w:val="00B14311"/>
    <w:rsid w:val="00B1536E"/>
    <w:rsid w:val="00B16A1D"/>
    <w:rsid w:val="00B16B60"/>
    <w:rsid w:val="00B24433"/>
    <w:rsid w:val="00B24E0B"/>
    <w:rsid w:val="00B25495"/>
    <w:rsid w:val="00B31170"/>
    <w:rsid w:val="00B31724"/>
    <w:rsid w:val="00B3178B"/>
    <w:rsid w:val="00B31E58"/>
    <w:rsid w:val="00B33D98"/>
    <w:rsid w:val="00B33FC2"/>
    <w:rsid w:val="00B34A4B"/>
    <w:rsid w:val="00B365C3"/>
    <w:rsid w:val="00B373D8"/>
    <w:rsid w:val="00B4328C"/>
    <w:rsid w:val="00B43694"/>
    <w:rsid w:val="00B46D4D"/>
    <w:rsid w:val="00B47285"/>
    <w:rsid w:val="00B50594"/>
    <w:rsid w:val="00B50EA5"/>
    <w:rsid w:val="00B51489"/>
    <w:rsid w:val="00B52707"/>
    <w:rsid w:val="00B53891"/>
    <w:rsid w:val="00B55AA7"/>
    <w:rsid w:val="00B57A9D"/>
    <w:rsid w:val="00B6179A"/>
    <w:rsid w:val="00B6311E"/>
    <w:rsid w:val="00B65527"/>
    <w:rsid w:val="00B65661"/>
    <w:rsid w:val="00B709B0"/>
    <w:rsid w:val="00B70E95"/>
    <w:rsid w:val="00B71BE8"/>
    <w:rsid w:val="00B72A4C"/>
    <w:rsid w:val="00B73803"/>
    <w:rsid w:val="00B774DD"/>
    <w:rsid w:val="00B8199F"/>
    <w:rsid w:val="00B82284"/>
    <w:rsid w:val="00B82B00"/>
    <w:rsid w:val="00B82EBE"/>
    <w:rsid w:val="00B839F4"/>
    <w:rsid w:val="00B83E6F"/>
    <w:rsid w:val="00B85642"/>
    <w:rsid w:val="00B85CFE"/>
    <w:rsid w:val="00B87454"/>
    <w:rsid w:val="00B912C9"/>
    <w:rsid w:val="00B91D14"/>
    <w:rsid w:val="00B92136"/>
    <w:rsid w:val="00B927F2"/>
    <w:rsid w:val="00B935C1"/>
    <w:rsid w:val="00B9417E"/>
    <w:rsid w:val="00B944DD"/>
    <w:rsid w:val="00B96965"/>
    <w:rsid w:val="00B97478"/>
    <w:rsid w:val="00BA2353"/>
    <w:rsid w:val="00BA4921"/>
    <w:rsid w:val="00BA5256"/>
    <w:rsid w:val="00BA5E2D"/>
    <w:rsid w:val="00BA708C"/>
    <w:rsid w:val="00BA7C5D"/>
    <w:rsid w:val="00BB3380"/>
    <w:rsid w:val="00BB3D68"/>
    <w:rsid w:val="00BB3FAE"/>
    <w:rsid w:val="00BB6317"/>
    <w:rsid w:val="00BB6C33"/>
    <w:rsid w:val="00BB7308"/>
    <w:rsid w:val="00BB7A40"/>
    <w:rsid w:val="00BC1743"/>
    <w:rsid w:val="00BC4126"/>
    <w:rsid w:val="00BC55AE"/>
    <w:rsid w:val="00BC631A"/>
    <w:rsid w:val="00BC637C"/>
    <w:rsid w:val="00BC6B6B"/>
    <w:rsid w:val="00BD016E"/>
    <w:rsid w:val="00BD17EF"/>
    <w:rsid w:val="00BD3BCD"/>
    <w:rsid w:val="00BD4A7B"/>
    <w:rsid w:val="00BD5BC4"/>
    <w:rsid w:val="00BE232A"/>
    <w:rsid w:val="00BE3769"/>
    <w:rsid w:val="00BE4D22"/>
    <w:rsid w:val="00BE4E21"/>
    <w:rsid w:val="00BE5F8C"/>
    <w:rsid w:val="00BF1240"/>
    <w:rsid w:val="00BF196D"/>
    <w:rsid w:val="00BF4132"/>
    <w:rsid w:val="00BF4828"/>
    <w:rsid w:val="00BF5518"/>
    <w:rsid w:val="00BF595C"/>
    <w:rsid w:val="00BF5EFA"/>
    <w:rsid w:val="00C008E6"/>
    <w:rsid w:val="00C00CA1"/>
    <w:rsid w:val="00C00E5D"/>
    <w:rsid w:val="00C0443D"/>
    <w:rsid w:val="00C056EA"/>
    <w:rsid w:val="00C12679"/>
    <w:rsid w:val="00C13A19"/>
    <w:rsid w:val="00C14839"/>
    <w:rsid w:val="00C15BE2"/>
    <w:rsid w:val="00C161B2"/>
    <w:rsid w:val="00C201DA"/>
    <w:rsid w:val="00C22519"/>
    <w:rsid w:val="00C23049"/>
    <w:rsid w:val="00C2432D"/>
    <w:rsid w:val="00C24736"/>
    <w:rsid w:val="00C258D2"/>
    <w:rsid w:val="00C26139"/>
    <w:rsid w:val="00C27E6C"/>
    <w:rsid w:val="00C27E6F"/>
    <w:rsid w:val="00C31933"/>
    <w:rsid w:val="00C32B1F"/>
    <w:rsid w:val="00C337B9"/>
    <w:rsid w:val="00C33969"/>
    <w:rsid w:val="00C34C9B"/>
    <w:rsid w:val="00C351FD"/>
    <w:rsid w:val="00C377B9"/>
    <w:rsid w:val="00C41E50"/>
    <w:rsid w:val="00C41F88"/>
    <w:rsid w:val="00C42053"/>
    <w:rsid w:val="00C429DD"/>
    <w:rsid w:val="00C43225"/>
    <w:rsid w:val="00C43755"/>
    <w:rsid w:val="00C44DAD"/>
    <w:rsid w:val="00C46169"/>
    <w:rsid w:val="00C465AD"/>
    <w:rsid w:val="00C47CE4"/>
    <w:rsid w:val="00C502A9"/>
    <w:rsid w:val="00C5057C"/>
    <w:rsid w:val="00C51EAA"/>
    <w:rsid w:val="00C53056"/>
    <w:rsid w:val="00C53317"/>
    <w:rsid w:val="00C55C1D"/>
    <w:rsid w:val="00C56047"/>
    <w:rsid w:val="00C626B6"/>
    <w:rsid w:val="00C63D85"/>
    <w:rsid w:val="00C64042"/>
    <w:rsid w:val="00C65900"/>
    <w:rsid w:val="00C65956"/>
    <w:rsid w:val="00C65DEB"/>
    <w:rsid w:val="00C66D42"/>
    <w:rsid w:val="00C672B8"/>
    <w:rsid w:val="00C70F37"/>
    <w:rsid w:val="00C731B7"/>
    <w:rsid w:val="00C73ABC"/>
    <w:rsid w:val="00C75874"/>
    <w:rsid w:val="00C76652"/>
    <w:rsid w:val="00C7792E"/>
    <w:rsid w:val="00C8172F"/>
    <w:rsid w:val="00C817A2"/>
    <w:rsid w:val="00C821CF"/>
    <w:rsid w:val="00C83460"/>
    <w:rsid w:val="00C835FA"/>
    <w:rsid w:val="00C83A79"/>
    <w:rsid w:val="00C84C91"/>
    <w:rsid w:val="00C8657B"/>
    <w:rsid w:val="00C878CC"/>
    <w:rsid w:val="00C87C94"/>
    <w:rsid w:val="00C905B7"/>
    <w:rsid w:val="00C95274"/>
    <w:rsid w:val="00C95736"/>
    <w:rsid w:val="00C9592F"/>
    <w:rsid w:val="00C966DA"/>
    <w:rsid w:val="00C97774"/>
    <w:rsid w:val="00CA30E7"/>
    <w:rsid w:val="00CA3C4D"/>
    <w:rsid w:val="00CA586C"/>
    <w:rsid w:val="00CB397B"/>
    <w:rsid w:val="00CB6263"/>
    <w:rsid w:val="00CC0913"/>
    <w:rsid w:val="00CC1969"/>
    <w:rsid w:val="00CC1F9D"/>
    <w:rsid w:val="00CC21CB"/>
    <w:rsid w:val="00CC4136"/>
    <w:rsid w:val="00CC4385"/>
    <w:rsid w:val="00CC6424"/>
    <w:rsid w:val="00CC64D9"/>
    <w:rsid w:val="00CD2E71"/>
    <w:rsid w:val="00CD5CE6"/>
    <w:rsid w:val="00CD73FF"/>
    <w:rsid w:val="00CD7A37"/>
    <w:rsid w:val="00CE11D0"/>
    <w:rsid w:val="00CE1989"/>
    <w:rsid w:val="00CE2755"/>
    <w:rsid w:val="00CE300F"/>
    <w:rsid w:val="00CE62A2"/>
    <w:rsid w:val="00CE692C"/>
    <w:rsid w:val="00CF2B47"/>
    <w:rsid w:val="00CF3525"/>
    <w:rsid w:val="00CF3E06"/>
    <w:rsid w:val="00CF4038"/>
    <w:rsid w:val="00CF4BD6"/>
    <w:rsid w:val="00CF5A54"/>
    <w:rsid w:val="00CF73DD"/>
    <w:rsid w:val="00CF778B"/>
    <w:rsid w:val="00CF7F12"/>
    <w:rsid w:val="00D00636"/>
    <w:rsid w:val="00D00A00"/>
    <w:rsid w:val="00D01541"/>
    <w:rsid w:val="00D02D15"/>
    <w:rsid w:val="00D04D17"/>
    <w:rsid w:val="00D100B0"/>
    <w:rsid w:val="00D11E7A"/>
    <w:rsid w:val="00D160B8"/>
    <w:rsid w:val="00D165F2"/>
    <w:rsid w:val="00D177FF"/>
    <w:rsid w:val="00D23559"/>
    <w:rsid w:val="00D242DC"/>
    <w:rsid w:val="00D249AD"/>
    <w:rsid w:val="00D25123"/>
    <w:rsid w:val="00D26466"/>
    <w:rsid w:val="00D26639"/>
    <w:rsid w:val="00D26987"/>
    <w:rsid w:val="00D312C6"/>
    <w:rsid w:val="00D320A5"/>
    <w:rsid w:val="00D33A38"/>
    <w:rsid w:val="00D33AA1"/>
    <w:rsid w:val="00D35A14"/>
    <w:rsid w:val="00D37132"/>
    <w:rsid w:val="00D41323"/>
    <w:rsid w:val="00D428F2"/>
    <w:rsid w:val="00D43AB9"/>
    <w:rsid w:val="00D44E4A"/>
    <w:rsid w:val="00D45396"/>
    <w:rsid w:val="00D453D9"/>
    <w:rsid w:val="00D46290"/>
    <w:rsid w:val="00D50213"/>
    <w:rsid w:val="00D5228E"/>
    <w:rsid w:val="00D52CB7"/>
    <w:rsid w:val="00D530FF"/>
    <w:rsid w:val="00D54764"/>
    <w:rsid w:val="00D6081F"/>
    <w:rsid w:val="00D61916"/>
    <w:rsid w:val="00D620B0"/>
    <w:rsid w:val="00D636CA"/>
    <w:rsid w:val="00D67833"/>
    <w:rsid w:val="00D70331"/>
    <w:rsid w:val="00D70F01"/>
    <w:rsid w:val="00D71870"/>
    <w:rsid w:val="00D72AAF"/>
    <w:rsid w:val="00D72FD5"/>
    <w:rsid w:val="00D75A16"/>
    <w:rsid w:val="00D75C10"/>
    <w:rsid w:val="00D768E7"/>
    <w:rsid w:val="00D77CE7"/>
    <w:rsid w:val="00D80B89"/>
    <w:rsid w:val="00D81235"/>
    <w:rsid w:val="00D81FC0"/>
    <w:rsid w:val="00D82524"/>
    <w:rsid w:val="00D83B2D"/>
    <w:rsid w:val="00D84E31"/>
    <w:rsid w:val="00D84E41"/>
    <w:rsid w:val="00D85D5B"/>
    <w:rsid w:val="00D86C66"/>
    <w:rsid w:val="00D870D4"/>
    <w:rsid w:val="00D907C9"/>
    <w:rsid w:val="00D9115A"/>
    <w:rsid w:val="00D91190"/>
    <w:rsid w:val="00D915A1"/>
    <w:rsid w:val="00D91ADF"/>
    <w:rsid w:val="00D92FC0"/>
    <w:rsid w:val="00D93F89"/>
    <w:rsid w:val="00DA1075"/>
    <w:rsid w:val="00DA170F"/>
    <w:rsid w:val="00DA6918"/>
    <w:rsid w:val="00DA791C"/>
    <w:rsid w:val="00DB0BE2"/>
    <w:rsid w:val="00DB3129"/>
    <w:rsid w:val="00DB69EE"/>
    <w:rsid w:val="00DB6E6E"/>
    <w:rsid w:val="00DB78E2"/>
    <w:rsid w:val="00DC0225"/>
    <w:rsid w:val="00DC0700"/>
    <w:rsid w:val="00DC0F83"/>
    <w:rsid w:val="00DC2038"/>
    <w:rsid w:val="00DC2187"/>
    <w:rsid w:val="00DC2BC1"/>
    <w:rsid w:val="00DC4547"/>
    <w:rsid w:val="00DC4B54"/>
    <w:rsid w:val="00DC6778"/>
    <w:rsid w:val="00DC7AC9"/>
    <w:rsid w:val="00DD033F"/>
    <w:rsid w:val="00DD0AC3"/>
    <w:rsid w:val="00DD266B"/>
    <w:rsid w:val="00DD2CB3"/>
    <w:rsid w:val="00DD2CE9"/>
    <w:rsid w:val="00DD50FC"/>
    <w:rsid w:val="00DD6323"/>
    <w:rsid w:val="00DD7112"/>
    <w:rsid w:val="00DD7259"/>
    <w:rsid w:val="00DE0169"/>
    <w:rsid w:val="00DE0EBF"/>
    <w:rsid w:val="00DF0413"/>
    <w:rsid w:val="00DF0EE5"/>
    <w:rsid w:val="00DF13B5"/>
    <w:rsid w:val="00DF18E1"/>
    <w:rsid w:val="00DF21A3"/>
    <w:rsid w:val="00DF341F"/>
    <w:rsid w:val="00DF4FD8"/>
    <w:rsid w:val="00DF5721"/>
    <w:rsid w:val="00DF673D"/>
    <w:rsid w:val="00DF6C66"/>
    <w:rsid w:val="00DF767A"/>
    <w:rsid w:val="00E0155C"/>
    <w:rsid w:val="00E04FA5"/>
    <w:rsid w:val="00E05213"/>
    <w:rsid w:val="00E057D3"/>
    <w:rsid w:val="00E05D27"/>
    <w:rsid w:val="00E06999"/>
    <w:rsid w:val="00E07F1B"/>
    <w:rsid w:val="00E10784"/>
    <w:rsid w:val="00E108B3"/>
    <w:rsid w:val="00E1113B"/>
    <w:rsid w:val="00E12951"/>
    <w:rsid w:val="00E12D78"/>
    <w:rsid w:val="00E1361B"/>
    <w:rsid w:val="00E136F0"/>
    <w:rsid w:val="00E13975"/>
    <w:rsid w:val="00E13CD3"/>
    <w:rsid w:val="00E140BC"/>
    <w:rsid w:val="00E16629"/>
    <w:rsid w:val="00E16A8B"/>
    <w:rsid w:val="00E176B8"/>
    <w:rsid w:val="00E22314"/>
    <w:rsid w:val="00E241E7"/>
    <w:rsid w:val="00E2524B"/>
    <w:rsid w:val="00E279F0"/>
    <w:rsid w:val="00E27CE1"/>
    <w:rsid w:val="00E30474"/>
    <w:rsid w:val="00E31476"/>
    <w:rsid w:val="00E3291E"/>
    <w:rsid w:val="00E335FC"/>
    <w:rsid w:val="00E35169"/>
    <w:rsid w:val="00E36202"/>
    <w:rsid w:val="00E37F8F"/>
    <w:rsid w:val="00E4139E"/>
    <w:rsid w:val="00E42486"/>
    <w:rsid w:val="00E42FB5"/>
    <w:rsid w:val="00E43397"/>
    <w:rsid w:val="00E44380"/>
    <w:rsid w:val="00E455D4"/>
    <w:rsid w:val="00E460B3"/>
    <w:rsid w:val="00E461EC"/>
    <w:rsid w:val="00E46973"/>
    <w:rsid w:val="00E505B9"/>
    <w:rsid w:val="00E50A37"/>
    <w:rsid w:val="00E50DBD"/>
    <w:rsid w:val="00E5241A"/>
    <w:rsid w:val="00E52922"/>
    <w:rsid w:val="00E53738"/>
    <w:rsid w:val="00E539E0"/>
    <w:rsid w:val="00E570AE"/>
    <w:rsid w:val="00E602E5"/>
    <w:rsid w:val="00E609CB"/>
    <w:rsid w:val="00E612AB"/>
    <w:rsid w:val="00E617FB"/>
    <w:rsid w:val="00E62499"/>
    <w:rsid w:val="00E64AFE"/>
    <w:rsid w:val="00E660BD"/>
    <w:rsid w:val="00E67306"/>
    <w:rsid w:val="00E67B03"/>
    <w:rsid w:val="00E7179F"/>
    <w:rsid w:val="00E7282C"/>
    <w:rsid w:val="00E74392"/>
    <w:rsid w:val="00E76E29"/>
    <w:rsid w:val="00E80865"/>
    <w:rsid w:val="00E80D5B"/>
    <w:rsid w:val="00E8338F"/>
    <w:rsid w:val="00E84432"/>
    <w:rsid w:val="00E84BCC"/>
    <w:rsid w:val="00E8531D"/>
    <w:rsid w:val="00E86AA3"/>
    <w:rsid w:val="00E86F92"/>
    <w:rsid w:val="00E874B2"/>
    <w:rsid w:val="00E91A2C"/>
    <w:rsid w:val="00E91D6C"/>
    <w:rsid w:val="00E926FD"/>
    <w:rsid w:val="00E944B4"/>
    <w:rsid w:val="00E944F7"/>
    <w:rsid w:val="00E955BE"/>
    <w:rsid w:val="00EA1EFB"/>
    <w:rsid w:val="00EA2AFA"/>
    <w:rsid w:val="00EB0936"/>
    <w:rsid w:val="00EB39B6"/>
    <w:rsid w:val="00EB5062"/>
    <w:rsid w:val="00EB6F36"/>
    <w:rsid w:val="00EB7EF3"/>
    <w:rsid w:val="00EC11B3"/>
    <w:rsid w:val="00EC235D"/>
    <w:rsid w:val="00EC4E64"/>
    <w:rsid w:val="00EC64FE"/>
    <w:rsid w:val="00EC6954"/>
    <w:rsid w:val="00ED23BC"/>
    <w:rsid w:val="00ED325C"/>
    <w:rsid w:val="00ED6996"/>
    <w:rsid w:val="00ED6BBD"/>
    <w:rsid w:val="00ED6CFC"/>
    <w:rsid w:val="00EE1C6A"/>
    <w:rsid w:val="00EE3E03"/>
    <w:rsid w:val="00EE43EA"/>
    <w:rsid w:val="00EE4651"/>
    <w:rsid w:val="00EE4BAA"/>
    <w:rsid w:val="00EE6A4B"/>
    <w:rsid w:val="00EE7623"/>
    <w:rsid w:val="00EE7A0E"/>
    <w:rsid w:val="00EF1B88"/>
    <w:rsid w:val="00EF260D"/>
    <w:rsid w:val="00EF43AC"/>
    <w:rsid w:val="00EF61AA"/>
    <w:rsid w:val="00EF64FB"/>
    <w:rsid w:val="00F04060"/>
    <w:rsid w:val="00F04A4C"/>
    <w:rsid w:val="00F05E02"/>
    <w:rsid w:val="00F06F1A"/>
    <w:rsid w:val="00F07FE3"/>
    <w:rsid w:val="00F1284C"/>
    <w:rsid w:val="00F12C61"/>
    <w:rsid w:val="00F13364"/>
    <w:rsid w:val="00F20D4D"/>
    <w:rsid w:val="00F20FD9"/>
    <w:rsid w:val="00F21322"/>
    <w:rsid w:val="00F244B6"/>
    <w:rsid w:val="00F27BBC"/>
    <w:rsid w:val="00F331F4"/>
    <w:rsid w:val="00F347FD"/>
    <w:rsid w:val="00F34F39"/>
    <w:rsid w:val="00F369ED"/>
    <w:rsid w:val="00F37067"/>
    <w:rsid w:val="00F37F58"/>
    <w:rsid w:val="00F417C9"/>
    <w:rsid w:val="00F426A4"/>
    <w:rsid w:val="00F4285C"/>
    <w:rsid w:val="00F450AA"/>
    <w:rsid w:val="00F50A1D"/>
    <w:rsid w:val="00F51A11"/>
    <w:rsid w:val="00F522DC"/>
    <w:rsid w:val="00F52C26"/>
    <w:rsid w:val="00F55073"/>
    <w:rsid w:val="00F60E40"/>
    <w:rsid w:val="00F61E8C"/>
    <w:rsid w:val="00F626B7"/>
    <w:rsid w:val="00F63291"/>
    <w:rsid w:val="00F63815"/>
    <w:rsid w:val="00F6607D"/>
    <w:rsid w:val="00F67AB9"/>
    <w:rsid w:val="00F711CC"/>
    <w:rsid w:val="00F71396"/>
    <w:rsid w:val="00F71B6F"/>
    <w:rsid w:val="00F73AEC"/>
    <w:rsid w:val="00F74600"/>
    <w:rsid w:val="00F77AC6"/>
    <w:rsid w:val="00F80AB5"/>
    <w:rsid w:val="00F833B4"/>
    <w:rsid w:val="00F83511"/>
    <w:rsid w:val="00F837CA"/>
    <w:rsid w:val="00F84486"/>
    <w:rsid w:val="00F85C16"/>
    <w:rsid w:val="00F86466"/>
    <w:rsid w:val="00F877AD"/>
    <w:rsid w:val="00F90F8C"/>
    <w:rsid w:val="00F91189"/>
    <w:rsid w:val="00F9334D"/>
    <w:rsid w:val="00F95F73"/>
    <w:rsid w:val="00F9739F"/>
    <w:rsid w:val="00FA0520"/>
    <w:rsid w:val="00FA1F7E"/>
    <w:rsid w:val="00FA2E1E"/>
    <w:rsid w:val="00FA4CF5"/>
    <w:rsid w:val="00FB05F8"/>
    <w:rsid w:val="00FB1731"/>
    <w:rsid w:val="00FB1CEE"/>
    <w:rsid w:val="00FB7277"/>
    <w:rsid w:val="00FB7E2D"/>
    <w:rsid w:val="00FC1B7A"/>
    <w:rsid w:val="00FC2CA8"/>
    <w:rsid w:val="00FD0080"/>
    <w:rsid w:val="00FD08EC"/>
    <w:rsid w:val="00FD198B"/>
    <w:rsid w:val="00FD5201"/>
    <w:rsid w:val="00FD5A7F"/>
    <w:rsid w:val="00FE1599"/>
    <w:rsid w:val="00FE745E"/>
    <w:rsid w:val="00FE7764"/>
    <w:rsid w:val="00FE7BD7"/>
    <w:rsid w:val="00FF1561"/>
    <w:rsid w:val="00FF169E"/>
    <w:rsid w:val="00FF1F06"/>
    <w:rsid w:val="00FF2F53"/>
    <w:rsid w:val="00FF3D1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D264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Times New Roman" w:cs="Tms Rm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header" w:uiPriority="99"/>
    <w:lsdException w:name="caption" w:uiPriority="99"/>
    <w:lsdException w:name="table of figures" w:uiPriority="99"/>
    <w:lsdException w:name="endnote text" w:uiPriority="99"/>
    <w:lsdException w:name="table of authorities" w:uiPriority="99"/>
    <w:lsdException w:name="macro"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lsdException w:name="Closing" w:uiPriority="99"/>
    <w:lsdException w:name="Signature"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qFormat="1"/>
    <w:lsdException w:name="Salutation" w:uiPriority="99"/>
    <w:lsdException w:name="Note Heading" w:uiPriority="99"/>
    <w:lsdException w:name="Body Text 2" w:uiPriority="99"/>
    <w:lsdException w:name="Body Text 3" w:uiPriority="99"/>
    <w:lsdException w:name="Block Text" w:uiPriority="99"/>
    <w:lsdException w:name="Hyperlink" w:uiPriority="99"/>
    <w:lsdException w:name="Document Map" w:uiPriority="99"/>
    <w:lsdException w:name="Plain Text" w:uiPriority="99"/>
    <w:lsdException w:name="E-mail Signature" w:uiPriority="99"/>
    <w:lsdException w:name="Normal (Web)" w:uiPriority="99"/>
    <w:lsdException w:name="HTML Address" w:uiPriority="99"/>
    <w:lsdException w:name="HTML Preformatted"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uiPriority="99" w:semiHidden="1" w:unhideWhenUsed="1"/>
    <w:lsdException w:name="Table Grid" w:uiPriority="39"/>
    <w:lsdException w:name="Table Theme" w:uiPriority="99" w:semiHidden="1" w:unhideWhenUsed="1"/>
    <w:lsdException w:name="Light Shading" w:uiPriority="60"/>
    <w:lsdException w:name="Light List" w:uiPriority="61"/>
    <w:lsdException w:name="Light Grid" w:uiPriority="62"/>
    <w:lsdException w:name="Medium Shading 1"/>
    <w:lsdException w:name="Medium Shading 2"/>
    <w:lsdException w:name="Medium List 1"/>
    <w:lsdException w:name="Medium List 2"/>
    <w:lsdException w:name="Medium Grid 1" w:uiPriority="67"/>
    <w:lsdException w:name="Medium Grid 2"/>
    <w:lsdException w:name="Medium Grid 3"/>
    <w:lsdException w:name="Dark List" w:uiPriority="70"/>
    <w:lsdException w:name="Colorful Shading"/>
    <w:lsdException w:name="Colorful List"/>
    <w:lsdException w:name="Colorful Grid" w:uiPriority="73"/>
    <w:lsdException w:name="Light Shading Accent 1" w:uiPriority="60"/>
    <w:lsdException w:name="Light List Accent 1" w:uiPriority="61"/>
    <w:lsdException w:name="Light Grid Accent 1" w:uiPriority="62"/>
    <w:lsdException w:name="Medium Shading 1 Accent 1"/>
    <w:lsdException w:name="Medium Shading 2 Accent 1"/>
    <w:lsdException w:name="Medium List 1 Accent 1"/>
    <w:lsdException w:name="List Paragraph" w:uiPriority="99"/>
    <w:lsdException w:name="Medium List 2 Accent 1"/>
    <w:lsdException w:name="Medium Grid 1 Accent 1"/>
    <w:lsdException w:name="Medium Grid 2 Accent 1"/>
    <w:lsdException w:name="Medium Grid 3 Accent 1"/>
    <w:lsdException w:name="Dark List Accent 1" w:uiPriority="70"/>
    <w:lsdException w:name="Colorful Shading Accent 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uiPriority="70"/>
    <w:lsdException w:name="Colorful Shading Accent 2"/>
    <w:lsdException w:name="Colorful List Accent 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lsdException w:name="Colorful List Accent 3"/>
    <w:lsdException w:name="Colorful Grid Accent 3"/>
    <w:lsdException w:name="Light Shading Accent 4" w:uiPriority="60"/>
    <w:lsdException w:name="Light List Accent 4" w:uiPriority="61"/>
    <w:lsdException w:name="Light Grid Accent 4" w:uiPriority="62"/>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uiPriority="70"/>
    <w:lsdException w:name="Colorful Shading Accent 4"/>
    <w:lsdException w:name="Colorful List Accent 4"/>
    <w:lsdException w:name="Colorful Grid Accent 4"/>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uiPriority="70"/>
    <w:lsdException w:name="Colorful Shading Accent 5"/>
    <w:lsdException w:name="Colorful List Accent 5"/>
    <w:lsdException w:name="Colorful Grid Accent 5"/>
    <w:lsdException w:name="Light Shading Accent 6" w:uiPriority="60"/>
    <w:lsdException w:name="Light List Accent 6" w:uiPriority="61"/>
    <w:lsdException w:name="Light Grid Accent 6" w:uiPriority="62"/>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uiPriority="70"/>
    <w:lsdException w:name="Colorful Shading Accent 6"/>
    <w:lsdException w:name="Colorful List Accent 6"/>
    <w:lsdException w:name="Colorful Grid Accent 6"/>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612D87"/>
    <w:rPr>
      <w:rFonts w:ascii="Times New Roman" w:hAnsi="Times New Roman" w:cs="Times New Roman"/>
      <w:sz w:val="24"/>
      <w:szCs w:val="24"/>
    </w:rPr>
  </w:style>
  <w:style w:type="paragraph" w:styleId="Heading1">
    <w:name w:val="heading 1"/>
    <w:aliases w:val="h1"/>
    <w:basedOn w:val="Normal"/>
    <w:next w:val="Normal"/>
    <w:link w:val="Heading1Char"/>
    <w:uiPriority w:val="9"/>
    <w:qFormat/>
    <w:pPr>
      <w:keepNext/>
      <w:keepLines/>
      <w:spacing w:before="360" w:line="280" w:lineRule="exact"/>
      <w:ind w:left="1800" w:right="1267" w:hanging="1080"/>
      <w:jc w:val="both"/>
      <w:outlineLvl w:val="0"/>
    </w:pPr>
    <w:rPr>
      <w:rFonts w:ascii="Times" w:hAnsi="Times"/>
      <w:b/>
      <w:smallCaps/>
      <w:szCs w:val="20"/>
    </w:rPr>
  </w:style>
  <w:style w:type="paragraph" w:styleId="Heading2">
    <w:name w:val="heading 2"/>
    <w:aliases w:val="h2"/>
    <w:basedOn w:val="Heading1"/>
    <w:next w:val="Normal"/>
    <w:link w:val="Heading2Char"/>
    <w:qFormat/>
    <w:pPr>
      <w:numPr>
        <w:ilvl w:val="1"/>
        <w:numId w:val="2"/>
      </w:numPr>
      <w:tabs>
        <w:tab w:val="clear" w:pos="360"/>
      </w:tabs>
      <w:ind w:left="0" w:firstLine="0"/>
      <w:outlineLvl w:val="1"/>
    </w:pPr>
    <w:rPr>
      <w:smallCaps w:val="0"/>
    </w:rPr>
  </w:style>
  <w:style w:type="paragraph" w:styleId="Heading3">
    <w:name w:val="heading 3"/>
    <w:aliases w:val="h3"/>
    <w:basedOn w:val="Heading1"/>
    <w:next w:val="Normal"/>
    <w:link w:val="Heading3Char"/>
    <w:qFormat/>
    <w:pPr>
      <w:numPr>
        <w:ilvl w:val="2"/>
        <w:numId w:val="2"/>
      </w:numPr>
      <w:tabs>
        <w:tab w:val="clear" w:pos="360"/>
      </w:tabs>
      <w:ind w:left="0" w:firstLine="0"/>
      <w:outlineLvl w:val="2"/>
    </w:pPr>
    <w:rPr>
      <w:smallCaps w:val="0"/>
    </w:rPr>
  </w:style>
  <w:style w:type="paragraph" w:styleId="Heading4">
    <w:name w:val="heading 4"/>
    <w:aliases w:val="h4"/>
    <w:basedOn w:val="Heading1"/>
    <w:next w:val="Normal"/>
    <w:link w:val="Heading4Char"/>
    <w:qFormat/>
    <w:pPr>
      <w:numPr>
        <w:ilvl w:val="3"/>
        <w:numId w:val="2"/>
      </w:numPr>
      <w:tabs>
        <w:tab w:val="clear" w:pos="360"/>
      </w:tabs>
      <w:ind w:left="0" w:firstLine="0"/>
      <w:outlineLvl w:val="3"/>
    </w:pPr>
    <w:rPr>
      <w:smallCaps w:val="0"/>
    </w:rPr>
  </w:style>
  <w:style w:type="paragraph" w:styleId="Heading5">
    <w:name w:val="heading 5"/>
    <w:basedOn w:val="Normal"/>
    <w:next w:val="Normal"/>
    <w:link w:val="Heading5Char"/>
    <w:qFormat/>
    <w:pPr>
      <w:numPr>
        <w:ilvl w:val="4"/>
        <w:numId w:val="2"/>
      </w:numPr>
      <w:tabs>
        <w:tab w:val="clear" w:pos="360"/>
      </w:tabs>
      <w:spacing w:line="280" w:lineRule="exact"/>
      <w:ind w:left="0" w:firstLine="0"/>
      <w:outlineLvl w:val="4"/>
    </w:pPr>
    <w:rPr>
      <w:rFonts w:ascii="Times" w:hAnsi="Times"/>
      <w:b/>
      <w:szCs w:val="20"/>
    </w:rPr>
  </w:style>
  <w:style w:type="paragraph" w:styleId="Heading6">
    <w:name w:val="heading 6"/>
    <w:basedOn w:val="Normal"/>
    <w:next w:val="Normal"/>
    <w:link w:val="Heading6Char"/>
    <w:qFormat/>
    <w:pPr>
      <w:numPr>
        <w:ilvl w:val="5"/>
        <w:numId w:val="2"/>
      </w:numPr>
      <w:tabs>
        <w:tab w:val="clear" w:pos="360"/>
      </w:tabs>
      <w:spacing w:line="280" w:lineRule="exact"/>
      <w:ind w:left="0" w:firstLine="0"/>
      <w:outlineLvl w:val="5"/>
    </w:pPr>
    <w:rPr>
      <w:rFonts w:ascii="Times" w:hAnsi="Times"/>
      <w:szCs w:val="20"/>
    </w:rPr>
  </w:style>
  <w:style w:type="paragraph" w:styleId="Heading7">
    <w:name w:val="heading 7"/>
    <w:basedOn w:val="Normal"/>
    <w:next w:val="Normal"/>
    <w:link w:val="Heading7Char"/>
    <w:qFormat/>
    <w:pPr>
      <w:numPr>
        <w:ilvl w:val="6"/>
        <w:numId w:val="2"/>
      </w:numPr>
      <w:tabs>
        <w:tab w:val="clear" w:pos="360"/>
      </w:tabs>
      <w:spacing w:line="280" w:lineRule="exact"/>
      <w:ind w:left="0" w:firstLine="0"/>
      <w:outlineLvl w:val="6"/>
    </w:pPr>
    <w:rPr>
      <w:rFonts w:ascii="Times" w:hAnsi="Times"/>
      <w:i/>
      <w:szCs w:val="20"/>
    </w:rPr>
  </w:style>
  <w:style w:type="paragraph" w:styleId="Heading8">
    <w:name w:val="heading 8"/>
    <w:basedOn w:val="Normal"/>
    <w:next w:val="Normal"/>
    <w:link w:val="Heading8Char"/>
    <w:qFormat/>
    <w:pPr>
      <w:numPr>
        <w:ilvl w:val="7"/>
        <w:numId w:val="2"/>
      </w:numPr>
      <w:tabs>
        <w:tab w:val="clear" w:pos="360"/>
      </w:tabs>
      <w:spacing w:line="280" w:lineRule="exact"/>
      <w:ind w:left="0" w:firstLine="0"/>
      <w:outlineLvl w:val="7"/>
    </w:pPr>
    <w:rPr>
      <w:rFonts w:ascii="Times" w:hAnsi="Times"/>
      <w:i/>
      <w:szCs w:val="20"/>
    </w:rPr>
  </w:style>
  <w:style w:type="paragraph" w:styleId="Heading9">
    <w:name w:val="heading 9"/>
    <w:basedOn w:val="Normal"/>
    <w:next w:val="Normal"/>
    <w:link w:val="Heading9Char"/>
    <w:qFormat/>
    <w:pPr>
      <w:numPr>
        <w:ilvl w:val="8"/>
        <w:numId w:val="2"/>
      </w:numPr>
      <w:tabs>
        <w:tab w:val="clear" w:pos="360"/>
      </w:tabs>
      <w:spacing w:line="280" w:lineRule="exact"/>
      <w:ind w:left="0" w:firstLine="0"/>
      <w:outlineLvl w:val="8"/>
    </w:pPr>
    <w:rPr>
      <w:rFonts w:ascii="Times" w:hAnsi="Times"/>
      <w:i/>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
    <w:link w:val="Heading1"/>
    <w:uiPriority w:val="9"/>
    <w:locked/>
    <w:rPr>
      <w:rFonts w:ascii="Times" w:hAnsi="Times" w:cs="Times New Roman"/>
      <w:b/>
      <w:smallCaps/>
      <w:sz w:val="24"/>
    </w:rPr>
  </w:style>
  <w:style w:type="character" w:styleId="Heading2Char" w:customStyle="1">
    <w:name w:val="Heading 2 Char"/>
    <w:aliases w:val="h2 Char"/>
    <w:link w:val="Heading2"/>
    <w:locked/>
    <w:rPr>
      <w:rFonts w:ascii="Times" w:hAnsi="Times" w:cs="Times New Roman"/>
      <w:b/>
      <w:sz w:val="24"/>
    </w:rPr>
  </w:style>
  <w:style w:type="character" w:styleId="Heading3Char" w:customStyle="1">
    <w:name w:val="Heading 3 Char"/>
    <w:aliases w:val="h3 Char"/>
    <w:link w:val="Heading3"/>
    <w:locked/>
    <w:rPr>
      <w:rFonts w:ascii="Times" w:hAnsi="Times" w:cs="Times New Roman"/>
      <w:b/>
      <w:sz w:val="24"/>
    </w:rPr>
  </w:style>
  <w:style w:type="character" w:styleId="Heading4Char" w:customStyle="1">
    <w:name w:val="Heading 4 Char"/>
    <w:aliases w:val="h4 Char"/>
    <w:link w:val="Heading4"/>
    <w:locked/>
    <w:rPr>
      <w:rFonts w:ascii="Times" w:hAnsi="Times" w:cs="Times New Roman"/>
      <w:b/>
      <w:sz w:val="24"/>
    </w:rPr>
  </w:style>
  <w:style w:type="character" w:styleId="Heading5Char" w:customStyle="1">
    <w:name w:val="Heading 5 Char"/>
    <w:link w:val="Heading5"/>
    <w:locked/>
    <w:rPr>
      <w:rFonts w:ascii="Times" w:hAnsi="Times" w:cs="Times New Roman"/>
      <w:b/>
      <w:sz w:val="24"/>
    </w:rPr>
  </w:style>
  <w:style w:type="character" w:styleId="Heading6Char" w:customStyle="1">
    <w:name w:val="Heading 6 Char"/>
    <w:link w:val="Heading6"/>
    <w:locked/>
    <w:rPr>
      <w:rFonts w:ascii="Times" w:hAnsi="Times" w:cs="Times New Roman"/>
      <w:sz w:val="24"/>
    </w:rPr>
  </w:style>
  <w:style w:type="character" w:styleId="Heading7Char" w:customStyle="1">
    <w:name w:val="Heading 7 Char"/>
    <w:link w:val="Heading7"/>
    <w:locked/>
    <w:rPr>
      <w:rFonts w:ascii="Times" w:hAnsi="Times" w:cs="Times New Roman"/>
      <w:i/>
      <w:sz w:val="24"/>
    </w:rPr>
  </w:style>
  <w:style w:type="character" w:styleId="Heading8Char" w:customStyle="1">
    <w:name w:val="Heading 8 Char"/>
    <w:link w:val="Heading8"/>
    <w:locked/>
    <w:rPr>
      <w:rFonts w:ascii="Times" w:hAnsi="Times" w:cs="Times New Roman"/>
      <w:i/>
      <w:sz w:val="24"/>
    </w:rPr>
  </w:style>
  <w:style w:type="character" w:styleId="Heading9Char" w:customStyle="1">
    <w:name w:val="Heading 9 Char"/>
    <w:link w:val="Heading9"/>
    <w:locked/>
    <w:rPr>
      <w:rFonts w:ascii="Times" w:hAnsi="Times" w:cs="Times New Roman"/>
      <w:i/>
      <w:sz w:val="24"/>
    </w:rPr>
  </w:style>
  <w:style w:type="character" w:styleId="CommentReference">
    <w:name w:val="annotation reference"/>
    <w:rPr>
      <w:rFonts w:ascii="Times" w:hAnsi="Times" w:cs="Times New Roman"/>
      <w:sz w:val="24"/>
    </w:rPr>
  </w:style>
  <w:style w:type="paragraph" w:styleId="CommentText">
    <w:name w:val="annotation text"/>
    <w:basedOn w:val="Normal"/>
    <w:link w:val="CommentTextChar"/>
    <w:pPr>
      <w:spacing w:line="280" w:lineRule="exact"/>
    </w:pPr>
    <w:rPr>
      <w:rFonts w:ascii="Times" w:hAnsi="Times"/>
      <w:szCs w:val="20"/>
    </w:rPr>
  </w:style>
  <w:style w:type="character" w:styleId="CommentTextChar" w:customStyle="1">
    <w:name w:val="Comment Text Char"/>
    <w:link w:val="CommentText"/>
    <w:locked/>
    <w:rPr>
      <w:rFonts w:ascii="Times" w:hAnsi="Times" w:cs="Times New Roman"/>
      <w:sz w:val="24"/>
    </w:rPr>
  </w:style>
  <w:style w:type="paragraph" w:styleId="TitleCenterBold" w:customStyle="1">
    <w:name w:val="TitleCenterBold"/>
    <w:aliases w:val="tcb"/>
    <w:basedOn w:val="Normal"/>
    <w:next w:val="Normal"/>
    <w:qFormat/>
    <w:pPr>
      <w:keepNext/>
      <w:spacing w:before="360" w:line="280" w:lineRule="exact"/>
      <w:jc w:val="center"/>
    </w:pPr>
    <w:rPr>
      <w:rFonts w:ascii="Times" w:hAnsi="Times"/>
      <w:b/>
      <w:smallCaps/>
      <w:szCs w:val="20"/>
    </w:rPr>
  </w:style>
  <w:style w:type="paragraph" w:styleId="CoverCenter" w:customStyle="1">
    <w:name w:val="CoverCenter"/>
    <w:aliases w:val="c"/>
    <w:basedOn w:val="TitleCenterBold"/>
    <w:qFormat/>
    <w:pPr>
      <w:spacing w:before="0"/>
    </w:pPr>
    <w:rPr>
      <w:b w:val="0"/>
    </w:rPr>
  </w:style>
  <w:style w:type="paragraph" w:styleId="Date">
    <w:name w:val="Date"/>
    <w:basedOn w:val="Normal"/>
    <w:next w:val="Normal"/>
    <w:link w:val="DateChar"/>
    <w:pPr>
      <w:spacing w:after="640" w:line="280" w:lineRule="exact"/>
      <w:jc w:val="center"/>
    </w:pPr>
    <w:rPr>
      <w:rFonts w:ascii="Times" w:hAnsi="Times"/>
      <w:szCs w:val="20"/>
    </w:rPr>
  </w:style>
  <w:style w:type="character" w:styleId="DateChar" w:customStyle="1">
    <w:name w:val="Date Char"/>
    <w:link w:val="Date"/>
    <w:locked/>
    <w:rPr>
      <w:rFonts w:ascii="Times" w:hAnsi="Times" w:cs="Times New Roman"/>
      <w:sz w:val="24"/>
    </w:rPr>
  </w:style>
  <w:style w:type="paragraph" w:styleId="DoubleLine" w:customStyle="1">
    <w:name w:val="DoubleLine"/>
    <w:aliases w:val="d"/>
    <w:basedOn w:val="Normal"/>
    <w:next w:val="Normal"/>
    <w:pPr>
      <w:pBdr>
        <w:bottom w:val="double" w:color="auto" w:sz="6" w:space="0"/>
      </w:pBdr>
      <w:spacing w:line="280" w:lineRule="atLeast"/>
    </w:pPr>
    <w:rPr>
      <w:rFonts w:ascii="Times" w:hAnsi="Times"/>
      <w:szCs w:val="20"/>
    </w:rPr>
  </w:style>
  <w:style w:type="character" w:styleId="EndnoteReference">
    <w:name w:val="endnote reference"/>
    <w:rPr>
      <w:rFonts w:ascii="Times" w:hAnsi="Times" w:cs="Times New Roman"/>
      <w:position w:val="6"/>
      <w:vertAlign w:val="baseline"/>
    </w:rPr>
  </w:style>
  <w:style w:type="paragraph" w:styleId="EnvelopeAddress">
    <w:name w:val="envelope address"/>
    <w:basedOn w:val="Normal"/>
    <w:pPr>
      <w:framePr w:w="7920" w:h="1980" w:hSpace="180" w:wrap="auto" w:hAnchor="page" w:xAlign="center" w:yAlign="bottom" w:hRule="exact"/>
      <w:spacing w:line="280" w:lineRule="exact"/>
      <w:ind w:left="2880"/>
    </w:pPr>
    <w:rPr>
      <w:rFonts w:ascii="Times" w:hAnsi="Times"/>
      <w:szCs w:val="20"/>
    </w:rPr>
  </w:style>
  <w:style w:type="paragraph" w:styleId="EnvelopeReturn">
    <w:name w:val="envelope return"/>
    <w:basedOn w:val="Normal"/>
    <w:pPr>
      <w:spacing w:line="280" w:lineRule="exact"/>
    </w:pPr>
    <w:rPr>
      <w:rFonts w:ascii="Times" w:hAnsi="Times"/>
      <w:szCs w:val="20"/>
    </w:rPr>
  </w:style>
  <w:style w:type="paragraph" w:styleId="Footer">
    <w:name w:val="footer"/>
    <w:aliases w:val="f"/>
    <w:basedOn w:val="Normal"/>
    <w:link w:val="FooterChar"/>
    <w:pPr>
      <w:tabs>
        <w:tab w:val="center" w:pos="4680"/>
        <w:tab w:val="right" w:pos="9360"/>
      </w:tabs>
      <w:spacing w:line="280" w:lineRule="exact"/>
    </w:pPr>
    <w:rPr>
      <w:rFonts w:ascii="Times" w:hAnsi="Times"/>
      <w:szCs w:val="20"/>
    </w:rPr>
  </w:style>
  <w:style w:type="character" w:styleId="FooterChar" w:customStyle="1">
    <w:name w:val="Footer Char"/>
    <w:aliases w:val="f Char"/>
    <w:link w:val="Footer"/>
    <w:locked/>
    <w:rPr>
      <w:rFonts w:ascii="Times" w:hAnsi="Times" w:cs="Times New Roman"/>
      <w:sz w:val="24"/>
    </w:rPr>
  </w:style>
  <w:style w:type="character" w:styleId="FootnoteReference">
    <w:name w:val="footnote reference"/>
    <w:aliases w:val="fr"/>
    <w:rPr>
      <w:rFonts w:ascii="Times" w:hAnsi="Times" w:cs="Times New Roman"/>
      <w:position w:val="6"/>
      <w:sz w:val="20"/>
      <w:vertAlign w:val="baseline"/>
    </w:rPr>
  </w:style>
  <w:style w:type="paragraph" w:styleId="FootnoteText">
    <w:name w:val="footnote text"/>
    <w:aliases w:val="ft,footnote text"/>
    <w:basedOn w:val="Normal"/>
    <w:link w:val="FootnoteTextChar"/>
    <w:pPr>
      <w:spacing w:after="240" w:line="240" w:lineRule="exact"/>
      <w:ind w:left="720" w:hanging="720"/>
      <w:jc w:val="both"/>
    </w:pPr>
    <w:rPr>
      <w:rFonts w:ascii="Times" w:hAnsi="Times"/>
      <w:sz w:val="20"/>
      <w:szCs w:val="20"/>
    </w:rPr>
  </w:style>
  <w:style w:type="character" w:styleId="FootnoteTextChar" w:customStyle="1">
    <w:name w:val="Footnote Text Char"/>
    <w:aliases w:val="ft Char,footnote text Char"/>
    <w:link w:val="FootnoteText"/>
    <w:locked/>
    <w:rPr>
      <w:rFonts w:ascii="Times" w:hAnsi="Times" w:cs="Times New Roman"/>
    </w:rPr>
  </w:style>
  <w:style w:type="paragraph" w:styleId="ParaNORMAL" w:customStyle="1">
    <w:name w:val="ParaNORMAL"/>
    <w:aliases w:val="p,i,party,ParaFLUSH2,ohhar,RG Quick Para,pf2,ParaNtcbORMAL,RG Quick Para + Times New Roman,B Indent,paragraph,OHHpara,P,ORPara,ParaNtcbORM"/>
    <w:basedOn w:val="Normal"/>
    <w:link w:val="ParaNORMALChar"/>
    <w:qFormat/>
    <w:pPr>
      <w:spacing w:before="280" w:line="280" w:lineRule="exact"/>
      <w:ind w:firstLine="720"/>
      <w:jc w:val="both"/>
    </w:pPr>
    <w:rPr>
      <w:rFonts w:ascii="Times" w:hAnsi="Times"/>
      <w:szCs w:val="20"/>
    </w:rPr>
  </w:style>
  <w:style w:type="paragraph" w:styleId="hangingindent" w:customStyle="1">
    <w:name w:val="hanging indent"/>
    <w:aliases w:val="hang"/>
    <w:basedOn w:val="ParaNORMAL"/>
    <w:pPr>
      <w:ind w:left="720" w:hanging="720"/>
    </w:pPr>
  </w:style>
  <w:style w:type="paragraph" w:styleId="Header">
    <w:name w:val="header"/>
    <w:aliases w:val="h"/>
    <w:basedOn w:val="Normal"/>
    <w:link w:val="HeaderChar"/>
    <w:uiPriority w:val="99"/>
    <w:pPr>
      <w:tabs>
        <w:tab w:val="center" w:pos="4680"/>
        <w:tab w:val="right" w:pos="9360"/>
      </w:tabs>
      <w:spacing w:line="280" w:lineRule="exact"/>
    </w:pPr>
    <w:rPr>
      <w:rFonts w:ascii="Times" w:hAnsi="Times"/>
      <w:szCs w:val="20"/>
    </w:rPr>
  </w:style>
  <w:style w:type="character" w:styleId="HeaderChar" w:customStyle="1">
    <w:name w:val="Header Char"/>
    <w:aliases w:val="h Char"/>
    <w:link w:val="Header"/>
    <w:uiPriority w:val="99"/>
    <w:locked/>
    <w:rPr>
      <w:rFonts w:ascii="Times" w:hAnsi="Times" w:cs="Times New Roman"/>
      <w:sz w:val="24"/>
    </w:rPr>
  </w:style>
  <w:style w:type="paragraph" w:styleId="Index1">
    <w:name w:val="index 1"/>
    <w:basedOn w:val="Normal"/>
    <w:next w:val="Normal"/>
    <w:pPr>
      <w:spacing w:line="280" w:lineRule="exact"/>
      <w:ind w:left="240" w:hanging="240"/>
    </w:pPr>
    <w:rPr>
      <w:rFonts w:ascii="Times" w:hAnsi="Times"/>
      <w:szCs w:val="20"/>
    </w:rPr>
  </w:style>
  <w:style w:type="paragraph" w:styleId="IndexHeading">
    <w:name w:val="index heading"/>
    <w:basedOn w:val="Normal"/>
    <w:next w:val="Index1"/>
    <w:pPr>
      <w:spacing w:line="280" w:lineRule="exact"/>
    </w:pPr>
    <w:rPr>
      <w:rFonts w:ascii="Times" w:hAnsi="Times"/>
      <w:b/>
      <w:szCs w:val="20"/>
    </w:rPr>
  </w:style>
  <w:style w:type="character" w:styleId="LineNumber">
    <w:name w:val="line number"/>
    <w:rPr>
      <w:rFonts w:ascii="Times" w:hAnsi="Times" w:cs="Times New Roman"/>
      <w:sz w:val="24"/>
    </w:rPr>
  </w:style>
  <w:style w:type="paragraph" w:styleId="NormalCenterBold" w:customStyle="1">
    <w:name w:val="NormalCenterBold"/>
    <w:aliases w:val="ncb"/>
    <w:basedOn w:val="TitleCenterBold"/>
    <w:next w:val="ParaNORMAL"/>
    <w:qFormat/>
    <w:pPr>
      <w:spacing w:before="0"/>
    </w:pPr>
  </w:style>
  <w:style w:type="character" w:styleId="PageNumber">
    <w:name w:val="page number"/>
    <w:rPr>
      <w:rFonts w:ascii="Times" w:hAnsi="Times" w:cs="Times New Roman"/>
      <w:sz w:val="24"/>
    </w:rPr>
  </w:style>
  <w:style w:type="paragraph" w:styleId="ParaFLUSH" w:customStyle="1">
    <w:name w:val="ParaFLUSH"/>
    <w:aliases w:val="pf"/>
    <w:basedOn w:val="ParaNORMAL"/>
    <w:qFormat/>
    <w:pPr>
      <w:ind w:firstLine="0"/>
    </w:pPr>
  </w:style>
  <w:style w:type="paragraph" w:styleId="ParaNUMBERED" w:customStyle="1">
    <w:name w:val="ParaNUMBERED"/>
    <w:basedOn w:val="Normal"/>
    <w:qFormat/>
    <w:rsid w:val="00363F04"/>
    <w:pPr>
      <w:tabs>
        <w:tab w:val="right" w:pos="936"/>
        <w:tab w:val="left" w:pos="1238"/>
      </w:tabs>
      <w:spacing w:before="280" w:line="280" w:lineRule="exact"/>
      <w:jc w:val="both"/>
    </w:pPr>
    <w:rPr>
      <w:rFonts w:ascii="Times" w:hAnsi="Times"/>
      <w:szCs w:val="20"/>
    </w:rPr>
  </w:style>
  <w:style w:type="paragraph" w:styleId="ParaSECTION" w:customStyle="1">
    <w:name w:val="ParaSECTION"/>
    <w:aliases w:val="ps"/>
    <w:basedOn w:val="ParaNORMAL"/>
    <w:pPr>
      <w:tabs>
        <w:tab w:val="right" w:pos="1699"/>
        <w:tab w:val="left" w:pos="2016"/>
      </w:tabs>
      <w:ind w:firstLine="0"/>
    </w:pPr>
  </w:style>
  <w:style w:type="paragraph" w:styleId="QuotedText" w:customStyle="1">
    <w:name w:val="QuotedText"/>
    <w:aliases w:val="qt"/>
    <w:basedOn w:val="ParaNORMAL"/>
    <w:pPr>
      <w:ind w:left="1440" w:right="1440" w:firstLine="0"/>
    </w:pPr>
  </w:style>
  <w:style w:type="paragraph" w:styleId="re" w:customStyle="1">
    <w:name w:val="re"/>
    <w:basedOn w:val="Normal"/>
    <w:next w:val="Normal"/>
    <w:pPr>
      <w:tabs>
        <w:tab w:val="center" w:pos="4680"/>
      </w:tabs>
      <w:spacing w:before="400" w:line="280" w:lineRule="exact"/>
      <w:ind w:left="720" w:right="720"/>
    </w:pPr>
    <w:rPr>
      <w:rFonts w:ascii="Times" w:hAnsi="Times"/>
      <w:szCs w:val="20"/>
    </w:rPr>
  </w:style>
  <w:style w:type="paragraph" w:styleId="re1" w:customStyle="1">
    <w:name w:val="re1"/>
    <w:basedOn w:val="Normal"/>
    <w:pPr>
      <w:tabs>
        <w:tab w:val="center" w:pos="4680"/>
      </w:tabs>
      <w:spacing w:line="280" w:lineRule="exact"/>
      <w:ind w:left="720" w:right="720"/>
      <w:jc w:val="center"/>
    </w:pPr>
    <w:rPr>
      <w:rFonts w:ascii="Times" w:hAnsi="Times"/>
      <w:szCs w:val="20"/>
    </w:rPr>
  </w:style>
  <w:style w:type="paragraph" w:styleId="relineborder" w:customStyle="1">
    <w:name w:val="reline border"/>
    <w:aliases w:val="rlb"/>
    <w:basedOn w:val="Normal"/>
    <w:pPr>
      <w:pBdr>
        <w:top w:val="single" w:color="000000" w:sz="2" w:space="1"/>
      </w:pBdr>
      <w:spacing w:line="280" w:lineRule="exact"/>
      <w:ind w:left="1800" w:right="1440"/>
    </w:pPr>
    <w:rPr>
      <w:rFonts w:ascii="Times" w:hAnsi="Times"/>
      <w:szCs w:val="20"/>
    </w:rPr>
  </w:style>
  <w:style w:type="paragraph" w:styleId="Signature1" w:customStyle="1">
    <w:name w:val="Signature1"/>
    <w:aliases w:val="sig,s"/>
    <w:basedOn w:val="Normal"/>
    <w:pPr>
      <w:keepNext/>
      <w:tabs>
        <w:tab w:val="decimal" w:leader="underscore" w:pos="9360"/>
      </w:tabs>
      <w:spacing w:line="280" w:lineRule="atLeast"/>
      <w:ind w:left="4910" w:hanging="230"/>
    </w:pPr>
    <w:rPr>
      <w:rFonts w:ascii="Times" w:hAnsi="Times"/>
      <w:szCs w:val="20"/>
    </w:rPr>
  </w:style>
  <w:style w:type="paragraph" w:styleId="Signature2" w:customStyle="1">
    <w:name w:val="Signature2"/>
    <w:aliases w:val="sig2"/>
    <w:basedOn w:val="Signature1"/>
    <w:pPr>
      <w:tabs>
        <w:tab w:val="left" w:pos="4680"/>
      </w:tabs>
      <w:ind w:left="4950" w:hanging="4950"/>
    </w:pPr>
  </w:style>
  <w:style w:type="character" w:styleId="Style1" w:customStyle="1">
    <w:name w:val="Style1"/>
    <w:rPr>
      <w:rFonts w:cs="Times New Roman"/>
    </w:rPr>
  </w:style>
  <w:style w:type="paragraph" w:styleId="SubParaLevel1" w:customStyle="1">
    <w:name w:val="SubParaLevel1"/>
    <w:aliases w:val="s1,S1"/>
    <w:basedOn w:val="ParaNORMAL"/>
    <w:qFormat/>
    <w:pPr>
      <w:tabs>
        <w:tab w:val="right" w:pos="1800"/>
        <w:tab w:val="left" w:pos="2160"/>
      </w:tabs>
      <w:ind w:left="720" w:firstLine="0"/>
    </w:pPr>
  </w:style>
  <w:style w:type="paragraph" w:styleId="SubParaLevel0" w:customStyle="1">
    <w:name w:val="SubParaLevel0"/>
    <w:aliases w:val="s0"/>
    <w:basedOn w:val="SubParaLevel1"/>
    <w:qFormat/>
    <w:pPr>
      <w:ind w:firstLine="720"/>
    </w:pPr>
  </w:style>
  <w:style w:type="paragraph" w:styleId="SubParaLevel2" w:customStyle="1">
    <w:name w:val="SubParaLevel2"/>
    <w:aliases w:val="s2"/>
    <w:basedOn w:val="SubParaLevel1"/>
    <w:pPr>
      <w:tabs>
        <w:tab w:val="clear" w:pos="1800"/>
        <w:tab w:val="clear" w:pos="2160"/>
        <w:tab w:val="right" w:pos="2520"/>
        <w:tab w:val="left" w:pos="2880"/>
      </w:tabs>
      <w:ind w:left="1440"/>
    </w:pPr>
  </w:style>
  <w:style w:type="paragraph" w:styleId="SubParaLevel3" w:customStyle="1">
    <w:name w:val="SubParaLevel3"/>
    <w:aliases w:val="s3"/>
    <w:basedOn w:val="SubParaLevel1"/>
    <w:pPr>
      <w:tabs>
        <w:tab w:val="clear" w:pos="1800"/>
        <w:tab w:val="clear" w:pos="2160"/>
        <w:tab w:val="right" w:pos="3240"/>
        <w:tab w:val="left" w:pos="3600"/>
      </w:tabs>
      <w:ind w:left="2160"/>
    </w:pPr>
  </w:style>
  <w:style w:type="paragraph" w:styleId="SubParaLevel4" w:customStyle="1">
    <w:name w:val="SubParaLevel4"/>
    <w:aliases w:val="s4"/>
    <w:basedOn w:val="SubParaLevel1"/>
    <w:pPr>
      <w:tabs>
        <w:tab w:val="clear" w:pos="1800"/>
        <w:tab w:val="clear" w:pos="2160"/>
        <w:tab w:val="right" w:pos="3960"/>
        <w:tab w:val="left" w:pos="4320"/>
      </w:tabs>
      <w:ind w:left="2880"/>
    </w:pPr>
  </w:style>
  <w:style w:type="paragraph" w:styleId="Subtitle">
    <w:name w:val="Subtitle"/>
    <w:basedOn w:val="Normal"/>
    <w:link w:val="SubtitleChar"/>
    <w:qFormat/>
    <w:pPr>
      <w:spacing w:after="60" w:line="280" w:lineRule="exact"/>
      <w:jc w:val="center"/>
      <w:outlineLvl w:val="1"/>
    </w:pPr>
    <w:rPr>
      <w:rFonts w:ascii="Times" w:hAnsi="Times"/>
      <w:szCs w:val="20"/>
    </w:rPr>
  </w:style>
  <w:style w:type="character" w:styleId="SubtitleChar" w:customStyle="1">
    <w:name w:val="Subtitle Char"/>
    <w:link w:val="Subtitle"/>
    <w:locked/>
    <w:rPr>
      <w:rFonts w:ascii="Times" w:hAnsi="Times" w:cs="Times New Roman"/>
      <w:sz w:val="24"/>
    </w:rPr>
  </w:style>
  <w:style w:type="paragraph" w:styleId="Title">
    <w:name w:val="Title"/>
    <w:basedOn w:val="Normal"/>
    <w:link w:val="TitleChar"/>
    <w:qFormat/>
    <w:pPr>
      <w:spacing w:after="280" w:line="280" w:lineRule="exact"/>
      <w:jc w:val="center"/>
      <w:outlineLvl w:val="0"/>
    </w:pPr>
    <w:rPr>
      <w:rFonts w:ascii="Times" w:hAnsi="Times"/>
      <w:szCs w:val="20"/>
    </w:rPr>
  </w:style>
  <w:style w:type="character" w:styleId="TitleChar" w:customStyle="1">
    <w:name w:val="Title Char"/>
    <w:link w:val="Title"/>
    <w:locked/>
    <w:rPr>
      <w:rFonts w:ascii="Times" w:hAnsi="Times" w:cs="Times New Roman"/>
      <w:sz w:val="24"/>
    </w:rPr>
  </w:style>
  <w:style w:type="paragraph" w:styleId="TitleLeft" w:customStyle="1">
    <w:name w:val="TitleLeft"/>
    <w:aliases w:val="tl"/>
    <w:basedOn w:val="TitleCenterBold"/>
    <w:next w:val="Normal"/>
    <w:qFormat/>
    <w:pPr>
      <w:tabs>
        <w:tab w:val="left" w:pos="1699"/>
      </w:tabs>
      <w:spacing w:before="320"/>
      <w:ind w:left="1699" w:hanging="1699"/>
      <w:jc w:val="left"/>
    </w:pPr>
    <w:rPr>
      <w:b w:val="0"/>
    </w:rPr>
  </w:style>
  <w:style w:type="paragraph" w:styleId="TOAHeading">
    <w:name w:val="toa heading"/>
    <w:basedOn w:val="Normal"/>
    <w:next w:val="Normal"/>
    <w:pPr>
      <w:spacing w:before="120" w:line="280" w:lineRule="exact"/>
    </w:pPr>
    <w:rPr>
      <w:rFonts w:ascii="Times" w:hAnsi="Times"/>
      <w:b/>
      <w:szCs w:val="20"/>
    </w:rPr>
  </w:style>
  <w:style w:type="paragraph" w:styleId="TOC1">
    <w:name w:val="toc 1"/>
    <w:aliases w:val="t1"/>
    <w:basedOn w:val="Normal"/>
    <w:next w:val="Normal"/>
    <w:uiPriority w:val="39"/>
    <w:rsid w:val="00AB2924"/>
    <w:pPr>
      <w:tabs>
        <w:tab w:val="left" w:pos="540"/>
        <w:tab w:val="right" w:leader="dot" w:pos="9360"/>
      </w:tabs>
      <w:spacing w:before="280" w:after="120" w:line="280" w:lineRule="exact"/>
      <w:ind w:left="540" w:hanging="540"/>
    </w:pPr>
    <w:rPr>
      <w:rFonts w:ascii="Times" w:hAnsi="Times"/>
      <w:smallCaps/>
      <w:noProof/>
      <w:szCs w:val="20"/>
    </w:rPr>
  </w:style>
  <w:style w:type="paragraph" w:styleId="TOC2">
    <w:name w:val="toc 2"/>
    <w:aliases w:val="t2"/>
    <w:basedOn w:val="TOC1"/>
    <w:next w:val="Normal"/>
    <w:uiPriority w:val="39"/>
    <w:pPr>
      <w:tabs>
        <w:tab w:val="left" w:pos="990"/>
      </w:tabs>
      <w:spacing w:before="0" w:after="0"/>
      <w:ind w:left="990" w:hanging="450"/>
    </w:pPr>
    <w:rPr>
      <w:smallCaps w:val="0"/>
    </w:rPr>
  </w:style>
  <w:style w:type="paragraph" w:styleId="TOC3">
    <w:name w:val="toc 3"/>
    <w:aliases w:val="t3"/>
    <w:basedOn w:val="TOC1"/>
    <w:next w:val="Normal"/>
    <w:uiPriority w:val="39"/>
    <w:pPr>
      <w:tabs>
        <w:tab w:val="left" w:pos="2520"/>
      </w:tabs>
      <w:spacing w:before="0" w:after="0"/>
      <w:ind w:left="2520" w:hanging="1080"/>
    </w:pPr>
    <w:rPr>
      <w:smallCaps w:val="0"/>
    </w:rPr>
  </w:style>
  <w:style w:type="paragraph" w:styleId="TOC4">
    <w:name w:val="toc 4"/>
    <w:aliases w:val="t4"/>
    <w:basedOn w:val="TOC1"/>
    <w:next w:val="Normal"/>
    <w:uiPriority w:val="39"/>
    <w:pPr>
      <w:spacing w:after="0"/>
      <w:ind w:left="0" w:firstLine="0"/>
    </w:pPr>
    <w:rPr>
      <w:smallCaps w:val="0"/>
    </w:rPr>
  </w:style>
  <w:style w:type="paragraph" w:styleId="TOC5">
    <w:name w:val="toc 5"/>
    <w:aliases w:val="t5"/>
    <w:basedOn w:val="TOC1"/>
    <w:next w:val="Normal"/>
    <w:uiPriority w:val="39"/>
    <w:pPr>
      <w:tabs>
        <w:tab w:val="left" w:pos="1440"/>
      </w:tabs>
      <w:spacing w:before="0" w:after="0"/>
    </w:pPr>
    <w:rPr>
      <w:smallCaps w:val="0"/>
    </w:rPr>
  </w:style>
  <w:style w:type="paragraph" w:styleId="TOC6">
    <w:name w:val="toc 6"/>
    <w:aliases w:val="t6"/>
    <w:basedOn w:val="TOC1"/>
    <w:next w:val="Normal"/>
    <w:uiPriority w:val="39"/>
    <w:pPr>
      <w:spacing w:before="0" w:after="0"/>
      <w:ind w:left="0" w:firstLine="0"/>
    </w:pPr>
    <w:rPr>
      <w:smallCaps w:val="0"/>
    </w:rPr>
  </w:style>
  <w:style w:type="paragraph" w:styleId="TOC7">
    <w:name w:val="toc 7"/>
    <w:aliases w:val="t7"/>
    <w:basedOn w:val="TOC1"/>
    <w:next w:val="Normal"/>
    <w:uiPriority w:val="39"/>
    <w:pPr>
      <w:spacing w:before="0" w:after="0"/>
      <w:ind w:left="0" w:firstLine="0"/>
    </w:pPr>
    <w:rPr>
      <w:smallCaps w:val="0"/>
    </w:rPr>
  </w:style>
  <w:style w:type="paragraph" w:styleId="TOC8">
    <w:name w:val="toc 8"/>
    <w:aliases w:val="t8"/>
    <w:basedOn w:val="TOC1"/>
    <w:next w:val="Normal"/>
    <w:uiPriority w:val="39"/>
    <w:pPr>
      <w:spacing w:before="0" w:after="0"/>
      <w:ind w:left="0" w:firstLine="0"/>
    </w:pPr>
    <w:rPr>
      <w:smallCaps w:val="0"/>
    </w:rPr>
  </w:style>
  <w:style w:type="paragraph" w:styleId="TOC9">
    <w:name w:val="toc 9"/>
    <w:aliases w:val="t9"/>
    <w:basedOn w:val="TOC1"/>
    <w:next w:val="Normal"/>
    <w:uiPriority w:val="39"/>
    <w:pPr>
      <w:spacing w:before="0" w:after="0"/>
      <w:ind w:left="0" w:firstLine="0"/>
    </w:pPr>
    <w:rPr>
      <w:smallCaps w:val="0"/>
    </w:rPr>
  </w:style>
  <w:style w:type="table" w:styleId="TableGrid">
    <w:name w:val="Table Grid"/>
    <w:basedOn w:val="TableNormal"/>
    <w:uiPriority w:val="39"/>
    <w:rPr>
      <w:rFonts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teLevel1" w:customStyle="1">
    <w:name w:val="Note Level 1"/>
    <w:basedOn w:val="Normal"/>
    <w:uiPriority w:val="99"/>
    <w:semiHidden/>
    <w:pPr>
      <w:keepNext/>
      <w:numPr>
        <w:numId w:val="14"/>
      </w:numPr>
      <w:tabs>
        <w:tab w:val="clear" w:pos="0"/>
      </w:tabs>
      <w:ind w:left="1440" w:hanging="360"/>
      <w:contextualSpacing/>
      <w:outlineLvl w:val="0"/>
    </w:pPr>
    <w:rPr>
      <w:rFonts w:eastAsia="MS Gothic"/>
    </w:rPr>
  </w:style>
  <w:style w:type="paragraph" w:styleId="NoteLevel2" w:customStyle="1">
    <w:name w:val="Note Level 2"/>
    <w:basedOn w:val="Normal"/>
    <w:uiPriority w:val="99"/>
    <w:semiHidden/>
    <w:pPr>
      <w:keepNext/>
      <w:numPr>
        <w:ilvl w:val="1"/>
        <w:numId w:val="14"/>
      </w:numPr>
      <w:tabs>
        <w:tab w:val="clear" w:pos="720"/>
      </w:tabs>
      <w:ind w:left="2160"/>
      <w:contextualSpacing/>
      <w:outlineLvl w:val="1"/>
    </w:pPr>
    <w:rPr>
      <w:rFonts w:eastAsia="MS Gothic"/>
    </w:rPr>
  </w:style>
  <w:style w:type="paragraph" w:styleId="NoteLevel3" w:customStyle="1">
    <w:name w:val="Note Level 3"/>
    <w:basedOn w:val="Normal"/>
    <w:uiPriority w:val="99"/>
    <w:semiHidden/>
    <w:pPr>
      <w:keepNext/>
      <w:numPr>
        <w:ilvl w:val="2"/>
        <w:numId w:val="14"/>
      </w:numPr>
      <w:tabs>
        <w:tab w:val="clear" w:pos="1440"/>
      </w:tabs>
      <w:ind w:left="2880"/>
      <w:contextualSpacing/>
      <w:outlineLvl w:val="2"/>
    </w:pPr>
    <w:rPr>
      <w:rFonts w:eastAsia="MS Gothic"/>
    </w:rPr>
  </w:style>
  <w:style w:type="paragraph" w:styleId="NoteLevel4" w:customStyle="1">
    <w:name w:val="Note Level 4"/>
    <w:basedOn w:val="Normal"/>
    <w:uiPriority w:val="99"/>
    <w:semiHidden/>
    <w:pPr>
      <w:keepNext/>
      <w:numPr>
        <w:ilvl w:val="3"/>
        <w:numId w:val="14"/>
      </w:numPr>
      <w:tabs>
        <w:tab w:val="clear" w:pos="2160"/>
      </w:tabs>
      <w:ind w:left="3600"/>
      <w:contextualSpacing/>
      <w:outlineLvl w:val="3"/>
    </w:pPr>
    <w:rPr>
      <w:rFonts w:eastAsia="MS Gothic"/>
    </w:rPr>
  </w:style>
  <w:style w:type="paragraph" w:styleId="NoteLevel5" w:customStyle="1">
    <w:name w:val="Note Level 5"/>
    <w:basedOn w:val="Normal"/>
    <w:uiPriority w:val="99"/>
    <w:semiHidden/>
    <w:pPr>
      <w:keepNext/>
      <w:numPr>
        <w:ilvl w:val="4"/>
        <w:numId w:val="14"/>
      </w:numPr>
      <w:tabs>
        <w:tab w:val="clear" w:pos="2880"/>
      </w:tabs>
      <w:ind w:left="4320"/>
      <w:contextualSpacing/>
      <w:outlineLvl w:val="4"/>
    </w:pPr>
    <w:rPr>
      <w:rFonts w:eastAsia="MS Gothic"/>
    </w:rPr>
  </w:style>
  <w:style w:type="paragraph" w:styleId="NoteLevel6" w:customStyle="1">
    <w:name w:val="Note Level 6"/>
    <w:basedOn w:val="Normal"/>
    <w:uiPriority w:val="99"/>
    <w:semiHidden/>
    <w:pPr>
      <w:keepNext/>
      <w:numPr>
        <w:ilvl w:val="5"/>
        <w:numId w:val="14"/>
      </w:numPr>
      <w:tabs>
        <w:tab w:val="clear" w:pos="3600"/>
      </w:tabs>
      <w:ind w:left="5040"/>
      <w:contextualSpacing/>
      <w:outlineLvl w:val="5"/>
    </w:pPr>
    <w:rPr>
      <w:rFonts w:eastAsia="MS Gothic"/>
    </w:rPr>
  </w:style>
  <w:style w:type="paragraph" w:styleId="NoteLevel7" w:customStyle="1">
    <w:name w:val="Note Level 7"/>
    <w:basedOn w:val="Normal"/>
    <w:uiPriority w:val="99"/>
    <w:semiHidden/>
    <w:pPr>
      <w:keepNext/>
      <w:numPr>
        <w:ilvl w:val="6"/>
        <w:numId w:val="14"/>
      </w:numPr>
      <w:tabs>
        <w:tab w:val="clear" w:pos="4320"/>
      </w:tabs>
      <w:ind w:left="5760"/>
      <w:contextualSpacing/>
      <w:outlineLvl w:val="6"/>
    </w:pPr>
    <w:rPr>
      <w:rFonts w:eastAsia="MS Gothic"/>
    </w:rPr>
  </w:style>
  <w:style w:type="paragraph" w:styleId="NoteLevel8" w:customStyle="1">
    <w:name w:val="Note Level 8"/>
    <w:basedOn w:val="Normal"/>
    <w:uiPriority w:val="99"/>
    <w:semiHidden/>
    <w:pPr>
      <w:keepNext/>
      <w:numPr>
        <w:ilvl w:val="7"/>
        <w:numId w:val="14"/>
      </w:numPr>
      <w:tabs>
        <w:tab w:val="clear" w:pos="5040"/>
      </w:tabs>
      <w:ind w:left="6480"/>
      <w:contextualSpacing/>
      <w:outlineLvl w:val="7"/>
    </w:pPr>
    <w:rPr>
      <w:rFonts w:eastAsia="MS Gothic"/>
    </w:rPr>
  </w:style>
  <w:style w:type="paragraph" w:styleId="NoteLevel9" w:customStyle="1">
    <w:name w:val="Note Level 9"/>
    <w:basedOn w:val="Normal"/>
    <w:uiPriority w:val="99"/>
    <w:semiHidden/>
    <w:pPr>
      <w:keepNext/>
      <w:numPr>
        <w:ilvl w:val="8"/>
        <w:numId w:val="14"/>
      </w:numPr>
      <w:tabs>
        <w:tab w:val="clear" w:pos="5760"/>
      </w:tabs>
      <w:ind w:left="7200"/>
      <w:contextualSpacing/>
      <w:outlineLvl w:val="8"/>
    </w:pPr>
    <w:rPr>
      <w:rFonts w:eastAsia="MS Gothic"/>
    </w:rPr>
  </w:style>
  <w:style w:type="paragraph" w:styleId="Signature">
    <w:name w:val="Signature"/>
    <w:basedOn w:val="Normal"/>
    <w:link w:val="SignatureChar"/>
    <w:uiPriority w:val="99"/>
    <w:pPr>
      <w:spacing w:line="280" w:lineRule="exact"/>
      <w:ind w:left="4910" w:hanging="230"/>
    </w:pPr>
    <w:rPr>
      <w:rFonts w:ascii="Times" w:hAnsi="Times"/>
      <w:szCs w:val="20"/>
    </w:rPr>
  </w:style>
  <w:style w:type="character" w:styleId="SignatureChar" w:customStyle="1">
    <w:name w:val="Signature Char"/>
    <w:link w:val="Signature"/>
    <w:uiPriority w:val="99"/>
    <w:locked/>
    <w:rPr>
      <w:rFonts w:ascii="Times" w:hAnsi="Times" w:cs="Times New Roman"/>
      <w:sz w:val="24"/>
    </w:rPr>
  </w:style>
  <w:style w:type="table" w:styleId="DarkList">
    <w:name w:val="Dark List"/>
    <w:basedOn w:val="TableNormal"/>
    <w:uiPriority w:val="70"/>
    <w:rPr>
      <w:rFonts w:cs="Times New Roman"/>
      <w:color w:val="FFFFFF"/>
    </w:rPr>
    <w:tblPr>
      <w:tblStyleRowBandSize w:val="1"/>
      <w:tblStyleColBandSize w:val="1"/>
    </w:tblPr>
    <w:tcPr>
      <w:shd w:val="clear" w:color="auto" w:fill="000000"/>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color="FFFFFF" w:sz="18" w:space="0"/>
          <w:insideH w:val="nil"/>
          <w:insideV w:val="nil"/>
        </w:tcBorders>
        <w:shd w:val="clear" w:color="auto" w:fill="000000"/>
      </w:tcPr>
    </w:tblStylePr>
    <w:tblStylePr w:type="lastCol">
      <w:rPr>
        <w:rFonts w:cs="Times New Roman"/>
      </w:rPr>
      <w:tblPr/>
      <w:tcPr>
        <w:tcBorders>
          <w:top w:val="nil"/>
          <w:left w:val="single" w:color="FFFFFF" w:sz="18" w:space="0"/>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rFonts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color="FFFFFF" w:sz="18" w:space="0"/>
          <w:insideH w:val="nil"/>
          <w:insideV w:val="nil"/>
        </w:tcBorders>
        <w:shd w:val="clear" w:color="auto" w:fill="365F91"/>
      </w:tcPr>
    </w:tblStylePr>
    <w:tblStylePr w:type="lastCol">
      <w:rPr>
        <w:rFonts w:cs="Times New Roman"/>
      </w:rPr>
      <w:tblPr/>
      <w:tcPr>
        <w:tcBorders>
          <w:top w:val="nil"/>
          <w:left w:val="single" w:color="FFFFFF" w:sz="18" w:space="0"/>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rFonts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color="FFFFFF" w:sz="18" w:space="0"/>
          <w:insideH w:val="nil"/>
          <w:insideV w:val="nil"/>
        </w:tcBorders>
        <w:shd w:val="clear" w:color="auto" w:fill="943634"/>
      </w:tcPr>
    </w:tblStylePr>
    <w:tblStylePr w:type="lastCol">
      <w:rPr>
        <w:rFonts w:cs="Times New Roman"/>
      </w:rPr>
      <w:tblPr/>
      <w:tcPr>
        <w:tcBorders>
          <w:top w:val="nil"/>
          <w:left w:val="single" w:color="FFFFFF" w:sz="18" w:space="0"/>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rFonts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color="FFFFFF" w:sz="18" w:space="0"/>
          <w:insideH w:val="nil"/>
          <w:insideV w:val="nil"/>
        </w:tcBorders>
        <w:shd w:val="clear" w:color="auto" w:fill="76923C"/>
      </w:tcPr>
    </w:tblStylePr>
    <w:tblStylePr w:type="lastCol">
      <w:rPr>
        <w:rFonts w:cs="Times New Roman"/>
      </w:rPr>
      <w:tblPr/>
      <w:tcPr>
        <w:tcBorders>
          <w:top w:val="nil"/>
          <w:left w:val="single" w:color="FFFFFF" w:sz="18" w:space="0"/>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rFonts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color="FFFFFF" w:sz="18" w:space="0"/>
          <w:insideH w:val="nil"/>
          <w:insideV w:val="nil"/>
        </w:tcBorders>
        <w:shd w:val="clear" w:color="auto" w:fill="5F497A"/>
      </w:tcPr>
    </w:tblStylePr>
    <w:tblStylePr w:type="lastCol">
      <w:rPr>
        <w:rFonts w:cs="Times New Roman"/>
      </w:rPr>
      <w:tblPr/>
      <w:tcPr>
        <w:tcBorders>
          <w:top w:val="nil"/>
          <w:left w:val="single" w:color="FFFFFF" w:sz="18" w:space="0"/>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rFonts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color="FFFFFF" w:sz="18" w:space="0"/>
          <w:insideH w:val="nil"/>
          <w:insideV w:val="nil"/>
        </w:tcBorders>
        <w:shd w:val="clear" w:color="auto" w:fill="31849B"/>
      </w:tcPr>
    </w:tblStylePr>
    <w:tblStylePr w:type="lastCol">
      <w:rPr>
        <w:rFonts w:cs="Times New Roman"/>
      </w:rPr>
      <w:tblPr/>
      <w:tcPr>
        <w:tcBorders>
          <w:top w:val="nil"/>
          <w:left w:val="single" w:color="FFFFFF" w:sz="18" w:space="0"/>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rFonts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color="FFFFFF" w:sz="18" w:space="0"/>
          <w:insideH w:val="nil"/>
          <w:insideV w:val="nil"/>
        </w:tcBorders>
        <w:shd w:val="clear" w:color="auto" w:fill="E36C0A"/>
      </w:tcPr>
    </w:tblStylePr>
    <w:tblStylePr w:type="lastCol">
      <w:rPr>
        <w:rFonts w:cs="Times New Roman"/>
      </w:rPr>
      <w:tblPr/>
      <w:tcPr>
        <w:tcBorders>
          <w:top w:val="nil"/>
          <w:left w:val="single" w:color="FFFFFF" w:sz="18" w:space="0"/>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uiPriority w:val="99"/>
    <w:semiHidden/>
  </w:style>
  <w:style w:type="character" w:styleId="DocumentMapChar" w:customStyle="1">
    <w:name w:val="Document Map Char"/>
    <w:link w:val="DocumentMap"/>
    <w:uiPriority w:val="99"/>
    <w:semiHidden/>
    <w:locked/>
    <w:rPr>
      <w:rFonts w:ascii="Times" w:hAnsi="Times" w:cs="Times New Roman"/>
      <w:sz w:val="24"/>
    </w:rPr>
  </w:style>
  <w:style w:type="table" w:styleId="LightGrid">
    <w:name w:val="Light Grid"/>
    <w:basedOn w:val="TableNormal"/>
    <w:uiPriority w:val="62"/>
    <w:rPr>
      <w:rFonts w:cs="Times New Roman"/>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rPr>
        <w:rFonts w:cs="Times New Roman"/>
      </w:rPr>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rPr>
        <w:rFonts w:cs="Times New Roman"/>
      </w:rPr>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Pr>
      <w:rFonts w:cs="Times New Roman"/>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rPr>
        <w:rFonts w:cs="Times New Roman"/>
      </w:rPr>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rPr>
        <w:rFonts w:cs="Times New Roman"/>
      </w:rPr>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rPr>
        <w:rFonts w:cs="Times New Roman"/>
      </w:rPr>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Pr>
      <w:rFonts w:cs="Times New Roman"/>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rPr>
        <w:rFonts w:cs="Times New Roman"/>
      </w:rPr>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rPr>
        <w:rFonts w:cs="Times New Roman"/>
      </w:rPr>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rPr>
        <w:rFonts w:cs="Times New Roman"/>
      </w:rPr>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Pr>
      <w:rFonts w:cs="Times New Roman"/>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rPr>
        <w:rFonts w:cs="Times New Roman"/>
      </w:rPr>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rPr>
        <w:rFonts w:cs="Times New Roman"/>
      </w:rPr>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rPr>
        <w:rFonts w:cs="Times New Roman"/>
      </w:rPr>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Pr>
      <w:rFonts w:cs="Times New Roman"/>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rPr>
        <w:rFonts w:cs="Times New Roman"/>
      </w:rPr>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rPr>
        <w:rFonts w:cs="Times New Roman"/>
      </w:rPr>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rPr>
        <w:rFonts w:cs="Times New Roman"/>
      </w:rPr>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Pr>
      <w:rFonts w:cs="Times New Roman"/>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rPr>
        <w:rFonts w:cs="Times New Roman"/>
      </w:rPr>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rPr>
        <w:rFonts w:cs="Times New Roman"/>
      </w:rPr>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rPr>
        <w:rFonts w:cs="Times New Roman"/>
      </w:rPr>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Pr>
      <w:rFonts w:cs="Times New Roman"/>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rPr>
        <w:rFonts w:cs="Times New Roman"/>
      </w:rPr>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rPr>
        <w:rFonts w:cs="Times New Roman"/>
      </w:rPr>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rPr>
        <w:rFonts w:cs="Times New Roman"/>
      </w:rPr>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Pr>
      <w:rFonts w:cs="Times New Roman"/>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color="000000" w:sz="6" w:space="0"/>
          <w:left w:val="single" w:color="000000" w:sz="8" w:space="0"/>
          <w:bottom w:val="single" w:color="000000" w:sz="8" w:space="0"/>
          <w:right w:val="single" w:color="000000"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000000" w:sz="8" w:space="0"/>
          <w:left w:val="single" w:color="000000" w:sz="8" w:space="0"/>
          <w:bottom w:val="single" w:color="000000" w:sz="8" w:space="0"/>
          <w:right w:val="single" w:color="000000" w:sz="8" w:space="0"/>
        </w:tcBorders>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Pr>
      <w:rFonts w:cs="Times New Roman"/>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color="4F81BD" w:sz="6" w:space="0"/>
          <w:left w:val="single" w:color="4F81BD" w:sz="8" w:space="0"/>
          <w:bottom w:val="single" w:color="4F81BD" w:sz="8" w:space="0"/>
          <w:right w:val="single" w:color="4F81BD"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4F81BD" w:sz="8" w:space="0"/>
          <w:left w:val="single" w:color="4F81BD" w:sz="8" w:space="0"/>
          <w:bottom w:val="single" w:color="4F81BD" w:sz="8" w:space="0"/>
          <w:right w:val="single" w:color="4F81BD" w:sz="8" w:space="0"/>
        </w:tcBorders>
      </w:tcPr>
    </w:tblStylePr>
    <w:tblStylePr w:type="band1Horz">
      <w:rPr>
        <w:rFonts w:cs="Times New Roman"/>
      </w:rPr>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Pr>
      <w:rFonts w:cs="Times New Roman"/>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color="C0504D" w:sz="6" w:space="0"/>
          <w:left w:val="single" w:color="C0504D" w:sz="8" w:space="0"/>
          <w:bottom w:val="single" w:color="C0504D" w:sz="8" w:space="0"/>
          <w:right w:val="single" w:color="C0504D"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C0504D" w:sz="8" w:space="0"/>
          <w:left w:val="single" w:color="C0504D" w:sz="8" w:space="0"/>
          <w:bottom w:val="single" w:color="C0504D" w:sz="8" w:space="0"/>
          <w:right w:val="single" w:color="C0504D" w:sz="8" w:space="0"/>
        </w:tcBorders>
      </w:tcPr>
    </w:tblStylePr>
    <w:tblStylePr w:type="band1Horz">
      <w:rPr>
        <w:rFonts w:cs="Times New Roman"/>
      </w:rPr>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Pr>
      <w:rFonts w:cs="Times New Roman"/>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color="9BBB59" w:sz="6" w:space="0"/>
          <w:left w:val="single" w:color="9BBB59" w:sz="8" w:space="0"/>
          <w:bottom w:val="single" w:color="9BBB59" w:sz="8" w:space="0"/>
          <w:right w:val="single" w:color="9BBB59"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9BBB59" w:sz="8" w:space="0"/>
          <w:left w:val="single" w:color="9BBB59" w:sz="8" w:space="0"/>
          <w:bottom w:val="single" w:color="9BBB59" w:sz="8" w:space="0"/>
          <w:right w:val="single" w:color="9BBB59" w:sz="8" w:space="0"/>
        </w:tcBorders>
      </w:tcPr>
    </w:tblStylePr>
    <w:tblStylePr w:type="band1Horz">
      <w:rPr>
        <w:rFonts w:cs="Times New Roman"/>
      </w:rPr>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Pr>
      <w:rFonts w:cs="Times New Roman"/>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color="8064A2" w:sz="6" w:space="0"/>
          <w:left w:val="single" w:color="8064A2" w:sz="8" w:space="0"/>
          <w:bottom w:val="single" w:color="8064A2" w:sz="8" w:space="0"/>
          <w:right w:val="single" w:color="8064A2"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8064A2" w:sz="8" w:space="0"/>
          <w:left w:val="single" w:color="8064A2" w:sz="8" w:space="0"/>
          <w:bottom w:val="single" w:color="8064A2" w:sz="8" w:space="0"/>
          <w:right w:val="single" w:color="8064A2" w:sz="8" w:space="0"/>
        </w:tcBorders>
      </w:tcPr>
    </w:tblStylePr>
    <w:tblStylePr w:type="band1Horz">
      <w:rPr>
        <w:rFonts w:cs="Times New Roman"/>
      </w:rPr>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Pr>
      <w:rFonts w:cs="Times New Roman"/>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color="4BACC6" w:sz="6" w:space="0"/>
          <w:left w:val="single" w:color="4BACC6" w:sz="8" w:space="0"/>
          <w:bottom w:val="single" w:color="4BACC6" w:sz="8" w:space="0"/>
          <w:right w:val="single" w:color="4BACC6"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4BACC6" w:sz="8" w:space="0"/>
          <w:left w:val="single" w:color="4BACC6" w:sz="8" w:space="0"/>
          <w:bottom w:val="single" w:color="4BACC6" w:sz="8" w:space="0"/>
          <w:right w:val="single" w:color="4BACC6" w:sz="8" w:space="0"/>
        </w:tcBorders>
      </w:tcPr>
    </w:tblStylePr>
    <w:tblStylePr w:type="band1Horz">
      <w:rPr>
        <w:rFonts w:cs="Times New Roman"/>
      </w:rPr>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Pr>
      <w:rFonts w:cs="Times New Roman"/>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color="F79646" w:sz="6" w:space="0"/>
          <w:left w:val="single" w:color="F79646" w:sz="8" w:space="0"/>
          <w:bottom w:val="single" w:color="F79646" w:sz="8" w:space="0"/>
          <w:right w:val="single" w:color="F79646"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F79646" w:sz="8" w:space="0"/>
          <w:left w:val="single" w:color="F79646" w:sz="8" w:space="0"/>
          <w:bottom w:val="single" w:color="F79646" w:sz="8" w:space="0"/>
          <w:right w:val="single" w:color="F79646" w:sz="8" w:space="0"/>
        </w:tcBorders>
      </w:tcPr>
    </w:tblStylePr>
    <w:tblStylePr w:type="band1Horz">
      <w:rPr>
        <w:rFonts w:cs="Times New Roman"/>
      </w:rPr>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Pr>
      <w:rFonts w:cs="Times New Roman"/>
      <w:color w:val="000000"/>
    </w:rPr>
    <w:tblPr>
      <w:tblStyleRowBandSize w:val="1"/>
      <w:tblStyleColBandSize w:val="1"/>
      <w:tblBorders>
        <w:top w:val="single" w:color="000000" w:sz="8" w:space="0"/>
        <w:bottom w:val="single" w:color="000000" w:sz="8" w:space="0"/>
      </w:tblBorders>
    </w:tblPr>
    <w:tblStylePr w:type="firstRow">
      <w:pPr>
        <w:spacing w:before="0" w:after="0"/>
      </w:pPr>
      <w:rPr>
        <w:rFonts w:cs="Times New Roman"/>
        <w:b/>
        <w:bCs/>
      </w:rPr>
      <w:tblPr/>
      <w:tcPr>
        <w:tcBorders>
          <w:top w:val="single" w:color="000000" w:sz="8" w:space="0"/>
          <w:left w:val="nil"/>
          <w:bottom w:val="single" w:color="000000" w:sz="8" w:space="0"/>
          <w:right w:val="nil"/>
          <w:insideH w:val="nil"/>
          <w:insideV w:val="nil"/>
        </w:tcBorders>
      </w:tcPr>
    </w:tblStylePr>
    <w:tblStylePr w:type="lastRow">
      <w:pPr>
        <w:spacing w:before="0" w:after="0"/>
      </w:pPr>
      <w:rPr>
        <w:rFonts w:cs="Times New Roman"/>
        <w:b/>
        <w:bCs/>
      </w:rPr>
      <w:tblPr/>
      <w:tcPr>
        <w:tcBorders>
          <w:top w:val="single" w:color="000000" w:sz="8" w:space="0"/>
          <w:left w:val="nil"/>
          <w:bottom w:val="single" w:color="000000"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rFonts w:cs="Times New Roman"/>
      <w:color w:val="365F91"/>
    </w:rPr>
    <w:tblPr>
      <w:tblStyleRowBandSize w:val="1"/>
      <w:tblStyleColBandSize w:val="1"/>
      <w:tblBorders>
        <w:top w:val="single" w:color="4F81BD" w:sz="8" w:space="0"/>
        <w:bottom w:val="single" w:color="4F81BD" w:sz="8" w:space="0"/>
      </w:tblBorders>
    </w:tblPr>
    <w:tblStylePr w:type="fir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la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rFonts w:cs="Times New Roman"/>
      <w:color w:val="943634"/>
    </w:rPr>
    <w:tblPr>
      <w:tblStyleRowBandSize w:val="1"/>
      <w:tblStyleColBandSize w:val="1"/>
      <w:tblBorders>
        <w:top w:val="single" w:color="C0504D" w:sz="8" w:space="0"/>
        <w:bottom w:val="single" w:color="C0504D" w:sz="8" w:space="0"/>
      </w:tblBorders>
    </w:tblPr>
    <w:tblStylePr w:type="fir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la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rFonts w:cs="Times New Roman"/>
      <w:color w:val="76923C"/>
    </w:rPr>
    <w:tblPr>
      <w:tblStyleRowBandSize w:val="1"/>
      <w:tblStyleColBandSize w:val="1"/>
      <w:tblBorders>
        <w:top w:val="single" w:color="9BBB59" w:sz="8" w:space="0"/>
        <w:bottom w:val="single" w:color="9BBB59" w:sz="8" w:space="0"/>
      </w:tblBorders>
    </w:tblPr>
    <w:tblStylePr w:type="firstRow">
      <w:pPr>
        <w:spacing w:before="0" w:after="0"/>
      </w:pPr>
      <w:rPr>
        <w:rFonts w:cs="Times New Roman"/>
        <w:b/>
        <w:bCs/>
      </w:rPr>
      <w:tblPr/>
      <w:tcPr>
        <w:tcBorders>
          <w:top w:val="single" w:color="9BBB59" w:sz="8" w:space="0"/>
          <w:left w:val="nil"/>
          <w:bottom w:val="single" w:color="9BBB59" w:sz="8" w:space="0"/>
          <w:right w:val="nil"/>
          <w:insideH w:val="nil"/>
          <w:insideV w:val="nil"/>
        </w:tcBorders>
      </w:tcPr>
    </w:tblStylePr>
    <w:tblStylePr w:type="lastRow">
      <w:pPr>
        <w:spacing w:before="0" w:after="0"/>
      </w:pPr>
      <w:rPr>
        <w:rFonts w:cs="Times New Roman"/>
        <w:b/>
        <w:bCs/>
      </w:rPr>
      <w:tblPr/>
      <w:tcPr>
        <w:tcBorders>
          <w:top w:val="single" w:color="9BBB59" w:sz="8" w:space="0"/>
          <w:left w:val="nil"/>
          <w:bottom w:val="single" w:color="9BBB59"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rFonts w:cs="Times New Roman"/>
      <w:color w:val="5F497A"/>
    </w:rPr>
    <w:tblPr>
      <w:tblStyleRowBandSize w:val="1"/>
      <w:tblStyleColBandSize w:val="1"/>
      <w:tblBorders>
        <w:top w:val="single" w:color="8064A2" w:sz="8" w:space="0"/>
        <w:bottom w:val="single" w:color="8064A2" w:sz="8" w:space="0"/>
      </w:tblBorders>
    </w:tblPr>
    <w:tblStylePr w:type="firstRow">
      <w:pPr>
        <w:spacing w:before="0" w:after="0"/>
      </w:pPr>
      <w:rPr>
        <w:rFonts w:cs="Times New Roman"/>
        <w:b/>
        <w:bCs/>
      </w:rPr>
      <w:tblPr/>
      <w:tcPr>
        <w:tcBorders>
          <w:top w:val="single" w:color="8064A2" w:sz="8" w:space="0"/>
          <w:left w:val="nil"/>
          <w:bottom w:val="single" w:color="8064A2" w:sz="8" w:space="0"/>
          <w:right w:val="nil"/>
          <w:insideH w:val="nil"/>
          <w:insideV w:val="nil"/>
        </w:tcBorders>
      </w:tcPr>
    </w:tblStylePr>
    <w:tblStylePr w:type="lastRow">
      <w:pPr>
        <w:spacing w:before="0" w:after="0"/>
      </w:pPr>
      <w:rPr>
        <w:rFonts w:cs="Times New Roman"/>
        <w:b/>
        <w:bCs/>
      </w:rPr>
      <w:tblPr/>
      <w:tcPr>
        <w:tcBorders>
          <w:top w:val="single" w:color="8064A2" w:sz="8" w:space="0"/>
          <w:left w:val="nil"/>
          <w:bottom w:val="single" w:color="8064A2"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rFonts w:cs="Times New Roman"/>
      <w:color w:val="31849B"/>
    </w:rPr>
    <w:tblPr>
      <w:tblStyleRowBandSize w:val="1"/>
      <w:tblStyleColBandSize w:val="1"/>
      <w:tblBorders>
        <w:top w:val="single" w:color="4BACC6" w:sz="8" w:space="0"/>
        <w:bottom w:val="single" w:color="4BACC6" w:sz="8" w:space="0"/>
      </w:tblBorders>
    </w:tblPr>
    <w:tblStylePr w:type="firstRow">
      <w:pPr>
        <w:spacing w:before="0" w:after="0"/>
      </w:pPr>
      <w:rPr>
        <w:rFonts w:cs="Times New Roman"/>
        <w:b/>
        <w:bCs/>
      </w:rPr>
      <w:tblPr/>
      <w:tcPr>
        <w:tcBorders>
          <w:top w:val="single" w:color="4BACC6" w:sz="8" w:space="0"/>
          <w:left w:val="nil"/>
          <w:bottom w:val="single" w:color="4BACC6" w:sz="8" w:space="0"/>
          <w:right w:val="nil"/>
          <w:insideH w:val="nil"/>
          <w:insideV w:val="nil"/>
        </w:tcBorders>
      </w:tcPr>
    </w:tblStylePr>
    <w:tblStylePr w:type="lastRow">
      <w:pPr>
        <w:spacing w:before="0" w:after="0"/>
      </w:pPr>
      <w:rPr>
        <w:rFonts w:cs="Times New Roman"/>
        <w:b/>
        <w:bCs/>
      </w:rPr>
      <w:tblPr/>
      <w:tcPr>
        <w:tcBorders>
          <w:top w:val="single" w:color="4BACC6" w:sz="8" w:space="0"/>
          <w:left w:val="nil"/>
          <w:bottom w:val="single" w:color="4BACC6"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rFonts w:cs="Times New Roman"/>
      <w:color w:val="E36C0A"/>
    </w:rPr>
    <w:tblPr>
      <w:tblStyleRowBandSize w:val="1"/>
      <w:tblStyleColBandSize w:val="1"/>
      <w:tblBorders>
        <w:top w:val="single" w:color="F79646" w:sz="8" w:space="0"/>
        <w:bottom w:val="single" w:color="F79646" w:sz="8" w:space="0"/>
      </w:tblBorders>
    </w:tblPr>
    <w:tblStylePr w:type="firstRow">
      <w:pPr>
        <w:spacing w:before="0" w:after="0"/>
      </w:pPr>
      <w:rPr>
        <w:rFonts w:cs="Times New Roman"/>
        <w:b/>
        <w:bCs/>
      </w:rPr>
      <w:tblPr/>
      <w:tcPr>
        <w:tcBorders>
          <w:top w:val="single" w:color="F79646" w:sz="8" w:space="0"/>
          <w:left w:val="nil"/>
          <w:bottom w:val="single" w:color="F79646" w:sz="8" w:space="0"/>
          <w:right w:val="nil"/>
          <w:insideH w:val="nil"/>
          <w:insideV w:val="nil"/>
        </w:tcBorders>
      </w:tcPr>
    </w:tblStylePr>
    <w:tblStylePr w:type="lastRow">
      <w:pPr>
        <w:spacing w:before="0" w:after="0"/>
      </w:pPr>
      <w:rPr>
        <w:rFonts w:cs="Times New Roman"/>
        <w:b/>
        <w:bCs/>
      </w:rPr>
      <w:tblPr/>
      <w:tcPr>
        <w:tcBorders>
          <w:top w:val="single" w:color="F79646" w:sz="8" w:space="0"/>
          <w:left w:val="nil"/>
          <w:bottom w:val="single" w:color="F79646"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MediumGrid1">
    <w:name w:val="Medium Grid 1"/>
    <w:basedOn w:val="TableNormal"/>
    <w:uiPriority w:val="67"/>
    <w:rPr>
      <w:rFonts w:cs="Times New Roman"/>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rFonts w:cs="Times New Roman"/>
        <w:b/>
        <w:bCs/>
      </w:rPr>
    </w:tblStylePr>
    <w:tblStylePr w:type="lastRow">
      <w:rPr>
        <w:rFonts w:cs="Times New Roman"/>
        <w:b/>
        <w:bCs/>
      </w:rPr>
      <w:tblPr/>
      <w:tcPr>
        <w:tcBorders>
          <w:top w:val="single" w:color="404040"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paragraph" w:styleId="BalloonText">
    <w:name w:val="Balloon Text"/>
    <w:basedOn w:val="Normal"/>
    <w:link w:val="BalloonTextChar"/>
    <w:uiPriority w:val="99"/>
    <w:semiHidden/>
    <w:rPr>
      <w:sz w:val="18"/>
      <w:szCs w:val="18"/>
    </w:rPr>
  </w:style>
  <w:style w:type="character" w:styleId="BalloonTextChar" w:customStyle="1">
    <w:name w:val="Balloon Text Char"/>
    <w:link w:val="BalloonText"/>
    <w:uiPriority w:val="99"/>
    <w:semiHidden/>
    <w:locked/>
    <w:rPr>
      <w:rFonts w:ascii="Times" w:hAnsi="Times" w:cs="Times New Roman"/>
      <w:sz w:val="18"/>
    </w:rPr>
  </w:style>
  <w:style w:type="table" w:styleId="ColorfulGrid">
    <w:name w:val="Colorful Grid"/>
    <w:basedOn w:val="TableNormal"/>
    <w:uiPriority w:val="73"/>
    <w:rPr>
      <w:rFonts w:cs="Times New Roman"/>
      <w:color w:val="000000"/>
    </w:rPr>
    <w:tblPr>
      <w:tblStyleRowBandSize w:val="1"/>
      <w:tblStyleColBandSize w:val="1"/>
      <w:tblBorders>
        <w:insideH w:val="single" w:color="FFFFFF" w:sz="4" w:space="0"/>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73"/>
    <w:rPr>
      <w:rFonts w:cs="Times New Roman"/>
      <w:color w:val="000000"/>
    </w:rPr>
    <w:tblPr>
      <w:tblStyleRowBandSize w:val="1"/>
      <w:tblStyleColBandSize w:val="1"/>
      <w:tblBorders>
        <w:insideH w:val="single" w:color="FFFFFF" w:sz="4" w:space="0"/>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73"/>
    <w:rPr>
      <w:rFonts w:cs="Times New Roman"/>
      <w:color w:val="000000"/>
    </w:rPr>
    <w:tblPr>
      <w:tblStyleRowBandSize w:val="1"/>
      <w:tblStyleColBandSize w:val="1"/>
      <w:tblBorders>
        <w:insideH w:val="single" w:color="FFFFFF" w:sz="4" w:space="0"/>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TableSimple3">
    <w:name w:val="Table Simple 3"/>
    <w:basedOn w:val="TableNormal"/>
    <w:uiPriority w:val="99"/>
    <w:semiHidden/>
    <w:pPr>
      <w:spacing w:line="280" w:lineRule="exact"/>
    </w:pPr>
    <w:rPr>
      <w:rFonts w:cs="Times New Roman"/>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blPr/>
      <w:tcPr>
        <w:tcBorders>
          <w:tl2br w:val="none" w:color="auto" w:sz="0" w:space="0"/>
          <w:tr2bl w:val="none" w:color="auto" w:sz="0" w:space="0"/>
        </w:tcBorders>
        <w:shd w:val="solid" w:color="000000" w:fill="FFFFFF"/>
      </w:tcPr>
    </w:tblStylePr>
  </w:style>
  <w:style w:type="paragraph" w:styleId="NormalWeb">
    <w:name w:val="Normal (Web)"/>
    <w:basedOn w:val="Normal"/>
    <w:uiPriority w:val="99"/>
    <w:pPr>
      <w:spacing w:line="280" w:lineRule="exact"/>
    </w:pPr>
    <w:rPr>
      <w:rFonts w:ascii="Times" w:hAnsi="Times"/>
    </w:rPr>
  </w:style>
  <w:style w:type="table" w:styleId="Table3Deffects1">
    <w:name w:val="Table 3D effects 1"/>
    <w:basedOn w:val="TableNormal"/>
    <w:uiPriority w:val="99"/>
    <w:semiHidden/>
    <w:pPr>
      <w:spacing w:line="280" w:lineRule="exact"/>
    </w:pPr>
    <w:rPr>
      <w:rFonts w:cs="Times New Roman"/>
    </w:rPr>
    <w:tblPr/>
    <w:tcPr>
      <w:shd w:val="solid" w:color="C0C0C0" w:fill="FFFFFF"/>
    </w:tcPr>
    <w:tblStylePr w:type="firstRow">
      <w:rPr>
        <w:rFonts w:cs="Times New Roman"/>
        <w:b/>
        <w:bCs/>
        <w:color w:val="800080"/>
      </w:rPr>
      <w:tblPr/>
      <w:tcPr>
        <w:tcBorders>
          <w:bottom w:val="single" w:color="808080" w:sz="6" w:space="0"/>
          <w:tl2br w:val="none" w:color="auto" w:sz="0" w:space="0"/>
          <w:tr2bl w:val="none" w:color="auto" w:sz="0" w:space="0"/>
        </w:tcBorders>
      </w:tcPr>
    </w:tblStylePr>
    <w:tblStylePr w:type="lastRow">
      <w:rPr>
        <w:rFonts w:cs="Times New Roman"/>
      </w:rPr>
      <w:tblPr/>
      <w:tcPr>
        <w:tcBorders>
          <w:top w:val="single" w:color="FFFFFF" w:sz="6" w:space="0"/>
          <w:tl2br w:val="none" w:color="auto" w:sz="0" w:space="0"/>
          <w:tr2bl w:val="none" w:color="auto" w:sz="0" w:space="0"/>
        </w:tcBorders>
      </w:tcPr>
    </w:tblStylePr>
    <w:tblStylePr w:type="firstCol">
      <w:rPr>
        <w:rFonts w:cs="Times New Roman"/>
        <w:b/>
        <w:bCs/>
      </w:rPr>
      <w:tblPr/>
      <w:tcPr>
        <w:tcBorders>
          <w:right w:val="single" w:color="808080" w:sz="6" w:space="0"/>
          <w:tl2br w:val="none" w:color="auto" w:sz="0" w:space="0"/>
          <w:tr2bl w:val="none" w:color="auto" w:sz="0" w:space="0"/>
        </w:tcBorders>
      </w:tcPr>
    </w:tblStylePr>
    <w:tblStylePr w:type="lastCol">
      <w:rPr>
        <w:rFonts w:cs="Times New Roman"/>
      </w:rPr>
      <w:tblPr/>
      <w:tcPr>
        <w:tcBorders>
          <w:left w:val="single" w:color="FFFFFF" w:sz="6" w:space="0"/>
          <w:tl2br w:val="none" w:color="auto" w:sz="0" w:space="0"/>
          <w:tr2bl w:val="none" w:color="auto" w:sz="0" w:space="0"/>
        </w:tcBorders>
      </w:tcPr>
    </w:tblStylePr>
    <w:tblStylePr w:type="neCell">
      <w:rPr>
        <w:rFonts w:cs="Times New Roman"/>
      </w:rPr>
      <w:tblPr/>
      <w:tcPr>
        <w:tcBorders>
          <w:left w:val="none" w:color="auto" w:sz="0" w:space="0"/>
          <w:bottom w:val="none" w:color="auto" w:sz="0" w:space="0"/>
          <w:tl2br w:val="none" w:color="auto" w:sz="0" w:space="0"/>
          <w:tr2bl w:val="none" w:color="auto" w:sz="0" w:space="0"/>
        </w:tcBorders>
      </w:tcPr>
    </w:tblStylePr>
    <w:tblStylePr w:type="nwCell">
      <w:rPr>
        <w:rFonts w:cs="Times New Roman"/>
      </w:rPr>
      <w:tblPr/>
      <w:tcPr>
        <w:tcBorders>
          <w:bottom w:val="none" w:color="auto" w:sz="0" w:space="0"/>
          <w:right w:val="none" w:color="auto" w:sz="0" w:space="0"/>
          <w:tl2br w:val="none" w:color="auto" w:sz="0" w:space="0"/>
          <w:tr2bl w:val="none" w:color="auto" w:sz="0" w:space="0"/>
        </w:tcBorders>
      </w:tcPr>
    </w:tblStylePr>
    <w:tblStylePr w:type="seCell">
      <w:rPr>
        <w:rFonts w:cs="Times New Roman"/>
      </w:rPr>
      <w:tblPr/>
      <w:tcPr>
        <w:tcBorders>
          <w:top w:val="none" w:color="auto" w:sz="0" w:space="0"/>
          <w:left w:val="none" w:color="auto" w:sz="0" w:space="0"/>
          <w:tl2br w:val="none" w:color="auto" w:sz="0" w:space="0"/>
          <w:tr2bl w:val="none" w:color="auto" w:sz="0" w:space="0"/>
        </w:tcBorders>
      </w:tcPr>
    </w:tblStylePr>
    <w:tblStylePr w:type="swCell">
      <w:rPr>
        <w:rFonts w:cs="Times New Roman"/>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pPr>
      <w:spacing w:line="280" w:lineRule="exact"/>
    </w:pPr>
    <w:rPr>
      <w:rFonts w:cs="Times New Roman"/>
    </w:rPr>
    <w:tblPr>
      <w:tblStyleRowBandSize w:val="1"/>
    </w:tblPr>
    <w:tcPr>
      <w:shd w:val="solid" w:color="C0C0C0" w:fill="FFFFFF"/>
    </w:tcPr>
    <w:tblStylePr w:type="firstRow">
      <w:rPr>
        <w:rFonts w:cs="Times New Roman"/>
        <w:b/>
        <w:bCs/>
      </w:rPr>
      <w:tblPr/>
      <w:tcPr>
        <w:tcBorders>
          <w:tl2br w:val="none" w:color="auto" w:sz="0" w:space="0"/>
          <w:tr2bl w:val="none" w:color="auto" w:sz="0" w:space="0"/>
        </w:tcBorders>
      </w:tcPr>
    </w:tblStylePr>
    <w:tblStylePr w:type="firstCol">
      <w:rPr>
        <w:rFonts w:cs="Times New Roman"/>
      </w:rPr>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rPr>
        <w:rFonts w:cs="Times New Roman"/>
      </w:rPr>
      <w:tblPr/>
      <w:tcPr>
        <w:tcBorders>
          <w:right w:val="single" w:color="FFFFFF" w:sz="6" w:space="0"/>
          <w:tl2br w:val="none" w:color="auto" w:sz="0" w:space="0"/>
          <w:tr2bl w:val="none" w:color="auto" w:sz="0" w:space="0"/>
        </w:tcBorders>
      </w:tcPr>
    </w:tblStylePr>
    <w:tblStylePr w:type="band1Horz">
      <w:rPr>
        <w:rFonts w:cs="Times New Roman"/>
      </w:rPr>
      <w:tblPr/>
      <w:tcPr>
        <w:tcBorders>
          <w:top w:val="single" w:color="808080" w:sz="6" w:space="0"/>
          <w:bottom w:val="single" w:color="FFFFFF" w:sz="6" w:space="0"/>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pPr>
      <w:spacing w:line="280" w:lineRule="exact"/>
    </w:pPr>
    <w:rPr>
      <w:rFonts w:cs="Times New Roman"/>
    </w:rPr>
    <w:tblPr>
      <w:tblStyleRowBandSize w:val="1"/>
      <w:tblStyleColBandSize w:val="1"/>
    </w:tblPr>
    <w:tcPr>
      <w:shd w:val="solid" w:color="C0C0C0" w:fill="FFFFFF"/>
    </w:tcPr>
    <w:tblStylePr w:type="firstRow">
      <w:rPr>
        <w:rFonts w:cs="Times New Roman"/>
        <w:b/>
        <w:bCs/>
      </w:rPr>
      <w:tblPr/>
      <w:tcPr>
        <w:tcBorders>
          <w:tl2br w:val="none" w:color="auto" w:sz="0" w:space="0"/>
          <w:tr2bl w:val="none" w:color="auto" w:sz="0" w:space="0"/>
        </w:tcBorders>
      </w:tcPr>
    </w:tblStylePr>
    <w:tblStylePr w:type="firstCol">
      <w:rPr>
        <w:rFonts w:cs="Times New Roman"/>
      </w:rPr>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rPr>
        <w:rFonts w:cs="Times New Roman"/>
      </w:rPr>
      <w:tblPr/>
      <w:tcPr>
        <w:tcBorders>
          <w:right w:val="single" w:color="FFFFFF" w:sz="6" w:space="0"/>
          <w:tl2br w:val="none" w:color="auto" w:sz="0" w:space="0"/>
          <w:tr2bl w:val="none" w:color="auto" w:sz="0" w:space="0"/>
        </w:tcBorders>
      </w:tcPr>
    </w:tblStylePr>
    <w:tblStylePr w:type="band2Vert">
      <w:rPr>
        <w:rFonts w:cs="Times New Roman"/>
        <w:color w:val="auto"/>
      </w:rPr>
      <w:tblPr/>
      <w:tcPr>
        <w:shd w:val="pct50" w:color="C0C0C0" w:fill="FFFFFF"/>
      </w:tcPr>
    </w:tblStylePr>
    <w:tblStylePr w:type="band1Horz">
      <w:rPr>
        <w:rFonts w:cs="Times New Roman"/>
      </w:rPr>
      <w:tblPr/>
      <w:tcPr>
        <w:tcBorders>
          <w:top w:val="single" w:color="808080" w:sz="6" w:space="0"/>
          <w:bottom w:val="single" w:color="FFFFFF" w:sz="6" w:space="0"/>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Classic1">
    <w:name w:val="Table Classic 1"/>
    <w:basedOn w:val="TableNormal"/>
    <w:uiPriority w:val="99"/>
    <w:semiHidden/>
    <w:pPr>
      <w:spacing w:line="280" w:lineRule="exact"/>
    </w:pPr>
    <w:rPr>
      <w:rFonts w:cs="Times New Roman"/>
    </w:rPr>
    <w:tblPr>
      <w:tblBorders>
        <w:top w:val="single" w:color="000000" w:sz="12" w:space="0"/>
        <w:bottom w:val="single" w:color="000000" w:sz="12" w:space="0"/>
      </w:tblBorders>
    </w:tblPr>
    <w:tblStylePr w:type="firstRow">
      <w:rPr>
        <w:rFonts w:cs="Times New Roman"/>
        <w:i/>
        <w:iCs/>
      </w:rPr>
      <w:tblPr/>
      <w:tcPr>
        <w:tcBorders>
          <w:bottom w:val="single" w:color="000000" w:sz="6" w:space="0"/>
          <w:tl2br w:val="none" w:color="auto" w:sz="0" w:space="0"/>
          <w:tr2bl w:val="none" w:color="auto" w:sz="0" w:space="0"/>
        </w:tcBorders>
      </w:tcPr>
    </w:tblStylePr>
    <w:tblStylePr w:type="lastRow">
      <w:rPr>
        <w:rFonts w:cs="Times New Roman"/>
        <w:color w:val="auto"/>
      </w:rPr>
      <w:tblPr/>
      <w:tcPr>
        <w:tcBorders>
          <w:top w:val="single" w:color="000000" w:sz="6" w:space="0"/>
          <w:tl2br w:val="none" w:color="auto" w:sz="0" w:space="0"/>
          <w:tr2bl w:val="none" w:color="auto" w:sz="0" w:space="0"/>
        </w:tcBorders>
      </w:tcPr>
    </w:tblStylePr>
    <w:tblStylePr w:type="firstCol">
      <w:rPr>
        <w:rFonts w:cs="Times New Roman"/>
      </w:rPr>
      <w:tblPr/>
      <w:tcPr>
        <w:tcBorders>
          <w:right w:val="single" w:color="000000" w:sz="6" w:space="0"/>
          <w:tl2br w:val="none" w:color="auto" w:sz="0" w:space="0"/>
          <w:tr2bl w:val="none" w:color="auto" w:sz="0" w:space="0"/>
        </w:tcBorders>
      </w:tcPr>
    </w:tblStylePr>
    <w:tblStylePr w:type="neCell">
      <w:rPr>
        <w:rFonts w:cs="Times New Roman"/>
        <w:b/>
        <w:bCs/>
        <w:i w:val="0"/>
        <w:iCs w:val="0"/>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Classic2">
    <w:name w:val="Table Classic 2"/>
    <w:basedOn w:val="TableNormal"/>
    <w:uiPriority w:val="99"/>
    <w:semiHidden/>
    <w:pPr>
      <w:spacing w:line="280" w:lineRule="exact"/>
    </w:pPr>
    <w:rPr>
      <w:rFonts w:cs="Times New Roman"/>
    </w:rPr>
    <w:tblPr>
      <w:tblBorders>
        <w:top w:val="single" w:color="000000" w:sz="12" w:space="0"/>
        <w:bottom w:val="single" w:color="000000" w:sz="12" w:space="0"/>
      </w:tblBorders>
    </w:tblPr>
    <w:tblStylePr w:type="firstRow">
      <w:rPr>
        <w:rFonts w:cs="Times New Roman"/>
        <w:color w:val="FFFFFF"/>
      </w:rPr>
      <w:tblPr/>
      <w:tcPr>
        <w:tcBorders>
          <w:bottom w:val="single" w:color="000000" w:sz="6" w:space="0"/>
          <w:tl2br w:val="none" w:color="auto" w:sz="0" w:space="0"/>
          <w:tr2bl w:val="none" w:color="auto" w:sz="0" w:space="0"/>
        </w:tcBorders>
        <w:shd w:val="solid" w:color="800080" w:fill="FFFFFF"/>
      </w:tcPr>
    </w:tblStylePr>
    <w:tblStylePr w:type="lastRow">
      <w:rPr>
        <w:rFonts w:cs="Times New Roman"/>
      </w:rPr>
      <w:tblPr/>
      <w:tcPr>
        <w:tcBorders>
          <w:top w:val="single" w:color="00000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shd w:val="solid" w:color="C0C0C0" w:fill="FFFFFF"/>
      </w:tcPr>
    </w:tblStylePr>
    <w:tblStylePr w:type="neCell">
      <w:rPr>
        <w:rFonts w:cs="Times New Roman"/>
        <w:b/>
        <w:bCs/>
      </w:rPr>
      <w:tblPr/>
      <w:tcPr>
        <w:tcBorders>
          <w:tl2br w:val="none" w:color="auto" w:sz="0" w:space="0"/>
          <w:tr2bl w:val="none" w:color="auto" w:sz="0" w:space="0"/>
        </w:tcBorders>
      </w:tcPr>
    </w:tblStylePr>
    <w:tblStylePr w:type="nwCell">
      <w:rPr>
        <w:rFonts w:cs="Times New Roman"/>
      </w:rPr>
      <w:tblPr/>
      <w:tcPr>
        <w:tcBorders>
          <w:tl2br w:val="none" w:color="auto" w:sz="0" w:space="0"/>
          <w:tr2bl w:val="none" w:color="auto" w:sz="0" w:space="0"/>
        </w:tcBorders>
        <w:shd w:val="solid" w:color="800080" w:fill="FFFFFF"/>
      </w:tcPr>
    </w:tblStylePr>
    <w:tblStylePr w:type="swCell">
      <w:rPr>
        <w:rFonts w:cs="Times New Roman"/>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pPr>
      <w:spacing w:line="280" w:lineRule="exact"/>
    </w:pPr>
    <w:rPr>
      <w:rFonts w:cs="Times New Roma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Times New Roman"/>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rFonts w:cs="Times New Roman"/>
        <w:color w:val="000080"/>
      </w:rPr>
      <w:tblPr/>
      <w:tcPr>
        <w:tcBorders>
          <w:top w:val="single" w:color="000000" w:sz="12" w:space="0"/>
          <w:tl2br w:val="none" w:color="auto" w:sz="0" w:space="0"/>
          <w:tr2bl w:val="none" w:color="auto" w:sz="0" w:space="0"/>
        </w:tcBorders>
        <w:shd w:val="solid" w:color="FFFFFF" w:fill="FFFFFF"/>
      </w:tcPr>
    </w:tblStylePr>
    <w:tblStylePr w:type="firstCol">
      <w:rPr>
        <w:rFonts w:cs="Times New Roman"/>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pPr>
      <w:spacing w:line="280" w:lineRule="exact"/>
    </w:pPr>
    <w:rPr>
      <w:rFonts w:cs="Times New Roman"/>
    </w:rPr>
    <w:tblPr>
      <w:tblBorders>
        <w:top w:val="single" w:color="000000" w:sz="12" w:space="0"/>
        <w:left w:val="single" w:color="000000" w:sz="6" w:space="0"/>
        <w:bottom w:val="single" w:color="000000" w:sz="12" w:space="0"/>
        <w:right w:val="single" w:color="000000" w:sz="6" w:space="0"/>
      </w:tblBorders>
    </w:tblPr>
    <w:tblStylePr w:type="firstRow">
      <w:rPr>
        <w:rFonts w:cs="Times New Roman"/>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rFonts w:cs="Times New Roman"/>
        <w:color w:val="000080"/>
      </w:rPr>
      <w:tblPr/>
      <w:tcPr>
        <w:tcBorders>
          <w:bottom w:val="single" w:color="000000" w:sz="6" w:space="0"/>
          <w:tl2br w:val="none" w:color="auto" w:sz="0" w:space="0"/>
          <w:tr2bl w:val="none" w:color="auto" w:sz="0" w:space="0"/>
        </w:tcBorders>
        <w:shd w:val="pct50" w:color="000000" w:fill="FFFFFF"/>
      </w:tcPr>
    </w:tblStylePr>
    <w:tblStylePr w:type="firstCol">
      <w:rPr>
        <w:rFonts w:cs="Times New Roman"/>
        <w:b/>
        <w:bCs/>
      </w:rPr>
      <w:tblPr/>
      <w:tcPr>
        <w:tcBorders>
          <w:tl2br w:val="none" w:color="auto" w:sz="0" w:space="0"/>
          <w:tr2bl w:val="none" w:color="auto" w:sz="0" w:space="0"/>
        </w:tcBorders>
      </w:tcPr>
    </w:tblStylePr>
    <w:tblStylePr w:type="nwCell">
      <w:rPr>
        <w:rFonts w:cs="Times New Roman"/>
        <w:b/>
        <w:bCs/>
      </w:rPr>
      <w:tblPr/>
      <w:tcPr>
        <w:tcBorders>
          <w:tl2br w:val="none" w:color="auto" w:sz="0" w:space="0"/>
          <w:tr2bl w:val="none" w:color="auto" w:sz="0" w:space="0"/>
        </w:tcBorders>
      </w:tcPr>
    </w:tblStylePr>
    <w:tblStylePr w:type="swCell">
      <w:rPr>
        <w:rFonts w:cs="Times New Roman"/>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pPr>
      <w:spacing w:line="280" w:lineRule="exact"/>
    </w:pPr>
    <w:rPr>
      <w:rFonts w:cs="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tcBorders>
          <w:tl2br w:val="none" w:color="auto" w:sz="0" w:space="0"/>
          <w:tr2bl w:val="none" w:color="auto" w:sz="0" w:space="0"/>
        </w:tcBorders>
        <w:shd w:val="solid" w:color="000000" w:fill="FFFFFF"/>
      </w:tcPr>
    </w:tblStylePr>
    <w:tblStylePr w:type="firstCol">
      <w:rPr>
        <w:rFonts w:cs="Times New Roman"/>
        <w:b/>
        <w:bCs/>
        <w:i/>
        <w:iCs/>
      </w:rPr>
      <w:tblPr/>
      <w:tcPr>
        <w:tcBorders>
          <w:tl2br w:val="none" w:color="auto" w:sz="0" w:space="0"/>
          <w:tr2bl w:val="none" w:color="auto" w:sz="0" w:space="0"/>
        </w:tcBorders>
        <w:shd w:val="solid" w:color="000080" w:fill="FFFFFF"/>
      </w:tcPr>
    </w:tblStylePr>
    <w:tblStylePr w:type="nwCell">
      <w:rPr>
        <w:rFonts w:cs="Times New Roman"/>
      </w:rPr>
      <w:tblPr/>
      <w:tcPr>
        <w:tcBorders>
          <w:tl2br w:val="none" w:color="auto" w:sz="0" w:space="0"/>
          <w:tr2bl w:val="none" w:color="auto" w:sz="0" w:space="0"/>
        </w:tcBorders>
        <w:shd w:val="solid" w:color="000000" w:fill="FFFFFF"/>
      </w:tcPr>
    </w:tblStylePr>
    <w:tblStylePr w:type="swCell">
      <w:rPr>
        <w:rFonts w:cs="Times New Roman"/>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pPr>
      <w:spacing w:line="280" w:lineRule="exact"/>
    </w:pPr>
    <w:rPr>
      <w:rFonts w:cs="Times New Roman"/>
    </w:rPr>
    <w:tblPr>
      <w:tblBorders>
        <w:bottom w:val="single" w:color="000000" w:sz="12" w:space="0"/>
      </w:tblBorders>
    </w:tblPr>
    <w:tcPr>
      <w:shd w:val="pct20" w:color="FFFF00" w:fill="FFFFFF"/>
    </w:tcPr>
    <w:tblStylePr w:type="firstRow">
      <w:rPr>
        <w:rFonts w:cs="Times New Roman"/>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rFonts w:cs="Times New Roman"/>
        <w:b/>
        <w:bCs/>
        <w:i/>
        <w:iCs/>
      </w:rPr>
      <w:tblPr/>
      <w:tcPr>
        <w:tcBorders>
          <w:tl2br w:val="none" w:color="auto" w:sz="0" w:space="0"/>
          <w:tr2bl w:val="none" w:color="auto" w:sz="0" w:space="0"/>
        </w:tcBorders>
      </w:tcPr>
    </w:tblStylePr>
    <w:tblStylePr w:type="lastCol">
      <w:rPr>
        <w:rFonts w:cs="Times New Roman"/>
      </w:rPr>
      <w:tblPr/>
      <w:tcPr>
        <w:tcBorders>
          <w:tl2br w:val="none" w:color="auto" w:sz="0" w:space="0"/>
          <w:tr2bl w:val="none" w:color="auto" w:sz="0" w:space="0"/>
        </w:tcBorders>
        <w:shd w:val="solid" w:color="C0C0C0" w:fill="FFFFFF"/>
      </w:tcPr>
    </w:tblStylePr>
    <w:tblStylePr w:type="swCell">
      <w:rPr>
        <w:rFonts w:cs="Times New Roman"/>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pPr>
      <w:spacing w:line="280" w:lineRule="exact"/>
    </w:pPr>
    <w:rPr>
      <w:rFonts w:cs="Times New Roma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Times New Roman"/>
      </w:rPr>
      <w:tblPr/>
      <w:tcPr>
        <w:tcBorders>
          <w:bottom w:val="single" w:color="000000" w:sz="6" w:space="0"/>
          <w:tl2br w:val="none" w:color="auto" w:sz="0" w:space="0"/>
          <w:tr2bl w:val="none" w:color="auto" w:sz="0" w:space="0"/>
        </w:tcBorders>
        <w:shd w:val="solid" w:color="008080" w:fill="FFFFFF"/>
      </w:tcPr>
    </w:tblStylePr>
    <w:tblStylePr w:type="firstCol">
      <w:rPr>
        <w:rFonts w:cs="Times New Roman"/>
      </w:rPr>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rFonts w:cs="Times New Roman"/>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pPr>
      <w:spacing w:line="280" w:lineRule="exact"/>
    </w:pPr>
    <w:rPr>
      <w:rFonts w:cs="Times New Roman"/>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rFonts w:cs="Times New Roman"/>
        <w:b w:val="0"/>
        <w:bCs w:val="0"/>
      </w:rPr>
      <w:tblPr/>
      <w:tcPr>
        <w:tcBorders>
          <w:bottom w:val="double" w:color="000000" w:sz="6" w:space="0"/>
          <w:tl2br w:val="none" w:color="auto" w:sz="0" w:space="0"/>
          <w:tr2bl w:val="none" w:color="auto" w:sz="0" w:space="0"/>
        </w:tcBorders>
      </w:tcPr>
    </w:tblStylePr>
    <w:tblStylePr w:type="lastRow">
      <w:rPr>
        <w:rFonts w:cs="Times New Roman"/>
        <w:b w:val="0"/>
        <w:bCs w:val="0"/>
      </w:rPr>
      <w:tblPr/>
      <w:tcPr>
        <w:tcBorders>
          <w:tl2br w:val="none" w:color="auto" w:sz="0" w:space="0"/>
          <w:tr2bl w:val="none" w:color="auto" w:sz="0" w:space="0"/>
        </w:tcBorders>
      </w:tcPr>
    </w:tblStylePr>
    <w:tblStylePr w:type="firstCol">
      <w:rPr>
        <w:rFonts w:cs="Times New Roman"/>
        <w:b w:val="0"/>
        <w:bCs w:val="0"/>
      </w:rPr>
      <w:tblPr/>
      <w:tcPr>
        <w:tcBorders>
          <w:tl2br w:val="none" w:color="auto" w:sz="0" w:space="0"/>
          <w:tr2bl w:val="none" w:color="auto" w:sz="0" w:space="0"/>
        </w:tcBorders>
      </w:tcPr>
    </w:tblStylePr>
    <w:tblStylePr w:type="lastCol">
      <w:rPr>
        <w:rFonts w:cs="Times New Roman"/>
        <w:b w:val="0"/>
        <w:bCs w:val="0"/>
      </w:rPr>
      <w:tblPr/>
      <w:tcPr>
        <w:tcBorders>
          <w:tl2br w:val="none" w:color="auto" w:sz="0" w:space="0"/>
          <w:tr2bl w:val="none" w:color="auto" w:sz="0" w:space="0"/>
        </w:tcBorders>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Columns2">
    <w:name w:val="Table Columns 2"/>
    <w:basedOn w:val="TableNormal"/>
    <w:uiPriority w:val="99"/>
    <w:semiHidden/>
    <w:pPr>
      <w:spacing w:line="280" w:lineRule="exact"/>
    </w:pPr>
    <w:rPr>
      <w:rFonts w:cs="Times New Roman"/>
      <w:b/>
      <w:bCs/>
    </w:rPr>
    <w:tblPr>
      <w:tblStyleColBandSize w:val="1"/>
    </w:tblPr>
    <w:tcPr>
      <w:shd w:val="pct30" w:color="000000" w:fill="FFFFFF"/>
    </w:tcPr>
    <w:tblStylePr w:type="firstRow">
      <w:rPr>
        <w:rFonts w:cs="Times New Roman"/>
        <w:color w:val="FFFFFF"/>
      </w:rPr>
      <w:tblPr/>
      <w:tcPr>
        <w:tcBorders>
          <w:tl2br w:val="none" w:color="auto" w:sz="0" w:space="0"/>
          <w:tr2bl w:val="none" w:color="auto" w:sz="0" w:space="0"/>
        </w:tcBorders>
        <w:shd w:val="solid" w:color="000080" w:fill="FFFFFF"/>
      </w:tcPr>
    </w:tblStylePr>
    <w:tblStylePr w:type="lastRow">
      <w:rPr>
        <w:rFonts w:cs="Times New Roman"/>
        <w:b w:val="0"/>
        <w:bCs w:val="0"/>
      </w:rPr>
      <w:tblPr/>
      <w:tcPr>
        <w:tcBorders>
          <w:tl2br w:val="none" w:color="auto" w:sz="0" w:space="0"/>
          <w:tr2bl w:val="none" w:color="auto" w:sz="0" w:space="0"/>
        </w:tcBorders>
      </w:tcPr>
    </w:tblStylePr>
    <w:tblStylePr w:type="firstCol">
      <w:rPr>
        <w:rFonts w:cs="Times New Roman"/>
        <w:b w:val="0"/>
        <w:bCs w:val="0"/>
        <w:color w:val="000000"/>
      </w:rPr>
      <w:tblPr/>
      <w:tcPr>
        <w:tcBorders>
          <w:tl2br w:val="none" w:color="auto" w:sz="0" w:space="0"/>
          <w:tr2bl w:val="none" w:color="auto" w:sz="0" w:space="0"/>
        </w:tcBorders>
      </w:tcPr>
    </w:tblStylePr>
    <w:tblStylePr w:type="lastCol">
      <w:rPr>
        <w:rFonts w:cs="Times New Roman"/>
        <w:b w:val="0"/>
        <w:bCs w:val="0"/>
      </w:rPr>
      <w:tblPr/>
      <w:tcPr>
        <w:tcBorders>
          <w:tl2br w:val="none" w:color="auto" w:sz="0" w:space="0"/>
          <w:tr2bl w:val="none" w:color="auto" w:sz="0" w:space="0"/>
        </w:tcBorders>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Columns3">
    <w:name w:val="Table Columns 3"/>
    <w:basedOn w:val="TableNormal"/>
    <w:uiPriority w:val="99"/>
    <w:semiHidden/>
    <w:pPr>
      <w:spacing w:line="280" w:lineRule="exact"/>
    </w:pPr>
    <w:rPr>
      <w:rFonts w:cs="Times New Roman"/>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rFonts w:cs="Times New Roman"/>
        <w:color w:val="FFFFFF"/>
      </w:rPr>
      <w:tblPr/>
      <w:tcPr>
        <w:tcBorders>
          <w:tl2br w:val="none" w:color="auto" w:sz="0" w:space="0"/>
          <w:tr2bl w:val="none" w:color="auto" w:sz="0" w:space="0"/>
        </w:tcBorders>
        <w:shd w:val="solid" w:color="000080" w:fill="FFFFFF"/>
      </w:tcPr>
    </w:tblStylePr>
    <w:tblStylePr w:type="lastRow">
      <w:rPr>
        <w:rFonts w:cs="Times New Roman"/>
        <w:b w:val="0"/>
        <w:bCs w:val="0"/>
      </w:rPr>
      <w:tblPr/>
      <w:tcPr>
        <w:tcBorders>
          <w:top w:val="single" w:color="000080" w:sz="6" w:space="0"/>
          <w:tl2br w:val="none" w:color="auto" w:sz="0" w:space="0"/>
          <w:tr2bl w:val="none" w:color="auto" w:sz="0" w:space="0"/>
        </w:tcBorders>
      </w:tcPr>
    </w:tblStylePr>
    <w:tblStylePr w:type="firstCol">
      <w:rPr>
        <w:rFonts w:cs="Times New Roman"/>
        <w:b w:val="0"/>
        <w:bCs w:val="0"/>
      </w:rPr>
      <w:tblPr/>
      <w:tcPr>
        <w:tcBorders>
          <w:tl2br w:val="none" w:color="auto" w:sz="0" w:space="0"/>
          <w:tr2bl w:val="none" w:color="auto" w:sz="0" w:space="0"/>
        </w:tcBorders>
      </w:tcPr>
    </w:tblStylePr>
    <w:tblStylePr w:type="lastCol">
      <w:rPr>
        <w:rFonts w:cs="Times New Roman"/>
        <w:b w:val="0"/>
        <w:bCs w:val="0"/>
      </w:rPr>
      <w:tblPr/>
      <w:tcPr>
        <w:tcBorders>
          <w:tl2br w:val="none" w:color="auto" w:sz="0" w:space="0"/>
          <w:tr2bl w:val="none" w:color="auto" w:sz="0" w:space="0"/>
        </w:tcBorders>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color="auto" w:sz="0" w:space="0"/>
          <w:tr2bl w:val="none" w:color="auto" w:sz="0" w:space="0"/>
        </w:tcBorders>
      </w:tcPr>
    </w:tblStylePr>
  </w:style>
  <w:style w:type="table" w:styleId="TableColumns4">
    <w:name w:val="Table Columns 4"/>
    <w:basedOn w:val="TableNormal"/>
    <w:uiPriority w:val="99"/>
    <w:semiHidden/>
    <w:pPr>
      <w:spacing w:line="280" w:lineRule="exact"/>
    </w:pPr>
    <w:rPr>
      <w:rFonts w:cs="Times New Roman"/>
    </w:rPr>
    <w:tblPr>
      <w:tblStyleColBandSize w:val="1"/>
    </w:tblPr>
    <w:tcPr>
      <w:shd w:val="pct50" w:color="008080" w:fill="FFFFFF"/>
    </w:tcPr>
    <w:tblStylePr w:type="firstRow">
      <w:rPr>
        <w:rFonts w:cs="Times New Roman"/>
        <w:color w:val="FFFFFF"/>
      </w:rPr>
      <w:tblPr/>
      <w:tcPr>
        <w:tcBorders>
          <w:tl2br w:val="none" w:color="auto" w:sz="0" w:space="0"/>
          <w:tr2bl w:val="none" w:color="auto" w:sz="0" w:space="0"/>
        </w:tcBorders>
        <w:shd w:val="solid" w:color="000000" w:fill="FFFFFF"/>
      </w:tcPr>
    </w:tblStylePr>
    <w:tblStylePr w:type="lastRow">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pPr>
      <w:spacing w:line="280" w:lineRule="exact"/>
    </w:pPr>
    <w:rPr>
      <w:rFonts w:cs="Times New Roman"/>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rFonts w:cs="Times New Roman"/>
        <w:b/>
        <w:bCs/>
        <w:i/>
        <w:iCs/>
      </w:rPr>
      <w:tblPr/>
      <w:tcPr>
        <w:tcBorders>
          <w:bottom w:val="single" w:color="808080" w:sz="6" w:space="0"/>
          <w:tl2br w:val="none" w:color="auto" w:sz="0" w:space="0"/>
          <w:tr2bl w:val="none" w:color="auto" w:sz="0" w:space="0"/>
        </w:tcBorders>
      </w:tcPr>
    </w:tblStylePr>
    <w:tblStylePr w:type="lastRow">
      <w:rPr>
        <w:rFonts w:cs="Times New Roman"/>
        <w:b/>
        <w:bCs/>
      </w:rPr>
      <w:tblPr/>
      <w:tcPr>
        <w:tcBorders>
          <w:top w:val="single" w:color="80808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band2Vert">
      <w:rPr>
        <w:rFonts w:cs="Times New Roman"/>
        <w:color w:val="auto"/>
      </w:rPr>
    </w:tblStylePr>
  </w:style>
  <w:style w:type="table" w:styleId="TableContemporary">
    <w:name w:val="Table Contemporary"/>
    <w:basedOn w:val="TableNormal"/>
    <w:uiPriority w:val="99"/>
    <w:semiHidden/>
    <w:pPr>
      <w:spacing w:line="280" w:lineRule="exact"/>
    </w:pPr>
    <w:rPr>
      <w:rFonts w:cs="Times New Roman"/>
    </w:rPr>
    <w:tblPr>
      <w:tblStyleRowBandSize w:val="1"/>
      <w:tblBorders>
        <w:insideH w:val="single" w:color="FFFFFF" w:sz="18" w:space="0"/>
        <w:insideV w:val="single" w:color="FFFFFF" w:sz="18" w:space="0"/>
      </w:tblBorders>
    </w:tblPr>
    <w:tblStylePr w:type="firstRow">
      <w:rPr>
        <w:rFonts w:cs="Times New Roman"/>
        <w:b/>
        <w:bCs/>
        <w:color w:val="auto"/>
      </w:rPr>
      <w:tblPr/>
      <w:tcPr>
        <w:tcBorders>
          <w:tl2br w:val="none" w:color="auto" w:sz="0" w:space="0"/>
          <w:tr2bl w:val="none" w:color="auto" w:sz="0" w:space="0"/>
        </w:tcBorders>
        <w:shd w:val="pct20" w:color="000000" w:fill="FFFFFF"/>
      </w:tcPr>
    </w:tblStylePr>
    <w:tblStylePr w:type="band1Horz">
      <w:rPr>
        <w:rFonts w:cs="Times New Roman"/>
        <w:color w:val="auto"/>
      </w:rPr>
      <w:tblPr/>
      <w:tcPr>
        <w:tcBorders>
          <w:tl2br w:val="none" w:color="auto" w:sz="0" w:space="0"/>
          <w:tr2bl w:val="none" w:color="auto" w:sz="0" w:space="0"/>
        </w:tcBorders>
        <w:shd w:val="pct5" w:color="000000" w:fill="FFFFFF"/>
      </w:tcPr>
    </w:tblStylePr>
    <w:tblStylePr w:type="band2Horz">
      <w:rPr>
        <w:rFonts w:cs="Times New Roman"/>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pPr>
      <w:spacing w:line="280" w:lineRule="exact"/>
    </w:pPr>
    <w:rPr>
      <w:rFonts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pPr>
      <w:spacing w:line="280" w:lineRule="exact"/>
    </w:pPr>
    <w:rPr>
      <w:rFonts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l2br w:val="none" w:color="auto" w:sz="0" w:space="0"/>
          <w:tr2bl w:val="none" w:color="auto" w:sz="0" w:space="0"/>
        </w:tcBorders>
      </w:tcPr>
    </w:tblStylePr>
    <w:tblStylePr w:type="lastCol">
      <w:rPr>
        <w:rFonts w:cs="Times New Roman"/>
        <w:i/>
        <w:iCs/>
      </w:rPr>
      <w:tblPr/>
      <w:tcPr>
        <w:tcBorders>
          <w:tl2br w:val="none" w:color="auto" w:sz="0" w:space="0"/>
          <w:tr2bl w:val="none" w:color="auto" w:sz="0" w:space="0"/>
        </w:tcBorders>
      </w:tcPr>
    </w:tblStylePr>
  </w:style>
  <w:style w:type="table" w:styleId="TableGrid2">
    <w:name w:val="Table Grid 2"/>
    <w:basedOn w:val="TableNormal"/>
    <w:uiPriority w:val="99"/>
    <w:semiHidden/>
    <w:pPr>
      <w:spacing w:line="280" w:lineRule="exact"/>
    </w:pPr>
    <w:rPr>
      <w:rFonts w:cs="Times New Roman"/>
    </w:rPr>
    <w:tblPr>
      <w:tblBorders>
        <w:insideH w:val="single" w:color="000000" w:sz="6" w:space="0"/>
        <w:insideV w:val="single" w:color="000000" w:sz="6" w:space="0"/>
      </w:tblBorders>
    </w:tblPr>
    <w:tblStylePr w:type="firstRow">
      <w:rPr>
        <w:rFonts w:cs="Times New Roman"/>
        <w:b/>
        <w:bCs/>
      </w:rPr>
      <w:tblPr/>
      <w:tcPr>
        <w:tcBorders>
          <w:tl2br w:val="none" w:color="auto" w:sz="0" w:space="0"/>
          <w:tr2bl w:val="none" w:color="auto" w:sz="0" w:space="0"/>
        </w:tcBorders>
      </w:tcPr>
    </w:tblStylePr>
    <w:tblStylePr w:type="lastRow">
      <w:rPr>
        <w:rFonts w:cs="Times New Roman"/>
        <w:b/>
        <w:bCs/>
      </w:rPr>
      <w:tblPr/>
      <w:tcPr>
        <w:tcBorders>
          <w:top w:val="single" w:color="00000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style>
  <w:style w:type="table" w:styleId="TableGrid3">
    <w:name w:val="Table Grid 3"/>
    <w:basedOn w:val="TableNormal"/>
    <w:uiPriority w:val="99"/>
    <w:semiHidden/>
    <w:pPr>
      <w:spacing w:line="280" w:lineRule="exact"/>
    </w:pPr>
    <w:rPr>
      <w:rFonts w:cs="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blPr/>
      <w:tcPr>
        <w:tcBorders>
          <w:bottom w:val="single" w:color="000000" w:sz="6" w:space="0"/>
          <w:tl2br w:val="none" w:color="auto" w:sz="0" w:space="0"/>
          <w:tr2bl w:val="none" w:color="auto" w:sz="0" w:space="0"/>
        </w:tcBorders>
        <w:shd w:val="pct30" w:color="FFFF00" w:fill="FFFFFF"/>
      </w:tcPr>
    </w:tblStylePr>
    <w:tblStylePr w:type="lastRow">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style>
  <w:style w:type="table" w:styleId="TableGrid4">
    <w:name w:val="Table Grid 4"/>
    <w:basedOn w:val="TableNormal"/>
    <w:uiPriority w:val="99"/>
    <w:semiHidden/>
    <w:pPr>
      <w:spacing w:line="280" w:lineRule="exact"/>
    </w:pPr>
    <w:rPr>
      <w:rFonts w:cs="Times New Roman"/>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blPr/>
      <w:tcPr>
        <w:tcBorders>
          <w:bottom w:val="single" w:color="000000" w:sz="6" w:space="0"/>
          <w:tl2br w:val="none" w:color="auto" w:sz="0" w:space="0"/>
          <w:tr2bl w:val="none" w:color="auto" w:sz="0" w:space="0"/>
        </w:tcBorders>
        <w:shd w:val="pct30" w:color="FFFF00" w:fill="FFFFFF"/>
      </w:tcPr>
    </w:tblStylePr>
    <w:tblStylePr w:type="lastRow">
      <w:rPr>
        <w:rFonts w:cs="Times New Roman"/>
        <w:b/>
        <w:bCs/>
        <w:color w:val="auto"/>
      </w:rPr>
      <w:tblPr/>
      <w:tcPr>
        <w:tcBorders>
          <w:top w:val="single" w:color="000000" w:sz="6" w:space="0"/>
          <w:tl2br w:val="none" w:color="auto" w:sz="0" w:space="0"/>
          <w:tr2bl w:val="none" w:color="auto" w:sz="0" w:space="0"/>
        </w:tcBorders>
        <w:shd w:val="pct30" w:color="FFFF00" w:fill="FFFFFF"/>
      </w:tcPr>
    </w:tblStylePr>
    <w:tblStylePr w:type="lastCol">
      <w:rPr>
        <w:rFonts w:cs="Times New Roman"/>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pPr>
      <w:spacing w:line="280" w:lineRule="exact"/>
    </w:pPr>
    <w:rPr>
      <w:rFonts w:cs="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bottom w:val="single" w:color="000000" w:sz="12" w:space="0"/>
          <w:tl2br w:val="none" w:color="auto" w:sz="0" w:space="0"/>
          <w:tr2bl w:val="none" w:color="auto" w:sz="0" w:space="0"/>
        </w:tcBorders>
      </w:tcPr>
    </w:tblStylePr>
    <w:tblStylePr w:type="lastRow">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nwCell">
      <w:rPr>
        <w:rFonts w:cs="Times New Roman"/>
      </w:rPr>
      <w:tblPr/>
      <w:tcPr>
        <w:tcBorders>
          <w:tl2br w:val="single" w:color="000000" w:sz="6" w:space="0"/>
          <w:tr2bl w:val="none" w:color="auto" w:sz="0" w:space="0"/>
        </w:tcBorders>
      </w:tcPr>
    </w:tblStylePr>
  </w:style>
  <w:style w:type="table" w:styleId="TableGrid6">
    <w:name w:val="Table Grid 6"/>
    <w:basedOn w:val="TableNormal"/>
    <w:uiPriority w:val="99"/>
    <w:semiHidden/>
    <w:pPr>
      <w:spacing w:line="280" w:lineRule="exact"/>
    </w:pPr>
    <w:rPr>
      <w:rFonts w:cs="Times New Roman"/>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Times New Roman"/>
        <w:b/>
        <w:bCs/>
      </w:rPr>
      <w:tblPr/>
      <w:tcPr>
        <w:tcBorders>
          <w:bottom w:val="single" w:color="000000" w:sz="6" w:space="0"/>
          <w:tl2br w:val="none" w:color="auto" w:sz="0" w:space="0"/>
          <w:tr2bl w:val="none" w:color="auto" w:sz="0" w:space="0"/>
        </w:tcBorders>
      </w:tcPr>
    </w:tblStylePr>
    <w:tblStylePr w:type="lastRow">
      <w:rPr>
        <w:rFonts w:cs="Times New Roman"/>
        <w:color w:val="auto"/>
      </w:rPr>
      <w:tblPr/>
      <w:tcPr>
        <w:tcBorders>
          <w:top w:val="single" w:color="00000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nwCell">
      <w:rPr>
        <w:rFonts w:cs="Times New Roman"/>
      </w:rPr>
      <w:tblPr/>
      <w:tcPr>
        <w:tcBorders>
          <w:tl2br w:val="single" w:color="000000" w:sz="6" w:space="0"/>
          <w:tr2bl w:val="none" w:color="auto" w:sz="0" w:space="0"/>
        </w:tcBorders>
      </w:tcPr>
    </w:tblStylePr>
  </w:style>
  <w:style w:type="table" w:styleId="TableGrid7">
    <w:name w:val="Table Grid 7"/>
    <w:basedOn w:val="TableNormal"/>
    <w:uiPriority w:val="99"/>
    <w:semiHidden/>
    <w:pPr>
      <w:spacing w:line="280" w:lineRule="exact"/>
    </w:pPr>
    <w:rPr>
      <w:rFonts w:cs="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bottom w:val="single" w:color="000000" w:sz="12" w:space="0"/>
          <w:tl2br w:val="none" w:color="auto" w:sz="0" w:space="0"/>
          <w:tr2bl w:val="none" w:color="auto" w:sz="0" w:space="0"/>
        </w:tcBorders>
      </w:tcPr>
    </w:tblStylePr>
    <w:tblStylePr w:type="lastRow">
      <w:rPr>
        <w:rFonts w:cs="Times New Roman"/>
        <w:b w:val="0"/>
        <w:bCs w:val="0"/>
      </w:rPr>
      <w:tblPr/>
      <w:tcPr>
        <w:tcBorders>
          <w:top w:val="single" w:color="000000" w:sz="6" w:space="0"/>
          <w:tl2br w:val="none" w:color="auto" w:sz="0" w:space="0"/>
          <w:tr2bl w:val="none" w:color="auto" w:sz="0" w:space="0"/>
        </w:tcBorders>
      </w:tcPr>
    </w:tblStylePr>
    <w:tblStylePr w:type="firstCol">
      <w:rPr>
        <w:rFonts w:cs="Times New Roman"/>
        <w:b w:val="0"/>
        <w:bCs w:val="0"/>
      </w:rPr>
      <w:tblPr/>
      <w:tcPr>
        <w:tcBorders>
          <w:tl2br w:val="none" w:color="auto" w:sz="0" w:space="0"/>
          <w:tr2bl w:val="none" w:color="auto" w:sz="0" w:space="0"/>
        </w:tcBorders>
      </w:tcPr>
    </w:tblStylePr>
    <w:tblStylePr w:type="lastCol">
      <w:rPr>
        <w:rFonts w:cs="Times New Roman"/>
        <w:b w:val="0"/>
        <w:bCs w:val="0"/>
      </w:rPr>
      <w:tblPr/>
      <w:tcPr>
        <w:tcBorders>
          <w:tl2br w:val="none" w:color="auto" w:sz="0" w:space="0"/>
          <w:tr2bl w:val="none" w:color="auto" w:sz="0" w:space="0"/>
        </w:tcBorders>
      </w:tcPr>
    </w:tblStylePr>
    <w:tblStylePr w:type="nwCell">
      <w:rPr>
        <w:rFonts w:cs="Times New Roman"/>
      </w:rPr>
      <w:tblPr/>
      <w:tcPr>
        <w:tcBorders>
          <w:tl2br w:val="single" w:color="000000" w:sz="6" w:space="0"/>
          <w:tr2bl w:val="none" w:color="auto" w:sz="0" w:space="0"/>
        </w:tcBorders>
      </w:tcPr>
    </w:tblStylePr>
  </w:style>
  <w:style w:type="table" w:styleId="TableGrid8">
    <w:name w:val="Table Grid 8"/>
    <w:basedOn w:val="TableNormal"/>
    <w:uiPriority w:val="99"/>
    <w:semiHidden/>
    <w:pPr>
      <w:spacing w:line="280" w:lineRule="exact"/>
    </w:pPr>
    <w:rPr>
      <w:rFonts w:cs="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l2br w:val="none" w:color="auto" w:sz="0" w:space="0"/>
          <w:tr2bl w:val="none" w:color="auto" w:sz="0" w:space="0"/>
        </w:tcBorders>
        <w:shd w:val="solid" w:color="000080" w:fill="FFFFFF"/>
      </w:tcPr>
    </w:tblStylePr>
    <w:tblStylePr w:type="lastRow">
      <w:rPr>
        <w:rFonts w:cs="Times New Roman"/>
        <w:b/>
        <w:bCs/>
        <w:color w:val="auto"/>
      </w:rPr>
      <w:tblPr/>
      <w:tcPr>
        <w:tcBorders>
          <w:tl2br w:val="none" w:color="auto" w:sz="0" w:space="0"/>
          <w:tr2bl w:val="none" w:color="auto" w:sz="0" w:space="0"/>
        </w:tcBorders>
      </w:tcPr>
    </w:tblStylePr>
    <w:tblStylePr w:type="lastCol">
      <w:rPr>
        <w:rFonts w:cs="Times New Roman"/>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pPr>
      <w:spacing w:line="280" w:lineRule="exact"/>
    </w:pPr>
    <w:rPr>
      <w:rFonts w:cs="Times New Roman"/>
    </w:rPr>
    <w:tblPr>
      <w:tblStyleRowBandSize w:val="1"/>
      <w:tblBorders>
        <w:top w:val="single" w:color="008080" w:sz="12" w:space="0"/>
        <w:left w:val="single" w:color="008080" w:sz="6" w:space="0"/>
        <w:bottom w:val="single" w:color="008080" w:sz="12" w:space="0"/>
        <w:right w:val="single" w:color="008080" w:sz="6" w:space="0"/>
      </w:tblBorders>
    </w:tblPr>
    <w:tblStylePr w:type="firstRow">
      <w:rPr>
        <w:rFonts w:cs="Times New Roman"/>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rPr>
        <w:rFonts w:cs="Times New Roman"/>
      </w:rPr>
      <w:tblPr/>
      <w:tcPr>
        <w:tcBorders>
          <w:top w:val="single" w:color="000000" w:sz="6" w:space="0"/>
          <w:tl2br w:val="none" w:color="auto" w:sz="0" w:space="0"/>
          <w:tr2bl w:val="none" w:color="auto" w:sz="0" w:space="0"/>
        </w:tcBorders>
      </w:tcPr>
    </w:tblStylePr>
    <w:tblStylePr w:type="band1Horz">
      <w:rPr>
        <w:rFonts w:cs="Times New Roman"/>
        <w:color w:val="auto"/>
      </w:rPr>
      <w:tblPr/>
      <w:tcPr>
        <w:tcBorders>
          <w:tl2br w:val="none" w:color="auto" w:sz="0" w:space="0"/>
          <w:tr2bl w:val="none" w:color="auto" w:sz="0" w:space="0"/>
        </w:tcBorders>
        <w:shd w:val="solid" w:color="C0C0C0" w:fill="FFFFFF"/>
      </w:tcPr>
    </w:tblStylePr>
    <w:tblStylePr w:type="band2Horz">
      <w:rPr>
        <w:rFonts w:cs="Times New Roman"/>
        <w:color w:val="auto"/>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List2">
    <w:name w:val="Table List 2"/>
    <w:basedOn w:val="TableNormal"/>
    <w:uiPriority w:val="99"/>
    <w:semiHidden/>
    <w:pPr>
      <w:spacing w:line="280" w:lineRule="exact"/>
    </w:pPr>
    <w:rPr>
      <w:rFonts w:cs="Times New Roman"/>
    </w:rPr>
    <w:tblPr>
      <w:tblStyleRowBandSize w:val="2"/>
      <w:tblBorders>
        <w:bottom w:val="single" w:color="808080" w:sz="12" w:space="0"/>
      </w:tblBorders>
    </w:tblPr>
    <w:tblStylePr w:type="firstRow">
      <w:rPr>
        <w:rFonts w:cs="Times New Roman"/>
        <w:b/>
        <w:bCs/>
        <w:color w:val="FFFFFF"/>
      </w:rPr>
      <w:tblPr/>
      <w:tcPr>
        <w:tcBorders>
          <w:bottom w:val="single" w:color="000000" w:sz="6" w:space="0"/>
          <w:tl2br w:val="none" w:color="auto" w:sz="0" w:space="0"/>
          <w:tr2bl w:val="none" w:color="auto" w:sz="0" w:space="0"/>
        </w:tcBorders>
        <w:shd w:val="pct75" w:color="008080" w:fill="008000"/>
      </w:tcPr>
    </w:tblStylePr>
    <w:tblStylePr w:type="lastRow">
      <w:rPr>
        <w:rFonts w:cs="Times New Roman"/>
      </w:rPr>
      <w:tblPr/>
      <w:tcPr>
        <w:tcBorders>
          <w:top w:val="single" w:color="000000" w:sz="6" w:space="0"/>
          <w:tl2br w:val="none" w:color="auto" w:sz="0" w:space="0"/>
          <w:tr2bl w:val="none" w:color="auto" w:sz="0" w:space="0"/>
        </w:tcBorders>
      </w:tcPr>
    </w:tblStylePr>
    <w:tblStylePr w:type="band1Horz">
      <w:rPr>
        <w:rFonts w:cs="Times New Roman"/>
        <w:color w:val="auto"/>
      </w:rPr>
      <w:tblPr/>
      <w:tcPr>
        <w:tcBorders>
          <w:tl2br w:val="none" w:color="auto" w:sz="0" w:space="0"/>
          <w:tr2bl w:val="none" w:color="auto" w:sz="0" w:space="0"/>
        </w:tcBorders>
        <w:shd w:val="pct20" w:color="00FF00" w:fill="FFFFFF"/>
      </w:tcPr>
    </w:tblStylePr>
    <w:tblStylePr w:type="band2Horz">
      <w:rPr>
        <w:rFonts w:cs="Times New Roman"/>
        <w:color w:val="auto"/>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List3">
    <w:name w:val="Table List 3"/>
    <w:basedOn w:val="TableNormal"/>
    <w:uiPriority w:val="99"/>
    <w:semiHidden/>
    <w:pPr>
      <w:spacing w:line="280" w:lineRule="exact"/>
    </w:pPr>
    <w:rPr>
      <w:rFonts w:cs="Times New Roman"/>
    </w:rPr>
    <w:tblPr>
      <w:tblBorders>
        <w:top w:val="single" w:color="000000" w:sz="12" w:space="0"/>
        <w:bottom w:val="single" w:color="000000" w:sz="12" w:space="0"/>
        <w:insideH w:val="single" w:color="000000" w:sz="6" w:space="0"/>
      </w:tblBorders>
    </w:tblPr>
    <w:tblStylePr w:type="firstRow">
      <w:rPr>
        <w:rFonts w:cs="Times New Roman"/>
        <w:b/>
        <w:bCs/>
        <w:color w:val="000080"/>
      </w:rPr>
      <w:tblPr/>
      <w:tcPr>
        <w:tcBorders>
          <w:bottom w:val="single" w:color="000000" w:sz="12" w:space="0"/>
          <w:tl2br w:val="none" w:color="auto" w:sz="0" w:space="0"/>
          <w:tr2bl w:val="none" w:color="auto" w:sz="0" w:space="0"/>
        </w:tcBorders>
      </w:tcPr>
    </w:tblStylePr>
    <w:tblStylePr w:type="lastRow">
      <w:rPr>
        <w:rFonts w:cs="Times New Roman"/>
      </w:rPr>
      <w:tblPr/>
      <w:tcPr>
        <w:tcBorders>
          <w:top w:val="single" w:color="000000" w:sz="12" w:space="0"/>
          <w:tl2br w:val="none" w:color="auto" w:sz="0" w:space="0"/>
          <w:tr2bl w:val="none" w:color="auto" w:sz="0" w:space="0"/>
        </w:tcBorders>
      </w:tcPr>
    </w:tblStylePr>
    <w:tblStylePr w:type="swCell">
      <w:rPr>
        <w:rFonts w:cs="Times New Roman"/>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pPr>
      <w:spacing w:line="280" w:lineRule="exact"/>
    </w:pPr>
    <w:rPr>
      <w:rFonts w:cs="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pPr>
      <w:spacing w:line="280" w:lineRule="exact"/>
    </w:pPr>
    <w:rPr>
      <w:rFonts w:cs="Times New Roman"/>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Times New Roman"/>
        <w:b/>
        <w:bCs/>
      </w:rPr>
      <w:tblPr/>
      <w:tcPr>
        <w:tcBorders>
          <w:bottom w:val="single" w:color="000000" w:sz="12"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style>
  <w:style w:type="table" w:styleId="TableList6">
    <w:name w:val="Table List 6"/>
    <w:basedOn w:val="TableNormal"/>
    <w:uiPriority w:val="99"/>
    <w:semiHidden/>
    <w:pPr>
      <w:spacing w:line="280" w:lineRule="exact"/>
    </w:pPr>
    <w:rPr>
      <w:rFonts w:cs="Times New Roman"/>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Times New Roman"/>
        <w:b/>
        <w:bCs/>
      </w:rPr>
      <w:tblPr/>
      <w:tcPr>
        <w:tcBorders>
          <w:bottom w:val="single" w:color="000000" w:sz="12" w:space="0"/>
          <w:tl2br w:val="none" w:color="auto" w:sz="0" w:space="0"/>
          <w:tr2bl w:val="none" w:color="auto" w:sz="0" w:space="0"/>
        </w:tcBorders>
      </w:tcPr>
    </w:tblStylePr>
    <w:tblStylePr w:type="firstCol">
      <w:rPr>
        <w:rFonts w:cs="Times New Roman"/>
        <w:b/>
        <w:bCs/>
      </w:rPr>
      <w:tblPr/>
      <w:tcPr>
        <w:tcBorders>
          <w:right w:val="single" w:color="000000" w:sz="12" w:space="0"/>
          <w:tl2br w:val="none" w:color="auto" w:sz="0" w:space="0"/>
          <w:tr2bl w:val="none" w:color="auto" w:sz="0" w:space="0"/>
        </w:tcBorders>
      </w:tcPr>
    </w:tblStylePr>
    <w:tblStylePr w:type="band1Horz">
      <w:rPr>
        <w:rFonts w:cs="Times New Roman"/>
      </w:rPr>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pPr>
      <w:spacing w:line="280" w:lineRule="exact"/>
    </w:pPr>
    <w:rPr>
      <w:rFonts w:cs="Times New Roman"/>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Times New Roman"/>
        <w:b/>
        <w:bCs/>
      </w:rPr>
      <w:tblPr/>
      <w:tcPr>
        <w:tcBorders>
          <w:bottom w:val="single" w:color="008000" w:sz="12" w:space="0"/>
          <w:tl2br w:val="none" w:color="auto" w:sz="0" w:space="0"/>
          <w:tr2bl w:val="none" w:color="auto" w:sz="0" w:space="0"/>
        </w:tcBorders>
        <w:shd w:val="solid" w:color="C0C0C0" w:fill="FFFFFF"/>
      </w:tcPr>
    </w:tblStylePr>
    <w:tblStylePr w:type="lastRow">
      <w:rPr>
        <w:rFonts w:cs="Times New Roman"/>
        <w:b/>
        <w:bCs/>
      </w:rPr>
      <w:tblPr/>
      <w:tcPr>
        <w:tcBorders>
          <w:top w:val="single" w:color="008000" w:sz="12"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band1Horz">
      <w:rPr>
        <w:rFonts w:cs="Times New Roman"/>
        <w:color w:val="auto"/>
      </w:rPr>
      <w:tblPr/>
      <w:tcPr>
        <w:tcBorders>
          <w:tl2br w:val="none" w:color="auto" w:sz="0" w:space="0"/>
          <w:tr2bl w:val="none" w:color="auto" w:sz="0" w:space="0"/>
        </w:tcBorders>
        <w:shd w:val="pct20" w:color="000000" w:fill="FFFFFF"/>
      </w:tcPr>
    </w:tblStylePr>
    <w:tblStylePr w:type="band2Horz">
      <w:rPr>
        <w:rFonts w:cs="Times New Roman"/>
      </w:rPr>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pPr>
      <w:spacing w:line="280" w:lineRule="exact"/>
    </w:pPr>
    <w:rPr>
      <w:rFonts w:cs="Times New Roman"/>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Times New Roman"/>
        <w:b/>
        <w:bCs/>
        <w:i/>
        <w:iCs/>
      </w:rPr>
      <w:tblPr/>
      <w:tcPr>
        <w:tcBorders>
          <w:bottom w:val="single" w:color="000000" w:sz="6" w:space="0"/>
          <w:tl2br w:val="none" w:color="auto" w:sz="0" w:space="0"/>
          <w:tr2bl w:val="none" w:color="auto" w:sz="0" w:space="0"/>
        </w:tcBorders>
        <w:shd w:val="solid" w:color="FFFF00" w:fill="FFFFFF"/>
      </w:tcPr>
    </w:tblStylePr>
    <w:tblStylePr w:type="lastRow">
      <w:rPr>
        <w:rFonts w:cs="Times New Roman"/>
        <w:b/>
        <w:bCs/>
      </w:rPr>
      <w:tblPr/>
      <w:tcPr>
        <w:tcBorders>
          <w:top w:val="single" w:color="000000" w:sz="6" w:space="0"/>
          <w:tl2br w:val="none" w:color="auto" w:sz="0" w:space="0"/>
          <w:tr2bl w:val="none" w:color="auto" w:sz="0" w:space="0"/>
        </w:tcBorders>
      </w:tcPr>
    </w:tblStylePr>
    <w:tblStylePr w:type="firstCol">
      <w:rPr>
        <w:rFonts w:cs="Times New Roman"/>
        <w:b/>
        <w:bCs/>
      </w:rPr>
      <w:tblPr/>
      <w:tcPr>
        <w:tcBorders>
          <w:tl2br w:val="none" w:color="auto" w:sz="0" w:space="0"/>
          <w:tr2bl w:val="none" w:color="auto" w:sz="0" w:space="0"/>
        </w:tcBorders>
      </w:tcPr>
    </w:tblStylePr>
    <w:tblStylePr w:type="lastCol">
      <w:rPr>
        <w:rFonts w:cs="Times New Roman"/>
        <w:b/>
        <w:bCs/>
      </w:rPr>
      <w:tblPr/>
      <w:tcPr>
        <w:tcBorders>
          <w:tl2br w:val="none" w:color="auto" w:sz="0" w:space="0"/>
          <w:tr2bl w:val="none" w:color="auto" w:sz="0" w:space="0"/>
        </w:tcBorders>
      </w:tcPr>
    </w:tblStylePr>
    <w:tblStylePr w:type="band1Horz">
      <w:rPr>
        <w:rFonts w:cs="Times New Roman"/>
        <w:color w:val="auto"/>
      </w:rPr>
      <w:tblPr/>
      <w:tcPr>
        <w:tcBorders>
          <w:tl2br w:val="none" w:color="auto" w:sz="0" w:space="0"/>
          <w:tr2bl w:val="none" w:color="auto" w:sz="0" w:space="0"/>
        </w:tcBorders>
        <w:shd w:val="pct25" w:color="FFFF00" w:fill="FFFFFF"/>
      </w:tcPr>
    </w:tblStylePr>
    <w:tblStylePr w:type="band2Horz">
      <w:rPr>
        <w:rFonts w:cs="Times New Roman"/>
      </w:rPr>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semiHidden/>
    <w:pPr>
      <w:spacing w:line="280" w:lineRule="exact"/>
    </w:pPr>
    <w:rPr>
      <w:rFonts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pPr>
      <w:spacing w:line="280" w:lineRule="exact"/>
    </w:pPr>
    <w:rPr>
      <w:rFonts w:cs="Times New Roman"/>
    </w:rPr>
    <w:tblPr>
      <w:tblBorders>
        <w:top w:val="single" w:color="008000" w:sz="12" w:space="0"/>
        <w:bottom w:val="single" w:color="008000" w:sz="12" w:space="0"/>
      </w:tblBorders>
    </w:tblPr>
    <w:tblStylePr w:type="firstRow">
      <w:rPr>
        <w:rFonts w:cs="Times New Roman"/>
      </w:rPr>
      <w:tblPr/>
      <w:tcPr>
        <w:tcBorders>
          <w:bottom w:val="single" w:color="008000" w:sz="6" w:space="0"/>
          <w:tl2br w:val="none" w:color="auto" w:sz="0" w:space="0"/>
          <w:tr2bl w:val="none" w:color="auto" w:sz="0" w:space="0"/>
        </w:tcBorders>
      </w:tcPr>
    </w:tblStylePr>
    <w:tblStylePr w:type="lastRow">
      <w:rPr>
        <w:rFonts w:cs="Times New Roman"/>
      </w:rPr>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pPr>
      <w:spacing w:line="280" w:lineRule="exact"/>
    </w:pPr>
    <w:rPr>
      <w:rFonts w:cs="Times New Roman"/>
    </w:rPr>
    <w:tblPr/>
    <w:tblStylePr w:type="firstRow">
      <w:rPr>
        <w:rFonts w:cs="Times New Roman"/>
        <w:b/>
        <w:bCs/>
      </w:rPr>
      <w:tblPr/>
      <w:tcPr>
        <w:tcBorders>
          <w:bottom w:val="single" w:color="000000" w:sz="12" w:space="0"/>
          <w:tl2br w:val="none" w:color="auto" w:sz="0" w:space="0"/>
          <w:tr2bl w:val="none" w:color="auto" w:sz="0" w:space="0"/>
        </w:tcBorders>
      </w:tcPr>
    </w:tblStylePr>
    <w:tblStylePr w:type="lastRow">
      <w:rPr>
        <w:rFonts w:cs="Times New Roman"/>
        <w:b/>
        <w:bCs/>
        <w:color w:val="auto"/>
      </w:rPr>
      <w:tblPr/>
      <w:tcPr>
        <w:tcBorders>
          <w:top w:val="single" w:color="000000" w:sz="6" w:space="0"/>
          <w:tl2br w:val="none" w:color="auto" w:sz="0" w:space="0"/>
          <w:tr2bl w:val="none" w:color="auto" w:sz="0" w:space="0"/>
        </w:tcBorders>
      </w:tcPr>
    </w:tblStylePr>
    <w:tblStylePr w:type="firstCol">
      <w:rPr>
        <w:rFonts w:cs="Times New Roman"/>
        <w:b/>
        <w:bCs/>
      </w:rPr>
      <w:tblPr/>
      <w:tcPr>
        <w:tcBorders>
          <w:right w:val="single" w:color="000000" w:sz="12" w:space="0"/>
          <w:tl2br w:val="none" w:color="auto" w:sz="0" w:space="0"/>
          <w:tr2bl w:val="none" w:color="auto" w:sz="0" w:space="0"/>
        </w:tcBorders>
      </w:tcPr>
    </w:tblStylePr>
    <w:tblStylePr w:type="lastCol">
      <w:rPr>
        <w:rFonts w:cs="Times New Roman"/>
        <w:b/>
        <w:bCs/>
      </w:rPr>
      <w:tblPr/>
      <w:tcPr>
        <w:tcBorders>
          <w:left w:val="single" w:color="000000" w:sz="6" w:space="0"/>
          <w:tl2br w:val="none" w:color="auto" w:sz="0" w:space="0"/>
          <w:tr2bl w:val="none" w:color="auto" w:sz="0" w:space="0"/>
        </w:tcBorders>
      </w:tcPr>
    </w:tblStylePr>
    <w:tblStylePr w:type="neCell">
      <w:rPr>
        <w:rFonts w:cs="Times New Roman"/>
        <w:b/>
        <w:bCs/>
      </w:rPr>
      <w:tblPr/>
      <w:tcPr>
        <w:tcBorders>
          <w:left w:val="none" w:color="auto" w:sz="0" w:space="0"/>
          <w:tl2br w:val="none" w:color="auto" w:sz="0" w:space="0"/>
          <w:tr2bl w:val="none" w:color="auto" w:sz="0" w:space="0"/>
        </w:tcBorders>
      </w:tcPr>
    </w:tblStylePr>
    <w:tblStylePr w:type="swCell">
      <w:rPr>
        <w:rFonts w:cs="Times New Roman"/>
        <w:b/>
        <w:bCs/>
      </w:rPr>
      <w:tblPr/>
      <w:tcPr>
        <w:tcBorders>
          <w:top w:val="none" w:color="auto" w:sz="0" w:space="0"/>
          <w:tl2br w:val="none" w:color="auto" w:sz="0" w:space="0"/>
          <w:tr2bl w:val="none" w:color="auto" w:sz="0" w:space="0"/>
        </w:tcBorders>
      </w:tcPr>
    </w:tblStylePr>
  </w:style>
  <w:style w:type="table" w:styleId="TableSubtle1">
    <w:name w:val="Table Subtle 1"/>
    <w:basedOn w:val="TableNormal"/>
    <w:uiPriority w:val="99"/>
    <w:semiHidden/>
    <w:pPr>
      <w:spacing w:line="280" w:lineRule="exact"/>
    </w:pPr>
    <w:rPr>
      <w:rFonts w:cs="Times New Roman"/>
    </w:rPr>
    <w:tblPr>
      <w:tblStyleRowBandSize w:val="1"/>
    </w:tblPr>
    <w:tblStylePr w:type="firstRow">
      <w:rPr>
        <w:rFonts w:cs="Times New Roman"/>
      </w:rPr>
      <w:tblPr/>
      <w:tcPr>
        <w:tcBorders>
          <w:top w:val="single" w:color="000000" w:sz="6" w:space="0"/>
          <w:bottom w:val="single" w:color="000000" w:sz="12" w:space="0"/>
          <w:tl2br w:val="none" w:color="auto" w:sz="0" w:space="0"/>
          <w:tr2bl w:val="none" w:color="auto" w:sz="0" w:space="0"/>
        </w:tcBorders>
      </w:tcPr>
    </w:tblStylePr>
    <w:tblStylePr w:type="lastRow">
      <w:rPr>
        <w:rFonts w:cs="Times New Roman"/>
      </w:rPr>
      <w:tblPr/>
      <w:tcPr>
        <w:tcBorders>
          <w:top w:val="single" w:color="000000" w:sz="12" w:space="0"/>
          <w:tl2br w:val="none" w:color="auto" w:sz="0" w:space="0"/>
          <w:tr2bl w:val="none" w:color="auto" w:sz="0" w:space="0"/>
        </w:tcBorders>
        <w:shd w:val="pct25" w:color="800080" w:fill="FFFFFF"/>
      </w:tcPr>
    </w:tblStylePr>
    <w:tblStylePr w:type="firstCol">
      <w:rPr>
        <w:rFonts w:cs="Times New Roman"/>
      </w:rPr>
      <w:tblPr/>
      <w:tcPr>
        <w:tcBorders>
          <w:right w:val="single" w:color="000000" w:sz="12" w:space="0"/>
          <w:tl2br w:val="none" w:color="auto" w:sz="0" w:space="0"/>
          <w:tr2bl w:val="none" w:color="auto" w:sz="0" w:space="0"/>
        </w:tcBorders>
      </w:tcPr>
    </w:tblStylePr>
    <w:tblStylePr w:type="lastCol">
      <w:rPr>
        <w:rFonts w:cs="Times New Roman"/>
      </w:rPr>
      <w:tblPr/>
      <w:tcPr>
        <w:tcBorders>
          <w:left w:val="single" w:color="000000" w:sz="12" w:space="0"/>
          <w:tl2br w:val="none" w:color="auto" w:sz="0" w:space="0"/>
          <w:tr2bl w:val="none" w:color="auto" w:sz="0" w:space="0"/>
        </w:tcBorders>
      </w:tcPr>
    </w:tblStylePr>
    <w:tblStylePr w:type="band1Horz">
      <w:rPr>
        <w:rFonts w:cs="Times New Roman"/>
      </w:rPr>
      <w:tblPr/>
      <w:tcPr>
        <w:tcBorders>
          <w:bottom w:val="single" w:color="000000" w:sz="6" w:space="0"/>
          <w:tl2br w:val="none" w:color="auto" w:sz="0" w:space="0"/>
          <w:tr2bl w:val="none" w:color="auto" w:sz="0" w:space="0"/>
        </w:tcBorders>
        <w:shd w:val="pct25" w:color="808000" w:fill="FFFFFF"/>
      </w:tcPr>
    </w:tblStylePr>
    <w:tblStylePr w:type="neCell">
      <w:rPr>
        <w:rFonts w:cs="Times New Roman"/>
        <w:b/>
        <w:bCs/>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Subtle2">
    <w:name w:val="Table Subtle 2"/>
    <w:basedOn w:val="TableNormal"/>
    <w:uiPriority w:val="99"/>
    <w:semiHidden/>
    <w:pPr>
      <w:spacing w:line="280" w:lineRule="exact"/>
    </w:pPr>
    <w:rPr>
      <w:rFonts w:cs="Times New Roman"/>
    </w:rPr>
    <w:tblPr>
      <w:tblBorders>
        <w:left w:val="single" w:color="000000" w:sz="6" w:space="0"/>
        <w:right w:val="single" w:color="000000" w:sz="6" w:space="0"/>
      </w:tblBorders>
    </w:tblPr>
    <w:tblStylePr w:type="firstRow">
      <w:rPr>
        <w:rFonts w:cs="Times New Roman"/>
      </w:rPr>
      <w:tblPr/>
      <w:tcPr>
        <w:tcBorders>
          <w:bottom w:val="single" w:color="000000" w:sz="12" w:space="0"/>
          <w:tl2br w:val="none" w:color="auto" w:sz="0" w:space="0"/>
          <w:tr2bl w:val="none" w:color="auto" w:sz="0" w:space="0"/>
        </w:tcBorders>
      </w:tcPr>
    </w:tblStylePr>
    <w:tblStylePr w:type="lastRow">
      <w:rPr>
        <w:rFonts w:cs="Times New Roman"/>
      </w:rPr>
      <w:tblPr/>
      <w:tcPr>
        <w:tcBorders>
          <w:top w:val="single" w:color="000000" w:sz="12" w:space="0"/>
          <w:tl2br w:val="none" w:color="auto" w:sz="0" w:space="0"/>
          <w:tr2bl w:val="none" w:color="auto" w:sz="0" w:space="0"/>
        </w:tcBorders>
      </w:tcPr>
    </w:tblStylePr>
    <w:tblStylePr w:type="firstCol">
      <w:rPr>
        <w:rFonts w:cs="Times New Roman"/>
      </w:rPr>
      <w:tblPr/>
      <w:tcPr>
        <w:tcBorders>
          <w:right w:val="single" w:color="000000" w:sz="12" w:space="0"/>
          <w:tl2br w:val="none" w:color="auto" w:sz="0" w:space="0"/>
          <w:tr2bl w:val="none" w:color="auto" w:sz="0" w:space="0"/>
        </w:tcBorders>
        <w:shd w:val="pct25" w:color="008000" w:fill="FFFFFF"/>
      </w:tcPr>
    </w:tblStylePr>
    <w:tblStylePr w:type="lastCol">
      <w:rPr>
        <w:rFonts w:cs="Times New Roman"/>
      </w:rPr>
      <w:tblPr/>
      <w:tcPr>
        <w:tcBorders>
          <w:left w:val="single" w:color="000000" w:sz="12" w:space="0"/>
          <w:tl2br w:val="none" w:color="auto" w:sz="0" w:space="0"/>
          <w:tr2bl w:val="none" w:color="auto" w:sz="0" w:space="0"/>
        </w:tcBorders>
        <w:shd w:val="pct25" w:color="808000" w:fill="FFFFFF"/>
      </w:tcPr>
    </w:tblStylePr>
    <w:tblStylePr w:type="neCell">
      <w:rPr>
        <w:rFonts w:cs="Times New Roman"/>
        <w:b/>
        <w:bCs/>
      </w:rPr>
      <w:tblPr/>
      <w:tcPr>
        <w:tcBorders>
          <w:tl2br w:val="none" w:color="auto" w:sz="0" w:space="0"/>
          <w:tr2bl w:val="none" w:color="auto" w:sz="0" w:space="0"/>
        </w:tcBorders>
      </w:tcPr>
    </w:tblStylePr>
    <w:tblStylePr w:type="swCell">
      <w:rPr>
        <w:rFonts w:cs="Times New Roman"/>
        <w:b/>
        <w:bCs/>
      </w:rPr>
      <w:tblPr/>
      <w:tcPr>
        <w:tcBorders>
          <w:tl2br w:val="none" w:color="auto" w:sz="0" w:space="0"/>
          <w:tr2bl w:val="none" w:color="auto" w:sz="0" w:space="0"/>
        </w:tcBorders>
      </w:tcPr>
    </w:tblStylePr>
  </w:style>
  <w:style w:type="table" w:styleId="TableTheme">
    <w:name w:val="Table Theme"/>
    <w:basedOn w:val="TableNormal"/>
    <w:uiPriority w:val="99"/>
    <w:semiHidden/>
    <w:pPr>
      <w:spacing w:line="280" w:lineRule="exact"/>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pPr>
      <w:spacing w:line="280" w:lineRule="exact"/>
    </w:pPr>
    <w:rPr>
      <w:rFonts w:cs="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Times New Roman"/>
        <w:color w:val="auto"/>
      </w:rPr>
      <w:tblPr/>
      <w:tcPr>
        <w:tcBorders>
          <w:tl2br w:val="none" w:color="auto" w:sz="0" w:space="0"/>
          <w:tr2bl w:val="none" w:color="auto" w:sz="0" w:space="0"/>
        </w:tcBorders>
      </w:tcPr>
    </w:tblStylePr>
  </w:style>
  <w:style w:type="table" w:styleId="TableWeb2">
    <w:name w:val="Table Web 2"/>
    <w:basedOn w:val="TableNormal"/>
    <w:uiPriority w:val="99"/>
    <w:semiHidden/>
    <w:pPr>
      <w:spacing w:line="280" w:lineRule="exact"/>
    </w:pPr>
    <w:rPr>
      <w:rFonts w:cs="Times New Roma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Times New Roman"/>
        <w:color w:val="auto"/>
      </w:rPr>
      <w:tblPr/>
      <w:tcPr>
        <w:tcBorders>
          <w:tl2br w:val="none" w:color="auto" w:sz="0" w:space="0"/>
          <w:tr2bl w:val="none" w:color="auto" w:sz="0" w:space="0"/>
        </w:tcBorders>
      </w:tcPr>
    </w:tblStylePr>
  </w:style>
  <w:style w:type="table" w:styleId="TableWeb3">
    <w:name w:val="Table Web 3"/>
    <w:basedOn w:val="TableNormal"/>
    <w:uiPriority w:val="99"/>
    <w:semiHidden/>
    <w:pPr>
      <w:spacing w:line="280" w:lineRule="exact"/>
    </w:pPr>
    <w:rPr>
      <w:rFonts w:cs="Times New Roma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Times New Roman"/>
        <w:color w:val="auto"/>
      </w:rPr>
      <w:tblPr/>
      <w:tcPr>
        <w:tcBorders>
          <w:tl2br w:val="none" w:color="auto" w:sz="0" w:space="0"/>
          <w:tr2bl w:val="none" w:color="auto" w:sz="0" w:space="0"/>
        </w:tcBorders>
      </w:tcPr>
    </w:tblStylePr>
  </w:style>
  <w:style w:type="paragraph" w:styleId="TOCHeading">
    <w:name w:val="TOC Heading"/>
    <w:basedOn w:val="Heading1"/>
    <w:next w:val="Normal"/>
    <w:uiPriority w:val="39"/>
    <w:semiHidden/>
    <w:qFormat/>
    <w:pPr>
      <w:keepNext w:val="0"/>
      <w:keepLines w:val="0"/>
      <w:spacing w:before="0"/>
      <w:ind w:left="0" w:right="0" w:firstLine="0"/>
      <w:jc w:val="left"/>
      <w:outlineLvl w:val="9"/>
    </w:pPr>
    <w:rPr>
      <w:b w:val="0"/>
      <w:smallCaps w:val="0"/>
    </w:rPr>
  </w:style>
  <w:style w:type="paragraph" w:styleId="Default" w:customStyle="1">
    <w:name w:val="Default"/>
    <w:pPr>
      <w:widowControl w:val="0"/>
      <w:autoSpaceDE w:val="0"/>
      <w:autoSpaceDN w:val="0"/>
      <w:adjustRightInd w:val="0"/>
    </w:pPr>
    <w:rPr>
      <w:rFonts w:ascii="Times New Roman" w:hAnsi="Times New Roman" w:cs="Times New Roman"/>
      <w:color w:val="000000"/>
      <w:sz w:val="24"/>
      <w:szCs w:val="24"/>
    </w:rPr>
  </w:style>
  <w:style w:type="paragraph" w:styleId="tk" w:customStyle="1">
    <w:name w:val="tk"/>
    <w:basedOn w:val="TitleCenterBold"/>
    <w:uiPriority w:val="99"/>
  </w:style>
  <w:style w:type="paragraph" w:styleId="hng" w:customStyle="1">
    <w:name w:val="hng"/>
    <w:basedOn w:val="ParaNORMAL"/>
    <w:uiPriority w:val="99"/>
  </w:style>
  <w:style w:type="paragraph" w:styleId="ListBullet">
    <w:name w:val="List Bullet"/>
    <w:aliases w:val="lb"/>
    <w:basedOn w:val="Normal"/>
    <w:uiPriority w:val="99"/>
    <w:pPr>
      <w:tabs>
        <w:tab w:val="num" w:pos="360"/>
      </w:tabs>
      <w:spacing w:line="280" w:lineRule="exact"/>
      <w:ind w:left="360" w:hanging="360"/>
      <w:contextualSpacing/>
    </w:pPr>
    <w:rPr>
      <w:rFonts w:ascii="Times" w:hAnsi="Times"/>
      <w:szCs w:val="20"/>
    </w:rPr>
  </w:style>
  <w:style w:type="paragraph" w:styleId="ParaFLUSHItalic" w:customStyle="1">
    <w:name w:val="ParaFLUSHItalic"/>
    <w:aliases w:val="pfi"/>
    <w:basedOn w:val="ParaFLUSH"/>
    <w:uiPriority w:val="99"/>
    <w:pPr>
      <w:keepNext/>
      <w:ind w:left="720"/>
    </w:pPr>
    <w:rPr>
      <w:i/>
    </w:rPr>
  </w:style>
  <w:style w:type="paragraph" w:styleId="00BodyText5" w:customStyle="1">
    <w:name w:val="00 Body Text .5"/>
    <w:basedOn w:val="Normal"/>
    <w:link w:val="00BodyText5Char"/>
    <w:qFormat/>
    <w:pPr>
      <w:spacing w:after="240"/>
      <w:ind w:firstLine="720"/>
      <w:jc w:val="both"/>
    </w:pPr>
    <w:rPr>
      <w:szCs w:val="20"/>
      <w:lang w:val="x-none" w:eastAsia="x-none"/>
    </w:rPr>
  </w:style>
  <w:style w:type="paragraph" w:styleId="HeadingBody2" w:customStyle="1">
    <w:name w:val="HeadingBody 2"/>
    <w:basedOn w:val="BodyText"/>
    <w:next w:val="Normal"/>
    <w:link w:val="HeadingBody2Char"/>
    <w:pPr>
      <w:spacing w:after="240" w:line="240" w:lineRule="auto"/>
      <w:ind w:firstLine="1440"/>
      <w:jc w:val="both"/>
    </w:pPr>
    <w:rPr>
      <w:rFonts w:ascii="Times New Roman" w:hAnsi="Times New Roman"/>
      <w:lang w:val="x-none" w:eastAsia="x-none"/>
    </w:rPr>
  </w:style>
  <w:style w:type="character" w:styleId="00BodyText5Char" w:customStyle="1">
    <w:name w:val="00 Body Text .5 Char"/>
    <w:link w:val="00BodyText5"/>
    <w:locked/>
    <w:rPr>
      <w:rFonts w:ascii="Times New Roman" w:hAnsi="Times New Roman"/>
      <w:sz w:val="24"/>
    </w:rPr>
  </w:style>
  <w:style w:type="character" w:styleId="HeadingBody2Char" w:customStyle="1">
    <w:name w:val="HeadingBody 2 Char"/>
    <w:link w:val="HeadingBody2"/>
    <w:locked/>
    <w:rPr>
      <w:rFonts w:ascii="Times New Roman" w:hAnsi="Times New Roman"/>
      <w:sz w:val="24"/>
    </w:rPr>
  </w:style>
  <w:style w:type="paragraph" w:styleId="BodyText">
    <w:name w:val="Body Text"/>
    <w:aliases w:val="Char"/>
    <w:basedOn w:val="Normal"/>
    <w:link w:val="BodyTextChar"/>
    <w:pPr>
      <w:spacing w:after="120" w:line="280" w:lineRule="exact"/>
    </w:pPr>
    <w:rPr>
      <w:rFonts w:ascii="Times" w:hAnsi="Times"/>
      <w:szCs w:val="20"/>
    </w:rPr>
  </w:style>
  <w:style w:type="paragraph" w:styleId="Level1" w:customStyle="1">
    <w:name w:val="Level 1"/>
    <w:pPr>
      <w:autoSpaceDE w:val="0"/>
      <w:autoSpaceDN w:val="0"/>
      <w:adjustRightInd w:val="0"/>
      <w:ind w:left="720"/>
    </w:pPr>
    <w:rPr>
      <w:rFonts w:ascii="Times New Roman" w:hAnsi="Times New Roman" w:cs="Times New Roman"/>
      <w:sz w:val="24"/>
      <w:szCs w:val="24"/>
    </w:rPr>
  </w:style>
  <w:style w:type="character" w:styleId="BodyTextChar" w:customStyle="1">
    <w:name w:val="Body Text Char"/>
    <w:aliases w:val="Char Char1"/>
    <w:link w:val="BodyText"/>
    <w:locked/>
    <w:rPr>
      <w:rFonts w:ascii="Times" w:hAnsi="Times" w:cs="Times New Roman"/>
      <w:sz w:val="24"/>
    </w:rPr>
  </w:style>
  <w:style w:type="paragraph" w:styleId="Centered0PT" w:customStyle="1">
    <w:name w:val="Centered 0 PT"/>
    <w:basedOn w:val="Normal"/>
    <w:next w:val="Normal"/>
    <w:uiPriority w:val="99"/>
    <w:pPr>
      <w:jc w:val="center"/>
    </w:pPr>
    <w:rPr>
      <w:sz w:val="22"/>
      <w:szCs w:val="20"/>
    </w:rPr>
  </w:style>
  <w:style w:type="paragraph" w:styleId="BodyTextIndent">
    <w:name w:val="Body Text Indent"/>
    <w:basedOn w:val="BodyText"/>
    <w:next w:val="BodyText"/>
    <w:link w:val="BodyTextIndentChar"/>
    <w:uiPriority w:val="99"/>
    <w:pPr>
      <w:spacing w:after="240" w:line="240" w:lineRule="auto"/>
      <w:ind w:left="720"/>
      <w:jc w:val="both"/>
    </w:pPr>
    <w:rPr>
      <w:rFonts w:ascii="Times New Roman" w:hAnsi="Times New Roman"/>
      <w:sz w:val="22"/>
    </w:rPr>
  </w:style>
  <w:style w:type="character" w:styleId="BodyTextIndentChar" w:customStyle="1">
    <w:name w:val="Body Text Indent Char"/>
    <w:link w:val="BodyTextIndent"/>
    <w:uiPriority w:val="99"/>
    <w:locked/>
    <w:rPr>
      <w:rFonts w:ascii="Times New Roman" w:hAnsi="Times New Roman" w:cs="Times New Roman"/>
      <w:sz w:val="22"/>
    </w:rPr>
  </w:style>
  <w:style w:type="paragraph" w:styleId="BodyTextContinued" w:customStyle="1">
    <w:name w:val="Body Text Continued"/>
    <w:basedOn w:val="BodyText"/>
    <w:uiPriority w:val="99"/>
    <w:pPr>
      <w:spacing w:after="240" w:line="240" w:lineRule="auto"/>
      <w:jc w:val="both"/>
    </w:pPr>
    <w:rPr>
      <w:rFonts w:ascii="Times New Roman" w:hAnsi="Times New Roman"/>
      <w:sz w:val="22"/>
    </w:rPr>
  </w:style>
  <w:style w:type="paragraph" w:styleId="Centered" w:customStyle="1">
    <w:name w:val="Centered"/>
    <w:basedOn w:val="Normal"/>
    <w:next w:val="BodyText"/>
    <w:uiPriority w:val="99"/>
    <w:pPr>
      <w:spacing w:after="240"/>
      <w:jc w:val="center"/>
    </w:pPr>
    <w:rPr>
      <w:sz w:val="22"/>
      <w:szCs w:val="20"/>
    </w:rPr>
  </w:style>
  <w:style w:type="paragraph" w:styleId="HeaderNumbers" w:customStyle="1">
    <w:name w:val="HeaderNumbers"/>
    <w:basedOn w:val="Normal"/>
    <w:uiPriority w:val="99"/>
    <w:pPr>
      <w:spacing w:before="720" w:line="480" w:lineRule="exact"/>
      <w:ind w:right="144"/>
      <w:jc w:val="right"/>
    </w:pPr>
    <w:rPr>
      <w:sz w:val="22"/>
      <w:szCs w:val="20"/>
    </w:rPr>
  </w:style>
  <w:style w:type="paragraph" w:styleId="LetterClosing" w:customStyle="1">
    <w:name w:val="LetterClosing"/>
    <w:basedOn w:val="Normal"/>
    <w:next w:val="Normal"/>
    <w:uiPriority w:val="99"/>
    <w:pPr>
      <w:jc w:val="both"/>
    </w:pPr>
    <w:rPr>
      <w:sz w:val="22"/>
      <w:szCs w:val="20"/>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cs="Times New Roman"/>
      <w:sz w:val="18"/>
    </w:rPr>
  </w:style>
  <w:style w:type="character" w:styleId="MacroTextChar" w:customStyle="1">
    <w:name w:val="Macro Text Char"/>
    <w:link w:val="MacroText"/>
    <w:uiPriority w:val="99"/>
    <w:locked/>
    <w:rPr>
      <w:rFonts w:ascii="Times New Roman" w:hAnsi="Times New Roman" w:cs="Times New Roman"/>
      <w:sz w:val="18"/>
      <w:lang w:val="en-US" w:eastAsia="en-US" w:bidi="ar-SA"/>
    </w:rPr>
  </w:style>
  <w:style w:type="paragraph" w:styleId="NormalIndent">
    <w:name w:val="Normal Indent"/>
    <w:basedOn w:val="Normal"/>
    <w:uiPriority w:val="99"/>
    <w:pPr>
      <w:widowControl w:val="0"/>
      <w:spacing w:after="240"/>
      <w:ind w:left="720" w:right="720"/>
      <w:jc w:val="both"/>
    </w:pPr>
    <w:rPr>
      <w:sz w:val="22"/>
      <w:szCs w:val="20"/>
    </w:rPr>
  </w:style>
  <w:style w:type="paragraph" w:styleId="PleadingSignature" w:customStyle="1">
    <w:name w:val="Pleading Signature"/>
    <w:basedOn w:val="Normal"/>
    <w:uiPriority w:val="99"/>
    <w:pPr>
      <w:keepNext/>
      <w:keepLines/>
      <w:widowControl w:val="0"/>
      <w:tabs>
        <w:tab w:val="left" w:pos="5040"/>
        <w:tab w:val="right" w:pos="9360"/>
      </w:tabs>
      <w:spacing w:line="240" w:lineRule="exact"/>
      <w:ind w:left="4680"/>
      <w:jc w:val="both"/>
    </w:pPr>
    <w:rPr>
      <w:sz w:val="22"/>
      <w:szCs w:val="20"/>
    </w:rPr>
  </w:style>
  <w:style w:type="paragraph" w:styleId="LetterDate" w:customStyle="1">
    <w:name w:val="Letter Date"/>
    <w:basedOn w:val="Normal"/>
    <w:next w:val="BodyText"/>
    <w:uiPriority w:val="99"/>
    <w:pPr>
      <w:jc w:val="both"/>
    </w:pPr>
    <w:rPr>
      <w:sz w:val="22"/>
      <w:szCs w:val="20"/>
    </w:rPr>
  </w:style>
  <w:style w:type="paragraph" w:styleId="LeftHeading" w:customStyle="1">
    <w:name w:val="Left Heading"/>
    <w:basedOn w:val="Normal"/>
    <w:next w:val="BodyText"/>
    <w:uiPriority w:val="99"/>
    <w:pPr>
      <w:keepNext/>
      <w:spacing w:after="240"/>
    </w:pPr>
    <w:rPr>
      <w:b/>
      <w:sz w:val="22"/>
      <w:szCs w:val="20"/>
    </w:rPr>
  </w:style>
  <w:style w:type="paragraph" w:styleId="TableofAuthorities">
    <w:name w:val="table of authorities"/>
    <w:basedOn w:val="Normal"/>
    <w:next w:val="Normal"/>
    <w:uiPriority w:val="99"/>
    <w:pPr>
      <w:widowControl w:val="0"/>
      <w:tabs>
        <w:tab w:val="right" w:leader="dot" w:pos="4306"/>
      </w:tabs>
      <w:spacing w:after="120" w:line="240" w:lineRule="exact"/>
      <w:ind w:left="360" w:right="1440" w:hanging="360"/>
      <w:jc w:val="both"/>
    </w:pPr>
    <w:rPr>
      <w:sz w:val="22"/>
      <w:szCs w:val="20"/>
    </w:rPr>
  </w:style>
  <w:style w:type="paragraph" w:styleId="Heading1Para" w:customStyle="1">
    <w:name w:val="Heading1Para"/>
    <w:basedOn w:val="BodyText"/>
    <w:next w:val="BodyText"/>
    <w:uiPriority w:val="99"/>
    <w:pPr>
      <w:spacing w:after="240" w:line="240" w:lineRule="auto"/>
      <w:jc w:val="center"/>
    </w:pPr>
    <w:rPr>
      <w:rFonts w:ascii="Times New Roman" w:hAnsi="Times New Roman"/>
      <w:sz w:val="22"/>
    </w:rPr>
  </w:style>
  <w:style w:type="paragraph" w:styleId="Heading2Para" w:customStyle="1">
    <w:name w:val="Heading2Para"/>
    <w:basedOn w:val="BodyText"/>
    <w:next w:val="BodyText"/>
    <w:uiPriority w:val="99"/>
    <w:pPr>
      <w:spacing w:after="240" w:line="240" w:lineRule="auto"/>
      <w:jc w:val="both"/>
    </w:pPr>
    <w:rPr>
      <w:rFonts w:ascii="Times New Roman" w:hAnsi="Times New Roman"/>
      <w:sz w:val="22"/>
    </w:rPr>
  </w:style>
  <w:style w:type="paragraph" w:styleId="Heading3Para" w:customStyle="1">
    <w:name w:val="Heading3Para"/>
    <w:basedOn w:val="BodyText"/>
    <w:next w:val="BodyText"/>
    <w:uiPriority w:val="99"/>
    <w:pPr>
      <w:spacing w:after="240" w:line="240" w:lineRule="auto"/>
      <w:ind w:firstLine="720"/>
      <w:jc w:val="both"/>
    </w:pPr>
    <w:rPr>
      <w:rFonts w:ascii="Times New Roman" w:hAnsi="Times New Roman"/>
      <w:sz w:val="22"/>
    </w:rPr>
  </w:style>
  <w:style w:type="paragraph" w:styleId="Heading4Para" w:customStyle="1">
    <w:name w:val="Heading4Para"/>
    <w:basedOn w:val="BodyText"/>
    <w:next w:val="BodyText"/>
    <w:uiPriority w:val="99"/>
    <w:pPr>
      <w:spacing w:after="240" w:line="240" w:lineRule="auto"/>
      <w:ind w:firstLine="2160"/>
      <w:jc w:val="both"/>
    </w:pPr>
    <w:rPr>
      <w:rFonts w:ascii="Times New Roman" w:hAnsi="Times New Roman"/>
      <w:sz w:val="22"/>
    </w:rPr>
  </w:style>
  <w:style w:type="paragraph" w:styleId="Heading5Para" w:customStyle="1">
    <w:name w:val="Heading5Para"/>
    <w:basedOn w:val="BodyText"/>
    <w:next w:val="BodyText"/>
    <w:uiPriority w:val="99"/>
    <w:pPr>
      <w:spacing w:after="240" w:line="240" w:lineRule="auto"/>
      <w:ind w:firstLine="2880"/>
      <w:jc w:val="both"/>
    </w:pPr>
    <w:rPr>
      <w:rFonts w:ascii="Times New Roman" w:hAnsi="Times New Roman"/>
      <w:sz w:val="22"/>
    </w:rPr>
  </w:style>
  <w:style w:type="paragraph" w:styleId="Heading6Para" w:customStyle="1">
    <w:name w:val="Heading6Para"/>
    <w:basedOn w:val="BodyText"/>
    <w:next w:val="BodyText"/>
    <w:uiPriority w:val="99"/>
    <w:pPr>
      <w:spacing w:after="240" w:line="240" w:lineRule="auto"/>
      <w:ind w:firstLine="3600"/>
      <w:jc w:val="both"/>
    </w:pPr>
    <w:rPr>
      <w:rFonts w:ascii="Times New Roman" w:hAnsi="Times New Roman"/>
      <w:sz w:val="22"/>
    </w:rPr>
  </w:style>
  <w:style w:type="paragraph" w:styleId="Heading7Para" w:customStyle="1">
    <w:name w:val="Heading7Para"/>
    <w:basedOn w:val="BodyText"/>
    <w:next w:val="BodyText"/>
    <w:uiPriority w:val="99"/>
    <w:pPr>
      <w:spacing w:after="240" w:line="240" w:lineRule="auto"/>
      <w:ind w:firstLine="4320"/>
      <w:jc w:val="both"/>
    </w:pPr>
    <w:rPr>
      <w:rFonts w:ascii="Times New Roman" w:hAnsi="Times New Roman"/>
      <w:sz w:val="22"/>
    </w:rPr>
  </w:style>
  <w:style w:type="paragraph" w:styleId="Heading8Para" w:customStyle="1">
    <w:name w:val="Heading8Para"/>
    <w:basedOn w:val="BodyText"/>
    <w:next w:val="BodyText"/>
    <w:uiPriority w:val="99"/>
    <w:pPr>
      <w:spacing w:after="240" w:line="240" w:lineRule="auto"/>
      <w:ind w:firstLine="5040"/>
      <w:jc w:val="both"/>
    </w:pPr>
    <w:rPr>
      <w:rFonts w:ascii="Times New Roman" w:hAnsi="Times New Roman"/>
      <w:sz w:val="22"/>
    </w:rPr>
  </w:style>
  <w:style w:type="paragraph" w:styleId="Heading9Para" w:customStyle="1">
    <w:name w:val="Heading9Para"/>
    <w:basedOn w:val="BodyText"/>
    <w:next w:val="BodyText"/>
    <w:uiPriority w:val="99"/>
    <w:pPr>
      <w:spacing w:after="240" w:line="240" w:lineRule="auto"/>
      <w:ind w:firstLine="5760"/>
      <w:jc w:val="both"/>
    </w:pPr>
    <w:rPr>
      <w:rFonts w:ascii="Times New Roman" w:hAnsi="Times New Roman"/>
      <w:sz w:val="22"/>
    </w:rPr>
  </w:style>
  <w:style w:type="character" w:styleId="ParagraphNumber" w:customStyle="1">
    <w:name w:val="ParagraphNumber"/>
    <w:uiPriority w:val="99"/>
  </w:style>
  <w:style w:type="paragraph" w:styleId="SDP" w:customStyle="1">
    <w:name w:val="SDP"/>
    <w:basedOn w:val="Normal"/>
    <w:next w:val="Normal"/>
    <w:uiPriority w:val="99"/>
    <w:pPr>
      <w:spacing w:before="240"/>
      <w:jc w:val="both"/>
    </w:pPr>
    <w:rPr>
      <w:b/>
      <w:caps/>
      <w:sz w:val="22"/>
      <w:szCs w:val="20"/>
    </w:rPr>
  </w:style>
  <w:style w:type="paragraph" w:styleId="DeliveryPhrase" w:customStyle="1">
    <w:name w:val="Delivery Phrase"/>
    <w:basedOn w:val="Normal"/>
    <w:next w:val="Normal"/>
    <w:pPr>
      <w:spacing w:before="240"/>
      <w:jc w:val="both"/>
    </w:pPr>
    <w:rPr>
      <w:b/>
      <w:caps/>
      <w:sz w:val="22"/>
      <w:szCs w:val="20"/>
    </w:rPr>
  </w:style>
  <w:style w:type="paragraph" w:styleId="LHFirmName" w:customStyle="1">
    <w:name w:val="LH Firm Name"/>
    <w:basedOn w:val="Normal"/>
    <w:uiPriority w:val="99"/>
    <w:pPr>
      <w:spacing w:after="120"/>
      <w:ind w:left="-720"/>
      <w:jc w:val="both"/>
    </w:pPr>
    <w:rPr>
      <w:rFonts w:ascii="Georgia" w:hAnsi="Georgia"/>
      <w:b/>
      <w:spacing w:val="10"/>
      <w:sz w:val="15"/>
      <w:szCs w:val="20"/>
    </w:rPr>
  </w:style>
  <w:style w:type="paragraph" w:styleId="PlainText">
    <w:name w:val="Plain Text"/>
    <w:basedOn w:val="Normal"/>
    <w:link w:val="PlainTextChar"/>
    <w:uiPriority w:val="99"/>
    <w:pPr>
      <w:jc w:val="both"/>
    </w:pPr>
    <w:rPr>
      <w:rFonts w:ascii="Courier New" w:hAnsi="Courier New"/>
      <w:sz w:val="20"/>
      <w:szCs w:val="20"/>
    </w:rPr>
  </w:style>
  <w:style w:type="character" w:styleId="PlainTextChar" w:customStyle="1">
    <w:name w:val="Plain Text Char"/>
    <w:link w:val="PlainText"/>
    <w:uiPriority w:val="99"/>
    <w:locked/>
    <w:rPr>
      <w:rFonts w:ascii="Courier New" w:hAnsi="Courier New" w:cs="Times New Roman"/>
    </w:rPr>
  </w:style>
  <w:style w:type="paragraph" w:styleId="BusinessSignature" w:customStyle="1">
    <w:name w:val="Business Signature"/>
    <w:basedOn w:val="Normal"/>
    <w:uiPriority w:val="99"/>
    <w:pPr>
      <w:tabs>
        <w:tab w:val="left" w:pos="403"/>
        <w:tab w:val="right" w:pos="4320"/>
      </w:tabs>
    </w:pPr>
    <w:rPr>
      <w:sz w:val="22"/>
      <w:szCs w:val="20"/>
    </w:rPr>
  </w:style>
  <w:style w:type="paragraph" w:styleId="BlockText">
    <w:name w:val="Block Text"/>
    <w:basedOn w:val="Normal"/>
    <w:next w:val="BodyText"/>
    <w:uiPriority w:val="99"/>
    <w:pPr>
      <w:spacing w:after="240"/>
      <w:ind w:left="1440" w:right="1440"/>
      <w:jc w:val="both"/>
    </w:pPr>
    <w:rPr>
      <w:sz w:val="22"/>
      <w:szCs w:val="20"/>
    </w:rPr>
  </w:style>
  <w:style w:type="paragraph" w:styleId="BoldCenter24pt" w:customStyle="1">
    <w:name w:val="Bold Center 24 pt"/>
    <w:basedOn w:val="BodyText"/>
    <w:next w:val="BodyText"/>
    <w:uiPriority w:val="99"/>
    <w:pPr>
      <w:keepNext/>
      <w:spacing w:after="480" w:line="240" w:lineRule="auto"/>
      <w:jc w:val="center"/>
    </w:pPr>
    <w:rPr>
      <w:rFonts w:ascii="Times New Roman" w:hAnsi="Times New Roman"/>
      <w:b/>
      <w:caps/>
      <w:sz w:val="22"/>
    </w:rPr>
  </w:style>
  <w:style w:type="paragraph" w:styleId="ModifiedBlockIndent" w:customStyle="1">
    <w:name w:val="Modified Block Indent"/>
    <w:basedOn w:val="BlockText"/>
    <w:uiPriority w:val="99"/>
    <w:pPr>
      <w:ind w:left="720" w:firstLine="720"/>
    </w:pPr>
  </w:style>
  <w:style w:type="paragraph" w:styleId="Question" w:customStyle="1">
    <w:name w:val="Question"/>
    <w:basedOn w:val="BodyText"/>
    <w:next w:val="BodyText"/>
    <w:uiPriority w:val="99"/>
    <w:pPr>
      <w:spacing w:after="240" w:line="240" w:lineRule="auto"/>
      <w:ind w:left="1440" w:right="720" w:hanging="720"/>
      <w:jc w:val="both"/>
    </w:pPr>
    <w:rPr>
      <w:rFonts w:ascii="Times New Roman" w:hAnsi="Times New Roman"/>
      <w:sz w:val="22"/>
    </w:rPr>
  </w:style>
  <w:style w:type="paragraph" w:styleId="BoldCenter" w:customStyle="1">
    <w:name w:val="Bold Center"/>
    <w:basedOn w:val="BodyText"/>
    <w:next w:val="BodyText"/>
    <w:uiPriority w:val="99"/>
    <w:pPr>
      <w:keepNext/>
      <w:spacing w:after="0" w:line="240" w:lineRule="auto"/>
      <w:jc w:val="center"/>
    </w:pPr>
    <w:rPr>
      <w:rFonts w:ascii="Times New Roman" w:hAnsi="Times New Roman"/>
      <w:b/>
      <w:caps/>
      <w:sz w:val="22"/>
    </w:rPr>
  </w:style>
  <w:style w:type="paragraph" w:styleId="BoldCenter12pt" w:customStyle="1">
    <w:name w:val="Bold Center 12 pt"/>
    <w:basedOn w:val="BoldCenter24pt"/>
    <w:next w:val="BodyText"/>
    <w:uiPriority w:val="99"/>
    <w:pPr>
      <w:spacing w:after="240"/>
    </w:pPr>
  </w:style>
  <w:style w:type="paragraph" w:styleId="ModifiedBlock" w:customStyle="1">
    <w:name w:val="Modified Block"/>
    <w:basedOn w:val="BodyText"/>
    <w:uiPriority w:val="99"/>
    <w:pPr>
      <w:spacing w:after="240" w:line="240" w:lineRule="auto"/>
      <w:ind w:left="720" w:firstLine="720"/>
      <w:jc w:val="both"/>
    </w:pPr>
    <w:rPr>
      <w:rFonts w:ascii="Times New Roman" w:hAnsi="Times New Roman"/>
      <w:sz w:val="22"/>
    </w:rPr>
  </w:style>
  <w:style w:type="paragraph" w:styleId="BodyText5" w:customStyle="1">
    <w:name w:val="Body Text .5"/>
    <w:basedOn w:val="BodyText"/>
    <w:uiPriority w:val="99"/>
    <w:pPr>
      <w:spacing w:after="240" w:line="240" w:lineRule="auto"/>
      <w:ind w:left="720" w:firstLine="720"/>
      <w:jc w:val="both"/>
    </w:pPr>
    <w:rPr>
      <w:rFonts w:ascii="Times New Roman" w:hAnsi="Times New Roman"/>
      <w:sz w:val="22"/>
    </w:rPr>
  </w:style>
  <w:style w:type="paragraph" w:styleId="BodyText5Continued" w:customStyle="1">
    <w:name w:val="Body Text .5 Continued"/>
    <w:basedOn w:val="BodyText"/>
    <w:uiPriority w:val="99"/>
    <w:pPr>
      <w:spacing w:after="240" w:line="240" w:lineRule="auto"/>
      <w:ind w:left="720"/>
      <w:jc w:val="both"/>
    </w:pPr>
    <w:rPr>
      <w:rFonts w:ascii="Times New Roman" w:hAnsi="Times New Roman"/>
      <w:sz w:val="22"/>
    </w:rPr>
  </w:style>
  <w:style w:type="character" w:styleId="zzmpTrailerItem" w:customStyle="1">
    <w:name w:val="zzmpTrailerItem"/>
    <w:uiPriority w:val="99"/>
    <w:rPr>
      <w:rFonts w:ascii="Times New Roman" w:hAnsi="Times New Roman"/>
      <w:noProof/>
      <w:color w:val="auto"/>
      <w:spacing w:val="0"/>
      <w:position w:val="0"/>
      <w:sz w:val="16"/>
      <w:u w:val="none"/>
      <w:effect w:val="none"/>
      <w:vertAlign w:val="baseline"/>
    </w:rPr>
  </w:style>
  <w:style w:type="paragraph" w:styleId="BodyText1" w:customStyle="1">
    <w:name w:val="Body Text 1&quot;"/>
    <w:basedOn w:val="BodyText"/>
    <w:uiPriority w:val="99"/>
    <w:pPr>
      <w:spacing w:after="240" w:line="240" w:lineRule="auto"/>
      <w:ind w:left="1440" w:firstLine="720"/>
      <w:jc w:val="both"/>
    </w:pPr>
    <w:rPr>
      <w:rFonts w:ascii="Times New Roman" w:hAnsi="Times New Roman"/>
      <w:sz w:val="22"/>
    </w:rPr>
  </w:style>
  <w:style w:type="paragraph" w:styleId="BodyText1Continued" w:customStyle="1">
    <w:name w:val="Body Text 1&quot; Continued"/>
    <w:basedOn w:val="BodyText"/>
    <w:uiPriority w:val="99"/>
    <w:pPr>
      <w:spacing w:after="240" w:line="240" w:lineRule="auto"/>
      <w:ind w:left="1440"/>
      <w:jc w:val="both"/>
    </w:pPr>
    <w:rPr>
      <w:rFonts w:ascii="Times New Roman" w:hAnsi="Times New Roman"/>
      <w:sz w:val="22"/>
    </w:rPr>
  </w:style>
  <w:style w:type="paragraph" w:styleId="BodyText15Continued" w:customStyle="1">
    <w:name w:val="Body Text 1.5&quot; Continued"/>
    <w:basedOn w:val="BodyText"/>
    <w:uiPriority w:val="99"/>
    <w:pPr>
      <w:spacing w:after="240" w:line="240" w:lineRule="auto"/>
      <w:ind w:left="2160"/>
      <w:jc w:val="both"/>
    </w:pPr>
    <w:rPr>
      <w:rFonts w:ascii="Times New Roman" w:hAnsi="Times New Roman"/>
      <w:sz w:val="22"/>
    </w:rPr>
  </w:style>
  <w:style w:type="paragraph" w:styleId="BodyText15" w:customStyle="1">
    <w:name w:val="Body Text 1.5&quot;"/>
    <w:basedOn w:val="BodyText"/>
    <w:uiPriority w:val="99"/>
    <w:pPr>
      <w:spacing w:after="240" w:line="240" w:lineRule="auto"/>
      <w:ind w:left="2160" w:firstLine="720"/>
      <w:jc w:val="both"/>
    </w:pPr>
    <w:rPr>
      <w:rFonts w:ascii="Times New Roman" w:hAnsi="Times New Roman"/>
      <w:sz w:val="22"/>
    </w:rPr>
  </w:style>
  <w:style w:type="paragraph" w:styleId="BodyText2Continued" w:customStyle="1">
    <w:name w:val="Body Text 2&quot; Continued"/>
    <w:basedOn w:val="BodyText"/>
    <w:uiPriority w:val="99"/>
    <w:pPr>
      <w:spacing w:after="240" w:line="240" w:lineRule="auto"/>
      <w:ind w:left="2880"/>
      <w:jc w:val="both"/>
    </w:pPr>
    <w:rPr>
      <w:rFonts w:ascii="Times New Roman" w:hAnsi="Times New Roman"/>
      <w:sz w:val="22"/>
    </w:rPr>
  </w:style>
  <w:style w:type="paragraph" w:styleId="BodyText2" w:customStyle="1">
    <w:name w:val="Body Text 2&quot;"/>
    <w:basedOn w:val="BodyText"/>
    <w:uiPriority w:val="99"/>
    <w:pPr>
      <w:spacing w:after="240" w:line="240" w:lineRule="auto"/>
      <w:ind w:left="2880" w:firstLine="720"/>
      <w:jc w:val="both"/>
    </w:pPr>
    <w:rPr>
      <w:rFonts w:ascii="Times New Roman" w:hAnsi="Times New Roman"/>
      <w:sz w:val="22"/>
    </w:rPr>
  </w:style>
  <w:style w:type="paragraph" w:styleId="BodyTextHanging" w:customStyle="1">
    <w:name w:val="Body Text Hanging"/>
    <w:basedOn w:val="BodyText"/>
    <w:uiPriority w:val="99"/>
    <w:pPr>
      <w:spacing w:after="240" w:line="240" w:lineRule="auto"/>
      <w:ind w:left="720" w:hanging="720"/>
      <w:jc w:val="both"/>
    </w:pPr>
    <w:rPr>
      <w:rFonts w:ascii="Times New Roman" w:hAnsi="Times New Roman"/>
      <w:sz w:val="22"/>
    </w:rPr>
  </w:style>
  <w:style w:type="paragraph" w:styleId="BodyTextHanging5" w:customStyle="1">
    <w:name w:val="Body Text Hanging .5"/>
    <w:basedOn w:val="BodyText"/>
    <w:uiPriority w:val="99"/>
    <w:pPr>
      <w:spacing w:after="240" w:line="240" w:lineRule="auto"/>
      <w:ind w:left="1440" w:hanging="720"/>
      <w:jc w:val="both"/>
    </w:pPr>
    <w:rPr>
      <w:rFonts w:ascii="Times New Roman" w:hAnsi="Times New Roman"/>
      <w:sz w:val="22"/>
    </w:rPr>
  </w:style>
  <w:style w:type="paragraph" w:styleId="BodyTextHanging1" w:customStyle="1">
    <w:name w:val="Body Text Hanging 1&quot;"/>
    <w:basedOn w:val="BodyText"/>
    <w:uiPriority w:val="99"/>
    <w:pPr>
      <w:spacing w:after="240" w:line="240" w:lineRule="auto"/>
      <w:ind w:left="2160" w:hanging="720"/>
      <w:jc w:val="both"/>
    </w:pPr>
    <w:rPr>
      <w:rFonts w:ascii="Times New Roman" w:hAnsi="Times New Roman"/>
      <w:sz w:val="22"/>
    </w:rPr>
  </w:style>
  <w:style w:type="paragraph" w:styleId="BodyTextHanging15" w:customStyle="1">
    <w:name w:val="Body Text Hanging 1.5&quot;"/>
    <w:basedOn w:val="BodyText"/>
    <w:uiPriority w:val="99"/>
    <w:pPr>
      <w:spacing w:after="240" w:line="240" w:lineRule="auto"/>
      <w:ind w:left="2880" w:hanging="720"/>
      <w:jc w:val="both"/>
    </w:pPr>
    <w:rPr>
      <w:rFonts w:ascii="Times New Roman" w:hAnsi="Times New Roman"/>
      <w:sz w:val="22"/>
    </w:rPr>
  </w:style>
  <w:style w:type="paragraph" w:styleId="BodyTextHanging2" w:customStyle="1">
    <w:name w:val="Body Text Hanging 2&quot;"/>
    <w:basedOn w:val="BodyText"/>
    <w:uiPriority w:val="99"/>
    <w:pPr>
      <w:spacing w:after="240" w:line="240" w:lineRule="auto"/>
      <w:ind w:left="3600" w:hanging="720"/>
      <w:jc w:val="both"/>
    </w:pPr>
    <w:rPr>
      <w:rFonts w:ascii="Times New Roman" w:hAnsi="Times New Roman"/>
      <w:sz w:val="22"/>
    </w:rPr>
  </w:style>
  <w:style w:type="paragraph" w:styleId="NumContinue" w:customStyle="1">
    <w:name w:val="Num Continue"/>
    <w:basedOn w:val="Normal"/>
    <w:uiPriority w:val="99"/>
    <w:pPr>
      <w:spacing w:after="240"/>
      <w:ind w:firstLine="720"/>
      <w:jc w:val="both"/>
    </w:pPr>
    <w:rPr>
      <w:sz w:val="22"/>
      <w:szCs w:val="20"/>
    </w:rPr>
  </w:style>
  <w:style w:type="paragraph" w:styleId="FlushTabDL" w:customStyle="1">
    <w:name w:val="Flush &amp; Tab DL"/>
    <w:basedOn w:val="FlushTab"/>
    <w:uiPriority w:val="99"/>
  </w:style>
  <w:style w:type="paragraph" w:styleId="FlushTab" w:customStyle="1">
    <w:name w:val="Flush &amp; Tab"/>
    <w:basedOn w:val="Normal"/>
    <w:uiPriority w:val="99"/>
    <w:pPr>
      <w:tabs>
        <w:tab w:val="left" w:pos="2880"/>
      </w:tabs>
      <w:spacing w:after="240"/>
      <w:ind w:left="2880" w:hanging="2880"/>
      <w:jc w:val="both"/>
    </w:pPr>
    <w:rPr>
      <w:sz w:val="22"/>
      <w:szCs w:val="20"/>
    </w:rPr>
  </w:style>
  <w:style w:type="paragraph" w:styleId="CenterBold" w:customStyle="1">
    <w:name w:val="Center Bold"/>
    <w:basedOn w:val="Normal"/>
    <w:pPr>
      <w:keepNext/>
      <w:spacing w:after="480"/>
      <w:jc w:val="center"/>
    </w:pPr>
    <w:rPr>
      <w:b/>
      <w:sz w:val="22"/>
      <w:szCs w:val="20"/>
    </w:rPr>
  </w:style>
  <w:style w:type="paragraph" w:styleId="Kutak1Cont1" w:customStyle="1">
    <w:name w:val="Kutak1 Cont 1"/>
    <w:basedOn w:val="Normal"/>
    <w:uiPriority w:val="99"/>
    <w:pPr>
      <w:spacing w:after="240"/>
      <w:jc w:val="both"/>
    </w:pPr>
    <w:rPr>
      <w:sz w:val="22"/>
      <w:szCs w:val="20"/>
    </w:rPr>
  </w:style>
  <w:style w:type="paragraph" w:styleId="Kutak1Cont2" w:customStyle="1">
    <w:name w:val="Kutak1 Cont 2"/>
    <w:basedOn w:val="Kutak1Cont1"/>
    <w:uiPriority w:val="99"/>
  </w:style>
  <w:style w:type="paragraph" w:styleId="Kutak1Cont3" w:customStyle="1">
    <w:name w:val="Kutak1 Cont 3"/>
    <w:basedOn w:val="Kutak1Cont2"/>
    <w:uiPriority w:val="99"/>
  </w:style>
  <w:style w:type="paragraph" w:styleId="Kutak1Cont4" w:customStyle="1">
    <w:name w:val="Kutak1 Cont 4"/>
    <w:basedOn w:val="Kutak1Cont3"/>
    <w:uiPriority w:val="99"/>
  </w:style>
  <w:style w:type="paragraph" w:styleId="Kutak1Cont5" w:customStyle="1">
    <w:name w:val="Kutak1 Cont 5"/>
    <w:basedOn w:val="Kutak1Cont4"/>
    <w:uiPriority w:val="99"/>
  </w:style>
  <w:style w:type="paragraph" w:styleId="Kutak1Cont6" w:customStyle="1">
    <w:name w:val="Kutak1 Cont 6"/>
    <w:basedOn w:val="Kutak1Cont5"/>
    <w:uiPriority w:val="99"/>
  </w:style>
  <w:style w:type="paragraph" w:styleId="Kutak1Cont7" w:customStyle="1">
    <w:name w:val="Kutak1 Cont 7"/>
    <w:basedOn w:val="Kutak1Cont6"/>
    <w:uiPriority w:val="99"/>
  </w:style>
  <w:style w:type="paragraph" w:styleId="Kutak1L1" w:customStyle="1">
    <w:name w:val="Kutak1_L1"/>
    <w:basedOn w:val="Normal"/>
    <w:next w:val="Normal"/>
    <w:pPr>
      <w:keepNext/>
      <w:keepLines/>
      <w:numPr>
        <w:numId w:val="15"/>
      </w:numPr>
      <w:spacing w:after="240"/>
      <w:jc w:val="center"/>
      <w:outlineLvl w:val="0"/>
    </w:pPr>
    <w:rPr>
      <w:b/>
      <w:caps/>
      <w:sz w:val="22"/>
      <w:szCs w:val="20"/>
    </w:rPr>
  </w:style>
  <w:style w:type="paragraph" w:styleId="Kutak1L2" w:customStyle="1">
    <w:name w:val="Kutak1_L2"/>
    <w:basedOn w:val="Kutak1L1"/>
    <w:next w:val="Normal"/>
    <w:link w:val="Kutak1L2Char"/>
    <w:pPr>
      <w:numPr>
        <w:ilvl w:val="1"/>
      </w:numPr>
    </w:pPr>
    <w:rPr>
      <w:lang w:val="x-none" w:eastAsia="x-none"/>
    </w:rPr>
  </w:style>
  <w:style w:type="paragraph" w:styleId="Kutak1L3" w:customStyle="1">
    <w:name w:val="Kutak1_L3"/>
    <w:basedOn w:val="Kutak1L2"/>
    <w:next w:val="Normal"/>
    <w:pPr>
      <w:numPr>
        <w:ilvl w:val="2"/>
      </w:numPr>
      <w:tabs>
        <w:tab w:val="clear" w:pos="720"/>
        <w:tab w:val="num" w:pos="0"/>
      </w:tabs>
      <w:ind w:firstLine="0"/>
    </w:pPr>
  </w:style>
  <w:style w:type="paragraph" w:styleId="Kutak1L4" w:customStyle="1">
    <w:name w:val="Kutak1_L4"/>
    <w:basedOn w:val="Kutak1L3"/>
    <w:next w:val="Normal"/>
    <w:pPr>
      <w:keepNext w:val="0"/>
      <w:keepLines w:val="0"/>
      <w:numPr>
        <w:ilvl w:val="3"/>
      </w:numPr>
      <w:tabs>
        <w:tab w:val="clear" w:pos="2160"/>
      </w:tabs>
      <w:ind w:left="0" w:firstLine="0"/>
      <w:jc w:val="both"/>
      <w:outlineLvl w:val="3"/>
    </w:pPr>
    <w:rPr>
      <w:b w:val="0"/>
      <w:caps w:val="0"/>
    </w:rPr>
  </w:style>
  <w:style w:type="paragraph" w:styleId="Kutak1L5" w:customStyle="1">
    <w:name w:val="Kutak1_L5"/>
    <w:basedOn w:val="Kutak1L4"/>
    <w:next w:val="Normal"/>
    <w:pPr>
      <w:numPr>
        <w:ilvl w:val="4"/>
      </w:numPr>
      <w:tabs>
        <w:tab w:val="clear" w:pos="2880"/>
      </w:tabs>
      <w:ind w:left="0" w:firstLine="0"/>
    </w:pPr>
  </w:style>
  <w:style w:type="paragraph" w:styleId="Kutak1L6" w:customStyle="1">
    <w:name w:val="Kutak1_L6"/>
    <w:basedOn w:val="Kutak1L5"/>
    <w:next w:val="Normal"/>
    <w:pPr>
      <w:numPr>
        <w:ilvl w:val="5"/>
      </w:numPr>
      <w:tabs>
        <w:tab w:val="clear" w:pos="3600"/>
      </w:tabs>
      <w:ind w:left="0" w:firstLine="0"/>
    </w:pPr>
  </w:style>
  <w:style w:type="paragraph" w:styleId="Kutak1L7" w:customStyle="1">
    <w:name w:val="Kutak1_L7"/>
    <w:basedOn w:val="Kutak1L6"/>
    <w:next w:val="Normal"/>
    <w:pPr>
      <w:numPr>
        <w:ilvl w:val="6"/>
      </w:numPr>
      <w:tabs>
        <w:tab w:val="clear" w:pos="4320"/>
      </w:tabs>
      <w:ind w:left="0" w:firstLine="0"/>
    </w:pPr>
  </w:style>
  <w:style w:type="character" w:styleId="Hyperlink">
    <w:name w:val="Hyperlink"/>
    <w:uiPriority w:val="99"/>
    <w:rPr>
      <w:color w:val="0000FF"/>
      <w:u w:val="single"/>
    </w:rPr>
  </w:style>
  <w:style w:type="paragraph" w:styleId="BodyText20">
    <w:name w:val="Body Text 2"/>
    <w:basedOn w:val="Normal"/>
    <w:link w:val="BodyText2Char"/>
    <w:uiPriority w:val="99"/>
    <w:pPr>
      <w:spacing w:after="120" w:line="480" w:lineRule="auto"/>
      <w:jc w:val="both"/>
    </w:pPr>
    <w:rPr>
      <w:sz w:val="22"/>
      <w:szCs w:val="20"/>
    </w:rPr>
  </w:style>
  <w:style w:type="character" w:styleId="BodyText2Char" w:customStyle="1">
    <w:name w:val="Body Text 2 Char"/>
    <w:link w:val="BodyText20"/>
    <w:uiPriority w:val="99"/>
    <w:locked/>
    <w:rPr>
      <w:rFonts w:ascii="Times New Roman" w:hAnsi="Times New Roman" w:cs="Times New Roman"/>
      <w:sz w:val="22"/>
    </w:rPr>
  </w:style>
  <w:style w:type="paragraph" w:styleId="BodyTextItalic" w:customStyle="1">
    <w:name w:val="Body Text Italic"/>
    <w:basedOn w:val="Normal"/>
    <w:next w:val="Normal"/>
    <w:uiPriority w:val="99"/>
    <w:pPr>
      <w:spacing w:after="240"/>
      <w:ind w:firstLine="720"/>
      <w:jc w:val="both"/>
    </w:pPr>
    <w:rPr>
      <w:i/>
      <w:sz w:val="22"/>
      <w:szCs w:val="20"/>
    </w:rPr>
  </w:style>
  <w:style w:type="paragraph" w:styleId="Caption">
    <w:name w:val="caption"/>
    <w:basedOn w:val="Normal"/>
    <w:next w:val="Normal"/>
    <w:uiPriority w:val="99"/>
    <w:pPr>
      <w:spacing w:before="120" w:after="120"/>
      <w:jc w:val="both"/>
    </w:pPr>
    <w:rPr>
      <w:b/>
      <w:bCs/>
      <w:sz w:val="20"/>
      <w:szCs w:val="20"/>
    </w:rPr>
  </w:style>
  <w:style w:type="paragraph" w:styleId="Closing">
    <w:name w:val="Closing"/>
    <w:basedOn w:val="Normal"/>
    <w:link w:val="ClosingChar"/>
    <w:uiPriority w:val="99"/>
    <w:pPr>
      <w:ind w:left="4320"/>
      <w:jc w:val="both"/>
    </w:pPr>
    <w:rPr>
      <w:sz w:val="22"/>
      <w:szCs w:val="20"/>
    </w:rPr>
  </w:style>
  <w:style w:type="character" w:styleId="ClosingChar" w:customStyle="1">
    <w:name w:val="Closing Char"/>
    <w:link w:val="Closing"/>
    <w:uiPriority w:val="99"/>
    <w:locked/>
    <w:rPr>
      <w:rFonts w:ascii="Times New Roman" w:hAnsi="Times New Roman" w:cs="Times New Roman"/>
      <w:sz w:val="22"/>
    </w:rPr>
  </w:style>
  <w:style w:type="paragraph" w:styleId="CommentSubject">
    <w:name w:val="annotation subject"/>
    <w:basedOn w:val="CommentText"/>
    <w:next w:val="CommentText"/>
    <w:link w:val="CommentSubjectChar"/>
    <w:uiPriority w:val="99"/>
    <w:pPr>
      <w:spacing w:line="240" w:lineRule="auto"/>
      <w:jc w:val="both"/>
    </w:pPr>
    <w:rPr>
      <w:rFonts w:ascii="Times New Roman" w:hAnsi="Times New Roman"/>
      <w:b/>
      <w:bCs/>
      <w:sz w:val="20"/>
    </w:rPr>
  </w:style>
  <w:style w:type="character" w:styleId="CommentSubjectChar" w:customStyle="1">
    <w:name w:val="Comment Subject Char"/>
    <w:link w:val="CommentSubject"/>
    <w:uiPriority w:val="99"/>
    <w:locked/>
    <w:rPr>
      <w:rFonts w:ascii="Times New Roman" w:hAnsi="Times New Roman" w:cs="Times New Roman"/>
      <w:b/>
      <w:bCs/>
      <w:sz w:val="24"/>
    </w:rPr>
  </w:style>
  <w:style w:type="paragraph" w:styleId="E-mailSignature">
    <w:name w:val="E-mail Signature"/>
    <w:basedOn w:val="Normal"/>
    <w:link w:val="E-mailSignatureChar"/>
    <w:uiPriority w:val="99"/>
    <w:pPr>
      <w:jc w:val="both"/>
    </w:pPr>
    <w:rPr>
      <w:sz w:val="22"/>
      <w:szCs w:val="20"/>
    </w:rPr>
  </w:style>
  <w:style w:type="character" w:styleId="E-mailSignatureChar" w:customStyle="1">
    <w:name w:val="E-mail Signature Char"/>
    <w:link w:val="E-mailSignature"/>
    <w:uiPriority w:val="99"/>
    <w:locked/>
    <w:rPr>
      <w:rFonts w:ascii="Times New Roman" w:hAnsi="Times New Roman" w:cs="Times New Roman"/>
      <w:sz w:val="22"/>
    </w:rPr>
  </w:style>
  <w:style w:type="paragraph" w:styleId="EndnoteText">
    <w:name w:val="endnote text"/>
    <w:basedOn w:val="Normal"/>
    <w:link w:val="EndnoteTextChar"/>
    <w:uiPriority w:val="99"/>
    <w:pPr>
      <w:jc w:val="both"/>
    </w:pPr>
    <w:rPr>
      <w:sz w:val="20"/>
      <w:szCs w:val="20"/>
    </w:rPr>
  </w:style>
  <w:style w:type="character" w:styleId="EndnoteTextChar" w:customStyle="1">
    <w:name w:val="Endnote Text Char"/>
    <w:link w:val="EndnoteText"/>
    <w:uiPriority w:val="99"/>
    <w:locked/>
    <w:rPr>
      <w:rFonts w:ascii="Times New Roman" w:hAnsi="Times New Roman" w:cs="Times New Roman"/>
    </w:rPr>
  </w:style>
  <w:style w:type="paragraph" w:styleId="HTMLAddress">
    <w:name w:val="HTML Address"/>
    <w:basedOn w:val="Normal"/>
    <w:link w:val="HTMLAddressChar"/>
    <w:uiPriority w:val="99"/>
    <w:pPr>
      <w:jc w:val="both"/>
    </w:pPr>
    <w:rPr>
      <w:i/>
      <w:iCs/>
      <w:sz w:val="22"/>
      <w:szCs w:val="20"/>
    </w:rPr>
  </w:style>
  <w:style w:type="character" w:styleId="HTMLAddressChar" w:customStyle="1">
    <w:name w:val="HTML Address Char"/>
    <w:link w:val="HTMLAddress"/>
    <w:uiPriority w:val="99"/>
    <w:locked/>
    <w:rPr>
      <w:rFonts w:ascii="Times New Roman" w:hAnsi="Times New Roman" w:cs="Times New Roman"/>
      <w:i/>
      <w:iCs/>
      <w:sz w:val="22"/>
    </w:rPr>
  </w:style>
  <w:style w:type="paragraph" w:styleId="HTMLPreformatted">
    <w:name w:val="HTML Preformatted"/>
    <w:basedOn w:val="Normal"/>
    <w:link w:val="HTMLPreformattedChar"/>
    <w:uiPriority w:val="99"/>
    <w:pPr>
      <w:jc w:val="both"/>
    </w:pPr>
    <w:rPr>
      <w:rFonts w:ascii="Courier New" w:hAnsi="Courier New" w:cs="Courier New"/>
      <w:sz w:val="20"/>
      <w:szCs w:val="20"/>
    </w:rPr>
  </w:style>
  <w:style w:type="character" w:styleId="HTMLPreformattedChar" w:customStyle="1">
    <w:name w:val="HTML Preformatted Char"/>
    <w:link w:val="HTMLPreformatted"/>
    <w:uiPriority w:val="99"/>
    <w:locked/>
    <w:rPr>
      <w:rFonts w:ascii="Courier New" w:hAnsi="Courier New" w:cs="Courier New"/>
    </w:rPr>
  </w:style>
  <w:style w:type="paragraph" w:styleId="Index2">
    <w:name w:val="index 2"/>
    <w:basedOn w:val="Normal"/>
    <w:next w:val="Normal"/>
    <w:autoRedefine/>
    <w:uiPriority w:val="99"/>
    <w:pPr>
      <w:ind w:left="440" w:hanging="220"/>
      <w:jc w:val="both"/>
    </w:pPr>
    <w:rPr>
      <w:sz w:val="22"/>
      <w:szCs w:val="20"/>
    </w:rPr>
  </w:style>
  <w:style w:type="paragraph" w:styleId="Index3">
    <w:name w:val="index 3"/>
    <w:basedOn w:val="Normal"/>
    <w:next w:val="Normal"/>
    <w:autoRedefine/>
    <w:uiPriority w:val="99"/>
    <w:pPr>
      <w:ind w:left="660" w:hanging="220"/>
      <w:jc w:val="both"/>
    </w:pPr>
    <w:rPr>
      <w:sz w:val="22"/>
      <w:szCs w:val="20"/>
    </w:rPr>
  </w:style>
  <w:style w:type="paragraph" w:styleId="Index4">
    <w:name w:val="index 4"/>
    <w:basedOn w:val="Normal"/>
    <w:next w:val="Normal"/>
    <w:autoRedefine/>
    <w:uiPriority w:val="99"/>
    <w:pPr>
      <w:ind w:left="880" w:hanging="220"/>
      <w:jc w:val="both"/>
    </w:pPr>
    <w:rPr>
      <w:sz w:val="22"/>
      <w:szCs w:val="20"/>
    </w:rPr>
  </w:style>
  <w:style w:type="paragraph" w:styleId="Index5">
    <w:name w:val="index 5"/>
    <w:basedOn w:val="Normal"/>
    <w:next w:val="Normal"/>
    <w:autoRedefine/>
    <w:uiPriority w:val="99"/>
    <w:pPr>
      <w:ind w:left="1100" w:hanging="220"/>
      <w:jc w:val="both"/>
    </w:pPr>
    <w:rPr>
      <w:sz w:val="22"/>
      <w:szCs w:val="20"/>
    </w:rPr>
  </w:style>
  <w:style w:type="paragraph" w:styleId="Index6">
    <w:name w:val="index 6"/>
    <w:basedOn w:val="Normal"/>
    <w:next w:val="Normal"/>
    <w:autoRedefine/>
    <w:uiPriority w:val="99"/>
    <w:pPr>
      <w:ind w:left="1320" w:hanging="220"/>
      <w:jc w:val="both"/>
    </w:pPr>
    <w:rPr>
      <w:sz w:val="22"/>
      <w:szCs w:val="20"/>
    </w:rPr>
  </w:style>
  <w:style w:type="paragraph" w:styleId="Index7">
    <w:name w:val="index 7"/>
    <w:basedOn w:val="Normal"/>
    <w:next w:val="Normal"/>
    <w:autoRedefine/>
    <w:uiPriority w:val="99"/>
    <w:pPr>
      <w:ind w:left="1540" w:hanging="220"/>
      <w:jc w:val="both"/>
    </w:pPr>
    <w:rPr>
      <w:sz w:val="22"/>
      <w:szCs w:val="20"/>
    </w:rPr>
  </w:style>
  <w:style w:type="paragraph" w:styleId="Index8">
    <w:name w:val="index 8"/>
    <w:basedOn w:val="Normal"/>
    <w:next w:val="Normal"/>
    <w:autoRedefine/>
    <w:uiPriority w:val="99"/>
    <w:pPr>
      <w:ind w:left="1760" w:hanging="220"/>
      <w:jc w:val="both"/>
    </w:pPr>
    <w:rPr>
      <w:sz w:val="22"/>
      <w:szCs w:val="20"/>
    </w:rPr>
  </w:style>
  <w:style w:type="paragraph" w:styleId="Index9">
    <w:name w:val="index 9"/>
    <w:basedOn w:val="Normal"/>
    <w:next w:val="Normal"/>
    <w:autoRedefine/>
    <w:uiPriority w:val="99"/>
    <w:pPr>
      <w:ind w:left="1980" w:hanging="220"/>
      <w:jc w:val="both"/>
    </w:pPr>
    <w:rPr>
      <w:sz w:val="22"/>
      <w:szCs w:val="20"/>
    </w:rPr>
  </w:style>
  <w:style w:type="paragraph" w:styleId="List">
    <w:name w:val="List"/>
    <w:basedOn w:val="Normal"/>
    <w:uiPriority w:val="99"/>
    <w:pPr>
      <w:ind w:left="360" w:hanging="360"/>
      <w:jc w:val="both"/>
    </w:pPr>
    <w:rPr>
      <w:sz w:val="22"/>
      <w:szCs w:val="20"/>
    </w:rPr>
  </w:style>
  <w:style w:type="paragraph" w:styleId="List2">
    <w:name w:val="List 2"/>
    <w:basedOn w:val="Normal"/>
    <w:uiPriority w:val="99"/>
    <w:pPr>
      <w:ind w:left="720" w:hanging="360"/>
      <w:jc w:val="both"/>
    </w:pPr>
    <w:rPr>
      <w:sz w:val="22"/>
      <w:szCs w:val="20"/>
    </w:rPr>
  </w:style>
  <w:style w:type="paragraph" w:styleId="List3">
    <w:name w:val="List 3"/>
    <w:basedOn w:val="Normal"/>
    <w:uiPriority w:val="99"/>
    <w:pPr>
      <w:ind w:left="1080" w:hanging="360"/>
      <w:jc w:val="both"/>
    </w:pPr>
    <w:rPr>
      <w:sz w:val="22"/>
      <w:szCs w:val="20"/>
    </w:rPr>
  </w:style>
  <w:style w:type="paragraph" w:styleId="List4">
    <w:name w:val="List 4"/>
    <w:basedOn w:val="Normal"/>
    <w:uiPriority w:val="99"/>
    <w:pPr>
      <w:ind w:left="1440" w:hanging="360"/>
      <w:jc w:val="both"/>
    </w:pPr>
    <w:rPr>
      <w:sz w:val="22"/>
      <w:szCs w:val="20"/>
    </w:rPr>
  </w:style>
  <w:style w:type="paragraph" w:styleId="List5">
    <w:name w:val="List 5"/>
    <w:basedOn w:val="Normal"/>
    <w:uiPriority w:val="99"/>
    <w:pPr>
      <w:ind w:left="1800" w:hanging="360"/>
      <w:jc w:val="both"/>
    </w:pPr>
    <w:rPr>
      <w:sz w:val="22"/>
      <w:szCs w:val="20"/>
    </w:rPr>
  </w:style>
  <w:style w:type="paragraph" w:styleId="ListBullet2">
    <w:name w:val="List Bullet 2"/>
    <w:basedOn w:val="Normal"/>
    <w:autoRedefine/>
    <w:uiPriority w:val="99"/>
    <w:pPr>
      <w:tabs>
        <w:tab w:val="num" w:pos="720"/>
      </w:tabs>
      <w:ind w:left="720" w:hanging="360"/>
      <w:jc w:val="both"/>
    </w:pPr>
    <w:rPr>
      <w:sz w:val="22"/>
      <w:szCs w:val="20"/>
    </w:rPr>
  </w:style>
  <w:style w:type="paragraph" w:styleId="ListBullet3">
    <w:name w:val="List Bullet 3"/>
    <w:basedOn w:val="Normal"/>
    <w:autoRedefine/>
    <w:uiPriority w:val="99"/>
    <w:pPr>
      <w:tabs>
        <w:tab w:val="num" w:pos="1080"/>
      </w:tabs>
      <w:ind w:left="1080" w:hanging="360"/>
      <w:jc w:val="both"/>
    </w:pPr>
    <w:rPr>
      <w:sz w:val="22"/>
      <w:szCs w:val="20"/>
    </w:rPr>
  </w:style>
  <w:style w:type="paragraph" w:styleId="ListBullet4">
    <w:name w:val="List Bullet 4"/>
    <w:basedOn w:val="Normal"/>
    <w:autoRedefine/>
    <w:uiPriority w:val="99"/>
    <w:pPr>
      <w:tabs>
        <w:tab w:val="num" w:pos="1440"/>
      </w:tabs>
      <w:ind w:left="1440" w:hanging="360"/>
      <w:jc w:val="both"/>
    </w:pPr>
    <w:rPr>
      <w:sz w:val="22"/>
      <w:szCs w:val="20"/>
    </w:rPr>
  </w:style>
  <w:style w:type="paragraph" w:styleId="ListBullet5">
    <w:name w:val="List Bullet 5"/>
    <w:basedOn w:val="Normal"/>
    <w:autoRedefine/>
    <w:uiPriority w:val="99"/>
    <w:pPr>
      <w:tabs>
        <w:tab w:val="num" w:pos="1800"/>
      </w:tabs>
      <w:ind w:left="1800" w:hanging="360"/>
      <w:jc w:val="both"/>
    </w:pPr>
    <w:rPr>
      <w:sz w:val="22"/>
      <w:szCs w:val="20"/>
    </w:rPr>
  </w:style>
  <w:style w:type="paragraph" w:styleId="ListContinue">
    <w:name w:val="List Continue"/>
    <w:basedOn w:val="Normal"/>
    <w:uiPriority w:val="99"/>
    <w:pPr>
      <w:spacing w:after="120"/>
      <w:ind w:left="360"/>
      <w:jc w:val="both"/>
    </w:pPr>
    <w:rPr>
      <w:sz w:val="22"/>
      <w:szCs w:val="20"/>
    </w:rPr>
  </w:style>
  <w:style w:type="paragraph" w:styleId="ListContinue2">
    <w:name w:val="List Continue 2"/>
    <w:basedOn w:val="Normal"/>
    <w:uiPriority w:val="99"/>
    <w:pPr>
      <w:spacing w:after="120"/>
      <w:ind w:left="720"/>
      <w:jc w:val="both"/>
    </w:pPr>
    <w:rPr>
      <w:sz w:val="22"/>
      <w:szCs w:val="20"/>
    </w:rPr>
  </w:style>
  <w:style w:type="paragraph" w:styleId="ListContinue3">
    <w:name w:val="List Continue 3"/>
    <w:basedOn w:val="Normal"/>
    <w:uiPriority w:val="99"/>
    <w:pPr>
      <w:spacing w:after="120"/>
      <w:ind w:left="1080"/>
      <w:jc w:val="both"/>
    </w:pPr>
    <w:rPr>
      <w:sz w:val="22"/>
      <w:szCs w:val="20"/>
    </w:rPr>
  </w:style>
  <w:style w:type="paragraph" w:styleId="ListContinue4">
    <w:name w:val="List Continue 4"/>
    <w:basedOn w:val="Normal"/>
    <w:uiPriority w:val="99"/>
    <w:pPr>
      <w:spacing w:after="120"/>
      <w:ind w:left="1440"/>
      <w:jc w:val="both"/>
    </w:pPr>
    <w:rPr>
      <w:sz w:val="22"/>
      <w:szCs w:val="20"/>
    </w:rPr>
  </w:style>
  <w:style w:type="paragraph" w:styleId="ListContinue5">
    <w:name w:val="List Continue 5"/>
    <w:basedOn w:val="Normal"/>
    <w:uiPriority w:val="99"/>
    <w:pPr>
      <w:spacing w:after="120"/>
      <w:ind w:left="1800"/>
      <w:jc w:val="both"/>
    </w:pPr>
    <w:rPr>
      <w:sz w:val="22"/>
      <w:szCs w:val="20"/>
    </w:rPr>
  </w:style>
  <w:style w:type="paragraph" w:styleId="ListNumber">
    <w:name w:val="List Number"/>
    <w:basedOn w:val="Normal"/>
    <w:uiPriority w:val="99"/>
    <w:pPr>
      <w:tabs>
        <w:tab w:val="num" w:pos="360"/>
      </w:tabs>
      <w:ind w:left="360" w:hanging="360"/>
      <w:jc w:val="both"/>
    </w:pPr>
    <w:rPr>
      <w:sz w:val="22"/>
      <w:szCs w:val="20"/>
    </w:rPr>
  </w:style>
  <w:style w:type="paragraph" w:styleId="ListNumber2">
    <w:name w:val="List Number 2"/>
    <w:basedOn w:val="Normal"/>
    <w:uiPriority w:val="99"/>
    <w:pPr>
      <w:tabs>
        <w:tab w:val="num" w:pos="720"/>
      </w:tabs>
      <w:ind w:left="720" w:hanging="360"/>
      <w:jc w:val="both"/>
    </w:pPr>
    <w:rPr>
      <w:sz w:val="22"/>
      <w:szCs w:val="20"/>
    </w:rPr>
  </w:style>
  <w:style w:type="paragraph" w:styleId="ListNumber3">
    <w:name w:val="List Number 3"/>
    <w:basedOn w:val="Normal"/>
    <w:uiPriority w:val="99"/>
    <w:pPr>
      <w:tabs>
        <w:tab w:val="num" w:pos="1080"/>
      </w:tabs>
      <w:ind w:left="1080" w:hanging="360"/>
      <w:jc w:val="both"/>
    </w:pPr>
    <w:rPr>
      <w:sz w:val="22"/>
      <w:szCs w:val="20"/>
    </w:rPr>
  </w:style>
  <w:style w:type="paragraph" w:styleId="ListNumber4">
    <w:name w:val="List Number 4"/>
    <w:basedOn w:val="Normal"/>
    <w:uiPriority w:val="99"/>
    <w:pPr>
      <w:tabs>
        <w:tab w:val="num" w:pos="1440"/>
      </w:tabs>
      <w:ind w:left="1440" w:hanging="360"/>
      <w:jc w:val="both"/>
    </w:pPr>
    <w:rPr>
      <w:sz w:val="22"/>
      <w:szCs w:val="20"/>
    </w:rPr>
  </w:style>
  <w:style w:type="paragraph" w:styleId="ListNumber5">
    <w:name w:val="List Number 5"/>
    <w:basedOn w:val="Normal"/>
    <w:uiPriority w:val="99"/>
    <w:pPr>
      <w:tabs>
        <w:tab w:val="num" w:pos="1800"/>
      </w:tabs>
      <w:ind w:left="1800" w:hanging="360"/>
      <w:jc w:val="both"/>
    </w:pPr>
    <w:rPr>
      <w:sz w:val="22"/>
      <w:szCs w:val="20"/>
    </w:rPr>
  </w:style>
  <w:style w:type="paragraph" w:styleId="MessageHeader">
    <w:name w:val="Message Header"/>
    <w:basedOn w:val="Normal"/>
    <w:link w:val="MessageHeaderChar"/>
    <w:uiPriority w:val="99"/>
    <w:pPr>
      <w:pBdr>
        <w:top w:val="single" w:color="auto" w:sz="6" w:space="1"/>
        <w:left w:val="single" w:color="auto" w:sz="6" w:space="1"/>
        <w:bottom w:val="single" w:color="auto" w:sz="6" w:space="1"/>
        <w:right w:val="single" w:color="auto" w:sz="6" w:space="1"/>
      </w:pBdr>
      <w:shd w:val="pct20" w:color="auto" w:fill="auto"/>
      <w:ind w:left="1080" w:hanging="1080"/>
      <w:jc w:val="both"/>
    </w:pPr>
    <w:rPr>
      <w:rFonts w:ascii="Arial" w:hAnsi="Arial" w:cs="Arial"/>
    </w:rPr>
  </w:style>
  <w:style w:type="character" w:styleId="MessageHeaderChar" w:customStyle="1">
    <w:name w:val="Message Header Char"/>
    <w:link w:val="MessageHeader"/>
    <w:uiPriority w:val="99"/>
    <w:locked/>
    <w:rPr>
      <w:rFonts w:ascii="Arial" w:hAnsi="Arial" w:cs="Arial"/>
      <w:sz w:val="24"/>
      <w:shd w:val="pct20" w:color="auto" w:fill="auto"/>
    </w:rPr>
  </w:style>
  <w:style w:type="paragraph" w:styleId="NoteHeading">
    <w:name w:val="Note Heading"/>
    <w:basedOn w:val="Normal"/>
    <w:next w:val="Normal"/>
    <w:link w:val="NoteHeadingChar"/>
    <w:uiPriority w:val="99"/>
    <w:pPr>
      <w:jc w:val="both"/>
    </w:pPr>
    <w:rPr>
      <w:sz w:val="22"/>
      <w:szCs w:val="20"/>
    </w:rPr>
  </w:style>
  <w:style w:type="character" w:styleId="NoteHeadingChar" w:customStyle="1">
    <w:name w:val="Note Heading Char"/>
    <w:link w:val="NoteHeading"/>
    <w:uiPriority w:val="99"/>
    <w:locked/>
    <w:rPr>
      <w:rFonts w:ascii="Times New Roman" w:hAnsi="Times New Roman" w:cs="Times New Roman"/>
      <w:sz w:val="22"/>
    </w:rPr>
  </w:style>
  <w:style w:type="paragraph" w:styleId="Salutation">
    <w:name w:val="Salutation"/>
    <w:basedOn w:val="Normal"/>
    <w:next w:val="Normal"/>
    <w:link w:val="SalutationChar"/>
    <w:uiPriority w:val="99"/>
    <w:pPr>
      <w:jc w:val="both"/>
    </w:pPr>
    <w:rPr>
      <w:sz w:val="22"/>
      <w:szCs w:val="20"/>
    </w:rPr>
  </w:style>
  <w:style w:type="character" w:styleId="SalutationChar" w:customStyle="1">
    <w:name w:val="Salutation Char"/>
    <w:link w:val="Salutation"/>
    <w:uiPriority w:val="99"/>
    <w:locked/>
    <w:rPr>
      <w:rFonts w:ascii="Times New Roman" w:hAnsi="Times New Roman" w:cs="Times New Roman"/>
      <w:sz w:val="22"/>
    </w:rPr>
  </w:style>
  <w:style w:type="paragraph" w:styleId="TableofFigures">
    <w:name w:val="table of figures"/>
    <w:basedOn w:val="Normal"/>
    <w:next w:val="Normal"/>
    <w:uiPriority w:val="99"/>
    <w:pPr>
      <w:ind w:left="440" w:hanging="440"/>
      <w:jc w:val="both"/>
    </w:pPr>
    <w:rPr>
      <w:sz w:val="22"/>
      <w:szCs w:val="20"/>
    </w:rPr>
  </w:style>
  <w:style w:type="paragraph" w:styleId="TOCHeader" w:customStyle="1">
    <w:name w:val="TOC Header"/>
    <w:basedOn w:val="Normal"/>
    <w:uiPriority w:val="99"/>
    <w:pPr>
      <w:ind w:left="115" w:right="115"/>
      <w:jc w:val="center"/>
    </w:pPr>
    <w:rPr>
      <w:sz w:val="22"/>
      <w:szCs w:val="20"/>
    </w:rPr>
  </w:style>
  <w:style w:type="paragraph" w:styleId="DraftStampText" w:customStyle="1">
    <w:name w:val="Draft Stamp Text"/>
    <w:basedOn w:val="Normal"/>
    <w:uiPriority w:val="99"/>
    <w:pPr>
      <w:jc w:val="right"/>
    </w:pPr>
    <w:rPr>
      <w:rFonts w:cs="Arial"/>
      <w:bCs/>
      <w:caps/>
    </w:rPr>
  </w:style>
  <w:style w:type="character" w:styleId="EmphasisBI" w:customStyle="1">
    <w:name w:val="Emphasis BI"/>
    <w:uiPriority w:val="99"/>
    <w:rPr>
      <w:b/>
      <w:i/>
    </w:rPr>
  </w:style>
  <w:style w:type="paragraph" w:styleId="TOCBodyText9" w:customStyle="1">
    <w:name w:val="TOC Body Text 9"/>
    <w:basedOn w:val="Normal"/>
    <w:next w:val="Normal"/>
    <w:uiPriority w:val="99"/>
    <w:pPr>
      <w:spacing w:after="120"/>
      <w:ind w:firstLine="720"/>
      <w:jc w:val="both"/>
    </w:pPr>
    <w:rPr>
      <w:sz w:val="18"/>
      <w:szCs w:val="16"/>
    </w:rPr>
  </w:style>
  <w:style w:type="paragraph" w:styleId="TOCBodyTextAllCaps9" w:customStyle="1">
    <w:name w:val="TOC Body Text All Caps 9"/>
    <w:basedOn w:val="Normal"/>
    <w:next w:val="Normal"/>
    <w:uiPriority w:val="99"/>
    <w:pPr>
      <w:spacing w:after="120"/>
      <w:ind w:firstLine="720"/>
      <w:jc w:val="both"/>
    </w:pPr>
    <w:rPr>
      <w:caps/>
      <w:sz w:val="18"/>
      <w:szCs w:val="16"/>
    </w:rPr>
  </w:style>
  <w:style w:type="paragraph" w:styleId="StyleTOC1After6pt" w:customStyle="1">
    <w:name w:val="Style TOC 1 + After:  6 pt"/>
    <w:basedOn w:val="TOC1"/>
    <w:uiPriority w:val="99"/>
    <w:pPr>
      <w:keepLines/>
      <w:tabs>
        <w:tab w:val="clear" w:pos="540"/>
        <w:tab w:val="clear" w:pos="9360"/>
        <w:tab w:val="right" w:leader="dot" w:pos="4306"/>
      </w:tabs>
      <w:spacing w:before="0" w:after="0" w:line="240" w:lineRule="auto"/>
      <w:ind w:left="720" w:right="720" w:hanging="720"/>
    </w:pPr>
    <w:rPr>
      <w:rFonts w:ascii="Times New Roman" w:hAnsi="Times New Roman"/>
      <w:caps/>
      <w:smallCaps w:val="0"/>
      <w:sz w:val="18"/>
    </w:rPr>
  </w:style>
  <w:style w:type="paragraph" w:styleId="StyleTOC1After6pt1" w:customStyle="1">
    <w:name w:val="Style TOC 1 + After:  6 pt1"/>
    <w:basedOn w:val="TOC1"/>
    <w:uiPriority w:val="99"/>
    <w:pPr>
      <w:keepLines/>
      <w:tabs>
        <w:tab w:val="clear" w:pos="540"/>
        <w:tab w:val="clear" w:pos="9360"/>
        <w:tab w:val="right" w:leader="dot" w:pos="4306"/>
      </w:tabs>
      <w:spacing w:before="0" w:after="0" w:line="240" w:lineRule="auto"/>
      <w:ind w:left="720" w:right="720" w:hanging="720"/>
    </w:pPr>
    <w:rPr>
      <w:rFonts w:ascii="Times New Roman" w:hAnsi="Times New Roman"/>
      <w:caps/>
      <w:smallCaps w:val="0"/>
      <w:sz w:val="18"/>
    </w:rPr>
  </w:style>
  <w:style w:type="paragraph" w:styleId="CoverBT8" w:customStyle="1">
    <w:name w:val="Cover BT 8"/>
    <w:basedOn w:val="Normal"/>
    <w:next w:val="Normal"/>
    <w:pPr>
      <w:tabs>
        <w:tab w:val="right" w:pos="10348"/>
      </w:tabs>
      <w:spacing w:after="120"/>
      <w:ind w:firstLine="720"/>
      <w:jc w:val="both"/>
    </w:pPr>
    <w:rPr>
      <w:sz w:val="16"/>
      <w:szCs w:val="16"/>
    </w:rPr>
  </w:style>
  <w:style w:type="paragraph" w:styleId="CoverBTItalic8" w:customStyle="1">
    <w:name w:val="Cover BT Italic 8"/>
    <w:basedOn w:val="Normal"/>
    <w:next w:val="Normal"/>
    <w:uiPriority w:val="99"/>
    <w:pPr>
      <w:spacing w:after="120"/>
      <w:ind w:firstLine="720"/>
      <w:jc w:val="both"/>
    </w:pPr>
    <w:rPr>
      <w:i/>
      <w:sz w:val="16"/>
      <w:szCs w:val="20"/>
    </w:rPr>
  </w:style>
  <w:style w:type="paragraph" w:styleId="CoverBTB8" w:customStyle="1">
    <w:name w:val="Cover BTB 8"/>
    <w:basedOn w:val="Normal"/>
    <w:next w:val="Normal"/>
    <w:uiPriority w:val="99"/>
    <w:pPr>
      <w:spacing w:after="120"/>
      <w:ind w:firstLine="720"/>
      <w:jc w:val="both"/>
    </w:pPr>
    <w:rPr>
      <w:b/>
      <w:sz w:val="16"/>
      <w:szCs w:val="20"/>
    </w:rPr>
  </w:style>
  <w:style w:type="paragraph" w:styleId="CoverBTCBold0PT" w:customStyle="1">
    <w:name w:val="Cover BTC Bold 0 PT"/>
    <w:basedOn w:val="Normal"/>
    <w:next w:val="Normal"/>
    <w:uiPriority w:val="99"/>
    <w:pPr>
      <w:jc w:val="both"/>
    </w:pPr>
    <w:rPr>
      <w:b/>
      <w:sz w:val="16"/>
      <w:szCs w:val="20"/>
    </w:rPr>
  </w:style>
  <w:style w:type="paragraph" w:styleId="CoverBTCBold6PT" w:customStyle="1">
    <w:name w:val="Cover BTC Bold 6 PT"/>
    <w:basedOn w:val="Normal"/>
    <w:next w:val="Normal"/>
    <w:uiPriority w:val="99"/>
    <w:pPr>
      <w:spacing w:after="120"/>
      <w:jc w:val="both"/>
    </w:pPr>
    <w:rPr>
      <w:b/>
      <w:sz w:val="16"/>
      <w:szCs w:val="20"/>
    </w:rPr>
  </w:style>
  <w:style w:type="paragraph" w:styleId="CoverCBInitialCaps8" w:customStyle="1">
    <w:name w:val="Cover CB Initial Caps 8"/>
    <w:basedOn w:val="Normal"/>
    <w:next w:val="Normal"/>
    <w:uiPriority w:val="99"/>
    <w:pPr>
      <w:spacing w:after="120"/>
      <w:jc w:val="center"/>
    </w:pPr>
    <w:rPr>
      <w:b/>
      <w:sz w:val="16"/>
      <w:szCs w:val="20"/>
    </w:rPr>
  </w:style>
  <w:style w:type="paragraph" w:styleId="CoverCBAllCapsRed8" w:customStyle="1">
    <w:name w:val="Cover CB All Caps Red 8"/>
    <w:basedOn w:val="Normal"/>
    <w:next w:val="Normal"/>
    <w:uiPriority w:val="99"/>
    <w:pPr>
      <w:spacing w:after="120"/>
      <w:jc w:val="center"/>
    </w:pPr>
    <w:rPr>
      <w:rFonts w:ascii="Times New Roman Bold" w:hAnsi="Times New Roman Bold"/>
      <w:b/>
      <w:caps/>
      <w:color w:val="FF0000"/>
      <w:sz w:val="16"/>
      <w:szCs w:val="20"/>
    </w:rPr>
  </w:style>
  <w:style w:type="paragraph" w:styleId="CoverLogo" w:customStyle="1">
    <w:name w:val="Cover Logo"/>
    <w:basedOn w:val="Normal"/>
    <w:next w:val="Normal"/>
    <w:uiPriority w:val="99"/>
    <w:pPr>
      <w:spacing w:after="120"/>
      <w:jc w:val="center"/>
    </w:pPr>
    <w:rPr>
      <w:b/>
      <w:sz w:val="22"/>
      <w:szCs w:val="20"/>
    </w:rPr>
  </w:style>
  <w:style w:type="paragraph" w:styleId="BoldCenterInitialCaps12" w:customStyle="1">
    <w:name w:val="Bold Center Initial Caps 12"/>
    <w:basedOn w:val="Normal"/>
    <w:next w:val="Normal"/>
    <w:uiPriority w:val="99"/>
    <w:pPr>
      <w:spacing w:after="240"/>
      <w:jc w:val="center"/>
    </w:pPr>
    <w:rPr>
      <w:b/>
      <w:sz w:val="22"/>
      <w:szCs w:val="20"/>
    </w:rPr>
  </w:style>
  <w:style w:type="paragraph" w:styleId="Centered24PT" w:customStyle="1">
    <w:name w:val="Centered 24 PT"/>
    <w:basedOn w:val="Normal"/>
    <w:next w:val="Normal"/>
    <w:uiPriority w:val="99"/>
    <w:pPr>
      <w:spacing w:after="480"/>
      <w:jc w:val="center"/>
    </w:pPr>
    <w:rPr>
      <w:sz w:val="22"/>
      <w:szCs w:val="20"/>
    </w:rPr>
  </w:style>
  <w:style w:type="paragraph" w:styleId="BodyTextBold" w:customStyle="1">
    <w:name w:val="Body Text Bold"/>
    <w:basedOn w:val="Normal"/>
    <w:next w:val="Normal"/>
    <w:uiPriority w:val="99"/>
    <w:pPr>
      <w:spacing w:after="240"/>
      <w:ind w:firstLine="720"/>
      <w:jc w:val="both"/>
    </w:pPr>
    <w:rPr>
      <w:b/>
      <w:sz w:val="22"/>
      <w:szCs w:val="20"/>
    </w:rPr>
  </w:style>
  <w:style w:type="character" w:styleId="Kutak1L2Char" w:customStyle="1">
    <w:name w:val="Kutak1_L2 Char"/>
    <w:link w:val="Kutak1L2"/>
    <w:locked/>
    <w:rPr>
      <w:rFonts w:ascii="Times New Roman" w:hAnsi="Times New Roman" w:cs="Times New Roman"/>
      <w:b/>
      <w:caps/>
      <w:sz w:val="22"/>
      <w:lang w:val="x-none"/>
    </w:rPr>
  </w:style>
  <w:style w:type="paragraph" w:styleId="BodyText3">
    <w:name w:val="Body Text 3"/>
    <w:basedOn w:val="Normal"/>
    <w:link w:val="BodyText3Char"/>
    <w:uiPriority w:val="99"/>
    <w:pPr>
      <w:spacing w:after="120"/>
    </w:pPr>
    <w:rPr>
      <w:sz w:val="16"/>
      <w:szCs w:val="16"/>
    </w:rPr>
  </w:style>
  <w:style w:type="character" w:styleId="BodyText3Char" w:customStyle="1">
    <w:name w:val="Body Text 3 Char"/>
    <w:link w:val="BodyText3"/>
    <w:uiPriority w:val="99"/>
    <w:locked/>
    <w:rPr>
      <w:rFonts w:ascii="Times New Roman" w:hAnsi="Times New Roman" w:cs="Times New Roman"/>
      <w:sz w:val="16"/>
    </w:rPr>
  </w:style>
  <w:style w:type="paragraph" w:styleId="BodyText10" w:customStyle="1">
    <w:name w:val="* Body Text 1"/>
    <w:basedOn w:val="Normal"/>
    <w:uiPriority w:val="99"/>
    <w:pPr>
      <w:spacing w:after="240"/>
      <w:ind w:firstLine="1440"/>
    </w:pPr>
  </w:style>
  <w:style w:type="paragraph" w:styleId="BodyText50" w:customStyle="1">
    <w:name w:val="* Body Text .5"/>
    <w:basedOn w:val="Normal"/>
    <w:link w:val="BodyText5Char"/>
    <w:pPr>
      <w:spacing w:after="240"/>
      <w:ind w:firstLine="720"/>
      <w:jc w:val="both"/>
    </w:pPr>
  </w:style>
  <w:style w:type="paragraph" w:styleId="DefaultParagraphFontParaChar" w:customStyle="1">
    <w:name w:val="Default Paragraph Font Para Char"/>
    <w:basedOn w:val="Normal"/>
    <w:uiPriority w:val="99"/>
    <w:pPr>
      <w:spacing w:after="160" w:line="240" w:lineRule="exact"/>
      <w:jc w:val="both"/>
    </w:pPr>
    <w:rPr>
      <w:rFonts w:ascii="Verdana" w:hAnsi="Verdana"/>
      <w:sz w:val="20"/>
      <w:szCs w:val="20"/>
    </w:rPr>
  </w:style>
  <w:style w:type="character" w:styleId="BodyTextChar1" w:customStyle="1">
    <w:name w:val="Body Text Char1"/>
    <w:aliases w:val="Char Char,Body Text Char Char"/>
    <w:uiPriority w:val="99"/>
    <w:rPr>
      <w:sz w:val="22"/>
      <w:lang w:val="en-US" w:eastAsia="en-US"/>
    </w:rPr>
  </w:style>
  <w:style w:type="paragraph" w:styleId="BodyTextDS" w:customStyle="1">
    <w:name w:val="Body Text DS"/>
    <w:basedOn w:val="BodyText"/>
    <w:uiPriority w:val="99"/>
    <w:pPr>
      <w:spacing w:after="0" w:line="480" w:lineRule="auto"/>
      <w:ind w:firstLine="720"/>
      <w:jc w:val="both"/>
    </w:pPr>
    <w:rPr>
      <w:rFonts w:ascii="Times New Roman" w:hAnsi="Times New Roman"/>
      <w:sz w:val="22"/>
    </w:rPr>
  </w:style>
  <w:style w:type="paragraph" w:styleId="BodyTextDS5" w:customStyle="1">
    <w:name w:val="Body Text DS .5&quot;"/>
    <w:basedOn w:val="Normal"/>
    <w:uiPriority w:val="99"/>
    <w:pPr>
      <w:spacing w:line="480" w:lineRule="auto"/>
      <w:ind w:left="720" w:firstLine="720"/>
      <w:jc w:val="both"/>
    </w:pPr>
    <w:rPr>
      <w:sz w:val="22"/>
      <w:szCs w:val="20"/>
    </w:rPr>
  </w:style>
  <w:style w:type="paragraph" w:styleId="BodyTextDS5Continued" w:customStyle="1">
    <w:name w:val="Body Text DS .5&quot; Continued"/>
    <w:basedOn w:val="Normal"/>
    <w:uiPriority w:val="99"/>
    <w:pPr>
      <w:spacing w:line="480" w:lineRule="auto"/>
      <w:ind w:left="720"/>
      <w:jc w:val="both"/>
    </w:pPr>
    <w:rPr>
      <w:sz w:val="22"/>
      <w:szCs w:val="20"/>
    </w:rPr>
  </w:style>
  <w:style w:type="paragraph" w:styleId="BodyTextDS1" w:customStyle="1">
    <w:name w:val="Body Text DS 1&quot;"/>
    <w:basedOn w:val="BodyText1"/>
    <w:uiPriority w:val="99"/>
    <w:pPr>
      <w:spacing w:line="480" w:lineRule="auto"/>
    </w:pPr>
  </w:style>
  <w:style w:type="paragraph" w:styleId="BodyTextDS1Continued" w:customStyle="1">
    <w:name w:val="Body Text DS 1&quot; Continued"/>
    <w:basedOn w:val="BodyText1Continued"/>
    <w:uiPriority w:val="99"/>
    <w:pPr>
      <w:spacing w:after="0" w:line="480" w:lineRule="auto"/>
    </w:pPr>
  </w:style>
  <w:style w:type="paragraph" w:styleId="BodyTextDS15" w:customStyle="1">
    <w:name w:val="Body Text DS 1.5&quot;"/>
    <w:basedOn w:val="BodyText15"/>
    <w:uiPriority w:val="99"/>
    <w:pPr>
      <w:spacing w:line="480" w:lineRule="auto"/>
    </w:pPr>
  </w:style>
  <w:style w:type="paragraph" w:styleId="BodyTextDS15Continued" w:customStyle="1">
    <w:name w:val="Body Text DS 1.5&quot; Continued"/>
    <w:basedOn w:val="BodyText15Continued"/>
    <w:uiPriority w:val="99"/>
    <w:pPr>
      <w:spacing w:line="480" w:lineRule="auto"/>
    </w:pPr>
  </w:style>
  <w:style w:type="paragraph" w:styleId="BodyTextDS2" w:customStyle="1">
    <w:name w:val="Body Text DS 2&quot;"/>
    <w:basedOn w:val="BodyText2"/>
    <w:uiPriority w:val="99"/>
    <w:pPr>
      <w:spacing w:line="480" w:lineRule="auto"/>
    </w:pPr>
  </w:style>
  <w:style w:type="paragraph" w:styleId="BodyTextDS2Continued" w:customStyle="1">
    <w:name w:val="Body Text DS 2&quot; Continued"/>
    <w:basedOn w:val="BodyText2Continued"/>
    <w:uiPriority w:val="99"/>
    <w:pPr>
      <w:spacing w:after="0" w:line="480" w:lineRule="auto"/>
    </w:pPr>
  </w:style>
  <w:style w:type="paragraph" w:styleId="BodyTextDSContinued" w:customStyle="1">
    <w:name w:val="Body Text DS Continued"/>
    <w:basedOn w:val="BodyTextContinued"/>
    <w:uiPriority w:val="99"/>
    <w:pPr>
      <w:spacing w:after="0" w:line="480" w:lineRule="auto"/>
    </w:pPr>
  </w:style>
  <w:style w:type="paragraph" w:styleId="CenteredAllCaps" w:customStyle="1">
    <w:name w:val="Centered All Caps"/>
    <w:basedOn w:val="Normal"/>
    <w:uiPriority w:val="99"/>
    <w:pPr>
      <w:jc w:val="center"/>
    </w:pPr>
    <w:rPr>
      <w:caps/>
      <w:sz w:val="22"/>
    </w:rPr>
  </w:style>
  <w:style w:type="paragraph" w:styleId="NoticeAddressStyle" w:customStyle="1">
    <w:name w:val="Notice Address Style"/>
    <w:basedOn w:val="Normal"/>
    <w:next w:val="Normal"/>
    <w:uiPriority w:val="99"/>
    <w:pPr>
      <w:keepNext/>
      <w:ind w:left="3600" w:hanging="2160"/>
    </w:pPr>
    <w:rPr>
      <w:sz w:val="22"/>
      <w:szCs w:val="20"/>
    </w:rPr>
  </w:style>
  <w:style w:type="character" w:styleId="ColorfulGridChar" w:customStyle="1">
    <w:name w:val="Colorful Grid Char"/>
    <w:uiPriority w:val="99"/>
    <w:rPr>
      <w:sz w:val="24"/>
    </w:rPr>
  </w:style>
  <w:style w:type="paragraph" w:styleId="CPU" w:customStyle="1">
    <w:name w:val="CPU"/>
    <w:basedOn w:val="Kutak1L3"/>
    <w:uiPriority w:val="99"/>
    <w:pPr>
      <w:keepNext w:val="0"/>
      <w:keepLines w:val="0"/>
      <w:numPr>
        <w:ilvl w:val="0"/>
        <w:numId w:val="0"/>
      </w:numPr>
      <w:jc w:val="both"/>
      <w:outlineLvl w:val="2"/>
    </w:pPr>
    <w:rPr>
      <w:b w:val="0"/>
      <w:caps w:val="0"/>
    </w:rPr>
  </w:style>
  <w:style w:type="character" w:styleId="DeltaViewInsertion" w:customStyle="1">
    <w:name w:val="DeltaView Insertion"/>
    <w:uiPriority w:val="99"/>
    <w:rPr>
      <w:color w:val="0000FF"/>
      <w:u w:val="double"/>
    </w:rPr>
  </w:style>
  <w:style w:type="paragraph" w:styleId="po" w:customStyle="1">
    <w:name w:val="po"/>
    <w:basedOn w:val="ParaNORMAL"/>
    <w:uiPriority w:val="99"/>
    <w:rPr>
      <w:b/>
      <w:i/>
    </w:rPr>
  </w:style>
  <w:style w:type="paragraph" w:styleId="ListParagraph">
    <w:name w:val="List Paragraph"/>
    <w:basedOn w:val="Normal"/>
    <w:uiPriority w:val="99"/>
    <w:pPr>
      <w:numPr>
        <w:numId w:val="17"/>
      </w:numPr>
      <w:contextualSpacing/>
    </w:pPr>
    <w:rPr>
      <w:rFonts w:ascii="Franklin Gothic Book" w:hAnsi="Franklin Gothic Book"/>
      <w:sz w:val="22"/>
      <w:szCs w:val="22"/>
    </w:rPr>
  </w:style>
  <w:style w:type="paragraph" w:styleId="op" w:customStyle="1">
    <w:name w:val="op"/>
    <w:basedOn w:val="ParaNORMAL"/>
    <w:rsid w:val="00111DBA"/>
  </w:style>
  <w:style w:type="paragraph" w:styleId="00BulletList" w:customStyle="1">
    <w:name w:val="00 Bullet List"/>
    <w:basedOn w:val="Normal"/>
    <w:uiPriority w:val="99"/>
    <w:qFormat/>
    <w:rsid w:val="002A4587"/>
    <w:pPr>
      <w:numPr>
        <w:numId w:val="25"/>
      </w:numPr>
      <w:tabs>
        <w:tab w:val="num" w:pos="0"/>
      </w:tabs>
      <w:spacing w:after="240"/>
      <w:ind w:left="0" w:firstLine="0"/>
    </w:pPr>
  </w:style>
  <w:style w:type="paragraph" w:styleId="00TitleC" w:customStyle="1">
    <w:name w:val="00 Title C"/>
    <w:basedOn w:val="Normal"/>
    <w:qFormat/>
    <w:rsid w:val="002A4587"/>
    <w:pPr>
      <w:keepNext/>
      <w:spacing w:after="240"/>
      <w:jc w:val="center"/>
    </w:pPr>
    <w:rPr>
      <w:rFonts w:ascii="Times New Roman Bold" w:hAnsi="Times New Roman Bold" w:eastAsia="Calibri"/>
      <w:b/>
      <w:sz w:val="22"/>
    </w:rPr>
  </w:style>
  <w:style w:type="paragraph" w:styleId="00TitleL" w:customStyle="1">
    <w:name w:val="00 Title L"/>
    <w:basedOn w:val="Normal"/>
    <w:qFormat/>
    <w:rsid w:val="002A4587"/>
    <w:pPr>
      <w:keepNext/>
      <w:spacing w:after="240"/>
    </w:pPr>
    <w:rPr>
      <w:rFonts w:eastAsia="Calibri"/>
      <w:b/>
      <w:sz w:val="22"/>
    </w:rPr>
  </w:style>
  <w:style w:type="character" w:styleId="DocID" w:customStyle="1">
    <w:name w:val="DocID"/>
    <w:rsid w:val="002A4587"/>
    <w:rPr>
      <w:rFonts w:ascii="Arial" w:hAnsi="Arial"/>
      <w:sz w:val="16"/>
    </w:rPr>
  </w:style>
  <w:style w:type="paragraph" w:styleId="00TitleLI" w:customStyle="1">
    <w:name w:val="00 Title LI"/>
    <w:basedOn w:val="00TitleL"/>
    <w:rsid w:val="002A4587"/>
    <w:pPr>
      <w:jc w:val="both"/>
    </w:pPr>
    <w:rPr>
      <w:b w:val="0"/>
      <w:i/>
    </w:rPr>
  </w:style>
  <w:style w:type="table" w:styleId="TableGridLight">
    <w:name w:val="Grid Table Light"/>
    <w:basedOn w:val="TableNormal"/>
    <w:uiPriority w:val="40"/>
    <w:rsid w:val="00E91A2C"/>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PlainTable1">
    <w:name w:val="Plain Table 1"/>
    <w:basedOn w:val="TableNormal"/>
    <w:uiPriority w:val="41"/>
    <w:rsid w:val="00E91A2C"/>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umberList" w:customStyle="1">
    <w:name w:val="* Number List"/>
    <w:basedOn w:val="Normal"/>
    <w:rsid w:val="00B82B00"/>
    <w:pPr>
      <w:numPr>
        <w:numId w:val="27"/>
      </w:numPr>
      <w:tabs>
        <w:tab w:val="clear" w:pos="1080"/>
      </w:tabs>
      <w:spacing w:after="240"/>
    </w:pPr>
    <w:rPr>
      <w:sz w:val="20"/>
    </w:rPr>
  </w:style>
  <w:style w:type="paragraph" w:styleId="Level2" w:customStyle="1">
    <w:name w:val="Level 2"/>
    <w:basedOn w:val="Normal"/>
    <w:link w:val="Level2Char"/>
    <w:rsid w:val="00B82B00"/>
    <w:pPr>
      <w:keepNext/>
      <w:spacing w:after="240"/>
      <w:jc w:val="both"/>
      <w:outlineLvl w:val="1"/>
    </w:pPr>
    <w:rPr>
      <w:rFonts w:ascii="Times New Roman Bold" w:hAnsi="Times New Roman Bold"/>
      <w:b/>
      <w:sz w:val="20"/>
    </w:rPr>
  </w:style>
  <w:style w:type="character" w:styleId="BodyText5Char" w:customStyle="1">
    <w:name w:val="* Body Text .5 Char"/>
    <w:link w:val="BodyText50"/>
    <w:rsid w:val="00B82B00"/>
    <w:rPr>
      <w:rFonts w:ascii="Times New Roman" w:hAnsi="Times New Roman" w:cs="Times New Roman"/>
      <w:sz w:val="24"/>
      <w:szCs w:val="24"/>
    </w:rPr>
  </w:style>
  <w:style w:type="character" w:styleId="Level2Char" w:customStyle="1">
    <w:name w:val="Level 2 Char"/>
    <w:link w:val="Level2"/>
    <w:rsid w:val="00B82B00"/>
    <w:rPr>
      <w:rFonts w:ascii="Times New Roman Bold" w:hAnsi="Times New Roman Bold" w:cs="Times New Roman"/>
      <w:b/>
      <w:szCs w:val="24"/>
    </w:rPr>
  </w:style>
  <w:style w:type="paragraph" w:styleId="TabbedL1" w:customStyle="1">
    <w:name w:val="Tabbed_L1"/>
    <w:basedOn w:val="Normal"/>
    <w:next w:val="BodyText"/>
    <w:uiPriority w:val="99"/>
    <w:rsid w:val="00ED6BBD"/>
    <w:pPr>
      <w:numPr>
        <w:numId w:val="28"/>
      </w:numPr>
      <w:spacing w:after="240"/>
      <w:jc w:val="both"/>
      <w:outlineLvl w:val="0"/>
    </w:pPr>
    <w:rPr>
      <w:szCs w:val="20"/>
    </w:rPr>
  </w:style>
  <w:style w:type="paragraph" w:styleId="TabbedL2" w:customStyle="1">
    <w:name w:val="Tabbed_L2"/>
    <w:basedOn w:val="TabbedL1"/>
    <w:next w:val="BodyText"/>
    <w:uiPriority w:val="99"/>
    <w:rsid w:val="00ED6BBD"/>
    <w:pPr>
      <w:numPr>
        <w:ilvl w:val="1"/>
      </w:numPr>
      <w:outlineLvl w:val="1"/>
    </w:pPr>
  </w:style>
  <w:style w:type="paragraph" w:styleId="TabbedL3" w:customStyle="1">
    <w:name w:val="Tabbed_L3"/>
    <w:basedOn w:val="TabbedL2"/>
    <w:next w:val="BodyText"/>
    <w:uiPriority w:val="99"/>
    <w:rsid w:val="00ED6BBD"/>
    <w:pPr>
      <w:numPr>
        <w:ilvl w:val="2"/>
      </w:numPr>
      <w:tabs>
        <w:tab w:val="clear" w:pos="2880"/>
        <w:tab w:val="num" w:pos="1800"/>
      </w:tabs>
      <w:ind w:left="720"/>
      <w:outlineLvl w:val="2"/>
    </w:pPr>
  </w:style>
  <w:style w:type="paragraph" w:styleId="TabbedL4" w:customStyle="1">
    <w:name w:val="Tabbed_L4"/>
    <w:basedOn w:val="TabbedL3"/>
    <w:next w:val="BodyText"/>
    <w:uiPriority w:val="99"/>
    <w:rsid w:val="00ED6BBD"/>
    <w:pPr>
      <w:numPr>
        <w:ilvl w:val="3"/>
      </w:numPr>
      <w:tabs>
        <w:tab w:val="clear" w:pos="3600"/>
        <w:tab w:val="num" w:pos="2880"/>
      </w:tabs>
      <w:ind w:left="1440"/>
      <w:outlineLvl w:val="3"/>
    </w:pPr>
    <w:rPr>
      <w:sz w:val="22"/>
    </w:rPr>
  </w:style>
  <w:style w:type="paragraph" w:styleId="TabbedL5" w:customStyle="1">
    <w:name w:val="Tabbed_L5"/>
    <w:basedOn w:val="TabbedL4"/>
    <w:next w:val="BodyText"/>
    <w:uiPriority w:val="99"/>
    <w:rsid w:val="00ED6BBD"/>
    <w:pPr>
      <w:numPr>
        <w:ilvl w:val="4"/>
      </w:numPr>
      <w:tabs>
        <w:tab w:val="clear" w:pos="4320"/>
        <w:tab w:val="num" w:pos="3240"/>
      </w:tabs>
      <w:ind w:left="2160"/>
      <w:outlineLvl w:val="4"/>
    </w:pPr>
  </w:style>
  <w:style w:type="character" w:styleId="DeltaViewDeletion" w:customStyle="1">
    <w:name w:val="DeltaView Deletion"/>
    <w:uiPriority w:val="99"/>
    <w:rsid w:val="00965DFE"/>
    <w:rPr>
      <w:strike/>
      <w:color w:val="FF0000"/>
    </w:rPr>
  </w:style>
  <w:style w:type="table" w:styleId="PlainTable2">
    <w:name w:val="Plain Table 2"/>
    <w:basedOn w:val="TableNormal"/>
    <w:uiPriority w:val="42"/>
    <w:rsid w:val="00707A6F"/>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paragraph" w:styleId="NormalJustified" w:customStyle="1">
    <w:name w:val="Normal (Justified)"/>
    <w:basedOn w:val="Normal"/>
    <w:uiPriority w:val="99"/>
    <w:rsid w:val="005452F2"/>
    <w:pPr>
      <w:jc w:val="both"/>
    </w:pPr>
  </w:style>
  <w:style w:type="paragraph" w:styleId="BodyTextIndent3">
    <w:name w:val="Body Text Indent 3"/>
    <w:basedOn w:val="Normal"/>
    <w:link w:val="BodyTextIndent3Char"/>
    <w:rsid w:val="00506CC0"/>
    <w:pPr>
      <w:spacing w:after="120"/>
      <w:ind w:left="360"/>
    </w:pPr>
    <w:rPr>
      <w:sz w:val="16"/>
      <w:szCs w:val="16"/>
    </w:rPr>
  </w:style>
  <w:style w:type="character" w:styleId="BodyTextIndent3Char" w:customStyle="1">
    <w:name w:val="Body Text Indent 3 Char"/>
    <w:basedOn w:val="DefaultParagraphFont"/>
    <w:link w:val="BodyTextIndent3"/>
    <w:rsid w:val="00506CC0"/>
    <w:rPr>
      <w:rFonts w:ascii="Times New Roman" w:hAnsi="Times New Roman" w:cs="Times New Roman"/>
      <w:sz w:val="16"/>
      <w:szCs w:val="16"/>
    </w:rPr>
  </w:style>
  <w:style w:type="character" w:styleId="ParaNORMALChar" w:customStyle="1">
    <w:name w:val="ParaNORMAL Char"/>
    <w:aliases w:val="p Char,i Char,party Char,ParaFLUSH2 Char,ohhar Char,RG Quick Para + Times New Roman Char,RG Quick Para Char"/>
    <w:link w:val="ParaNORMAL"/>
    <w:rsid w:val="00394FF6"/>
    <w:rPr>
      <w:rFonts w:ascii="Times" w:hAnsi="Times" w:cs="Times New Roman"/>
      <w:sz w:val="24"/>
    </w:rPr>
  </w:style>
  <w:style w:type="character" w:styleId="apple-converted-space" w:customStyle="1">
    <w:name w:val="apple-converted-space"/>
    <w:basedOn w:val="DefaultParagraphFont"/>
    <w:rsid w:val="006E4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0279">
      <w:bodyDiv w:val="1"/>
      <w:marLeft w:val="0"/>
      <w:marRight w:val="0"/>
      <w:marTop w:val="0"/>
      <w:marBottom w:val="0"/>
      <w:divBdr>
        <w:top w:val="none" w:sz="0" w:space="0" w:color="auto"/>
        <w:left w:val="none" w:sz="0" w:space="0" w:color="auto"/>
        <w:bottom w:val="none" w:sz="0" w:space="0" w:color="auto"/>
        <w:right w:val="none" w:sz="0" w:space="0" w:color="auto"/>
      </w:divBdr>
    </w:div>
    <w:div w:id="110827068">
      <w:bodyDiv w:val="1"/>
      <w:marLeft w:val="0"/>
      <w:marRight w:val="0"/>
      <w:marTop w:val="0"/>
      <w:marBottom w:val="0"/>
      <w:divBdr>
        <w:top w:val="none" w:sz="0" w:space="0" w:color="auto"/>
        <w:left w:val="none" w:sz="0" w:space="0" w:color="auto"/>
        <w:bottom w:val="none" w:sz="0" w:space="0" w:color="auto"/>
        <w:right w:val="none" w:sz="0" w:space="0" w:color="auto"/>
      </w:divBdr>
      <w:divsChild>
        <w:div w:id="360514487">
          <w:marLeft w:val="0"/>
          <w:marRight w:val="0"/>
          <w:marTop w:val="0"/>
          <w:marBottom w:val="0"/>
          <w:divBdr>
            <w:top w:val="none" w:sz="0" w:space="0" w:color="auto"/>
            <w:left w:val="none" w:sz="0" w:space="0" w:color="auto"/>
            <w:bottom w:val="none" w:sz="0" w:space="0" w:color="auto"/>
            <w:right w:val="none" w:sz="0" w:space="0" w:color="auto"/>
          </w:divBdr>
          <w:divsChild>
            <w:div w:id="302857718">
              <w:marLeft w:val="0"/>
              <w:marRight w:val="0"/>
              <w:marTop w:val="0"/>
              <w:marBottom w:val="0"/>
              <w:divBdr>
                <w:top w:val="none" w:sz="0" w:space="0" w:color="auto"/>
                <w:left w:val="none" w:sz="0" w:space="0" w:color="auto"/>
                <w:bottom w:val="none" w:sz="0" w:space="0" w:color="auto"/>
                <w:right w:val="none" w:sz="0" w:space="0" w:color="auto"/>
              </w:divBdr>
            </w:div>
          </w:divsChild>
        </w:div>
        <w:div w:id="1057701009">
          <w:marLeft w:val="0"/>
          <w:marRight w:val="0"/>
          <w:marTop w:val="0"/>
          <w:marBottom w:val="0"/>
          <w:divBdr>
            <w:top w:val="none" w:sz="0" w:space="0" w:color="auto"/>
            <w:left w:val="none" w:sz="0" w:space="0" w:color="auto"/>
            <w:bottom w:val="none" w:sz="0" w:space="0" w:color="auto"/>
            <w:right w:val="none" w:sz="0" w:space="0" w:color="auto"/>
          </w:divBdr>
          <w:divsChild>
            <w:div w:id="14721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8379">
      <w:bodyDiv w:val="1"/>
      <w:marLeft w:val="0"/>
      <w:marRight w:val="0"/>
      <w:marTop w:val="0"/>
      <w:marBottom w:val="0"/>
      <w:divBdr>
        <w:top w:val="none" w:sz="0" w:space="0" w:color="auto"/>
        <w:left w:val="none" w:sz="0" w:space="0" w:color="auto"/>
        <w:bottom w:val="none" w:sz="0" w:space="0" w:color="auto"/>
        <w:right w:val="none" w:sz="0" w:space="0" w:color="auto"/>
      </w:divBdr>
    </w:div>
    <w:div w:id="526218150">
      <w:bodyDiv w:val="1"/>
      <w:marLeft w:val="0"/>
      <w:marRight w:val="0"/>
      <w:marTop w:val="0"/>
      <w:marBottom w:val="0"/>
      <w:divBdr>
        <w:top w:val="none" w:sz="0" w:space="0" w:color="auto"/>
        <w:left w:val="none" w:sz="0" w:space="0" w:color="auto"/>
        <w:bottom w:val="none" w:sz="0" w:space="0" w:color="auto"/>
        <w:right w:val="none" w:sz="0" w:space="0" w:color="auto"/>
      </w:divBdr>
    </w:div>
    <w:div w:id="668557452">
      <w:bodyDiv w:val="1"/>
      <w:marLeft w:val="0"/>
      <w:marRight w:val="0"/>
      <w:marTop w:val="0"/>
      <w:marBottom w:val="0"/>
      <w:divBdr>
        <w:top w:val="none" w:sz="0" w:space="0" w:color="auto"/>
        <w:left w:val="none" w:sz="0" w:space="0" w:color="auto"/>
        <w:bottom w:val="none" w:sz="0" w:space="0" w:color="auto"/>
        <w:right w:val="none" w:sz="0" w:space="0" w:color="auto"/>
      </w:divBdr>
    </w:div>
    <w:div w:id="825438883">
      <w:bodyDiv w:val="1"/>
      <w:marLeft w:val="0"/>
      <w:marRight w:val="0"/>
      <w:marTop w:val="0"/>
      <w:marBottom w:val="0"/>
      <w:divBdr>
        <w:top w:val="none" w:sz="0" w:space="0" w:color="auto"/>
        <w:left w:val="none" w:sz="0" w:space="0" w:color="auto"/>
        <w:bottom w:val="none" w:sz="0" w:space="0" w:color="auto"/>
        <w:right w:val="none" w:sz="0" w:space="0" w:color="auto"/>
      </w:divBdr>
      <w:divsChild>
        <w:div w:id="1953050398">
          <w:marLeft w:val="0"/>
          <w:marRight w:val="0"/>
          <w:marTop w:val="0"/>
          <w:marBottom w:val="0"/>
          <w:divBdr>
            <w:top w:val="none" w:sz="0" w:space="0" w:color="auto"/>
            <w:left w:val="none" w:sz="0" w:space="0" w:color="auto"/>
            <w:bottom w:val="none" w:sz="0" w:space="0" w:color="auto"/>
            <w:right w:val="none" w:sz="0" w:space="0" w:color="auto"/>
          </w:divBdr>
          <w:divsChild>
            <w:div w:id="29384267">
              <w:marLeft w:val="0"/>
              <w:marRight w:val="0"/>
              <w:marTop w:val="0"/>
              <w:marBottom w:val="0"/>
              <w:divBdr>
                <w:top w:val="none" w:sz="0" w:space="0" w:color="auto"/>
                <w:left w:val="none" w:sz="0" w:space="0" w:color="auto"/>
                <w:bottom w:val="none" w:sz="0" w:space="0" w:color="auto"/>
                <w:right w:val="none" w:sz="0" w:space="0" w:color="auto"/>
              </w:divBdr>
              <w:divsChild>
                <w:div w:id="152567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81279">
      <w:bodyDiv w:val="1"/>
      <w:marLeft w:val="0"/>
      <w:marRight w:val="0"/>
      <w:marTop w:val="0"/>
      <w:marBottom w:val="0"/>
      <w:divBdr>
        <w:top w:val="none" w:sz="0" w:space="0" w:color="auto"/>
        <w:left w:val="none" w:sz="0" w:space="0" w:color="auto"/>
        <w:bottom w:val="none" w:sz="0" w:space="0" w:color="auto"/>
        <w:right w:val="none" w:sz="0" w:space="0" w:color="auto"/>
      </w:divBdr>
    </w:div>
    <w:div w:id="1449158838">
      <w:bodyDiv w:val="1"/>
      <w:marLeft w:val="0"/>
      <w:marRight w:val="0"/>
      <w:marTop w:val="0"/>
      <w:marBottom w:val="0"/>
      <w:divBdr>
        <w:top w:val="none" w:sz="0" w:space="0" w:color="auto"/>
        <w:left w:val="none" w:sz="0" w:space="0" w:color="auto"/>
        <w:bottom w:val="none" w:sz="0" w:space="0" w:color="auto"/>
        <w:right w:val="none" w:sz="0" w:space="0" w:color="auto"/>
      </w:divBdr>
      <w:divsChild>
        <w:div w:id="1669866207">
          <w:marLeft w:val="0"/>
          <w:marRight w:val="0"/>
          <w:marTop w:val="0"/>
          <w:marBottom w:val="0"/>
          <w:divBdr>
            <w:top w:val="none" w:sz="0" w:space="0" w:color="auto"/>
            <w:left w:val="none" w:sz="0" w:space="0" w:color="auto"/>
            <w:bottom w:val="none" w:sz="0" w:space="0" w:color="auto"/>
            <w:right w:val="none" w:sz="0" w:space="0" w:color="auto"/>
          </w:divBdr>
          <w:divsChild>
            <w:div w:id="1328053409">
              <w:marLeft w:val="0"/>
              <w:marRight w:val="0"/>
              <w:marTop w:val="0"/>
              <w:marBottom w:val="0"/>
              <w:divBdr>
                <w:top w:val="none" w:sz="0" w:space="0" w:color="auto"/>
                <w:left w:val="none" w:sz="0" w:space="0" w:color="auto"/>
                <w:bottom w:val="none" w:sz="0" w:space="0" w:color="auto"/>
                <w:right w:val="none" w:sz="0" w:space="0" w:color="auto"/>
              </w:divBdr>
              <w:divsChild>
                <w:div w:id="15861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86904">
      <w:bodyDiv w:val="1"/>
      <w:marLeft w:val="0"/>
      <w:marRight w:val="0"/>
      <w:marTop w:val="0"/>
      <w:marBottom w:val="0"/>
      <w:divBdr>
        <w:top w:val="none" w:sz="0" w:space="0" w:color="auto"/>
        <w:left w:val="none" w:sz="0" w:space="0" w:color="auto"/>
        <w:bottom w:val="none" w:sz="0" w:space="0" w:color="auto"/>
        <w:right w:val="none" w:sz="0" w:space="0" w:color="auto"/>
      </w:divBdr>
      <w:divsChild>
        <w:div w:id="37434424">
          <w:marLeft w:val="0"/>
          <w:marRight w:val="0"/>
          <w:marTop w:val="0"/>
          <w:marBottom w:val="0"/>
          <w:divBdr>
            <w:top w:val="none" w:sz="0" w:space="0" w:color="auto"/>
            <w:left w:val="none" w:sz="0" w:space="0" w:color="auto"/>
            <w:bottom w:val="none" w:sz="0" w:space="0" w:color="auto"/>
            <w:right w:val="none" w:sz="0" w:space="0" w:color="auto"/>
          </w:divBdr>
          <w:divsChild>
            <w:div w:id="1767534553">
              <w:marLeft w:val="0"/>
              <w:marRight w:val="0"/>
              <w:marTop w:val="0"/>
              <w:marBottom w:val="0"/>
              <w:divBdr>
                <w:top w:val="none" w:sz="0" w:space="0" w:color="auto"/>
                <w:left w:val="none" w:sz="0" w:space="0" w:color="auto"/>
                <w:bottom w:val="none" w:sz="0" w:space="0" w:color="auto"/>
                <w:right w:val="none" w:sz="0" w:space="0" w:color="auto"/>
              </w:divBdr>
            </w:div>
          </w:divsChild>
        </w:div>
        <w:div w:id="490684800">
          <w:marLeft w:val="0"/>
          <w:marRight w:val="0"/>
          <w:marTop w:val="0"/>
          <w:marBottom w:val="0"/>
          <w:divBdr>
            <w:top w:val="none" w:sz="0" w:space="0" w:color="auto"/>
            <w:left w:val="none" w:sz="0" w:space="0" w:color="auto"/>
            <w:bottom w:val="none" w:sz="0" w:space="0" w:color="auto"/>
            <w:right w:val="none" w:sz="0" w:space="0" w:color="auto"/>
          </w:divBdr>
          <w:divsChild>
            <w:div w:id="16249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2208">
      <w:bodyDiv w:val="1"/>
      <w:marLeft w:val="0"/>
      <w:marRight w:val="0"/>
      <w:marTop w:val="0"/>
      <w:marBottom w:val="0"/>
      <w:divBdr>
        <w:top w:val="none" w:sz="0" w:space="0" w:color="auto"/>
        <w:left w:val="none" w:sz="0" w:space="0" w:color="auto"/>
        <w:bottom w:val="none" w:sz="0" w:space="0" w:color="auto"/>
        <w:right w:val="none" w:sz="0" w:space="0" w:color="auto"/>
      </w:divBdr>
      <w:divsChild>
        <w:div w:id="1043745800">
          <w:marLeft w:val="0"/>
          <w:marRight w:val="0"/>
          <w:marTop w:val="0"/>
          <w:marBottom w:val="0"/>
          <w:divBdr>
            <w:top w:val="none" w:sz="0" w:space="0" w:color="auto"/>
            <w:left w:val="none" w:sz="0" w:space="0" w:color="auto"/>
            <w:bottom w:val="none" w:sz="0" w:space="0" w:color="auto"/>
            <w:right w:val="none" w:sz="0" w:space="0" w:color="auto"/>
          </w:divBdr>
          <w:divsChild>
            <w:div w:id="764038808">
              <w:marLeft w:val="0"/>
              <w:marRight w:val="0"/>
              <w:marTop w:val="0"/>
              <w:marBottom w:val="0"/>
              <w:divBdr>
                <w:top w:val="none" w:sz="0" w:space="0" w:color="auto"/>
                <w:left w:val="none" w:sz="0" w:space="0" w:color="auto"/>
                <w:bottom w:val="none" w:sz="0" w:space="0" w:color="auto"/>
                <w:right w:val="none" w:sz="0" w:space="0" w:color="auto"/>
              </w:divBdr>
              <w:divsChild>
                <w:div w:id="7524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oter" Target="footer20.xml"/><Relationship Id="rId7" Type="http://schemas.openxmlformats.org/officeDocument/2006/relationships/image" Target="media/image2.jpeg"/><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footer" Target="footer19.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7.xml"/><Relationship Id="rId28" Type="http://schemas.openxmlformats.org/officeDocument/2006/relationships/footer" Target="footer14.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ntTable" Target="fontTable.xm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