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DCD3A" w14:textId="77777777" w:rsidR="0082732A" w:rsidRDefault="0082732A"/>
    <w:p w14:paraId="14F03A4E" w14:textId="77777777" w:rsidR="0082732A" w:rsidRPr="00C354D5" w:rsidRDefault="0082732A" w:rsidP="00C354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595A6C"/>
          <w:kern w:val="0"/>
        </w:rPr>
      </w:pPr>
      <w:r w:rsidRPr="00C354D5">
        <w:rPr>
          <w:rFonts w:ascii="Times New Roman" w:hAnsi="Times New Roman" w:cs="Times New Roman"/>
          <w:b/>
          <w:bCs/>
          <w:color w:val="595A6C"/>
          <w:kern w:val="0"/>
        </w:rPr>
        <w:t>TICABOO UTILITY IMPROVEMENT DISTRICT</w:t>
      </w:r>
    </w:p>
    <w:p w14:paraId="5EF989AB" w14:textId="77777777" w:rsidR="0082732A" w:rsidRDefault="0082732A" w:rsidP="00C354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595A6C"/>
          <w:kern w:val="0"/>
        </w:rPr>
      </w:pPr>
      <w:r w:rsidRPr="00C354D5">
        <w:rPr>
          <w:rFonts w:ascii="Times New Roman" w:hAnsi="Times New Roman" w:cs="Times New Roman"/>
          <w:b/>
          <w:bCs/>
          <w:color w:val="595A6C"/>
          <w:kern w:val="0"/>
        </w:rPr>
        <w:t>PUBLIC NOTICE REGULARLY SCHEDULED MEETING Minutes</w:t>
      </w:r>
    </w:p>
    <w:p w14:paraId="1EEBC1FA" w14:textId="260FBD90" w:rsidR="00425B48" w:rsidRPr="00C354D5" w:rsidRDefault="00425B48" w:rsidP="00C354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595A6C"/>
          <w:kern w:val="0"/>
        </w:rPr>
      </w:pPr>
      <w:r>
        <w:rPr>
          <w:rFonts w:ascii="Times New Roman" w:hAnsi="Times New Roman" w:cs="Times New Roman"/>
          <w:b/>
          <w:bCs/>
          <w:color w:val="595A6C"/>
          <w:kern w:val="0"/>
        </w:rPr>
        <w:t>With Altris Presentation</w:t>
      </w:r>
    </w:p>
    <w:p w14:paraId="26233BF7" w14:textId="5B83E7B6" w:rsidR="0082732A" w:rsidRPr="00C354D5" w:rsidRDefault="0082732A" w:rsidP="00C354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595A6C"/>
          <w:kern w:val="0"/>
        </w:rPr>
      </w:pPr>
      <w:r w:rsidRPr="00C354D5">
        <w:rPr>
          <w:rFonts w:ascii="Times New Roman" w:hAnsi="Times New Roman" w:cs="Times New Roman"/>
          <w:b/>
          <w:bCs/>
          <w:color w:val="595A6C"/>
          <w:kern w:val="0"/>
        </w:rPr>
        <w:t>Date: Wed. September 10</w:t>
      </w:r>
      <w:r w:rsidRPr="00C354D5">
        <w:rPr>
          <w:rFonts w:ascii="Times New Roman" w:hAnsi="Times New Roman" w:cs="Times New Roman"/>
          <w:b/>
          <w:bCs/>
          <w:color w:val="595A6C"/>
          <w:kern w:val="0"/>
          <w:vertAlign w:val="superscript"/>
        </w:rPr>
        <w:t>th</w:t>
      </w:r>
      <w:r w:rsidRPr="00C354D5">
        <w:rPr>
          <w:rFonts w:ascii="Times New Roman" w:hAnsi="Times New Roman" w:cs="Times New Roman"/>
          <w:b/>
          <w:bCs/>
          <w:color w:val="595A6C"/>
          <w:kern w:val="0"/>
        </w:rPr>
        <w:t>, 2025</w:t>
      </w:r>
    </w:p>
    <w:p w14:paraId="30C03A37" w14:textId="77777777" w:rsidR="0082732A" w:rsidRPr="00C354D5" w:rsidRDefault="0082732A" w:rsidP="00C354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595A6C"/>
          <w:kern w:val="0"/>
        </w:rPr>
      </w:pPr>
      <w:r w:rsidRPr="00C354D5">
        <w:rPr>
          <w:rFonts w:ascii="Times New Roman" w:hAnsi="Times New Roman" w:cs="Times New Roman"/>
          <w:b/>
          <w:bCs/>
          <w:color w:val="595A6C"/>
          <w:kern w:val="0"/>
        </w:rPr>
        <w:t>Time: 5:30 PM</w:t>
      </w:r>
    </w:p>
    <w:p w14:paraId="59860E65" w14:textId="77777777" w:rsidR="0082732A" w:rsidRPr="00C354D5" w:rsidRDefault="0082732A" w:rsidP="00C354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595A6C"/>
          <w:kern w:val="0"/>
        </w:rPr>
      </w:pPr>
      <w:r w:rsidRPr="00C354D5">
        <w:rPr>
          <w:rFonts w:ascii="Times New Roman" w:hAnsi="Times New Roman" w:cs="Times New Roman"/>
          <w:b/>
          <w:bCs/>
          <w:color w:val="595A6C"/>
          <w:kern w:val="0"/>
        </w:rPr>
        <w:t>LOCATION: Electronic Meeting</w:t>
      </w:r>
    </w:p>
    <w:p w14:paraId="06E31E4C" w14:textId="77777777" w:rsidR="0082732A" w:rsidRPr="00C354D5" w:rsidRDefault="0082732A" w:rsidP="008273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4D4D4F"/>
          <w:kern w:val="0"/>
          <w:sz w:val="22"/>
          <w:szCs w:val="22"/>
        </w:rPr>
      </w:pPr>
      <w:r w:rsidRPr="00C354D5">
        <w:rPr>
          <w:rFonts w:ascii="Times New Roman" w:hAnsi="Times New Roman" w:cs="Times New Roman"/>
          <w:b/>
          <w:bCs/>
          <w:color w:val="4D4D4F"/>
          <w:kern w:val="0"/>
          <w:sz w:val="22"/>
          <w:szCs w:val="22"/>
        </w:rPr>
        <w:t>Pursuant to House Bill 5002, 'Open and Public Meetings Act Amendments,' passed during the 2020</w:t>
      </w:r>
    </w:p>
    <w:p w14:paraId="520E08C6" w14:textId="77777777" w:rsidR="0082732A" w:rsidRPr="00C354D5" w:rsidRDefault="0082732A" w:rsidP="008273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4D4D4F"/>
          <w:kern w:val="0"/>
          <w:sz w:val="22"/>
          <w:szCs w:val="22"/>
        </w:rPr>
      </w:pPr>
      <w:r w:rsidRPr="00C354D5">
        <w:rPr>
          <w:rFonts w:ascii="Times New Roman" w:hAnsi="Times New Roman" w:cs="Times New Roman"/>
          <w:b/>
          <w:bCs/>
          <w:color w:val="4D4D4F"/>
          <w:kern w:val="0"/>
          <w:sz w:val="22"/>
          <w:szCs w:val="22"/>
        </w:rPr>
        <w:t>Fifth Special Session of the Utah Legislature and codified under Utah Code Ann. § 52-4-207(4), I,</w:t>
      </w:r>
    </w:p>
    <w:p w14:paraId="01CF3CBE" w14:textId="28DC9C7C" w:rsidR="0082732A" w:rsidRPr="00C354D5" w:rsidRDefault="0082732A" w:rsidP="008273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4D4D4F"/>
          <w:kern w:val="0"/>
          <w:sz w:val="22"/>
          <w:szCs w:val="22"/>
        </w:rPr>
      </w:pPr>
      <w:r w:rsidRPr="00C354D5">
        <w:rPr>
          <w:rFonts w:ascii="Times New Roman" w:hAnsi="Times New Roman" w:cs="Times New Roman"/>
          <w:b/>
          <w:bCs/>
          <w:color w:val="4D4D4F"/>
          <w:kern w:val="0"/>
          <w:sz w:val="22"/>
          <w:szCs w:val="22"/>
        </w:rPr>
        <w:t>Alexa Wilson, hereby make the following written determination in my capacity as Chair of the Board</w:t>
      </w:r>
      <w:r w:rsidR="00DD4859">
        <w:rPr>
          <w:rFonts w:ascii="Times New Roman" w:hAnsi="Times New Roman" w:cs="Times New Roman"/>
          <w:b/>
          <w:bCs/>
          <w:color w:val="4D4D4F"/>
          <w:kern w:val="0"/>
          <w:sz w:val="22"/>
          <w:szCs w:val="22"/>
        </w:rPr>
        <w:t xml:space="preserve"> </w:t>
      </w:r>
      <w:r w:rsidRPr="00C354D5">
        <w:rPr>
          <w:rFonts w:ascii="Times New Roman" w:hAnsi="Times New Roman" w:cs="Times New Roman"/>
          <w:b/>
          <w:bCs/>
          <w:color w:val="4D4D4F"/>
          <w:kern w:val="0"/>
          <w:sz w:val="22"/>
          <w:szCs w:val="22"/>
        </w:rPr>
        <w:t>of Trustees of the Ticaboo Utility Improvement District warranting the TUID Board to convene and</w:t>
      </w:r>
      <w:r w:rsidR="00DD4859">
        <w:rPr>
          <w:rFonts w:ascii="Times New Roman" w:hAnsi="Times New Roman" w:cs="Times New Roman"/>
          <w:b/>
          <w:bCs/>
          <w:color w:val="4D4D4F"/>
          <w:kern w:val="0"/>
          <w:sz w:val="22"/>
          <w:szCs w:val="22"/>
        </w:rPr>
        <w:t xml:space="preserve"> </w:t>
      </w:r>
      <w:r w:rsidRPr="00C354D5">
        <w:rPr>
          <w:rFonts w:ascii="Times New Roman" w:hAnsi="Times New Roman" w:cs="Times New Roman"/>
          <w:b/>
          <w:bCs/>
          <w:color w:val="4D4D4F"/>
          <w:kern w:val="0"/>
          <w:sz w:val="22"/>
          <w:szCs w:val="22"/>
        </w:rPr>
        <w:t>conduct electronic meetings without a proper anchor location:</w:t>
      </w:r>
    </w:p>
    <w:p w14:paraId="04C4904C" w14:textId="77777777" w:rsidR="0082732A" w:rsidRDefault="0082732A" w:rsidP="0082732A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4D4D4F"/>
          <w:kern w:val="0"/>
          <w:sz w:val="22"/>
          <w:szCs w:val="22"/>
        </w:rPr>
      </w:pPr>
    </w:p>
    <w:p w14:paraId="27508B74" w14:textId="29FA5B54" w:rsidR="00A26F57" w:rsidRPr="00D76CCC" w:rsidRDefault="00A26F57" w:rsidP="00A26F57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Welcome to</w:t>
      </w:r>
      <w:r w:rsidR="00DD6972">
        <w:rPr>
          <w:b/>
          <w:bCs/>
        </w:rPr>
        <w:t xml:space="preserve"> board members, staff and public attendees</w:t>
      </w:r>
    </w:p>
    <w:p w14:paraId="5CAD1AF5" w14:textId="77777777" w:rsidR="00BF2321" w:rsidRDefault="00BF2321" w:rsidP="0082732A">
      <w:pPr>
        <w:pStyle w:val="NormalWeb"/>
        <w:spacing w:before="0" w:beforeAutospacing="0" w:after="0" w:afterAutospacing="0"/>
        <w:rPr>
          <w:b/>
          <w:bCs/>
        </w:rPr>
      </w:pPr>
    </w:p>
    <w:p w14:paraId="12F549AC" w14:textId="7176266D" w:rsidR="00D76CCC" w:rsidRDefault="00D76CCC" w:rsidP="0082732A">
      <w:pPr>
        <w:pStyle w:val="NormalWeb"/>
        <w:spacing w:before="0" w:beforeAutospacing="0" w:after="0" w:afterAutospacing="0"/>
        <w:rPr>
          <w:b/>
          <w:bCs/>
        </w:rPr>
      </w:pPr>
      <w:r w:rsidRPr="00D76CCC">
        <w:rPr>
          <w:b/>
          <w:bCs/>
        </w:rPr>
        <w:t>Adoption of the Agenda and approval of minutes</w:t>
      </w:r>
    </w:p>
    <w:p w14:paraId="33258D83" w14:textId="3CECFE87" w:rsidR="0082732A" w:rsidRDefault="0082732A" w:rsidP="0082732A">
      <w:pPr>
        <w:pStyle w:val="NormalWeb"/>
        <w:spacing w:before="0" w:beforeAutospacing="0" w:after="0" w:afterAutospacing="0"/>
      </w:pPr>
      <w:r>
        <w:t xml:space="preserve">The meeting began with </w:t>
      </w:r>
      <w:r w:rsidR="00D57242">
        <w:t xml:space="preserve">a motion to </w:t>
      </w:r>
      <w:r>
        <w:t>adopt the agenda and approval of meeting minutes from March 19th and June 11</w:t>
      </w:r>
      <w:r w:rsidRPr="00126C1D">
        <w:rPr>
          <w:vertAlign w:val="superscript"/>
        </w:rPr>
        <w:t>th</w:t>
      </w:r>
      <w:r w:rsidR="00126C1D">
        <w:t xml:space="preserve">. </w:t>
      </w:r>
      <w:r w:rsidR="00D76F13">
        <w:t xml:space="preserve">The agenda and meeting minutes were </w:t>
      </w:r>
      <w:r w:rsidR="00E471E4">
        <w:t>adopted unanimously</w:t>
      </w:r>
      <w:r w:rsidR="00E0373A">
        <w:t xml:space="preserve">. </w:t>
      </w:r>
      <w:r w:rsidR="00F2410D">
        <w:t>A review</w:t>
      </w:r>
      <w:r>
        <w:t xml:space="preserve"> of procedures for handling electronic participation and public comment</w:t>
      </w:r>
      <w:r w:rsidR="001038FD">
        <w:t xml:space="preserve"> was covered.</w:t>
      </w:r>
      <w:r w:rsidR="00B86DAE">
        <w:t xml:space="preserve"> </w:t>
      </w:r>
    </w:p>
    <w:p w14:paraId="74F47009" w14:textId="77777777" w:rsidR="00B42F6B" w:rsidRDefault="00B42F6B" w:rsidP="0082732A">
      <w:pPr>
        <w:pStyle w:val="NormalWeb"/>
        <w:spacing w:before="0" w:beforeAutospacing="0" w:after="0" w:afterAutospacing="0"/>
      </w:pPr>
    </w:p>
    <w:p w14:paraId="7AE6A251" w14:textId="0541A321" w:rsidR="00D76CCC" w:rsidRDefault="00D76CCC" w:rsidP="00B42F6B">
      <w:pPr>
        <w:pStyle w:val="NormalWeb"/>
        <w:spacing w:before="0" w:beforeAutospacing="0" w:after="0" w:afterAutospacing="0"/>
        <w:rPr>
          <w:b/>
          <w:bCs/>
        </w:rPr>
      </w:pPr>
      <w:r w:rsidRPr="009E65F2">
        <w:rPr>
          <w:b/>
          <w:bCs/>
        </w:rPr>
        <w:t xml:space="preserve">Water Rights </w:t>
      </w:r>
      <w:r w:rsidR="009E65F2" w:rsidRPr="009E65F2">
        <w:rPr>
          <w:b/>
          <w:bCs/>
        </w:rPr>
        <w:t>Update</w:t>
      </w:r>
    </w:p>
    <w:p w14:paraId="23BD8A45" w14:textId="6204813B" w:rsidR="00B42F6B" w:rsidRDefault="00B42F6B" w:rsidP="00B42F6B">
      <w:pPr>
        <w:pStyle w:val="NormalWeb"/>
        <w:spacing w:before="0" w:beforeAutospacing="0" w:after="0" w:afterAutospacing="0"/>
      </w:pPr>
      <w:r>
        <w:t>Alexa provided an update on the water rights situation, noting that progress was slow</w:t>
      </w:r>
      <w:r w:rsidR="00761D73">
        <w:t xml:space="preserve">. Because the </w:t>
      </w:r>
      <w:r>
        <w:t>statute of limitations would expire in November</w:t>
      </w:r>
      <w:r w:rsidR="00761D73">
        <w:t xml:space="preserve">, </w:t>
      </w:r>
      <w:r w:rsidR="0031351E">
        <w:t xml:space="preserve">the next step </w:t>
      </w:r>
      <w:r w:rsidR="00CA1E6B">
        <w:t xml:space="preserve">would be to file </w:t>
      </w:r>
      <w:r>
        <w:t xml:space="preserve">a claim </w:t>
      </w:r>
      <w:r w:rsidR="0056132D">
        <w:t xml:space="preserve">through the attorney </w:t>
      </w:r>
      <w:r>
        <w:t>with the courts to preserve the claim</w:t>
      </w:r>
      <w:r w:rsidR="00CA1E6B">
        <w:t xml:space="preserve">. </w:t>
      </w:r>
      <w:r w:rsidR="00B873AF">
        <w:t xml:space="preserve">In addition, the development company has provided detailed plans showing all acre feet would have been used, supporting TUID’s offer. </w:t>
      </w:r>
      <w:r w:rsidR="00CA1E6B">
        <w:t xml:space="preserve">The overall </w:t>
      </w:r>
      <w:r>
        <w:t xml:space="preserve">goal </w:t>
      </w:r>
      <w:r w:rsidR="004345D6">
        <w:t>f</w:t>
      </w:r>
      <w:r w:rsidR="00785620">
        <w:t xml:space="preserve">or TUID </w:t>
      </w:r>
      <w:r w:rsidR="00950676">
        <w:t xml:space="preserve">is to settle </w:t>
      </w:r>
      <w:r>
        <w:t>without litigation</w:t>
      </w:r>
      <w:r w:rsidR="00824985">
        <w:t xml:space="preserve"> due to limited funds. </w:t>
      </w:r>
    </w:p>
    <w:p w14:paraId="308D2281" w14:textId="77777777" w:rsidR="00F75996" w:rsidRDefault="00F75996" w:rsidP="00B42F6B">
      <w:pPr>
        <w:pStyle w:val="NormalWeb"/>
        <w:spacing w:before="0" w:beforeAutospacing="0" w:after="0" w:afterAutospacing="0"/>
      </w:pPr>
    </w:p>
    <w:p w14:paraId="6B9BF2CD" w14:textId="47784E2D" w:rsidR="00F75996" w:rsidRPr="006739A5" w:rsidRDefault="00DB76E8" w:rsidP="00B42F6B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Altris Introduction</w:t>
      </w:r>
    </w:p>
    <w:p w14:paraId="69BFE8F1" w14:textId="163DF4C8" w:rsidR="00B42F6B" w:rsidRDefault="008F7B9F" w:rsidP="0082732A">
      <w:pPr>
        <w:pStyle w:val="NormalWeb"/>
        <w:spacing w:before="0" w:beforeAutospacing="0" w:after="0" w:afterAutospacing="0"/>
      </w:pPr>
      <w:r>
        <w:t xml:space="preserve">Alexa explained that </w:t>
      </w:r>
      <w:r w:rsidR="00214BB5">
        <w:t xml:space="preserve">it was unlikely </w:t>
      </w:r>
      <w:r w:rsidR="00AD69F7">
        <w:t xml:space="preserve">that </w:t>
      </w:r>
      <w:r>
        <w:t xml:space="preserve">TUID </w:t>
      </w:r>
      <w:r w:rsidR="00AD69F7">
        <w:t xml:space="preserve">would </w:t>
      </w:r>
      <w:r w:rsidR="00D04496">
        <w:t xml:space="preserve">obtain </w:t>
      </w:r>
      <w:r w:rsidR="00AD69F7">
        <w:t xml:space="preserve">grant funding, so </w:t>
      </w:r>
      <w:r>
        <w:t xml:space="preserve">other options </w:t>
      </w:r>
      <w:r w:rsidR="00AB27EB">
        <w:t>are</w:t>
      </w:r>
      <w:r>
        <w:t xml:space="preserve"> being pursued. </w:t>
      </w:r>
      <w:r w:rsidR="0078136F">
        <w:t xml:space="preserve">One such option </w:t>
      </w:r>
      <w:r w:rsidR="00B71559">
        <w:t xml:space="preserve">currently under review with TUID is </w:t>
      </w:r>
      <w:r w:rsidR="0078136F">
        <w:t>Altris</w:t>
      </w:r>
      <w:r w:rsidR="00B71559">
        <w:t>.</w:t>
      </w:r>
      <w:r w:rsidR="0078136F">
        <w:t xml:space="preserve"> </w:t>
      </w:r>
      <w:r w:rsidR="00B42F6B">
        <w:t>Jay</w:t>
      </w:r>
      <w:r w:rsidR="00695A9A">
        <w:t xml:space="preserve"> Lapin</w:t>
      </w:r>
      <w:r w:rsidR="00B42F6B">
        <w:t xml:space="preserve"> and Mark </w:t>
      </w:r>
      <w:r w:rsidR="00695A9A">
        <w:t xml:space="preserve">Poulson </w:t>
      </w:r>
      <w:r w:rsidR="00073D66">
        <w:t>with</w:t>
      </w:r>
      <w:r w:rsidR="00B42F6B">
        <w:t xml:space="preserve"> Altris were introduced as guests</w:t>
      </w:r>
      <w:r w:rsidR="00B1245F">
        <w:t xml:space="preserve"> to present their </w:t>
      </w:r>
      <w:r w:rsidR="00B42F6B">
        <w:t>power purchase agreement</w:t>
      </w:r>
      <w:r w:rsidR="00442B2C">
        <w:t xml:space="preserve">. </w:t>
      </w:r>
      <w:r w:rsidR="00280DCB">
        <w:t xml:space="preserve"> </w:t>
      </w:r>
    </w:p>
    <w:p w14:paraId="3ACB9976" w14:textId="77777777" w:rsidR="00B00B4C" w:rsidRDefault="00B00B4C" w:rsidP="0082732A">
      <w:pPr>
        <w:pStyle w:val="NormalWeb"/>
        <w:spacing w:before="0" w:beforeAutospacing="0" w:after="0" w:afterAutospacing="0"/>
      </w:pPr>
    </w:p>
    <w:p w14:paraId="78FA8D2B" w14:textId="2C0D7271" w:rsidR="00BB4C86" w:rsidRPr="002A773E" w:rsidRDefault="009D1813" w:rsidP="00BB4C86">
      <w:pPr>
        <w:pStyle w:val="NormalWeb"/>
        <w:spacing w:before="0" w:beforeAutospacing="0" w:after="0" w:afterAutospacing="0"/>
        <w:outlineLvl w:val="3"/>
        <w:rPr>
          <w:b/>
          <w:bCs/>
        </w:rPr>
      </w:pPr>
      <w:r w:rsidRPr="002A773E">
        <w:rPr>
          <w:b/>
          <w:bCs/>
        </w:rPr>
        <w:t xml:space="preserve">Altris Solar Power </w:t>
      </w:r>
      <w:r w:rsidR="002A773E" w:rsidRPr="002A773E">
        <w:rPr>
          <w:b/>
          <w:bCs/>
        </w:rPr>
        <w:t>Proposal</w:t>
      </w:r>
    </w:p>
    <w:p w14:paraId="3F06A774" w14:textId="76B3C883" w:rsidR="00BB4C86" w:rsidRDefault="00BB4C86" w:rsidP="00BB4C86">
      <w:pPr>
        <w:pStyle w:val="NormalWeb"/>
        <w:spacing w:before="0" w:beforeAutospacing="0" w:after="0" w:afterAutospacing="0"/>
      </w:pPr>
      <w:r>
        <w:t>Jay presented a proposal to address energy cost challenges in the Ticaboo area by deploying a solar energy power system that w</w:t>
      </w:r>
      <w:r w:rsidR="00B36C0D">
        <w:t>ould</w:t>
      </w:r>
      <w:r>
        <w:t xml:space="preserve"> cover 84% of current power usage. The </w:t>
      </w:r>
      <w:r w:rsidR="00463158">
        <w:t xml:space="preserve">$2.1 million </w:t>
      </w:r>
      <w:r>
        <w:t>project</w:t>
      </w:r>
      <w:r w:rsidR="00463158">
        <w:t xml:space="preserve"> would be</w:t>
      </w:r>
      <w:r w:rsidR="0002129B">
        <w:t xml:space="preserve"> fully funded by Altris </w:t>
      </w:r>
      <w:r>
        <w:t>and generate power at 18.5 cents per kilowatt hour cost to TUID</w:t>
      </w:r>
      <w:r w:rsidR="005B4D5B">
        <w:t>,</w:t>
      </w:r>
      <w:r>
        <w:t xml:space="preserve"> with a blended rate of 24 cents</w:t>
      </w:r>
      <w:r w:rsidR="002A773E">
        <w:t xml:space="preserve"> in combination with the current generator system.</w:t>
      </w:r>
      <w:r w:rsidR="005B4D5B">
        <w:t xml:space="preserve"> </w:t>
      </w:r>
      <w:r w:rsidR="006650FD">
        <w:t xml:space="preserve">The plan </w:t>
      </w:r>
      <w:r>
        <w:t xml:space="preserve">aims to reduce power costs by 50% and provide reliable, sustainable energy by May 2026. </w:t>
      </w:r>
    </w:p>
    <w:p w14:paraId="14B30FBE" w14:textId="77777777" w:rsidR="003D3F3A" w:rsidRDefault="003D3F3A" w:rsidP="00BB4C86">
      <w:pPr>
        <w:pStyle w:val="NormalWeb"/>
        <w:spacing w:before="0" w:beforeAutospacing="0" w:after="0" w:afterAutospacing="0"/>
      </w:pPr>
    </w:p>
    <w:p w14:paraId="6E409633" w14:textId="034514CB" w:rsidR="00BB4C86" w:rsidRDefault="000D26A8" w:rsidP="00BB4C86">
      <w:pPr>
        <w:pStyle w:val="NormalWeb"/>
        <w:spacing w:before="0" w:beforeAutospacing="0" w:after="0" w:afterAutospacing="0"/>
      </w:pPr>
      <w:r>
        <w:t xml:space="preserve">A </w:t>
      </w:r>
      <w:r w:rsidR="006650FD">
        <w:t>six-phase</w:t>
      </w:r>
      <w:r w:rsidR="00BB4C86">
        <w:t xml:space="preserve"> timeline </w:t>
      </w:r>
      <w:r>
        <w:t xml:space="preserve">was outlined </w:t>
      </w:r>
      <w:r w:rsidR="00BB4C86">
        <w:t xml:space="preserve">for </w:t>
      </w:r>
      <w:r w:rsidR="00792031">
        <w:t xml:space="preserve">the </w:t>
      </w:r>
      <w:r w:rsidR="00BB4C86">
        <w:t>project, from procurement to post-installation maintenance</w:t>
      </w:r>
      <w:r w:rsidR="00046D6C">
        <w:t>.</w:t>
      </w:r>
      <w:r w:rsidR="00BB4C86">
        <w:t xml:space="preserve"> </w:t>
      </w:r>
      <w:r w:rsidR="008672D2">
        <w:t xml:space="preserve">Jay explained that </w:t>
      </w:r>
      <w:r w:rsidR="00CD03B7">
        <w:t xml:space="preserve">for the solar panels, </w:t>
      </w:r>
      <w:r w:rsidR="008672D2">
        <w:t>individual panel failures would be manageable</w:t>
      </w:r>
      <w:r w:rsidR="00A075D4">
        <w:t xml:space="preserve">. He </w:t>
      </w:r>
      <w:r w:rsidR="008672D2">
        <w:t xml:space="preserve">clarified that </w:t>
      </w:r>
      <w:r w:rsidR="00BB4C86">
        <w:t>Altris guarantees maintenance</w:t>
      </w:r>
      <w:r w:rsidR="00DC471D">
        <w:t>, repairs,</w:t>
      </w:r>
      <w:r w:rsidR="00BB4C86">
        <w:t xml:space="preserve"> and replacement of solar </w:t>
      </w:r>
      <w:r w:rsidR="00BB4C86">
        <w:lastRenderedPageBreak/>
        <w:t>panels, inverters, and batteries throughout the entire PPA period</w:t>
      </w:r>
      <w:r w:rsidR="00046D6C">
        <w:t xml:space="preserve"> of 25 years, </w:t>
      </w:r>
      <w:r w:rsidR="00BB4C86">
        <w:t xml:space="preserve">not just during the warranty years. </w:t>
      </w:r>
      <w:r w:rsidR="00D74B59">
        <w:t>Mark noted th</w:t>
      </w:r>
      <w:r w:rsidR="005607E2">
        <w:t xml:space="preserve">e </w:t>
      </w:r>
      <w:r w:rsidR="00D74B59">
        <w:t>competitive bidding process</w:t>
      </w:r>
      <w:r w:rsidR="005607E2">
        <w:t xml:space="preserve"> </w:t>
      </w:r>
      <w:r w:rsidR="00042BF4">
        <w:t xml:space="preserve">in place, </w:t>
      </w:r>
      <w:r w:rsidR="00D74B59">
        <w:t xml:space="preserve">with their bid </w:t>
      </w:r>
      <w:r w:rsidR="0069395E">
        <w:t xml:space="preserve">30 cents per kilowatt </w:t>
      </w:r>
      <w:r w:rsidR="00D74B59">
        <w:t>lower than the next competitor</w:t>
      </w:r>
      <w:r w:rsidR="0069395E">
        <w:t xml:space="preserve">. </w:t>
      </w:r>
      <w:r w:rsidR="00D74B59">
        <w:t xml:space="preserve"> </w:t>
      </w:r>
    </w:p>
    <w:p w14:paraId="5BC225BE" w14:textId="77777777" w:rsidR="00A075D4" w:rsidRDefault="00A075D4" w:rsidP="00BB4C86">
      <w:pPr>
        <w:pStyle w:val="NormalWeb"/>
        <w:spacing w:before="0" w:beforeAutospacing="0" w:after="0" w:afterAutospacing="0"/>
      </w:pPr>
    </w:p>
    <w:p w14:paraId="1D38023E" w14:textId="65849BEE" w:rsidR="00403323" w:rsidRDefault="009B5A89" w:rsidP="00145ADB">
      <w:pPr>
        <w:pStyle w:val="NormalWeb"/>
        <w:spacing w:before="0" w:beforeAutospacing="0" w:after="0" w:afterAutospacing="0"/>
      </w:pPr>
      <w:r>
        <w:t xml:space="preserve">The </w:t>
      </w:r>
      <w:r w:rsidR="00B156E3">
        <w:t xml:space="preserve">six-phase timeline </w:t>
      </w:r>
      <w:r w:rsidR="001E4D9A">
        <w:t xml:space="preserve">began with </w:t>
      </w:r>
      <w:r w:rsidR="00384C85">
        <w:t xml:space="preserve">the final </w:t>
      </w:r>
      <w:r w:rsidR="00403323">
        <w:t>engineering design in months 2-3 after project initiation.</w:t>
      </w:r>
      <w:r w:rsidR="00285650">
        <w:t xml:space="preserve"> Procurement of the </w:t>
      </w:r>
      <w:r w:rsidR="00403323">
        <w:t>necessary panels, inverters, batteries, and equipment in months 3-4</w:t>
      </w:r>
      <w:r w:rsidR="008F0144">
        <w:t xml:space="preserve">, and the installation and integration of the </w:t>
      </w:r>
      <w:r w:rsidR="00403323">
        <w:t>solar system in months 5-7.</w:t>
      </w:r>
      <w:r w:rsidR="00BD5A43">
        <w:t xml:space="preserve"> </w:t>
      </w:r>
      <w:r w:rsidR="008F0144">
        <w:t xml:space="preserve">The final </w:t>
      </w:r>
      <w:r w:rsidR="00403323">
        <w:t>commissioning and train</w:t>
      </w:r>
      <w:r w:rsidR="002820A4">
        <w:t>ing</w:t>
      </w:r>
      <w:r w:rsidR="00403323">
        <w:t xml:space="preserve"> staff on system management </w:t>
      </w:r>
      <w:r w:rsidR="002820A4">
        <w:t xml:space="preserve">would happen </w:t>
      </w:r>
      <w:r w:rsidR="00403323">
        <w:t>by May 2026.</w:t>
      </w:r>
    </w:p>
    <w:p w14:paraId="3D26CE2E" w14:textId="77777777" w:rsidR="00A761E3" w:rsidRDefault="00A761E3" w:rsidP="00145ADB">
      <w:pPr>
        <w:pStyle w:val="NormalWeb"/>
        <w:spacing w:before="0" w:beforeAutospacing="0" w:after="0" w:afterAutospacing="0"/>
      </w:pPr>
    </w:p>
    <w:p w14:paraId="4764F89C" w14:textId="46E11F9A" w:rsidR="00911D52" w:rsidRDefault="00911D52" w:rsidP="00911D52">
      <w:pPr>
        <w:pStyle w:val="NormalWeb"/>
        <w:spacing w:before="0" w:beforeAutospacing="0" w:after="0" w:afterAutospacing="0"/>
      </w:pPr>
      <w:r>
        <w:t xml:space="preserve">The Altris team </w:t>
      </w:r>
      <w:r w:rsidR="00052B57">
        <w:t xml:space="preserve">would </w:t>
      </w:r>
      <w:r w:rsidR="00D1284C">
        <w:t>evaluate the site at</w:t>
      </w:r>
      <w:r>
        <w:t xml:space="preserve"> the TUID power plant facility and grounds with the solar installers the next day, September 11</w:t>
      </w:r>
      <w:r w:rsidRPr="00917A1C">
        <w:rPr>
          <w:vertAlign w:val="superscript"/>
        </w:rPr>
        <w:t>th</w:t>
      </w:r>
      <w:r>
        <w:t xml:space="preserve">, to verify solar panel installation suitability. </w:t>
      </w:r>
    </w:p>
    <w:p w14:paraId="0F79816B" w14:textId="77777777" w:rsidR="00DB1977" w:rsidRDefault="00DB1977" w:rsidP="00911D52">
      <w:pPr>
        <w:pStyle w:val="NormalWeb"/>
        <w:spacing w:before="0" w:beforeAutospacing="0" w:after="0" w:afterAutospacing="0"/>
      </w:pPr>
    </w:p>
    <w:p w14:paraId="2BB92E94" w14:textId="2C01EE05" w:rsidR="00BB4C86" w:rsidRDefault="00BB4C86" w:rsidP="00BB4C86">
      <w:pPr>
        <w:pStyle w:val="NormalWeb"/>
        <w:spacing w:before="0" w:beforeAutospacing="0" w:after="0" w:afterAutospacing="0"/>
      </w:pPr>
      <w:r w:rsidRPr="0077383D">
        <w:t xml:space="preserve">Jay and Mark </w:t>
      </w:r>
      <w:r w:rsidR="00D76F9A" w:rsidRPr="0077383D">
        <w:t>confirmed that a public meeting in Ticaboo on October 29 would not be too late in the timeline</w:t>
      </w:r>
      <w:r w:rsidR="00D76F9A">
        <w:t xml:space="preserve"> for a final decision to be made.</w:t>
      </w:r>
      <w:r w:rsidR="00CF4CFC">
        <w:t xml:space="preserve"> A </w:t>
      </w:r>
      <w:r w:rsidRPr="0077383D">
        <w:t>signing ceremony would need to occur before the final engineering phase</w:t>
      </w:r>
      <w:r w:rsidR="00CF4CFC">
        <w:t xml:space="preserve">. </w:t>
      </w:r>
      <w:r w:rsidRPr="0077383D">
        <w:t xml:space="preserve"> </w:t>
      </w:r>
    </w:p>
    <w:p w14:paraId="73CA4FFA" w14:textId="77777777" w:rsidR="004F516D" w:rsidRDefault="004F516D" w:rsidP="00DE4D67">
      <w:pPr>
        <w:pStyle w:val="NormalWeb"/>
        <w:spacing w:before="0" w:beforeAutospacing="0" w:after="0" w:afterAutospacing="0"/>
      </w:pPr>
    </w:p>
    <w:p w14:paraId="6F928747" w14:textId="77777777" w:rsidR="00A71FC1" w:rsidRDefault="00A71FC1" w:rsidP="0082732A">
      <w:pPr>
        <w:pStyle w:val="NormalWeb"/>
        <w:spacing w:before="0" w:beforeAutospacing="0" w:after="0" w:afterAutospacing="0"/>
      </w:pPr>
    </w:p>
    <w:p w14:paraId="165CA4CC" w14:textId="2B2E737E" w:rsidR="0082732A" w:rsidRPr="00DB1977" w:rsidRDefault="00DB1977" w:rsidP="0082732A">
      <w:pPr>
        <w:pStyle w:val="NormalWeb"/>
        <w:spacing w:before="0" w:beforeAutospacing="0" w:after="0" w:afterAutospacing="0"/>
        <w:outlineLvl w:val="3"/>
        <w:rPr>
          <w:b/>
          <w:bCs/>
        </w:rPr>
      </w:pPr>
      <w:r w:rsidRPr="00DB1977">
        <w:rPr>
          <w:b/>
          <w:bCs/>
        </w:rPr>
        <w:t>Update on Operations and Financials</w:t>
      </w:r>
    </w:p>
    <w:p w14:paraId="7B2AF05C" w14:textId="00455785" w:rsidR="0082732A" w:rsidRDefault="0082732A" w:rsidP="0082732A">
      <w:pPr>
        <w:pStyle w:val="NormalWeb"/>
        <w:spacing w:before="0" w:beforeAutospacing="0" w:after="0" w:afterAutospacing="0"/>
      </w:pPr>
      <w:r>
        <w:t>John reported that operations were running smoothly</w:t>
      </w:r>
      <w:r w:rsidR="00B65F26">
        <w:t xml:space="preserve"> and discussed the </w:t>
      </w:r>
      <w:r>
        <w:t xml:space="preserve">pending insurance </w:t>
      </w:r>
      <w:r w:rsidR="004163C1">
        <w:t xml:space="preserve">claim </w:t>
      </w:r>
      <w:r>
        <w:t xml:space="preserve">response for the number 2 generator. </w:t>
      </w:r>
      <w:r w:rsidR="00AA37DC">
        <w:t xml:space="preserve">He </w:t>
      </w:r>
      <w:r w:rsidR="00F32364">
        <w:t xml:space="preserve">reviewed TUID’s </w:t>
      </w:r>
      <w:r w:rsidR="009D3A78">
        <w:t xml:space="preserve">financial performance </w:t>
      </w:r>
      <w:r w:rsidR="00BD3ACD">
        <w:t xml:space="preserve">for quarter 2 and year to date, noting that </w:t>
      </w:r>
      <w:r w:rsidR="009B6CC5">
        <w:t xml:space="preserve">revenue was </w:t>
      </w:r>
      <w:r w:rsidR="00FC040E">
        <w:t>slightly above budget</w:t>
      </w:r>
      <w:r w:rsidR="00EC0453">
        <w:t xml:space="preserve"> and r</w:t>
      </w:r>
      <w:r w:rsidR="008158E6">
        <w:t xml:space="preserve">epair and maintenance costs were </w:t>
      </w:r>
      <w:r w:rsidR="00FC040E">
        <w:t>lower</w:t>
      </w:r>
      <w:r w:rsidR="00EC0453">
        <w:t xml:space="preserve">, </w:t>
      </w:r>
      <w:r w:rsidR="008158E6">
        <w:t xml:space="preserve">due to </w:t>
      </w:r>
      <w:r w:rsidR="003608A6">
        <w:t xml:space="preserve">the </w:t>
      </w:r>
      <w:r>
        <w:t>capitalized expenses</w:t>
      </w:r>
      <w:r w:rsidR="003608A6">
        <w:t xml:space="preserve"> of the </w:t>
      </w:r>
      <w:r w:rsidR="006D031E">
        <w:t xml:space="preserve">#3 generator </w:t>
      </w:r>
      <w:proofErr w:type="gramStart"/>
      <w:r w:rsidR="006D031E">
        <w:t>rebuild</w:t>
      </w:r>
      <w:proofErr w:type="gramEnd"/>
      <w:r w:rsidR="006D031E">
        <w:t xml:space="preserve"> and water main break that occurred in quarter 2</w:t>
      </w:r>
      <w:r w:rsidR="00E2712D">
        <w:t>. Fuel costs also</w:t>
      </w:r>
      <w:r w:rsidR="006F23B2">
        <w:t xml:space="preserve"> fell</w:t>
      </w:r>
      <w:r w:rsidR="00E2712D">
        <w:t xml:space="preserve"> under budget</w:t>
      </w:r>
      <w:r w:rsidR="00A80233">
        <w:t xml:space="preserve"> due to the lower cost of fuel so far in 2025.</w:t>
      </w:r>
      <w:r w:rsidR="00DE33D3">
        <w:t xml:space="preserve"> </w:t>
      </w:r>
      <w:r w:rsidR="008A786D">
        <w:t>A plan</w:t>
      </w:r>
      <w:r w:rsidR="00CE3485">
        <w:t xml:space="preserve"> was in place</w:t>
      </w:r>
      <w:r>
        <w:t xml:space="preserve"> to contribute to the reserve account </w:t>
      </w:r>
      <w:r w:rsidR="003E0A33">
        <w:t xml:space="preserve">monthly </w:t>
      </w:r>
      <w:r>
        <w:t xml:space="preserve">to </w:t>
      </w:r>
      <w:r w:rsidR="00CE7930">
        <w:t xml:space="preserve">cover 2026 bond payments and </w:t>
      </w:r>
      <w:r>
        <w:t>address loan compliance issues</w:t>
      </w:r>
      <w:r w:rsidR="00F36DCA">
        <w:t>.</w:t>
      </w:r>
      <w:r w:rsidR="00C65E9F">
        <w:t xml:space="preserve"> </w:t>
      </w:r>
    </w:p>
    <w:p w14:paraId="7667CB0D" w14:textId="77777777" w:rsidR="006F4108" w:rsidRDefault="006F4108" w:rsidP="0082732A">
      <w:pPr>
        <w:pStyle w:val="NormalWeb"/>
        <w:spacing w:before="0" w:beforeAutospacing="0" w:after="0" w:afterAutospacing="0"/>
      </w:pPr>
    </w:p>
    <w:p w14:paraId="65A4E08F" w14:textId="263FA093" w:rsidR="0082732A" w:rsidRDefault="0082732A" w:rsidP="0082732A">
      <w:pPr>
        <w:pStyle w:val="NormalWeb"/>
        <w:spacing w:before="0" w:beforeAutospacing="0" w:after="0" w:afterAutospacing="0"/>
      </w:pPr>
      <w:r>
        <w:t xml:space="preserve">The team discussed </w:t>
      </w:r>
      <w:r w:rsidR="009262A8">
        <w:t xml:space="preserve">a further </w:t>
      </w:r>
      <w:r>
        <w:t>transiti</w:t>
      </w:r>
      <w:r w:rsidR="00102326">
        <w:t>on</w:t>
      </w:r>
      <w:r>
        <w:t xml:space="preserve"> away from the current accountant</w:t>
      </w:r>
      <w:r w:rsidR="00C04CAB">
        <w:t xml:space="preserve">, who would still </w:t>
      </w:r>
      <w:r w:rsidR="00174852">
        <w:t xml:space="preserve">be needed to perform certain accounting </w:t>
      </w:r>
      <w:r>
        <w:t>responsibilities</w:t>
      </w:r>
      <w:r w:rsidR="00B34F61">
        <w:t xml:space="preserve"> </w:t>
      </w:r>
      <w:r w:rsidR="000D600E">
        <w:t xml:space="preserve">such as </w:t>
      </w:r>
      <w:r w:rsidR="005B7B30">
        <w:t>final adjustments</w:t>
      </w:r>
      <w:r w:rsidR="00812700">
        <w:t>,</w:t>
      </w:r>
      <w:r w:rsidR="005B7B30">
        <w:t xml:space="preserve"> </w:t>
      </w:r>
      <w:r>
        <w:t>depreciation</w:t>
      </w:r>
      <w:r w:rsidR="005B7B30">
        <w:t>,</w:t>
      </w:r>
      <w:r>
        <w:t xml:space="preserve"> and audit support</w:t>
      </w:r>
      <w:r w:rsidR="005B7B30">
        <w:t xml:space="preserve">. </w:t>
      </w:r>
      <w:r>
        <w:t>The group agreed to review the</w:t>
      </w:r>
      <w:r w:rsidR="00EE23DE">
        <w:t xml:space="preserve"> last agreement </w:t>
      </w:r>
      <w:r>
        <w:t xml:space="preserve">with </w:t>
      </w:r>
      <w:r w:rsidR="00FD62EC">
        <w:t>the accountant</w:t>
      </w:r>
      <w:r w:rsidR="007A47EA">
        <w:t xml:space="preserve"> to p</w:t>
      </w:r>
      <w:r>
        <w:t xml:space="preserve">otentially negotiate </w:t>
      </w:r>
      <w:r w:rsidR="007A47EA">
        <w:t xml:space="preserve">a </w:t>
      </w:r>
      <w:r>
        <w:t>further reduction in fees</w:t>
      </w:r>
      <w:r w:rsidR="004D3040">
        <w:t xml:space="preserve"> after the </w:t>
      </w:r>
      <w:r w:rsidR="00E97132">
        <w:t xml:space="preserve">2025 </w:t>
      </w:r>
      <w:r w:rsidR="004D3040">
        <w:t xml:space="preserve">audit </w:t>
      </w:r>
      <w:r w:rsidR="00E97132">
        <w:t>is</w:t>
      </w:r>
      <w:r w:rsidR="004D3040">
        <w:t xml:space="preserve"> completed. </w:t>
      </w:r>
    </w:p>
    <w:p w14:paraId="56649728" w14:textId="77777777" w:rsidR="00BA17EC" w:rsidRDefault="00BA17EC" w:rsidP="0082732A">
      <w:pPr>
        <w:pStyle w:val="NormalWeb"/>
        <w:spacing w:before="0" w:beforeAutospacing="0" w:after="0" w:afterAutospacing="0"/>
      </w:pPr>
    </w:p>
    <w:p w14:paraId="0147A8EB" w14:textId="1BC742F4" w:rsidR="0082732A" w:rsidRPr="00C35A23" w:rsidRDefault="002121A9" w:rsidP="0082732A">
      <w:pPr>
        <w:pStyle w:val="NormalWeb"/>
        <w:spacing w:before="0" w:beforeAutospacing="0" w:after="0" w:afterAutospacing="0"/>
        <w:outlineLvl w:val="3"/>
        <w:rPr>
          <w:b/>
          <w:bCs/>
        </w:rPr>
      </w:pPr>
      <w:r w:rsidRPr="00C35A23">
        <w:rPr>
          <w:b/>
          <w:bCs/>
        </w:rPr>
        <w:t>#2 Generator Rebuild</w:t>
      </w:r>
    </w:p>
    <w:p w14:paraId="3527E01E" w14:textId="550533CE" w:rsidR="0082732A" w:rsidRDefault="00650F27" w:rsidP="0082732A">
      <w:pPr>
        <w:pStyle w:val="NormalWeb"/>
        <w:spacing w:before="0" w:beforeAutospacing="0" w:after="0" w:afterAutospacing="0"/>
      </w:pPr>
      <w:r>
        <w:t xml:space="preserve">The team discussed </w:t>
      </w:r>
      <w:r w:rsidR="0082732A">
        <w:t>not replacing a damaged generator</w:t>
      </w:r>
      <w:r w:rsidR="000256A9">
        <w:t>, using any</w:t>
      </w:r>
      <w:r w:rsidR="0082732A">
        <w:t xml:space="preserve"> insurance funds to support solar panel installation and </w:t>
      </w:r>
      <w:r w:rsidR="00830C91">
        <w:t>bond</w:t>
      </w:r>
      <w:r w:rsidR="0082732A">
        <w:t xml:space="preserve"> repayment</w:t>
      </w:r>
      <w:r w:rsidR="00830C91">
        <w:t>s</w:t>
      </w:r>
      <w:r w:rsidR="001B2E01">
        <w:t xml:space="preserve"> instead.</w:t>
      </w:r>
      <w:r w:rsidR="0082732A">
        <w:t xml:space="preserve"> Alexa planned to draft a letter to the Community Impact Board for approval</w:t>
      </w:r>
      <w:r w:rsidR="00351969">
        <w:t xml:space="preserve"> to </w:t>
      </w:r>
      <w:r w:rsidR="006F1F01">
        <w:t xml:space="preserve">replace the revenue </w:t>
      </w:r>
      <w:r w:rsidR="00344CE0">
        <w:t xml:space="preserve">produced by the generator </w:t>
      </w:r>
      <w:r w:rsidR="006F1F01">
        <w:t>with solar</w:t>
      </w:r>
      <w:r w:rsidR="00344CE0">
        <w:t>-producing</w:t>
      </w:r>
      <w:r w:rsidR="006F1F01">
        <w:t xml:space="preserve"> revenue. </w:t>
      </w:r>
      <w:r w:rsidR="0082732A">
        <w:t xml:space="preserve">John </w:t>
      </w:r>
      <w:r w:rsidR="00274D4E">
        <w:t>agreed to</w:t>
      </w:r>
      <w:r w:rsidR="00790438">
        <w:t xml:space="preserve"> </w:t>
      </w:r>
      <w:r w:rsidR="0082732A">
        <w:t xml:space="preserve">review and provide input on the draft. </w:t>
      </w:r>
    </w:p>
    <w:p w14:paraId="5DB7BC73" w14:textId="77777777" w:rsidR="002121A9" w:rsidRPr="00C35A23" w:rsidRDefault="002121A9" w:rsidP="0082732A">
      <w:pPr>
        <w:pStyle w:val="NormalWeb"/>
        <w:spacing w:before="0" w:beforeAutospacing="0" w:after="0" w:afterAutospacing="0"/>
      </w:pPr>
    </w:p>
    <w:p w14:paraId="55CDA0D6" w14:textId="377AE70B" w:rsidR="0082732A" w:rsidRPr="00C35A23" w:rsidRDefault="00593118" w:rsidP="0082732A">
      <w:pPr>
        <w:pStyle w:val="NormalWeb"/>
        <w:spacing w:before="0" w:beforeAutospacing="0" w:after="0" w:afterAutospacing="0"/>
        <w:outlineLvl w:val="3"/>
        <w:rPr>
          <w:b/>
          <w:bCs/>
        </w:rPr>
      </w:pPr>
      <w:r w:rsidRPr="00C35A23">
        <w:rPr>
          <w:b/>
          <w:bCs/>
        </w:rPr>
        <w:t xml:space="preserve">PPA Public Meeting </w:t>
      </w:r>
    </w:p>
    <w:p w14:paraId="4CA01117" w14:textId="10DE22DB" w:rsidR="0082732A" w:rsidRDefault="0082732A" w:rsidP="0082732A">
      <w:pPr>
        <w:pStyle w:val="NormalWeb"/>
        <w:spacing w:before="0" w:beforeAutospacing="0" w:after="0" w:afterAutospacing="0"/>
      </w:pPr>
      <w:r>
        <w:t xml:space="preserve">The group </w:t>
      </w:r>
      <w:r w:rsidR="00DD6981">
        <w:t xml:space="preserve">tentatively scheduled </w:t>
      </w:r>
      <w:r>
        <w:t xml:space="preserve">a public </w:t>
      </w:r>
      <w:r w:rsidR="00DD6981">
        <w:t xml:space="preserve">in-person </w:t>
      </w:r>
      <w:r>
        <w:t xml:space="preserve">meeting for October 29th to vote on </w:t>
      </w:r>
      <w:r w:rsidR="00EF320C">
        <w:t xml:space="preserve">the Altris Power Purchase Agreement. </w:t>
      </w:r>
      <w:r>
        <w:t>John and Amy agree</w:t>
      </w:r>
      <w:r w:rsidR="00117E82">
        <w:t>d</w:t>
      </w:r>
      <w:r>
        <w:t xml:space="preserve"> to check venue availability</w:t>
      </w:r>
      <w:r w:rsidR="00BE2C61">
        <w:t xml:space="preserve">. </w:t>
      </w:r>
      <w:r w:rsidR="00680231">
        <w:t xml:space="preserve">A brief </w:t>
      </w:r>
      <w:r>
        <w:t xml:space="preserve">November </w:t>
      </w:r>
      <w:r w:rsidR="00680231">
        <w:t xml:space="preserve">meeting to adopt the 2026 draft budget and </w:t>
      </w:r>
      <w:r w:rsidR="00162733">
        <w:t xml:space="preserve">the required </w:t>
      </w:r>
      <w:r>
        <w:t xml:space="preserve">December </w:t>
      </w:r>
      <w:r w:rsidR="00162733">
        <w:t xml:space="preserve">public hearing meeting </w:t>
      </w:r>
      <w:r w:rsidR="00044C82">
        <w:t>were tentatively planned</w:t>
      </w:r>
      <w:r w:rsidR="00B75A57">
        <w:t xml:space="preserve">, with a schedule to be sent once </w:t>
      </w:r>
      <w:r w:rsidR="00764B09">
        <w:t xml:space="preserve">these dates were confirmed. </w:t>
      </w:r>
    </w:p>
    <w:p w14:paraId="621011BC" w14:textId="3A36DAE3" w:rsidR="0060188B" w:rsidRPr="00625BF5" w:rsidRDefault="00B873AF" w:rsidP="008273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/>
      </w:r>
      <w:r w:rsidR="00C35A23" w:rsidRPr="00C35A23">
        <w:rPr>
          <w:rFonts w:ascii="Times New Roman" w:hAnsi="Times New Roman" w:cs="Times New Roman"/>
          <w:b/>
          <w:bCs/>
        </w:rPr>
        <w:t>Adjournment</w:t>
      </w:r>
      <w:r w:rsidR="00E13CCC">
        <w:rPr>
          <w:rFonts w:ascii="Times New Roman" w:hAnsi="Times New Roman" w:cs="Times New Roman"/>
          <w:b/>
          <w:bCs/>
        </w:rPr>
        <w:br/>
      </w:r>
      <w:r w:rsidR="00C64F9D" w:rsidRPr="00625BF5">
        <w:rPr>
          <w:rFonts w:ascii="Times New Roman" w:hAnsi="Times New Roman" w:cs="Times New Roman"/>
        </w:rPr>
        <w:t xml:space="preserve">A motion was made to </w:t>
      </w:r>
      <w:r w:rsidR="00C35A23">
        <w:rPr>
          <w:rFonts w:ascii="Times New Roman" w:hAnsi="Times New Roman" w:cs="Times New Roman"/>
        </w:rPr>
        <w:t>adjourn</w:t>
      </w:r>
      <w:r w:rsidR="00C64F9D" w:rsidRPr="00625BF5">
        <w:rPr>
          <w:rFonts w:ascii="Times New Roman" w:hAnsi="Times New Roman" w:cs="Times New Roman"/>
        </w:rPr>
        <w:t xml:space="preserve"> the meeting. </w:t>
      </w:r>
      <w:r w:rsidR="003D6DFC" w:rsidRPr="00625BF5">
        <w:rPr>
          <w:rFonts w:ascii="Times New Roman" w:hAnsi="Times New Roman" w:cs="Times New Roman"/>
        </w:rPr>
        <w:t xml:space="preserve">The motion was seconded. The meeting concluded at </w:t>
      </w:r>
      <w:r w:rsidR="0060188B">
        <w:rPr>
          <w:rFonts w:ascii="Times New Roman" w:hAnsi="Times New Roman" w:cs="Times New Roman"/>
        </w:rPr>
        <w:t>6:24 p</w:t>
      </w:r>
      <w:r>
        <w:rPr>
          <w:rFonts w:ascii="Times New Roman" w:hAnsi="Times New Roman" w:cs="Times New Roman"/>
        </w:rPr>
        <w:t>.m.</w:t>
      </w:r>
    </w:p>
    <w:sectPr w:rsidR="0060188B" w:rsidRPr="00625BF5" w:rsidSect="0082732A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ED5E9" w14:textId="77777777" w:rsidR="000B510F" w:rsidRDefault="000B510F" w:rsidP="0082732A">
      <w:pPr>
        <w:spacing w:after="0" w:line="240" w:lineRule="auto"/>
      </w:pPr>
      <w:r>
        <w:separator/>
      </w:r>
    </w:p>
  </w:endnote>
  <w:endnote w:type="continuationSeparator" w:id="0">
    <w:p w14:paraId="0969D3A4" w14:textId="77777777" w:rsidR="000B510F" w:rsidRDefault="000B510F" w:rsidP="00827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F07FA" w14:textId="77777777" w:rsidR="000B510F" w:rsidRDefault="000B510F" w:rsidP="0082732A">
      <w:pPr>
        <w:spacing w:after="0" w:line="240" w:lineRule="auto"/>
      </w:pPr>
      <w:r>
        <w:separator/>
      </w:r>
    </w:p>
  </w:footnote>
  <w:footnote w:type="continuationSeparator" w:id="0">
    <w:p w14:paraId="2460A3B4" w14:textId="77777777" w:rsidR="000B510F" w:rsidRDefault="000B510F" w:rsidP="00827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36B5" w14:textId="298F76D2" w:rsidR="0082732A" w:rsidRPr="0082732A" w:rsidRDefault="0082732A" w:rsidP="0082732A">
    <w:pPr>
      <w:kinsoku w:val="0"/>
      <w:overflowPunct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  <w:sz w:val="20"/>
        <w:szCs w:val="20"/>
      </w:rPr>
    </w:pPr>
  </w:p>
  <w:p w14:paraId="7D4FBCE8" w14:textId="259E8A97" w:rsidR="0082732A" w:rsidRDefault="008273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08CA" w14:textId="78D19AAA" w:rsidR="0082732A" w:rsidRDefault="0050482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644DC6E" wp14:editId="752CF220">
              <wp:simplePos x="0" y="0"/>
              <wp:positionH relativeFrom="column">
                <wp:posOffset>390525</wp:posOffset>
              </wp:positionH>
              <wp:positionV relativeFrom="paragraph">
                <wp:posOffset>-409575</wp:posOffset>
              </wp:positionV>
              <wp:extent cx="4251960" cy="1000125"/>
              <wp:effectExtent l="0" t="0" r="0" b="9525"/>
              <wp:wrapSquare wrapText="bothSides"/>
              <wp:docPr id="16987854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537D7E" w14:textId="77777777" w:rsidR="0082732A" w:rsidRDefault="0082732A" w:rsidP="008273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IDFont+F1" w:hAnsi="CIDFont+F1" w:cs="CIDFont+F1"/>
                              <w:color w:val="5273A7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1" w:hAnsi="CIDFont+F1" w:cs="CIDFont+F1"/>
                              <w:color w:val="5273A7"/>
                              <w:kern w:val="0"/>
                              <w:sz w:val="16"/>
                              <w:szCs w:val="16"/>
                            </w:rPr>
                            <w:t>Ticaboo Utility Improvement District</w:t>
                          </w:r>
                        </w:p>
                        <w:p w14:paraId="0F02084B" w14:textId="77777777" w:rsidR="0082732A" w:rsidRDefault="0082732A" w:rsidP="008273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  <w:t>Hwy 276 MM 28</w:t>
                          </w:r>
                        </w:p>
                        <w:p w14:paraId="5C04DD97" w14:textId="77777777" w:rsidR="0082732A" w:rsidRDefault="0082732A" w:rsidP="008273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  <w:t>PO Box 2140</w:t>
                          </w:r>
                        </w:p>
                        <w:p w14:paraId="41B5DA79" w14:textId="77777777" w:rsidR="0082732A" w:rsidRDefault="0082732A" w:rsidP="008273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  <w:t>Ticaboo, UT 84533</w:t>
                          </w:r>
                        </w:p>
                        <w:p w14:paraId="788B2E05" w14:textId="77777777" w:rsidR="0082732A" w:rsidRDefault="0082732A" w:rsidP="008273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  <w:t>(435) 337-2021</w:t>
                          </w:r>
                        </w:p>
                        <w:p w14:paraId="0E715C66" w14:textId="77777777" w:rsidR="0082732A" w:rsidRDefault="0082732A" w:rsidP="008273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IDFont+F2" w:hAnsi="CIDFont+F2" w:cs="CIDFont+F2"/>
                              <w:color w:val="668C9B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2" w:hAnsi="CIDFont+F2" w:cs="CIDFont+F2"/>
                              <w:color w:val="668C9B"/>
                              <w:kern w:val="0"/>
                              <w:sz w:val="16"/>
                              <w:szCs w:val="16"/>
                            </w:rPr>
                            <w:t>mail@ticaboouid.com</w:t>
                          </w:r>
                        </w:p>
                        <w:p w14:paraId="2DF25BCB" w14:textId="77777777" w:rsidR="0082732A" w:rsidRDefault="0082732A" w:rsidP="0082732A">
                          <w:pPr>
                            <w:rPr>
                              <w:rFonts w:ascii="CIDFont+F3" w:hAnsi="CIDFont+F3" w:cs="CIDFont+F3"/>
                              <w:color w:val="4D4D4F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3" w:hAnsi="CIDFont+F3" w:cs="CIDFont+F3"/>
                              <w:color w:val="4D4D4F"/>
                              <w:kern w:val="0"/>
                              <w:sz w:val="16"/>
                              <w:szCs w:val="16"/>
                            </w:rPr>
                            <w:t>Committed to providing reliable power and clean, safe, drinking water to the community</w:t>
                          </w:r>
                        </w:p>
                        <w:p w14:paraId="7D8FED55" w14:textId="77777777" w:rsidR="002471B1" w:rsidRDefault="002471B1" w:rsidP="0082732A"/>
                        <w:p w14:paraId="00B37AF0" w14:textId="58969EB5" w:rsidR="0082732A" w:rsidRDefault="0082732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4DC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.75pt;margin-top:-32.25pt;width:334.8pt;height:78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" stroked="f">
              <v:textbox>
                <w:txbxContent>
                  <w:p w14:paraId="25537D7E" w14:textId="77777777" w:rsidR="0082732A" w:rsidRDefault="0082732A" w:rsidP="008273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IDFont+F1" w:hAnsi="CIDFont+F1" w:cs="CIDFont+F1"/>
                        <w:color w:val="5273A7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1" w:hAnsi="CIDFont+F1" w:cs="CIDFont+F1"/>
                        <w:color w:val="5273A7"/>
                        <w:kern w:val="0"/>
                        <w:sz w:val="16"/>
                        <w:szCs w:val="16"/>
                      </w:rPr>
                      <w:t>Ticaboo Utility Improvement District</w:t>
                    </w:r>
                  </w:p>
                  <w:p w14:paraId="0F02084B" w14:textId="77777777" w:rsidR="0082732A" w:rsidRDefault="0082732A" w:rsidP="008273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  <w:t>Hwy 276 MM 28</w:t>
                    </w:r>
                  </w:p>
                  <w:p w14:paraId="5C04DD97" w14:textId="77777777" w:rsidR="0082732A" w:rsidRDefault="0082732A" w:rsidP="008273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  <w:t>PO Box 2140</w:t>
                    </w:r>
                  </w:p>
                  <w:p w14:paraId="41B5DA79" w14:textId="77777777" w:rsidR="0082732A" w:rsidRDefault="0082732A" w:rsidP="008273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  <w:t>Ticaboo, UT 84533</w:t>
                    </w:r>
                  </w:p>
                  <w:p w14:paraId="788B2E05" w14:textId="77777777" w:rsidR="0082732A" w:rsidRDefault="0082732A" w:rsidP="008273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  <w:t>(435) 337-2021</w:t>
                    </w:r>
                  </w:p>
                  <w:p w14:paraId="0E715C66" w14:textId="77777777" w:rsidR="0082732A" w:rsidRDefault="0082732A" w:rsidP="008273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IDFont+F2" w:hAnsi="CIDFont+F2" w:cs="CIDFont+F2"/>
                        <w:color w:val="668C9B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2" w:hAnsi="CIDFont+F2" w:cs="CIDFont+F2"/>
                        <w:color w:val="668C9B"/>
                        <w:kern w:val="0"/>
                        <w:sz w:val="16"/>
                        <w:szCs w:val="16"/>
                      </w:rPr>
                      <w:t>mail@ticaboouid.com</w:t>
                    </w:r>
                  </w:p>
                  <w:p w14:paraId="2DF25BCB" w14:textId="77777777" w:rsidR="0082732A" w:rsidRDefault="0082732A" w:rsidP="0082732A">
                    <w:pPr>
                      <w:rPr>
                        <w:rFonts w:ascii="CIDFont+F3" w:hAnsi="CIDFont+F3" w:cs="CIDFont+F3"/>
                        <w:color w:val="4D4D4F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3" w:hAnsi="CIDFont+F3" w:cs="CIDFont+F3"/>
                        <w:color w:val="4D4D4F"/>
                        <w:kern w:val="0"/>
                        <w:sz w:val="16"/>
                        <w:szCs w:val="16"/>
                      </w:rPr>
                      <w:t>Committed to providing reliable power and clean, safe, drinking water to the community</w:t>
                    </w:r>
                  </w:p>
                  <w:p w14:paraId="7D8FED55" w14:textId="77777777" w:rsidR="002471B1" w:rsidRDefault="002471B1" w:rsidP="0082732A"/>
                  <w:p w14:paraId="00B37AF0" w14:textId="58969EB5" w:rsidR="0082732A" w:rsidRDefault="0082732A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CD8BB68" wp14:editId="7884ADE8">
              <wp:simplePos x="0" y="0"/>
              <wp:positionH relativeFrom="column">
                <wp:posOffset>-419100</wp:posOffset>
              </wp:positionH>
              <wp:positionV relativeFrom="paragraph">
                <wp:posOffset>-295275</wp:posOffset>
              </wp:positionV>
              <wp:extent cx="714375" cy="628650"/>
              <wp:effectExtent l="0" t="0" r="2857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8BC092" w14:textId="29C3A992" w:rsidR="00504821" w:rsidRDefault="00504821">
                          <w:r w:rsidRPr="0082732A">
                            <w:rPr>
                              <w:rFonts w:ascii="Times New Roman" w:hAnsi="Times New Roman" w:cs="Times New Roman"/>
                              <w:noProof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0" distR="0" wp14:anchorId="524D12B1" wp14:editId="78FCDF20">
                                <wp:extent cx="522605" cy="522605"/>
                                <wp:effectExtent l="0" t="0" r="0" b="0"/>
                                <wp:docPr id="661167397" name="Picture 2" descr="A close-up of a logo&#10;&#10;AI-generated content may be incorrect.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1167397" name="Picture 2" descr="A close-up of a logo&#10;&#10;AI-generated content may be incorrect.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2605" cy="5226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D8BB68" id="_x0000_s1027" type="#_x0000_t202" style="position:absolute;margin-left:-33pt;margin-top:-23.25pt;width:56.25pt;height:4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">
              <v:textbox>
                <w:txbxContent>
                  <w:p w14:paraId="6D8BC092" w14:textId="29C3A992" w:rsidR="00504821" w:rsidRDefault="00504821">
                    <w:r w:rsidRPr="0082732A">
                      <w:rPr>
                        <w:rFonts w:ascii="Times New Roman" w:hAnsi="Times New Roman" w:cs="Times New Roman"/>
                        <w:noProof/>
                        <w:kern w:val="0"/>
                        <w:sz w:val="20"/>
                        <w:szCs w:val="20"/>
                      </w:rPr>
                      <w:drawing>
                        <wp:inline distT="0" distB="0" distL="0" distR="0" wp14:anchorId="524D12B1" wp14:editId="78FCDF20">
                          <wp:extent cx="522605" cy="522605"/>
                          <wp:effectExtent l="0" t="0" r="0" b="0"/>
                          <wp:docPr id="661167397" name="Picture 2" descr="A close-up of a logo&#10;&#10;AI-generated content may be incorrect.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61167397" name="Picture 2" descr="A close-up of a logo&#10;&#10;AI-generated content may be incorrect.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2605" cy="522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C24"/>
    <w:multiLevelType w:val="multilevel"/>
    <w:tmpl w:val="659A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11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2A"/>
    <w:rsid w:val="00001CA5"/>
    <w:rsid w:val="0001268D"/>
    <w:rsid w:val="0002129B"/>
    <w:rsid w:val="000256A9"/>
    <w:rsid w:val="00042BF4"/>
    <w:rsid w:val="00044C82"/>
    <w:rsid w:val="00046D6C"/>
    <w:rsid w:val="00052B57"/>
    <w:rsid w:val="00063599"/>
    <w:rsid w:val="00073D66"/>
    <w:rsid w:val="00084EC3"/>
    <w:rsid w:val="000921A6"/>
    <w:rsid w:val="000936F6"/>
    <w:rsid w:val="000A32C5"/>
    <w:rsid w:val="000B510F"/>
    <w:rsid w:val="000D26A8"/>
    <w:rsid w:val="000D600E"/>
    <w:rsid w:val="000F48A8"/>
    <w:rsid w:val="00102326"/>
    <w:rsid w:val="001038FD"/>
    <w:rsid w:val="00117E82"/>
    <w:rsid w:val="00126325"/>
    <w:rsid w:val="00126C1D"/>
    <w:rsid w:val="001414FF"/>
    <w:rsid w:val="00145ADB"/>
    <w:rsid w:val="00162733"/>
    <w:rsid w:val="00174852"/>
    <w:rsid w:val="00195244"/>
    <w:rsid w:val="001A00D8"/>
    <w:rsid w:val="001B0E31"/>
    <w:rsid w:val="001B2E01"/>
    <w:rsid w:val="001E4D9A"/>
    <w:rsid w:val="001E77D3"/>
    <w:rsid w:val="001F013E"/>
    <w:rsid w:val="001F3DA6"/>
    <w:rsid w:val="002121A9"/>
    <w:rsid w:val="00214BB5"/>
    <w:rsid w:val="002471B1"/>
    <w:rsid w:val="00260955"/>
    <w:rsid w:val="00274D4E"/>
    <w:rsid w:val="00280DCB"/>
    <w:rsid w:val="002820A4"/>
    <w:rsid w:val="00285650"/>
    <w:rsid w:val="002A09AB"/>
    <w:rsid w:val="002A773E"/>
    <w:rsid w:val="002B39E7"/>
    <w:rsid w:val="002D5EA8"/>
    <w:rsid w:val="002D68AF"/>
    <w:rsid w:val="0031351E"/>
    <w:rsid w:val="0032239D"/>
    <w:rsid w:val="00324562"/>
    <w:rsid w:val="00344CE0"/>
    <w:rsid w:val="00351969"/>
    <w:rsid w:val="003608A6"/>
    <w:rsid w:val="00367AEE"/>
    <w:rsid w:val="00384C85"/>
    <w:rsid w:val="003C486E"/>
    <w:rsid w:val="003D3F3A"/>
    <w:rsid w:val="003D6DFC"/>
    <w:rsid w:val="003E0A33"/>
    <w:rsid w:val="003F2DE9"/>
    <w:rsid w:val="003F3F9C"/>
    <w:rsid w:val="00403323"/>
    <w:rsid w:val="00403FE2"/>
    <w:rsid w:val="00406E1E"/>
    <w:rsid w:val="004163C1"/>
    <w:rsid w:val="00425B48"/>
    <w:rsid w:val="00425F56"/>
    <w:rsid w:val="004345D6"/>
    <w:rsid w:val="00442B2C"/>
    <w:rsid w:val="00463158"/>
    <w:rsid w:val="00466822"/>
    <w:rsid w:val="00490DA3"/>
    <w:rsid w:val="004A7D29"/>
    <w:rsid w:val="004B3B6C"/>
    <w:rsid w:val="004B7E5B"/>
    <w:rsid w:val="004D3040"/>
    <w:rsid w:val="004F516D"/>
    <w:rsid w:val="00504821"/>
    <w:rsid w:val="00510E30"/>
    <w:rsid w:val="005239C3"/>
    <w:rsid w:val="00527B4B"/>
    <w:rsid w:val="00531835"/>
    <w:rsid w:val="005607E2"/>
    <w:rsid w:val="0056132D"/>
    <w:rsid w:val="00563CEA"/>
    <w:rsid w:val="00574BC5"/>
    <w:rsid w:val="005832E0"/>
    <w:rsid w:val="00593118"/>
    <w:rsid w:val="005B4D5B"/>
    <w:rsid w:val="005B7AA1"/>
    <w:rsid w:val="005B7B30"/>
    <w:rsid w:val="005C2EF5"/>
    <w:rsid w:val="005C3CDE"/>
    <w:rsid w:val="005E007B"/>
    <w:rsid w:val="005E2C18"/>
    <w:rsid w:val="005F6932"/>
    <w:rsid w:val="0060188B"/>
    <w:rsid w:val="00605708"/>
    <w:rsid w:val="00625BF5"/>
    <w:rsid w:val="006469B3"/>
    <w:rsid w:val="00650F27"/>
    <w:rsid w:val="006650FD"/>
    <w:rsid w:val="006739A5"/>
    <w:rsid w:val="00680231"/>
    <w:rsid w:val="0068560E"/>
    <w:rsid w:val="00687818"/>
    <w:rsid w:val="0069395E"/>
    <w:rsid w:val="00695A9A"/>
    <w:rsid w:val="006D031E"/>
    <w:rsid w:val="006E6D6F"/>
    <w:rsid w:val="006F1F01"/>
    <w:rsid w:val="006F23B2"/>
    <w:rsid w:val="006F4108"/>
    <w:rsid w:val="006F6FB7"/>
    <w:rsid w:val="00722B7B"/>
    <w:rsid w:val="00727367"/>
    <w:rsid w:val="0073137D"/>
    <w:rsid w:val="007523AD"/>
    <w:rsid w:val="00761D73"/>
    <w:rsid w:val="00764B09"/>
    <w:rsid w:val="00765FBF"/>
    <w:rsid w:val="0077383D"/>
    <w:rsid w:val="0078136F"/>
    <w:rsid w:val="00785620"/>
    <w:rsid w:val="00790438"/>
    <w:rsid w:val="00792031"/>
    <w:rsid w:val="007926BA"/>
    <w:rsid w:val="007A16C2"/>
    <w:rsid w:val="007A47EA"/>
    <w:rsid w:val="007B4595"/>
    <w:rsid w:val="007F0B05"/>
    <w:rsid w:val="00812700"/>
    <w:rsid w:val="008158E6"/>
    <w:rsid w:val="00817752"/>
    <w:rsid w:val="00824110"/>
    <w:rsid w:val="00824985"/>
    <w:rsid w:val="00826924"/>
    <w:rsid w:val="0082732A"/>
    <w:rsid w:val="00830C91"/>
    <w:rsid w:val="00841707"/>
    <w:rsid w:val="008672D2"/>
    <w:rsid w:val="008965F6"/>
    <w:rsid w:val="008A246F"/>
    <w:rsid w:val="008A5C6A"/>
    <w:rsid w:val="008A786D"/>
    <w:rsid w:val="008E5681"/>
    <w:rsid w:val="008F0144"/>
    <w:rsid w:val="008F07C6"/>
    <w:rsid w:val="008F5309"/>
    <w:rsid w:val="008F6FD2"/>
    <w:rsid w:val="008F7B9F"/>
    <w:rsid w:val="00911D52"/>
    <w:rsid w:val="00917A1C"/>
    <w:rsid w:val="009215DD"/>
    <w:rsid w:val="009224BF"/>
    <w:rsid w:val="009262A8"/>
    <w:rsid w:val="00950676"/>
    <w:rsid w:val="009B5A89"/>
    <w:rsid w:val="009B6CC5"/>
    <w:rsid w:val="009C7070"/>
    <w:rsid w:val="009D0435"/>
    <w:rsid w:val="009D1813"/>
    <w:rsid w:val="009D3A78"/>
    <w:rsid w:val="009D3EAA"/>
    <w:rsid w:val="009E65F2"/>
    <w:rsid w:val="009F166C"/>
    <w:rsid w:val="009F7B1F"/>
    <w:rsid w:val="00A075D4"/>
    <w:rsid w:val="00A237C2"/>
    <w:rsid w:val="00A26F57"/>
    <w:rsid w:val="00A36B38"/>
    <w:rsid w:val="00A423E2"/>
    <w:rsid w:val="00A575AD"/>
    <w:rsid w:val="00A63C02"/>
    <w:rsid w:val="00A71FC1"/>
    <w:rsid w:val="00A761E3"/>
    <w:rsid w:val="00A80233"/>
    <w:rsid w:val="00A81C3B"/>
    <w:rsid w:val="00AA19D9"/>
    <w:rsid w:val="00AA37DC"/>
    <w:rsid w:val="00AB27EB"/>
    <w:rsid w:val="00AD69F7"/>
    <w:rsid w:val="00AE1C3B"/>
    <w:rsid w:val="00B00B4C"/>
    <w:rsid w:val="00B1245F"/>
    <w:rsid w:val="00B156E3"/>
    <w:rsid w:val="00B34F61"/>
    <w:rsid w:val="00B36C0D"/>
    <w:rsid w:val="00B42F6B"/>
    <w:rsid w:val="00B53129"/>
    <w:rsid w:val="00B61BA7"/>
    <w:rsid w:val="00B65F26"/>
    <w:rsid w:val="00B71559"/>
    <w:rsid w:val="00B75A57"/>
    <w:rsid w:val="00B81E17"/>
    <w:rsid w:val="00B86DAE"/>
    <w:rsid w:val="00B873AF"/>
    <w:rsid w:val="00BA0141"/>
    <w:rsid w:val="00BA0EA9"/>
    <w:rsid w:val="00BA17EC"/>
    <w:rsid w:val="00BB4C86"/>
    <w:rsid w:val="00BD05A9"/>
    <w:rsid w:val="00BD3ACD"/>
    <w:rsid w:val="00BD3C19"/>
    <w:rsid w:val="00BD5A43"/>
    <w:rsid w:val="00BE2C61"/>
    <w:rsid w:val="00BF2321"/>
    <w:rsid w:val="00C04CAB"/>
    <w:rsid w:val="00C354D5"/>
    <w:rsid w:val="00C35A23"/>
    <w:rsid w:val="00C64F9D"/>
    <w:rsid w:val="00C65E9F"/>
    <w:rsid w:val="00CA1E6B"/>
    <w:rsid w:val="00CA560B"/>
    <w:rsid w:val="00CD03B7"/>
    <w:rsid w:val="00CE2397"/>
    <w:rsid w:val="00CE3485"/>
    <w:rsid w:val="00CE7930"/>
    <w:rsid w:val="00CF4CFC"/>
    <w:rsid w:val="00D04496"/>
    <w:rsid w:val="00D1284C"/>
    <w:rsid w:val="00D57242"/>
    <w:rsid w:val="00D74B59"/>
    <w:rsid w:val="00D76CCC"/>
    <w:rsid w:val="00D76F13"/>
    <w:rsid w:val="00D76F9A"/>
    <w:rsid w:val="00D8246D"/>
    <w:rsid w:val="00D91762"/>
    <w:rsid w:val="00DB1977"/>
    <w:rsid w:val="00DB45E8"/>
    <w:rsid w:val="00DB76E8"/>
    <w:rsid w:val="00DC1186"/>
    <w:rsid w:val="00DC471D"/>
    <w:rsid w:val="00DD4859"/>
    <w:rsid w:val="00DD6972"/>
    <w:rsid w:val="00DD6981"/>
    <w:rsid w:val="00DE33D3"/>
    <w:rsid w:val="00DE4D67"/>
    <w:rsid w:val="00E0373A"/>
    <w:rsid w:val="00E13CCC"/>
    <w:rsid w:val="00E2712D"/>
    <w:rsid w:val="00E471E4"/>
    <w:rsid w:val="00E57A60"/>
    <w:rsid w:val="00E73FB4"/>
    <w:rsid w:val="00E74FD6"/>
    <w:rsid w:val="00E86B40"/>
    <w:rsid w:val="00E97132"/>
    <w:rsid w:val="00EA0FDF"/>
    <w:rsid w:val="00EB7267"/>
    <w:rsid w:val="00EC0453"/>
    <w:rsid w:val="00EE23DE"/>
    <w:rsid w:val="00EF320C"/>
    <w:rsid w:val="00F21EBA"/>
    <w:rsid w:val="00F2410D"/>
    <w:rsid w:val="00F32364"/>
    <w:rsid w:val="00F36DCA"/>
    <w:rsid w:val="00F65F2F"/>
    <w:rsid w:val="00F75996"/>
    <w:rsid w:val="00F92544"/>
    <w:rsid w:val="00FC040E"/>
    <w:rsid w:val="00FD62EC"/>
    <w:rsid w:val="00FE12D3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91C51"/>
  <w15:chartTrackingRefBased/>
  <w15:docId w15:val="{9EE6DE2D-730F-4279-96D1-D4F30B1C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3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7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32A"/>
  </w:style>
  <w:style w:type="paragraph" w:styleId="Footer">
    <w:name w:val="footer"/>
    <w:basedOn w:val="Normal"/>
    <w:link w:val="FooterChar"/>
    <w:uiPriority w:val="99"/>
    <w:unhideWhenUsed/>
    <w:rsid w:val="00827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32A"/>
  </w:style>
  <w:style w:type="paragraph" w:styleId="NormalWeb">
    <w:name w:val="Normal (Web)"/>
    <w:basedOn w:val="Normal"/>
    <w:uiPriority w:val="99"/>
    <w:unhideWhenUsed/>
    <w:rsid w:val="0082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Ticaboo Utility</dc:creator>
  <cp:keywords/>
  <dc:description/>
  <cp:lastModifiedBy>Ticaboo Utility</cp:lastModifiedBy>
  <cp:revision>254</cp:revision>
  <dcterms:created xsi:type="dcterms:W3CDTF">2025-09-11T17:31:00Z</dcterms:created>
  <dcterms:modified xsi:type="dcterms:W3CDTF">2025-09-12T16:13:00Z</dcterms:modified>
</cp:coreProperties>
</file>