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34010" w14:textId="77777777" w:rsidR="00B93404" w:rsidRPr="00F20BCF" w:rsidRDefault="00B93404" w:rsidP="00B93404">
      <w:pPr>
        <w:jc w:val="center"/>
        <w:rPr>
          <w:sz w:val="22"/>
          <w:szCs w:val="22"/>
        </w:rPr>
      </w:pPr>
      <w:r w:rsidRPr="00F20BCF">
        <w:rPr>
          <w:sz w:val="22"/>
          <w:szCs w:val="22"/>
        </w:rPr>
        <w:t>Enforcement Council</w:t>
      </w:r>
    </w:p>
    <w:p w14:paraId="687D6187" w14:textId="77777777" w:rsidR="00B93404" w:rsidRPr="00F20BCF" w:rsidRDefault="00B93404" w:rsidP="00B93404">
      <w:pPr>
        <w:jc w:val="center"/>
        <w:rPr>
          <w:sz w:val="22"/>
          <w:szCs w:val="22"/>
        </w:rPr>
      </w:pPr>
      <w:r w:rsidRPr="00F20BCF">
        <w:rPr>
          <w:sz w:val="22"/>
          <w:szCs w:val="22"/>
        </w:rPr>
        <w:t>Labor Commission, 160 East 300 South, Salt Lake City</w:t>
      </w:r>
    </w:p>
    <w:p w14:paraId="2D136F55" w14:textId="1B090605" w:rsidR="00B93404" w:rsidRDefault="003F753C" w:rsidP="00B9340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March 25</w:t>
      </w:r>
      <w:r w:rsidR="00BA0368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2025</w:t>
      </w:r>
      <w:r w:rsidR="00B93404">
        <w:rPr>
          <w:b/>
          <w:sz w:val="22"/>
          <w:szCs w:val="22"/>
        </w:rPr>
        <w:t xml:space="preserve"> </w:t>
      </w:r>
      <w:r w:rsidR="009B3548">
        <w:rPr>
          <w:b/>
          <w:sz w:val="22"/>
          <w:szCs w:val="22"/>
        </w:rPr>
        <w:t xml:space="preserve">- </w:t>
      </w:r>
      <w:r w:rsidR="00B93404">
        <w:rPr>
          <w:b/>
          <w:sz w:val="22"/>
          <w:szCs w:val="22"/>
        </w:rPr>
        <w:t>9:3</w:t>
      </w:r>
      <w:r w:rsidR="00B93404" w:rsidRPr="00D77820">
        <w:rPr>
          <w:b/>
          <w:sz w:val="22"/>
          <w:szCs w:val="22"/>
        </w:rPr>
        <w:t>0 a.m.</w:t>
      </w:r>
    </w:p>
    <w:p w14:paraId="5DA2C9F2" w14:textId="77777777" w:rsidR="00B93404" w:rsidRDefault="00B93404" w:rsidP="00B93404">
      <w:pPr>
        <w:rPr>
          <w:sz w:val="22"/>
          <w:szCs w:val="22"/>
        </w:rPr>
      </w:pPr>
    </w:p>
    <w:p w14:paraId="492A4059" w14:textId="77777777" w:rsidR="00B93404" w:rsidRDefault="00B93404" w:rsidP="00B93404">
      <w:pPr>
        <w:rPr>
          <w:sz w:val="22"/>
          <w:szCs w:val="22"/>
        </w:rPr>
      </w:pPr>
      <w:r w:rsidRPr="00F20BCF">
        <w:rPr>
          <w:b/>
          <w:sz w:val="22"/>
          <w:szCs w:val="22"/>
        </w:rPr>
        <w:t>Council Members Present:</w:t>
      </w:r>
      <w:r w:rsidRPr="00F20BCF">
        <w:rPr>
          <w:sz w:val="22"/>
          <w:szCs w:val="22"/>
        </w:rPr>
        <w:tab/>
      </w:r>
      <w:bookmarkStart w:id="0" w:name="_Hlk181974871"/>
      <w:r>
        <w:rPr>
          <w:sz w:val="22"/>
          <w:szCs w:val="22"/>
        </w:rPr>
        <w:t>Chris Hill, Chair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Deputy Commissioner, Labor Commission </w:t>
      </w:r>
    </w:p>
    <w:p w14:paraId="2142159B" w14:textId="77777777" w:rsidR="00DA17F2" w:rsidRPr="00EA2A71" w:rsidRDefault="00DA17F2" w:rsidP="00DA17F2">
      <w:pPr>
        <w:ind w:left="720" w:hanging="720"/>
        <w:rPr>
          <w:b/>
          <w:sz w:val="22"/>
          <w:szCs w:val="22"/>
        </w:rPr>
      </w:pPr>
      <w:r>
        <w:t xml:space="preserve">                                                    </w:t>
      </w:r>
      <w:r w:rsidRPr="00842353">
        <w:t xml:space="preserve"> </w:t>
      </w:r>
      <w:r>
        <w:rPr>
          <w:sz w:val="22"/>
          <w:szCs w:val="22"/>
        </w:rPr>
        <w:t xml:space="preserve">Todd Jenson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Assistant Attorney General</w:t>
      </w:r>
    </w:p>
    <w:p w14:paraId="1082C04E" w14:textId="54A8C491" w:rsidR="005C692E" w:rsidRDefault="004A356A" w:rsidP="004A356A">
      <w:pPr>
        <w:ind w:firstLine="2175"/>
      </w:pPr>
      <w:r>
        <w:t xml:space="preserve">             </w:t>
      </w:r>
      <w:r w:rsidR="005C692E" w:rsidRPr="00842353">
        <w:t xml:space="preserve">Allyson Pettley  </w:t>
      </w:r>
      <w:r w:rsidR="005C692E">
        <w:t xml:space="preserve">                        Bureau </w:t>
      </w:r>
      <w:r>
        <w:t>Manager, Department Professional Licensing,</w:t>
      </w:r>
      <w:r>
        <w:rPr>
          <w:b/>
          <w:sz w:val="22"/>
          <w:szCs w:val="22"/>
        </w:rPr>
        <w:t xml:space="preserve"> </w:t>
      </w:r>
      <w:r>
        <w:t xml:space="preserve">Utah Department of                                                                                                     </w:t>
      </w:r>
    </w:p>
    <w:p w14:paraId="64A4EFB8" w14:textId="1CC313A9" w:rsidR="004A356A" w:rsidRPr="004A356A" w:rsidRDefault="004A356A" w:rsidP="004A356A">
      <w:pPr>
        <w:ind w:firstLine="217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Commerce</w:t>
      </w:r>
    </w:p>
    <w:p w14:paraId="68158805" w14:textId="28B93EA6" w:rsidR="00DA17F2" w:rsidRDefault="003F753C" w:rsidP="003F753C">
      <w:pPr>
        <w:ind w:left="5760" w:hanging="2880"/>
      </w:pPr>
      <w:bookmarkStart w:id="1" w:name="_Hlk196228508"/>
      <w:r>
        <w:rPr>
          <w:bCs/>
        </w:rPr>
        <w:t>Roman Rubalcava</w:t>
      </w:r>
      <w:r>
        <w:rPr>
          <w:bCs/>
        </w:rPr>
        <w:tab/>
        <w:t>Unemployment Insurance Division, Deputy Director, Department of                                                         Workforce Services</w:t>
      </w:r>
    </w:p>
    <w:bookmarkEnd w:id="0"/>
    <w:bookmarkEnd w:id="1"/>
    <w:p w14:paraId="5A82A404" w14:textId="77777777" w:rsidR="00842353" w:rsidRDefault="00842353" w:rsidP="00B93404">
      <w:pPr>
        <w:rPr>
          <w:sz w:val="22"/>
          <w:szCs w:val="22"/>
        </w:rPr>
      </w:pPr>
    </w:p>
    <w:p w14:paraId="7972C988" w14:textId="77777777" w:rsidR="002C24C6" w:rsidRDefault="00833F63" w:rsidP="002C24C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</w:t>
      </w:r>
      <w:r w:rsidR="00842353">
        <w:rPr>
          <w:b/>
          <w:sz w:val="22"/>
          <w:szCs w:val="22"/>
        </w:rPr>
        <w:t xml:space="preserve">                               </w:t>
      </w:r>
      <w:r w:rsidR="002C24C6">
        <w:rPr>
          <w:b/>
          <w:sz w:val="22"/>
          <w:szCs w:val="22"/>
        </w:rPr>
        <w:tab/>
      </w:r>
    </w:p>
    <w:p w14:paraId="61179501" w14:textId="77777777" w:rsidR="004A356A" w:rsidRPr="00DA17F2" w:rsidRDefault="00B93404" w:rsidP="004A356A">
      <w:pPr>
        <w:rPr>
          <w:sz w:val="22"/>
          <w:szCs w:val="22"/>
        </w:rPr>
      </w:pPr>
      <w:r w:rsidRPr="00795374">
        <w:rPr>
          <w:b/>
          <w:sz w:val="22"/>
          <w:szCs w:val="22"/>
        </w:rPr>
        <w:t>Council Members Excused</w:t>
      </w:r>
      <w:r>
        <w:rPr>
          <w:sz w:val="22"/>
          <w:szCs w:val="22"/>
        </w:rPr>
        <w:t>:</w:t>
      </w:r>
      <w:r w:rsidRPr="00F20BCF">
        <w:rPr>
          <w:sz w:val="22"/>
          <w:szCs w:val="22"/>
        </w:rPr>
        <w:tab/>
      </w:r>
      <w:r w:rsidR="004A356A">
        <w:t xml:space="preserve">Justin Williams                          Unemployment Insurance Division Director, Department of Workforce </w:t>
      </w:r>
    </w:p>
    <w:p w14:paraId="60BC3D26" w14:textId="77777777" w:rsidR="004A356A" w:rsidRDefault="004A356A" w:rsidP="004A356A">
      <w:pPr>
        <w:ind w:left="2160" w:firstLine="720"/>
      </w:pPr>
      <w:r>
        <w:rPr>
          <w:b/>
          <w:sz w:val="22"/>
          <w:szCs w:val="22"/>
        </w:rPr>
        <w:t xml:space="preserve">                                                          </w:t>
      </w:r>
      <w:r>
        <w:t>Services</w:t>
      </w:r>
    </w:p>
    <w:p w14:paraId="662ED4FE" w14:textId="2DAE0677" w:rsidR="003F753C" w:rsidRDefault="003F753C" w:rsidP="004A356A">
      <w:pPr>
        <w:ind w:left="2160" w:firstLine="720"/>
      </w:pPr>
      <w:r>
        <w:rPr>
          <w:sz w:val="22"/>
          <w:szCs w:val="22"/>
        </w:rPr>
        <w:t xml:space="preserve">Angie Hillas                                     </w:t>
      </w:r>
      <w:r>
        <w:t>Director, Income Tax and Education Division, Utah State Tax Commission</w:t>
      </w:r>
    </w:p>
    <w:p w14:paraId="26DA2DB4" w14:textId="77777777" w:rsidR="003F753C" w:rsidRPr="00DA17F2" w:rsidRDefault="003F753C" w:rsidP="003F753C">
      <w:pPr>
        <w:ind w:left="2160" w:firstLine="720"/>
      </w:pPr>
      <w:r>
        <w:rPr>
          <w:sz w:val="22"/>
          <w:szCs w:val="22"/>
        </w:rPr>
        <w:t xml:space="preserve">Mike Miller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Unemployment Insurance Division, Department of Workforce Services</w:t>
      </w:r>
    </w:p>
    <w:p w14:paraId="4924E10B" w14:textId="77777777" w:rsidR="003F753C" w:rsidRDefault="003F753C" w:rsidP="004A356A">
      <w:pPr>
        <w:ind w:left="2160" w:firstLine="720"/>
        <w:rPr>
          <w:sz w:val="22"/>
          <w:szCs w:val="22"/>
        </w:rPr>
      </w:pPr>
    </w:p>
    <w:p w14:paraId="1494F960" w14:textId="77777777" w:rsidR="00C152A2" w:rsidRDefault="00C152A2" w:rsidP="00C152A2">
      <w:pPr>
        <w:rPr>
          <w:b/>
          <w:sz w:val="22"/>
          <w:szCs w:val="22"/>
        </w:rPr>
      </w:pPr>
    </w:p>
    <w:p w14:paraId="42D7707D" w14:textId="65E81C5D" w:rsidR="00B93404" w:rsidRPr="00F20BCF" w:rsidRDefault="00B93404" w:rsidP="00C152A2">
      <w:pPr>
        <w:rPr>
          <w:sz w:val="22"/>
          <w:szCs w:val="22"/>
        </w:rPr>
      </w:pPr>
      <w:r w:rsidRPr="00F20BCF">
        <w:rPr>
          <w:b/>
          <w:sz w:val="22"/>
          <w:szCs w:val="22"/>
        </w:rPr>
        <w:t>Visitors:</w:t>
      </w:r>
      <w:r w:rsidRPr="00F20BCF">
        <w:rPr>
          <w:sz w:val="22"/>
          <w:szCs w:val="22"/>
        </w:rPr>
        <w:t xml:space="preserve"> </w:t>
      </w:r>
      <w:r w:rsidRPr="00F20BCF">
        <w:rPr>
          <w:sz w:val="22"/>
          <w:szCs w:val="22"/>
        </w:rPr>
        <w:tab/>
      </w:r>
      <w:r w:rsidRPr="00F20BCF">
        <w:rPr>
          <w:sz w:val="22"/>
          <w:szCs w:val="22"/>
        </w:rPr>
        <w:tab/>
      </w:r>
      <w:r w:rsidRPr="00F20BCF">
        <w:rPr>
          <w:sz w:val="22"/>
          <w:szCs w:val="22"/>
        </w:rPr>
        <w:tab/>
        <w:t>A list of visitors is provided at the end of the Minutes.</w:t>
      </w:r>
      <w:r w:rsidRPr="00F20BCF">
        <w:rPr>
          <w:sz w:val="22"/>
          <w:szCs w:val="22"/>
        </w:rPr>
        <w:tab/>
      </w:r>
    </w:p>
    <w:p w14:paraId="5E034074" w14:textId="77777777" w:rsidR="00B93404" w:rsidRDefault="00B93404" w:rsidP="00B93404"/>
    <w:p w14:paraId="3DCC8233" w14:textId="77777777" w:rsidR="00B93404" w:rsidRDefault="00B93404" w:rsidP="00B93404">
      <w:pPr>
        <w:rPr>
          <w:sz w:val="22"/>
          <w:szCs w:val="22"/>
        </w:rPr>
      </w:pPr>
    </w:p>
    <w:tbl>
      <w:tblPr>
        <w:tblW w:w="13428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08"/>
        <w:gridCol w:w="9540"/>
        <w:gridCol w:w="1880"/>
      </w:tblGrid>
      <w:tr w:rsidR="00B93404" w:rsidRPr="00DF7528" w14:paraId="052D5752" w14:textId="77777777" w:rsidTr="008C0BFB">
        <w:trPr>
          <w:trHeight w:val="280"/>
          <w:tblCellSpacing w:w="20" w:type="dxa"/>
        </w:trPr>
        <w:tc>
          <w:tcPr>
            <w:tcW w:w="1948" w:type="dxa"/>
          </w:tcPr>
          <w:p w14:paraId="69ABB31F" w14:textId="77777777" w:rsidR="00B93404" w:rsidRPr="00DF7528" w:rsidRDefault="00B93404" w:rsidP="008C0BFB">
            <w:pPr>
              <w:pStyle w:val="Heading4"/>
              <w:jc w:val="center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DF7528">
              <w:rPr>
                <w:rFonts w:cs="Calibri"/>
                <w:b w:val="0"/>
                <w:bCs w:val="0"/>
                <w:sz w:val="22"/>
                <w:szCs w:val="22"/>
              </w:rPr>
              <w:t>Topic</w:t>
            </w:r>
          </w:p>
        </w:tc>
        <w:tc>
          <w:tcPr>
            <w:tcW w:w="9500" w:type="dxa"/>
          </w:tcPr>
          <w:p w14:paraId="7B0388DF" w14:textId="77777777" w:rsidR="00B93404" w:rsidRPr="00DF7528" w:rsidRDefault="00B93404" w:rsidP="008C0BFB">
            <w:pPr>
              <w:jc w:val="center"/>
              <w:rPr>
                <w:rFonts w:cs="Calibri"/>
                <w:sz w:val="22"/>
                <w:szCs w:val="22"/>
              </w:rPr>
            </w:pPr>
            <w:r w:rsidRPr="00DF7528">
              <w:rPr>
                <w:rFonts w:cs="Calibri"/>
                <w:sz w:val="22"/>
                <w:szCs w:val="22"/>
              </w:rPr>
              <w:t>Discussion</w:t>
            </w:r>
          </w:p>
        </w:tc>
        <w:tc>
          <w:tcPr>
            <w:tcW w:w="1820" w:type="dxa"/>
          </w:tcPr>
          <w:p w14:paraId="51A6C055" w14:textId="77777777" w:rsidR="00B93404" w:rsidRPr="00DF7528" w:rsidRDefault="00B93404" w:rsidP="008C0BFB">
            <w:pPr>
              <w:jc w:val="center"/>
              <w:rPr>
                <w:rFonts w:cs="Calibri"/>
                <w:sz w:val="22"/>
                <w:szCs w:val="22"/>
              </w:rPr>
            </w:pPr>
            <w:r w:rsidRPr="00DF7528">
              <w:rPr>
                <w:rFonts w:cs="Calibri"/>
                <w:sz w:val="22"/>
                <w:szCs w:val="22"/>
              </w:rPr>
              <w:t>Action</w:t>
            </w:r>
          </w:p>
        </w:tc>
      </w:tr>
      <w:tr w:rsidR="00B93404" w:rsidRPr="00DF7528" w14:paraId="446A2C3A" w14:textId="77777777" w:rsidTr="008C0BFB">
        <w:trPr>
          <w:trHeight w:val="280"/>
          <w:tblCellSpacing w:w="20" w:type="dxa"/>
        </w:trPr>
        <w:tc>
          <w:tcPr>
            <w:tcW w:w="1948" w:type="dxa"/>
          </w:tcPr>
          <w:p w14:paraId="377BA17B" w14:textId="77777777" w:rsidR="00B93404" w:rsidRPr="00DF7528" w:rsidRDefault="00B93404" w:rsidP="008C0BFB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cs="Calibri"/>
                <w:sz w:val="22"/>
                <w:szCs w:val="22"/>
              </w:rPr>
            </w:pPr>
            <w:r w:rsidRPr="00DF7528">
              <w:rPr>
                <w:rFonts w:cs="Calibri"/>
                <w:sz w:val="22"/>
                <w:szCs w:val="22"/>
              </w:rPr>
              <w:t>Welcome and Approval of Minutes</w:t>
            </w:r>
          </w:p>
          <w:p w14:paraId="1CEECA78" w14:textId="77777777" w:rsidR="00B93404" w:rsidRPr="00DF7528" w:rsidRDefault="00B93404" w:rsidP="008C0BFB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cs="Calibri"/>
                <w:sz w:val="22"/>
                <w:szCs w:val="22"/>
              </w:rPr>
            </w:pPr>
          </w:p>
          <w:p w14:paraId="0FDA2ED2" w14:textId="77777777" w:rsidR="00B93404" w:rsidRPr="00DF7528" w:rsidRDefault="00B93404" w:rsidP="008C0BFB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cs="Calibri"/>
                <w:sz w:val="22"/>
                <w:szCs w:val="22"/>
              </w:rPr>
            </w:pPr>
          </w:p>
          <w:p w14:paraId="4042DDDE" w14:textId="77777777" w:rsidR="00B93404" w:rsidRPr="00DF7528" w:rsidRDefault="00B93404" w:rsidP="008C0BFB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9500" w:type="dxa"/>
          </w:tcPr>
          <w:p w14:paraId="60467499" w14:textId="01664DB9" w:rsidR="00B93404" w:rsidRDefault="00B93404" w:rsidP="008C0BFB">
            <w:pPr>
              <w:rPr>
                <w:sz w:val="22"/>
                <w:szCs w:val="22"/>
              </w:rPr>
            </w:pPr>
            <w:r w:rsidRPr="008762AA">
              <w:rPr>
                <w:sz w:val="22"/>
                <w:szCs w:val="22"/>
              </w:rPr>
              <w:t>Chair Hill called the meeting to order a</w:t>
            </w:r>
            <w:r w:rsidR="00665784">
              <w:rPr>
                <w:sz w:val="22"/>
                <w:szCs w:val="22"/>
              </w:rPr>
              <w:t>t 9:3</w:t>
            </w:r>
            <w:r w:rsidR="00830B7A">
              <w:rPr>
                <w:sz w:val="22"/>
                <w:szCs w:val="22"/>
              </w:rPr>
              <w:t>1</w:t>
            </w:r>
            <w:r w:rsidR="00665784">
              <w:rPr>
                <w:sz w:val="22"/>
                <w:szCs w:val="22"/>
              </w:rPr>
              <w:t xml:space="preserve"> </w:t>
            </w:r>
            <w:r w:rsidR="00CC4966">
              <w:rPr>
                <w:sz w:val="22"/>
                <w:szCs w:val="22"/>
              </w:rPr>
              <w:t>a</w:t>
            </w:r>
            <w:r w:rsidR="00BE084C">
              <w:rPr>
                <w:sz w:val="22"/>
                <w:szCs w:val="22"/>
              </w:rPr>
              <w:t>.</w:t>
            </w:r>
            <w:r w:rsidR="00CC4966">
              <w:rPr>
                <w:sz w:val="22"/>
                <w:szCs w:val="22"/>
              </w:rPr>
              <w:t>m</w:t>
            </w:r>
            <w:r w:rsidR="00BE084C">
              <w:rPr>
                <w:sz w:val="22"/>
                <w:szCs w:val="22"/>
              </w:rPr>
              <w:t>.</w:t>
            </w:r>
            <w:r w:rsidR="00CC4966">
              <w:rPr>
                <w:sz w:val="22"/>
                <w:szCs w:val="22"/>
              </w:rPr>
              <w:t xml:space="preserve"> and welcomed everyone.  </w:t>
            </w:r>
          </w:p>
          <w:p w14:paraId="09F40174" w14:textId="77777777" w:rsidR="00B93404" w:rsidRDefault="00B93404" w:rsidP="008C0BFB">
            <w:pPr>
              <w:rPr>
                <w:sz w:val="22"/>
                <w:szCs w:val="22"/>
              </w:rPr>
            </w:pPr>
          </w:p>
          <w:p w14:paraId="70E879E2" w14:textId="1F0DB099" w:rsidR="00B93404" w:rsidRPr="008762AA" w:rsidRDefault="003F753C" w:rsidP="008C0B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Chair Hill</w:t>
            </w:r>
            <w:r w:rsidR="005C692E">
              <w:rPr>
                <w:sz w:val="22"/>
                <w:szCs w:val="22"/>
              </w:rPr>
              <w:t xml:space="preserve"> </w:t>
            </w:r>
            <w:r w:rsidR="00B93404" w:rsidRPr="008762AA">
              <w:rPr>
                <w:sz w:val="22"/>
                <w:szCs w:val="22"/>
              </w:rPr>
              <w:t xml:space="preserve">moved to </w:t>
            </w:r>
            <w:r w:rsidR="0000189C">
              <w:rPr>
                <w:sz w:val="22"/>
                <w:szCs w:val="22"/>
              </w:rPr>
              <w:t>approve</w:t>
            </w:r>
            <w:r w:rsidR="00B93404">
              <w:rPr>
                <w:sz w:val="22"/>
                <w:szCs w:val="22"/>
              </w:rPr>
              <w:t xml:space="preserve"> the minu</w:t>
            </w:r>
            <w:r w:rsidR="004C503B">
              <w:rPr>
                <w:sz w:val="22"/>
                <w:szCs w:val="22"/>
              </w:rPr>
              <w:t>tes</w:t>
            </w:r>
            <w:r w:rsidR="0095170D">
              <w:rPr>
                <w:sz w:val="22"/>
                <w:szCs w:val="22"/>
              </w:rPr>
              <w:t xml:space="preserve"> from </w:t>
            </w:r>
            <w:r>
              <w:rPr>
                <w:sz w:val="22"/>
                <w:szCs w:val="22"/>
              </w:rPr>
              <w:t>December</w:t>
            </w:r>
            <w:r w:rsidR="002C24C6">
              <w:rPr>
                <w:sz w:val="22"/>
                <w:szCs w:val="22"/>
              </w:rPr>
              <w:t xml:space="preserve"> 2024</w:t>
            </w:r>
            <w:r w:rsidR="0095170D">
              <w:rPr>
                <w:sz w:val="22"/>
                <w:szCs w:val="22"/>
              </w:rPr>
              <w:t xml:space="preserve"> meeting</w:t>
            </w:r>
            <w:r>
              <w:rPr>
                <w:sz w:val="22"/>
                <w:szCs w:val="22"/>
              </w:rPr>
              <w:t>.  Allyson Pettley</w:t>
            </w:r>
            <w:r w:rsidR="0000189C">
              <w:rPr>
                <w:sz w:val="22"/>
                <w:szCs w:val="22"/>
              </w:rPr>
              <w:t xml:space="preserve"> seconded the motion to approve.  </w:t>
            </w:r>
            <w:r w:rsidR="00D60F08">
              <w:rPr>
                <w:sz w:val="22"/>
                <w:szCs w:val="22"/>
              </w:rPr>
              <w:t xml:space="preserve"> </w:t>
            </w:r>
            <w:r w:rsidR="0000189C">
              <w:rPr>
                <w:sz w:val="22"/>
                <w:szCs w:val="22"/>
              </w:rPr>
              <w:t xml:space="preserve">All were in favor.  </w:t>
            </w:r>
            <w:r w:rsidR="00D60F08">
              <w:rPr>
                <w:sz w:val="22"/>
                <w:szCs w:val="22"/>
              </w:rPr>
              <w:t xml:space="preserve"> </w:t>
            </w:r>
            <w:r w:rsidR="0000189C">
              <w:rPr>
                <w:sz w:val="22"/>
                <w:szCs w:val="22"/>
              </w:rPr>
              <w:t xml:space="preserve">Chair Hill </w:t>
            </w:r>
            <w:r w:rsidR="00D60F08">
              <w:rPr>
                <w:sz w:val="22"/>
                <w:szCs w:val="22"/>
              </w:rPr>
              <w:t>proceeded with the agenda.</w:t>
            </w:r>
          </w:p>
          <w:p w14:paraId="2198BC87" w14:textId="77777777" w:rsidR="00B93404" w:rsidRPr="00DF7528" w:rsidRDefault="00B93404" w:rsidP="008C0BFB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820" w:type="dxa"/>
          </w:tcPr>
          <w:p w14:paraId="7B855065" w14:textId="77777777" w:rsidR="00B93404" w:rsidRPr="00DF7528" w:rsidRDefault="00B93404" w:rsidP="008C0BFB">
            <w:pPr>
              <w:rPr>
                <w:rFonts w:cs="Calibri"/>
                <w:sz w:val="22"/>
                <w:szCs w:val="22"/>
              </w:rPr>
            </w:pPr>
          </w:p>
        </w:tc>
      </w:tr>
      <w:tr w:rsidR="00B93404" w:rsidRPr="00DF7528" w14:paraId="354FBF39" w14:textId="77777777" w:rsidTr="008C0BFB">
        <w:trPr>
          <w:cantSplit/>
          <w:trHeight w:val="280"/>
          <w:tblCellSpacing w:w="20" w:type="dxa"/>
        </w:trPr>
        <w:tc>
          <w:tcPr>
            <w:tcW w:w="13348" w:type="dxa"/>
            <w:gridSpan w:val="3"/>
          </w:tcPr>
          <w:p w14:paraId="382F7886" w14:textId="77777777" w:rsidR="00B93404" w:rsidRDefault="00B93404" w:rsidP="008C0BFB">
            <w:pPr>
              <w:pStyle w:val="Footer"/>
              <w:tabs>
                <w:tab w:val="clear" w:pos="4320"/>
                <w:tab w:val="clear" w:pos="8640"/>
              </w:tabs>
              <w:rPr>
                <w:rFonts w:cs="Calibri"/>
                <w:sz w:val="22"/>
                <w:szCs w:val="22"/>
              </w:rPr>
            </w:pPr>
            <w:r w:rsidRPr="00DF7528">
              <w:rPr>
                <w:rFonts w:cs="Calibri"/>
                <w:sz w:val="22"/>
                <w:szCs w:val="22"/>
              </w:rPr>
              <w:t xml:space="preserve">  </w:t>
            </w:r>
          </w:p>
          <w:p w14:paraId="102F8326" w14:textId="77777777" w:rsidR="00B93404" w:rsidRDefault="00B93404" w:rsidP="008C0BFB">
            <w:pPr>
              <w:pStyle w:val="Footer"/>
              <w:tabs>
                <w:tab w:val="clear" w:pos="4320"/>
                <w:tab w:val="clear" w:pos="8640"/>
              </w:tabs>
              <w:rPr>
                <w:rFonts w:cs="Calibri"/>
                <w:sz w:val="22"/>
                <w:szCs w:val="22"/>
              </w:rPr>
            </w:pPr>
            <w:r w:rsidRPr="00DF7528">
              <w:rPr>
                <w:rFonts w:cs="Calibri"/>
                <w:sz w:val="22"/>
                <w:szCs w:val="22"/>
              </w:rPr>
              <w:t xml:space="preserve">    </w:t>
            </w:r>
          </w:p>
          <w:p w14:paraId="09C713D0" w14:textId="77777777" w:rsidR="00B93404" w:rsidRPr="00DF7528" w:rsidRDefault="00B93404" w:rsidP="008C0BFB">
            <w:pPr>
              <w:pStyle w:val="Footer"/>
              <w:tabs>
                <w:tab w:val="clear" w:pos="4320"/>
                <w:tab w:val="clear" w:pos="8640"/>
              </w:tabs>
              <w:rPr>
                <w:rFonts w:cs="Calibri"/>
                <w:sz w:val="22"/>
                <w:szCs w:val="22"/>
              </w:rPr>
            </w:pPr>
          </w:p>
        </w:tc>
      </w:tr>
      <w:tr w:rsidR="00B93404" w:rsidRPr="00DF7528" w14:paraId="696A54A0" w14:textId="77777777" w:rsidTr="008C0BFB">
        <w:trPr>
          <w:trHeight w:val="1070"/>
          <w:tblCellSpacing w:w="20" w:type="dxa"/>
        </w:trPr>
        <w:tc>
          <w:tcPr>
            <w:tcW w:w="1948" w:type="dxa"/>
          </w:tcPr>
          <w:p w14:paraId="4F67AB13" w14:textId="77777777" w:rsidR="00842353" w:rsidRDefault="00842353" w:rsidP="008C0BFB">
            <w:pPr>
              <w:rPr>
                <w:rFonts w:cs="Calibri"/>
                <w:sz w:val="22"/>
                <w:szCs w:val="22"/>
              </w:rPr>
            </w:pPr>
            <w:r w:rsidRPr="00DF7528">
              <w:rPr>
                <w:rFonts w:cs="Calibri"/>
                <w:sz w:val="22"/>
                <w:szCs w:val="22"/>
              </w:rPr>
              <w:lastRenderedPageBreak/>
              <w:t>Business</w:t>
            </w:r>
          </w:p>
          <w:p w14:paraId="571AC8AD" w14:textId="77777777" w:rsidR="00842353" w:rsidRDefault="00842353" w:rsidP="008C0BFB">
            <w:pPr>
              <w:rPr>
                <w:rFonts w:cs="Calibri"/>
                <w:sz w:val="22"/>
                <w:szCs w:val="22"/>
              </w:rPr>
            </w:pPr>
          </w:p>
          <w:p w14:paraId="6C59A8B9" w14:textId="77777777" w:rsidR="003F753C" w:rsidRDefault="003F753C" w:rsidP="008C0BFB">
            <w:pPr>
              <w:rPr>
                <w:rFonts w:cs="Calibri"/>
                <w:sz w:val="22"/>
                <w:szCs w:val="22"/>
              </w:rPr>
            </w:pPr>
          </w:p>
          <w:p w14:paraId="48060A39" w14:textId="7DCAE900" w:rsidR="00B93404" w:rsidRDefault="00B93404" w:rsidP="008C0BFB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Legislative updates </w:t>
            </w:r>
          </w:p>
          <w:p w14:paraId="2AC3111D" w14:textId="77777777" w:rsidR="00B93404" w:rsidRDefault="00B93404" w:rsidP="008C0BFB">
            <w:pPr>
              <w:rPr>
                <w:rFonts w:cs="Calibri"/>
                <w:sz w:val="22"/>
                <w:szCs w:val="22"/>
              </w:rPr>
            </w:pPr>
          </w:p>
          <w:p w14:paraId="14069C92" w14:textId="77777777" w:rsidR="00F82756" w:rsidRDefault="00F82756" w:rsidP="008C0BFB">
            <w:pPr>
              <w:rPr>
                <w:rFonts w:cs="Calibri"/>
                <w:sz w:val="22"/>
                <w:szCs w:val="22"/>
              </w:rPr>
            </w:pPr>
          </w:p>
          <w:p w14:paraId="1874484D" w14:textId="6F3309A9" w:rsidR="00B93404" w:rsidRDefault="00B93404" w:rsidP="008C0BFB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Misclassification Issues Presentation </w:t>
            </w:r>
          </w:p>
          <w:p w14:paraId="40065F61" w14:textId="77777777" w:rsidR="00B93404" w:rsidRDefault="00B93404" w:rsidP="008C0BFB">
            <w:pPr>
              <w:rPr>
                <w:rFonts w:cs="Calibri"/>
                <w:sz w:val="22"/>
                <w:szCs w:val="22"/>
              </w:rPr>
            </w:pPr>
            <w:r w:rsidRPr="00DF7528">
              <w:rPr>
                <w:rFonts w:cs="Calibri"/>
                <w:sz w:val="22"/>
                <w:szCs w:val="22"/>
              </w:rPr>
              <w:t xml:space="preserve"> </w:t>
            </w:r>
            <w:r>
              <w:rPr>
                <w:rFonts w:cs="Calibri"/>
                <w:sz w:val="22"/>
                <w:szCs w:val="22"/>
              </w:rPr>
              <w:t xml:space="preserve"> </w:t>
            </w:r>
          </w:p>
          <w:p w14:paraId="3FC9B97A" w14:textId="77777777" w:rsidR="00C152A2" w:rsidRDefault="00C152A2" w:rsidP="00FB7E36">
            <w:pPr>
              <w:rPr>
                <w:rFonts w:cs="Calibri"/>
                <w:sz w:val="22"/>
                <w:szCs w:val="22"/>
              </w:rPr>
            </w:pPr>
          </w:p>
          <w:p w14:paraId="1D461E80" w14:textId="77777777" w:rsidR="00C152A2" w:rsidRDefault="00C152A2" w:rsidP="00FB7E36">
            <w:pPr>
              <w:rPr>
                <w:rFonts w:cs="Calibri"/>
                <w:sz w:val="22"/>
                <w:szCs w:val="22"/>
              </w:rPr>
            </w:pPr>
          </w:p>
          <w:p w14:paraId="1F63BE48" w14:textId="38DD4FAB" w:rsidR="00FB7E36" w:rsidRDefault="00FB7E36" w:rsidP="00FB7E36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Next Meeting</w:t>
            </w:r>
          </w:p>
          <w:p w14:paraId="26EC8228" w14:textId="636B1DD1" w:rsidR="00FB7E36" w:rsidRDefault="00FB7E36" w:rsidP="008C0BFB">
            <w:pPr>
              <w:rPr>
                <w:rFonts w:cs="Calibri"/>
                <w:sz w:val="22"/>
                <w:szCs w:val="22"/>
              </w:rPr>
            </w:pPr>
          </w:p>
          <w:p w14:paraId="4F85E8ED" w14:textId="77777777" w:rsidR="00B93404" w:rsidRDefault="00B93404" w:rsidP="008C0BFB">
            <w:pPr>
              <w:rPr>
                <w:rFonts w:cs="Calibri"/>
                <w:sz w:val="22"/>
                <w:szCs w:val="22"/>
              </w:rPr>
            </w:pPr>
          </w:p>
          <w:p w14:paraId="444A5C2C" w14:textId="77777777" w:rsidR="005020E2" w:rsidRDefault="005020E2" w:rsidP="008C0BFB">
            <w:pPr>
              <w:rPr>
                <w:rFonts w:cs="Calibri"/>
                <w:sz w:val="22"/>
                <w:szCs w:val="22"/>
              </w:rPr>
            </w:pPr>
          </w:p>
          <w:p w14:paraId="7BBE1FEB" w14:textId="77777777" w:rsidR="005020E2" w:rsidRDefault="005020E2" w:rsidP="008C0BFB">
            <w:pPr>
              <w:rPr>
                <w:rFonts w:cs="Calibri"/>
                <w:sz w:val="22"/>
                <w:szCs w:val="22"/>
              </w:rPr>
            </w:pPr>
          </w:p>
          <w:p w14:paraId="382F1D35" w14:textId="77777777" w:rsidR="00E171D5" w:rsidRDefault="00E171D5" w:rsidP="008C0BFB">
            <w:pPr>
              <w:rPr>
                <w:rFonts w:cs="Calibri"/>
                <w:sz w:val="22"/>
                <w:szCs w:val="22"/>
              </w:rPr>
            </w:pPr>
          </w:p>
          <w:p w14:paraId="0E104673" w14:textId="77777777" w:rsidR="00E171D5" w:rsidRDefault="00E171D5" w:rsidP="008C0BFB">
            <w:pPr>
              <w:rPr>
                <w:rFonts w:cs="Calibri"/>
                <w:sz w:val="22"/>
                <w:szCs w:val="22"/>
              </w:rPr>
            </w:pPr>
          </w:p>
          <w:p w14:paraId="2EB7715C" w14:textId="77777777" w:rsidR="00E171D5" w:rsidRDefault="00E171D5" w:rsidP="008C0BFB">
            <w:pPr>
              <w:rPr>
                <w:rFonts w:cs="Calibri"/>
                <w:sz w:val="22"/>
                <w:szCs w:val="22"/>
              </w:rPr>
            </w:pPr>
          </w:p>
          <w:p w14:paraId="667E18D6" w14:textId="77777777" w:rsidR="009B3548" w:rsidRDefault="009B3548" w:rsidP="008C0BFB">
            <w:pPr>
              <w:rPr>
                <w:rFonts w:cs="Calibri"/>
                <w:sz w:val="22"/>
                <w:szCs w:val="22"/>
              </w:rPr>
            </w:pPr>
          </w:p>
          <w:p w14:paraId="060E93F8" w14:textId="699078FB" w:rsidR="00B93404" w:rsidRDefault="00B93404" w:rsidP="008C0BFB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Public Comment</w:t>
            </w:r>
          </w:p>
          <w:p w14:paraId="784F4611" w14:textId="77777777" w:rsidR="00B93404" w:rsidRDefault="00B93404" w:rsidP="008C0BFB">
            <w:pPr>
              <w:rPr>
                <w:rFonts w:cs="Calibri"/>
                <w:sz w:val="22"/>
                <w:szCs w:val="22"/>
              </w:rPr>
            </w:pPr>
          </w:p>
          <w:p w14:paraId="169EA425" w14:textId="77777777" w:rsidR="00DB191F" w:rsidRDefault="00DB191F" w:rsidP="008C0BFB">
            <w:pPr>
              <w:rPr>
                <w:rFonts w:cs="Calibri"/>
                <w:sz w:val="22"/>
                <w:szCs w:val="22"/>
              </w:rPr>
            </w:pPr>
          </w:p>
          <w:p w14:paraId="4967BF98" w14:textId="7073CBCD" w:rsidR="00B93404" w:rsidRDefault="00B93404" w:rsidP="008C0BFB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Closed Meeting</w:t>
            </w:r>
          </w:p>
          <w:p w14:paraId="2C2E0CC0" w14:textId="77777777" w:rsidR="00B93404" w:rsidRDefault="00B93404" w:rsidP="008C0BFB">
            <w:pPr>
              <w:rPr>
                <w:rFonts w:cs="Calibri"/>
                <w:sz w:val="22"/>
                <w:szCs w:val="22"/>
              </w:rPr>
            </w:pPr>
          </w:p>
          <w:p w14:paraId="3C61F59A" w14:textId="77777777" w:rsidR="005B5F28" w:rsidRDefault="005B5F28" w:rsidP="008C0BFB">
            <w:pPr>
              <w:rPr>
                <w:rFonts w:cs="Calibri"/>
                <w:sz w:val="22"/>
                <w:szCs w:val="22"/>
              </w:rPr>
            </w:pPr>
          </w:p>
          <w:p w14:paraId="7DABF61E" w14:textId="1770218B" w:rsidR="00B93404" w:rsidRDefault="00B93404" w:rsidP="008C0BFB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Opened Meeting</w:t>
            </w:r>
          </w:p>
          <w:p w14:paraId="490DCAF8" w14:textId="77777777" w:rsidR="00B93404" w:rsidRDefault="00B93404" w:rsidP="008C0BFB">
            <w:pPr>
              <w:rPr>
                <w:rFonts w:cs="Calibri"/>
                <w:sz w:val="22"/>
                <w:szCs w:val="22"/>
              </w:rPr>
            </w:pPr>
          </w:p>
          <w:p w14:paraId="31305F7D" w14:textId="77777777" w:rsidR="00B93404" w:rsidRDefault="00B93404" w:rsidP="008C0BFB">
            <w:pPr>
              <w:rPr>
                <w:rFonts w:cs="Calibri"/>
                <w:sz w:val="22"/>
                <w:szCs w:val="22"/>
              </w:rPr>
            </w:pPr>
          </w:p>
          <w:p w14:paraId="27CC1E9F" w14:textId="77777777" w:rsidR="00B93404" w:rsidRDefault="00B93404" w:rsidP="008C0BFB">
            <w:pPr>
              <w:rPr>
                <w:rFonts w:cs="Calibri"/>
                <w:sz w:val="22"/>
                <w:szCs w:val="22"/>
              </w:rPr>
            </w:pPr>
          </w:p>
          <w:p w14:paraId="5CBF75ED" w14:textId="77777777" w:rsidR="00B93404" w:rsidRDefault="00B93404" w:rsidP="008C0BFB">
            <w:pPr>
              <w:rPr>
                <w:rFonts w:cs="Calibri"/>
                <w:sz w:val="22"/>
                <w:szCs w:val="22"/>
              </w:rPr>
            </w:pPr>
          </w:p>
          <w:p w14:paraId="381BFFD5" w14:textId="77777777" w:rsidR="00B93404" w:rsidRPr="00DF7528" w:rsidRDefault="00B93404" w:rsidP="008C0BFB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9500" w:type="dxa"/>
          </w:tcPr>
          <w:p w14:paraId="718E25C9" w14:textId="08FD80C7" w:rsidR="006B51E2" w:rsidRDefault="003F753C" w:rsidP="008C0BFB">
            <w:r>
              <w:lastRenderedPageBreak/>
              <w:t>None</w:t>
            </w:r>
          </w:p>
          <w:p w14:paraId="46EC4E53" w14:textId="77777777" w:rsidR="005020E2" w:rsidRDefault="005020E2" w:rsidP="008C0BFB"/>
          <w:p w14:paraId="1BEDD762" w14:textId="77777777" w:rsidR="003F753C" w:rsidRDefault="003F753C" w:rsidP="008C0BFB"/>
          <w:p w14:paraId="74094AE4" w14:textId="46AAA7A2" w:rsidR="00E85766" w:rsidRDefault="00E85766" w:rsidP="008C0BFB">
            <w:r>
              <w:t>None</w:t>
            </w:r>
          </w:p>
          <w:p w14:paraId="2837E0F6" w14:textId="77777777" w:rsidR="00E85766" w:rsidRDefault="00E85766" w:rsidP="008C0BFB"/>
          <w:p w14:paraId="661B6C79" w14:textId="77777777" w:rsidR="00DB191F" w:rsidRDefault="00DB191F" w:rsidP="008C0BFB"/>
          <w:p w14:paraId="5A585DB0" w14:textId="77777777" w:rsidR="003F753C" w:rsidRDefault="003F753C" w:rsidP="008C0BFB"/>
          <w:p w14:paraId="0A4D8902" w14:textId="5ED264CA" w:rsidR="00592A46" w:rsidRDefault="00E678E2" w:rsidP="008C0BFB">
            <w:r>
              <w:t>Chair Hill emailed the Utah Labor Commission Spreadsheet to the council prior to the meeting.</w:t>
            </w:r>
            <w:r w:rsidR="009B3548">
              <w:t xml:space="preserve">   </w:t>
            </w:r>
            <w:proofErr w:type="spellStart"/>
            <w:r w:rsidR="009B3548">
              <w:t>Verolinda</w:t>
            </w:r>
            <w:proofErr w:type="spellEnd"/>
            <w:r w:rsidR="009B3548">
              <w:t xml:space="preserve"> Granados explained the updated formatting of the spreadsheet to keep the spreadsheet more organized for the committee. </w:t>
            </w:r>
            <w:r>
              <w:t xml:space="preserve"> </w:t>
            </w:r>
          </w:p>
          <w:p w14:paraId="4E065B59" w14:textId="77777777" w:rsidR="009B3548" w:rsidRDefault="009B3548" w:rsidP="008C0BFB"/>
          <w:p w14:paraId="321C730D" w14:textId="77777777" w:rsidR="009B3548" w:rsidRDefault="009B3548" w:rsidP="008C0BFB"/>
          <w:p w14:paraId="622CDA80" w14:textId="14F481BE" w:rsidR="00155AFA" w:rsidRDefault="00B93404" w:rsidP="008C0BFB">
            <w:r>
              <w:t>C</w:t>
            </w:r>
            <w:r w:rsidR="00415EDA">
              <w:t>hair Hill offered</w:t>
            </w:r>
            <w:r w:rsidR="00622422">
              <w:t xml:space="preserve"> </w:t>
            </w:r>
            <w:r w:rsidR="00BA0DF8">
              <w:t>June 10</w:t>
            </w:r>
            <w:r w:rsidR="00592A46">
              <w:t>, 2025</w:t>
            </w:r>
            <w:r w:rsidR="00592615">
              <w:t>,</w:t>
            </w:r>
            <w:r w:rsidR="00442DEB">
              <w:t xml:space="preserve"> </w:t>
            </w:r>
            <w:r>
              <w:t>at 9:30 a</w:t>
            </w:r>
            <w:r w:rsidR="00BE084C">
              <w:t>.</w:t>
            </w:r>
            <w:r>
              <w:t>m</w:t>
            </w:r>
            <w:r w:rsidR="00BE084C">
              <w:t>.</w:t>
            </w:r>
            <w:r>
              <w:t xml:space="preserve"> for the next meeting. </w:t>
            </w:r>
          </w:p>
          <w:p w14:paraId="0C377CAA" w14:textId="77777777" w:rsidR="00E85766" w:rsidRDefault="00E85766" w:rsidP="00442DEB"/>
          <w:p w14:paraId="01AFC133" w14:textId="5087A473" w:rsidR="00155AFA" w:rsidRDefault="00155AFA" w:rsidP="00442DEB">
            <w:r>
              <w:t>Future meeting schedule proposal:</w:t>
            </w:r>
            <w:r w:rsidR="00E85766">
              <w:t xml:space="preserve"> </w:t>
            </w:r>
          </w:p>
          <w:p w14:paraId="464F417F" w14:textId="77777777" w:rsidR="009B3548" w:rsidRDefault="009B3548" w:rsidP="00442DEB"/>
          <w:p w14:paraId="0FB8B80E" w14:textId="487186DA" w:rsidR="00E171D5" w:rsidRDefault="00E171D5" w:rsidP="00442DEB">
            <w:r>
              <w:t>June 10, 2025</w:t>
            </w:r>
          </w:p>
          <w:p w14:paraId="613252B4" w14:textId="27361F1F" w:rsidR="00E171D5" w:rsidRDefault="00E171D5" w:rsidP="00442DEB">
            <w:r>
              <w:t>September 9, 2025</w:t>
            </w:r>
          </w:p>
          <w:p w14:paraId="6570BA21" w14:textId="648961CE" w:rsidR="00E171D5" w:rsidRDefault="00E171D5" w:rsidP="00442DEB">
            <w:r>
              <w:t>December 2, 202</w:t>
            </w:r>
            <w:r w:rsidR="009B3548">
              <w:t>5</w:t>
            </w:r>
          </w:p>
          <w:p w14:paraId="2167F644" w14:textId="77777777" w:rsidR="009B3548" w:rsidRDefault="009B3548" w:rsidP="008C0BFB"/>
          <w:p w14:paraId="653881F8" w14:textId="0E8BB9EA" w:rsidR="00415EDA" w:rsidRDefault="006B51E2" w:rsidP="008C0BFB">
            <w:r>
              <w:t>None</w:t>
            </w:r>
          </w:p>
          <w:p w14:paraId="219ECBCA" w14:textId="77777777" w:rsidR="00DB191F" w:rsidRDefault="00DB191F" w:rsidP="008C0BFB"/>
          <w:p w14:paraId="7179A0D7" w14:textId="77777777" w:rsidR="00DB191F" w:rsidRDefault="00DB191F" w:rsidP="008C0BFB"/>
          <w:p w14:paraId="5CF14E3F" w14:textId="4F59782F" w:rsidR="00622422" w:rsidRDefault="00592615" w:rsidP="008C0BFB">
            <w:r>
              <w:t>Chair Hill</w:t>
            </w:r>
            <w:r w:rsidR="005B5F28">
              <w:t xml:space="preserve"> motioned to close the open meeting.  </w:t>
            </w:r>
            <w:r w:rsidR="00097EAA">
              <w:t>Allyson Pettley</w:t>
            </w:r>
            <w:r w:rsidR="005020E2">
              <w:t xml:space="preserve"> </w:t>
            </w:r>
            <w:r w:rsidR="00E85766">
              <w:t>seconded the motion.</w:t>
            </w:r>
            <w:r w:rsidR="005020E2">
              <w:t xml:space="preserve">  All in favor.</w:t>
            </w:r>
            <w:r w:rsidR="00187CE1">
              <w:t xml:space="preserve">  The meeting </w:t>
            </w:r>
            <w:r w:rsidR="009D4374">
              <w:t>adjoined</w:t>
            </w:r>
            <w:r w:rsidR="00187CE1">
              <w:t xml:space="preserve"> at </w:t>
            </w:r>
            <w:r w:rsidR="00253EC6">
              <w:t>9:</w:t>
            </w:r>
            <w:r w:rsidR="009B3548">
              <w:t>36</w:t>
            </w:r>
            <w:r w:rsidR="00187CE1">
              <w:t xml:space="preserve"> a.m.</w:t>
            </w:r>
          </w:p>
          <w:p w14:paraId="16ADEA30" w14:textId="77777777" w:rsidR="00B93404" w:rsidRPr="00190567" w:rsidRDefault="00B93404" w:rsidP="008C0BFB">
            <w:pPr>
              <w:rPr>
                <w:sz w:val="22"/>
                <w:szCs w:val="22"/>
              </w:rPr>
            </w:pPr>
          </w:p>
          <w:p w14:paraId="41B1890E" w14:textId="366483BC" w:rsidR="00B93404" w:rsidRPr="00190567" w:rsidRDefault="00187CE1" w:rsidP="008C0B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Chair Hill motioned to adjourn.  </w:t>
            </w:r>
            <w:r w:rsidR="009B3548">
              <w:rPr>
                <w:sz w:val="22"/>
                <w:szCs w:val="22"/>
              </w:rPr>
              <w:t>Allyson Pettley</w:t>
            </w:r>
            <w:r>
              <w:rPr>
                <w:sz w:val="22"/>
                <w:szCs w:val="22"/>
              </w:rPr>
              <w:t xml:space="preserve"> seconded the motion.  All </w:t>
            </w:r>
            <w:r w:rsidR="005B2584">
              <w:rPr>
                <w:sz w:val="22"/>
                <w:szCs w:val="22"/>
              </w:rPr>
              <w:t xml:space="preserve">were </w:t>
            </w:r>
            <w:r>
              <w:rPr>
                <w:sz w:val="22"/>
                <w:szCs w:val="22"/>
              </w:rPr>
              <w:t xml:space="preserve">in favor.  </w:t>
            </w:r>
            <w:r w:rsidR="00B93404" w:rsidRPr="00190567">
              <w:rPr>
                <w:sz w:val="22"/>
                <w:szCs w:val="22"/>
              </w:rPr>
              <w:t>Th</w:t>
            </w:r>
            <w:r w:rsidR="007D3300">
              <w:rPr>
                <w:sz w:val="22"/>
                <w:szCs w:val="22"/>
              </w:rPr>
              <w:t>e meeting was adjourned</w:t>
            </w:r>
            <w:r w:rsidR="00622422">
              <w:rPr>
                <w:sz w:val="22"/>
                <w:szCs w:val="22"/>
              </w:rPr>
              <w:t xml:space="preserve"> at </w:t>
            </w:r>
            <w:r w:rsidR="00FB7E36">
              <w:rPr>
                <w:sz w:val="22"/>
                <w:szCs w:val="22"/>
              </w:rPr>
              <w:t>9:</w:t>
            </w:r>
            <w:r w:rsidR="009B3548">
              <w:rPr>
                <w:sz w:val="22"/>
                <w:szCs w:val="22"/>
              </w:rPr>
              <w:t>38</w:t>
            </w:r>
            <w:r w:rsidR="00FB7E36">
              <w:rPr>
                <w:sz w:val="22"/>
                <w:szCs w:val="22"/>
              </w:rPr>
              <w:t xml:space="preserve"> </w:t>
            </w:r>
            <w:r w:rsidR="00B93404" w:rsidRPr="00190567">
              <w:rPr>
                <w:sz w:val="22"/>
                <w:szCs w:val="22"/>
              </w:rPr>
              <w:t>a</w:t>
            </w:r>
            <w:r w:rsidR="00BE084C">
              <w:rPr>
                <w:sz w:val="22"/>
                <w:szCs w:val="22"/>
              </w:rPr>
              <w:t>.</w:t>
            </w:r>
            <w:r w:rsidR="00B93404" w:rsidRPr="00190567">
              <w:rPr>
                <w:sz w:val="22"/>
                <w:szCs w:val="22"/>
              </w:rPr>
              <w:t>m.</w:t>
            </w:r>
          </w:p>
          <w:p w14:paraId="52E3C171" w14:textId="77777777" w:rsidR="00B93404" w:rsidRDefault="00B93404" w:rsidP="008C0BFB"/>
          <w:p w14:paraId="0680E059" w14:textId="77777777" w:rsidR="00B93404" w:rsidRPr="005845EC" w:rsidRDefault="00B93404" w:rsidP="008C0BFB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820" w:type="dxa"/>
          </w:tcPr>
          <w:p w14:paraId="192B7713" w14:textId="77777777" w:rsidR="00B93404" w:rsidRDefault="00B93404" w:rsidP="008C0BFB">
            <w:pPr>
              <w:rPr>
                <w:rFonts w:cs="Calibri"/>
                <w:sz w:val="22"/>
                <w:szCs w:val="22"/>
              </w:rPr>
            </w:pPr>
          </w:p>
          <w:p w14:paraId="3383C4FB" w14:textId="77777777" w:rsidR="00B93404" w:rsidRDefault="00B93404" w:rsidP="008C0BFB">
            <w:pPr>
              <w:rPr>
                <w:rFonts w:cs="Calibri"/>
                <w:sz w:val="22"/>
                <w:szCs w:val="22"/>
              </w:rPr>
            </w:pPr>
          </w:p>
          <w:p w14:paraId="6128AA0C" w14:textId="77777777" w:rsidR="00B93404" w:rsidRDefault="00B93404" w:rsidP="008C0BFB">
            <w:pPr>
              <w:rPr>
                <w:rFonts w:cs="Calibri"/>
                <w:sz w:val="22"/>
                <w:szCs w:val="22"/>
              </w:rPr>
            </w:pPr>
          </w:p>
          <w:p w14:paraId="70107888" w14:textId="77777777" w:rsidR="00B93404" w:rsidRDefault="00B93404" w:rsidP="008C0BFB">
            <w:pPr>
              <w:rPr>
                <w:rFonts w:cs="Calibri"/>
                <w:sz w:val="22"/>
                <w:szCs w:val="22"/>
              </w:rPr>
            </w:pPr>
          </w:p>
          <w:p w14:paraId="42ECE202" w14:textId="77777777" w:rsidR="00B93404" w:rsidRDefault="00B93404" w:rsidP="008C0BFB">
            <w:pPr>
              <w:rPr>
                <w:rFonts w:cs="Calibri"/>
                <w:sz w:val="22"/>
                <w:szCs w:val="22"/>
              </w:rPr>
            </w:pPr>
          </w:p>
          <w:p w14:paraId="14A73016" w14:textId="77777777" w:rsidR="00B93404" w:rsidRDefault="00B93404" w:rsidP="008C0BFB">
            <w:pPr>
              <w:rPr>
                <w:rFonts w:cs="Calibri"/>
                <w:sz w:val="22"/>
                <w:szCs w:val="22"/>
              </w:rPr>
            </w:pPr>
          </w:p>
          <w:p w14:paraId="6CEC68CC" w14:textId="77777777" w:rsidR="00B93404" w:rsidRDefault="00B93404" w:rsidP="008C0BFB">
            <w:pPr>
              <w:rPr>
                <w:rFonts w:cs="Calibri"/>
                <w:sz w:val="22"/>
                <w:szCs w:val="22"/>
              </w:rPr>
            </w:pPr>
          </w:p>
          <w:p w14:paraId="447D4BC7" w14:textId="77777777" w:rsidR="00B93404" w:rsidRDefault="00B93404" w:rsidP="008C0BFB">
            <w:pPr>
              <w:rPr>
                <w:rFonts w:cs="Calibri"/>
                <w:sz w:val="22"/>
                <w:szCs w:val="22"/>
              </w:rPr>
            </w:pPr>
          </w:p>
          <w:p w14:paraId="15D0D9E7" w14:textId="77777777" w:rsidR="00B93404" w:rsidRDefault="00B93404" w:rsidP="008C0BFB">
            <w:pPr>
              <w:rPr>
                <w:rFonts w:cs="Calibri"/>
                <w:sz w:val="22"/>
                <w:szCs w:val="22"/>
              </w:rPr>
            </w:pPr>
          </w:p>
          <w:p w14:paraId="084426C6" w14:textId="77777777" w:rsidR="00B93404" w:rsidRDefault="00B93404" w:rsidP="008C0BFB">
            <w:pPr>
              <w:rPr>
                <w:rFonts w:cs="Calibri"/>
                <w:sz w:val="22"/>
                <w:szCs w:val="22"/>
              </w:rPr>
            </w:pPr>
          </w:p>
          <w:p w14:paraId="399021B8" w14:textId="77777777" w:rsidR="00B93404" w:rsidRPr="00B0464E" w:rsidRDefault="00B93404" w:rsidP="008C0BFB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</w:tr>
    </w:tbl>
    <w:p w14:paraId="5465A885" w14:textId="491E82E9" w:rsidR="004C2099" w:rsidRDefault="00665784">
      <w:pPr>
        <w:rPr>
          <w:rFonts w:cs="Calibri"/>
          <w:b/>
          <w:sz w:val="22"/>
          <w:szCs w:val="22"/>
        </w:rPr>
      </w:pPr>
      <w:r w:rsidRPr="00DF7528">
        <w:rPr>
          <w:rFonts w:cs="Calibri"/>
          <w:b/>
          <w:sz w:val="22"/>
          <w:szCs w:val="22"/>
        </w:rPr>
        <w:t>Visitors:</w:t>
      </w:r>
      <w:r w:rsidR="004C2099">
        <w:rPr>
          <w:rFonts w:cs="Calibri"/>
          <w:b/>
          <w:sz w:val="22"/>
          <w:szCs w:val="22"/>
        </w:rPr>
        <w:t xml:space="preserve"> </w:t>
      </w:r>
      <w:proofErr w:type="spellStart"/>
      <w:r w:rsidR="004C2099">
        <w:rPr>
          <w:rFonts w:cs="Calibri"/>
          <w:b/>
          <w:sz w:val="22"/>
          <w:szCs w:val="22"/>
        </w:rPr>
        <w:t>Verolinda</w:t>
      </w:r>
      <w:proofErr w:type="spellEnd"/>
      <w:r w:rsidR="004C2099">
        <w:rPr>
          <w:rFonts w:cs="Calibri"/>
          <w:b/>
          <w:sz w:val="22"/>
          <w:szCs w:val="22"/>
        </w:rPr>
        <w:t xml:space="preserve"> Granados, Utah Labor Commission, Industrial Accidents, Quality and Support Manager</w:t>
      </w:r>
    </w:p>
    <w:p w14:paraId="536C5342" w14:textId="42BCC211" w:rsidR="003F753C" w:rsidRDefault="003F753C">
      <w:pPr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 xml:space="preserve">                 Krystal Smith, Utah Labor Commission, Industrial Accidents, Senior Business Analyst</w:t>
      </w:r>
    </w:p>
    <w:p w14:paraId="2F3D7497" w14:textId="3CB8DF15" w:rsidR="00822B27" w:rsidRPr="00415EDA" w:rsidRDefault="00830B7A">
      <w:pPr>
        <w:rPr>
          <w:rFonts w:cs="Calibri"/>
          <w:sz w:val="22"/>
          <w:szCs w:val="22"/>
        </w:rPr>
      </w:pPr>
      <w:r>
        <w:rPr>
          <w:rFonts w:cs="Calibri"/>
          <w:b/>
          <w:sz w:val="22"/>
          <w:szCs w:val="22"/>
        </w:rPr>
        <w:t xml:space="preserve">                </w:t>
      </w:r>
    </w:p>
    <w:sectPr w:rsidR="00822B27" w:rsidRPr="00415EDA" w:rsidSect="007309D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4DE2E" w14:textId="77777777" w:rsidR="00F04141" w:rsidRDefault="00F04141" w:rsidP="0095170D">
      <w:r>
        <w:separator/>
      </w:r>
    </w:p>
  </w:endnote>
  <w:endnote w:type="continuationSeparator" w:id="0">
    <w:p w14:paraId="5D2E6A3D" w14:textId="77777777" w:rsidR="00F04141" w:rsidRDefault="00F04141" w:rsidP="00951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C2EC0" w14:textId="77777777" w:rsidR="00F04141" w:rsidRDefault="00F04141" w:rsidP="0095170D">
      <w:r>
        <w:separator/>
      </w:r>
    </w:p>
  </w:footnote>
  <w:footnote w:type="continuationSeparator" w:id="0">
    <w:p w14:paraId="12C3377C" w14:textId="77777777" w:rsidR="00F04141" w:rsidRDefault="00F04141" w:rsidP="00951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A5A03"/>
    <w:multiLevelType w:val="multilevel"/>
    <w:tmpl w:val="F63AD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7414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404"/>
    <w:rsid w:val="0000189C"/>
    <w:rsid w:val="00097EAA"/>
    <w:rsid w:val="000C2B7C"/>
    <w:rsid w:val="00107A9E"/>
    <w:rsid w:val="001544DC"/>
    <w:rsid w:val="00155AFA"/>
    <w:rsid w:val="001746A5"/>
    <w:rsid w:val="00174D7A"/>
    <w:rsid w:val="00187CE1"/>
    <w:rsid w:val="001E0351"/>
    <w:rsid w:val="001E4F76"/>
    <w:rsid w:val="002253F1"/>
    <w:rsid w:val="00253EC6"/>
    <w:rsid w:val="002C24C6"/>
    <w:rsid w:val="00333B2D"/>
    <w:rsid w:val="00356A19"/>
    <w:rsid w:val="00357173"/>
    <w:rsid w:val="0039190D"/>
    <w:rsid w:val="003F753C"/>
    <w:rsid w:val="00405A78"/>
    <w:rsid w:val="00415EDA"/>
    <w:rsid w:val="00442DEB"/>
    <w:rsid w:val="004766F4"/>
    <w:rsid w:val="004A356A"/>
    <w:rsid w:val="004C2099"/>
    <w:rsid w:val="004C503B"/>
    <w:rsid w:val="004F1468"/>
    <w:rsid w:val="005020E2"/>
    <w:rsid w:val="005111BD"/>
    <w:rsid w:val="00557DFC"/>
    <w:rsid w:val="00560F35"/>
    <w:rsid w:val="00581B70"/>
    <w:rsid w:val="00592615"/>
    <w:rsid w:val="00592A46"/>
    <w:rsid w:val="005B2584"/>
    <w:rsid w:val="005B5F28"/>
    <w:rsid w:val="005C52B6"/>
    <w:rsid w:val="005C692E"/>
    <w:rsid w:val="006013EC"/>
    <w:rsid w:val="00606B6E"/>
    <w:rsid w:val="00622422"/>
    <w:rsid w:val="00654D1D"/>
    <w:rsid w:val="00665784"/>
    <w:rsid w:val="006B51E2"/>
    <w:rsid w:val="006C5B99"/>
    <w:rsid w:val="006F17F9"/>
    <w:rsid w:val="007309DA"/>
    <w:rsid w:val="007844BE"/>
    <w:rsid w:val="007D3300"/>
    <w:rsid w:val="00810C46"/>
    <w:rsid w:val="00822B27"/>
    <w:rsid w:val="00830B7A"/>
    <w:rsid w:val="00833F63"/>
    <w:rsid w:val="00842353"/>
    <w:rsid w:val="00864BF3"/>
    <w:rsid w:val="00871B25"/>
    <w:rsid w:val="00880013"/>
    <w:rsid w:val="00893F0E"/>
    <w:rsid w:val="008A41ED"/>
    <w:rsid w:val="008A4F66"/>
    <w:rsid w:val="008E3AFB"/>
    <w:rsid w:val="008F1E3C"/>
    <w:rsid w:val="0095170D"/>
    <w:rsid w:val="00965958"/>
    <w:rsid w:val="00970A61"/>
    <w:rsid w:val="00995EC0"/>
    <w:rsid w:val="009B3548"/>
    <w:rsid w:val="009C6BBE"/>
    <w:rsid w:val="009D4374"/>
    <w:rsid w:val="00A06B23"/>
    <w:rsid w:val="00A35CF4"/>
    <w:rsid w:val="00AB79F5"/>
    <w:rsid w:val="00AD13D1"/>
    <w:rsid w:val="00B419AB"/>
    <w:rsid w:val="00B42540"/>
    <w:rsid w:val="00B93404"/>
    <w:rsid w:val="00BA0368"/>
    <w:rsid w:val="00BA0DF8"/>
    <w:rsid w:val="00BB0B53"/>
    <w:rsid w:val="00BB4A34"/>
    <w:rsid w:val="00BD72AA"/>
    <w:rsid w:val="00BE084C"/>
    <w:rsid w:val="00BE2D3A"/>
    <w:rsid w:val="00C152A2"/>
    <w:rsid w:val="00C81FFC"/>
    <w:rsid w:val="00C86357"/>
    <w:rsid w:val="00CC4966"/>
    <w:rsid w:val="00CC72AD"/>
    <w:rsid w:val="00CE3B29"/>
    <w:rsid w:val="00D10D92"/>
    <w:rsid w:val="00D15681"/>
    <w:rsid w:val="00D60F08"/>
    <w:rsid w:val="00DA17F2"/>
    <w:rsid w:val="00DB191F"/>
    <w:rsid w:val="00DE0D8C"/>
    <w:rsid w:val="00DF0384"/>
    <w:rsid w:val="00E171D5"/>
    <w:rsid w:val="00E2745B"/>
    <w:rsid w:val="00E678E2"/>
    <w:rsid w:val="00E806D5"/>
    <w:rsid w:val="00E81A44"/>
    <w:rsid w:val="00E85766"/>
    <w:rsid w:val="00ED2682"/>
    <w:rsid w:val="00F04141"/>
    <w:rsid w:val="00F64B7B"/>
    <w:rsid w:val="00F82756"/>
    <w:rsid w:val="00F87EB8"/>
    <w:rsid w:val="00FB7E36"/>
    <w:rsid w:val="00FF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AFB0B"/>
  <w15:chartTrackingRefBased/>
  <w15:docId w15:val="{B8096F06-9959-4932-9A01-367EF0B93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53C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B93404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B93404"/>
    <w:rPr>
      <w:rFonts w:ascii="Calibri" w:eastAsia="Times New Roman" w:hAnsi="Calibri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semiHidden/>
    <w:rsid w:val="00B9340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B93404"/>
    <w:rPr>
      <w:rFonts w:ascii="Calibri" w:eastAsia="Times New Roman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517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170D"/>
    <w:rPr>
      <w:rFonts w:ascii="Calibri" w:eastAsia="Times New Roman" w:hAnsi="Calibri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92A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2A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2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New</dc:creator>
  <cp:keywords/>
  <dc:description/>
  <cp:lastModifiedBy>Felicia New</cp:lastModifiedBy>
  <cp:revision>2</cp:revision>
  <dcterms:created xsi:type="dcterms:W3CDTF">2025-09-09T15:54:00Z</dcterms:created>
  <dcterms:modified xsi:type="dcterms:W3CDTF">2025-09-09T15:54:00Z</dcterms:modified>
</cp:coreProperties>
</file>