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Friday, August 25,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 Meeting on site at Channing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SESSION 5:30-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8:00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date: September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22, 2025 at 5:30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minutes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from 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June 17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 School Contract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Bonus Criteria for HoS : Complete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Board Meeting 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Liability Insurance: Provided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meet &amp; greet with teachers/proposing 9/5/25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Committee Charters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Review UAPCS membership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to appoint Alexa Raynes to the Channing Hall Board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Annual Conflict of Interest Statements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Annual Ethics Pledge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 Possible motion to appoint Alexa Raynes to the Channing Hall Board***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HoS Bonus Criteria for 2025-2026 year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Officers for 2025-2026 year: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Chair: Marcy Allen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Vice-Chair: Lacy Sylvia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Secretary: Lacy Sylvia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Treasurer: Falguni Dharodiya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committee charters for 2025-2026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committee chairs for 2025-2026 year: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Executive Committee: Marcy Allen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Finance Committee: Falguni Dharodiya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Policy Committee: Marcy Allen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PR/Enrollment Committee: Becca Myers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Legislative Committee: David Hunt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Enrollment and in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ternational students (Heather F. and Diane)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Return to School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Staffing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Employee Annual Ethics Pledge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Progress of strategic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Fall Festival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Addition of Chess to student clubs and fee schedule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Staff and Family Handbook and Middle Years Supplement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Learning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Plan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/Professional Learning Grant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40fkl8nwytid" w:id="1"/>
            <w:bookmarkEnd w:id="1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SHiNE Policy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1yfewksvbqaz" w:id="2"/>
            <w:bookmarkEnd w:id="2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Appel Candidates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ygrbn2e0mbqq" w:id="3"/>
            <w:bookmarkEnd w:id="3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LEA Licensing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9t20gjarhldg" w:id="4"/>
            <w:bookmarkEnd w:id="4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AI Policy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2025-2026 Staff List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**Possible motion to approve 20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Family Handbook and Middle Years Supplement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the Early Learning Plan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LEA Licensing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APPRL Candidates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SHiNE Policy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***Possible motion to Approve AI Policy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Channing Hall Financial Policies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udget review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135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**Possible motion to approve updates to Channing Hall Financial Policies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Update/Motion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5"/>
            <w:bookmarkEnd w:id="5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First of Year letter to teachers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Review Open Meeting Laws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Roberts Rules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GC-08 Board Member Conflict of Interest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GC-16 Annual Ethics Pledge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" w:right="0" w:hanging="360"/>
              <w:jc w:val="left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Brian Carpenter Training #1 – Where the Heck are 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7:5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Legislative Report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David 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5RDBjjFlYFpVJ6vNsKEMe5sgIA==">CgMxLjAyCGguZ2pkZ3hzMg5oLjQwZmtsOG53eXRpZDIOaC4xeWZld2tzdmJxYXoyDmgueWdyYm4yZTBtYnFxMg5oLjl0MjBnamFyaGxkZzIJaC4zMGowemxsOAByITFqQ09VY1ViV3hmckRoc1h5MThRVm43R3ppRjZ3enZBVQ==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