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7660378C" w:rsidR="00DC7763" w:rsidRPr="005F1AB7" w:rsidRDefault="00E46B8F" w:rsidP="005F1AB7">
      <w:pPr>
        <w:spacing w:after="0"/>
        <w:jc w:val="center"/>
        <w:rPr>
          <w:rFonts w:ascii="Times New Roman" w:hAnsi="Times New Roman" w:cs="Times New Roman"/>
          <w:b/>
        </w:rPr>
      </w:pPr>
      <w:r>
        <w:rPr>
          <w:rFonts w:ascii="Times New Roman" w:hAnsi="Times New Roman" w:cs="Times New Roman"/>
          <w:b/>
        </w:rPr>
        <w:t>Draft</w:t>
      </w:r>
      <w:r w:rsidR="00DC7763" w:rsidRPr="005F1AB7">
        <w:rPr>
          <w:rFonts w:ascii="Times New Roman" w:hAnsi="Times New Roman" w:cs="Times New Roman"/>
          <w:b/>
        </w:rPr>
        <w:t xml:space="preserve"> Minutes</w:t>
      </w:r>
    </w:p>
    <w:p w14:paraId="72D5FA21"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Utah Charter School Finance Authority</w:t>
      </w:r>
    </w:p>
    <w:p w14:paraId="15E9BC40" w14:textId="4A360152" w:rsidR="00DC7763" w:rsidRPr="005F1AB7" w:rsidRDefault="00E737AE" w:rsidP="005F1AB7">
      <w:pPr>
        <w:spacing w:after="0" w:line="240" w:lineRule="auto"/>
        <w:jc w:val="center"/>
        <w:rPr>
          <w:rFonts w:ascii="Times New Roman" w:hAnsi="Times New Roman" w:cs="Times New Roman"/>
          <w:b/>
        </w:rPr>
      </w:pPr>
      <w:r w:rsidRPr="005F1AB7">
        <w:rPr>
          <w:rFonts w:ascii="Times New Roman" w:hAnsi="Times New Roman" w:cs="Times New Roman"/>
          <w:b/>
        </w:rPr>
        <w:t>Wednesday</w:t>
      </w:r>
      <w:r w:rsidR="00DC7763" w:rsidRPr="005F1AB7">
        <w:rPr>
          <w:rFonts w:ascii="Times New Roman" w:hAnsi="Times New Roman" w:cs="Times New Roman"/>
          <w:b/>
        </w:rPr>
        <w:t>,</w:t>
      </w:r>
      <w:r w:rsidR="001118B3" w:rsidRPr="005F1AB7">
        <w:rPr>
          <w:rFonts w:ascii="Times New Roman" w:hAnsi="Times New Roman" w:cs="Times New Roman"/>
          <w:b/>
        </w:rPr>
        <w:t xml:space="preserve"> </w:t>
      </w:r>
      <w:r w:rsidR="00E46B8F">
        <w:rPr>
          <w:rFonts w:ascii="Times New Roman" w:hAnsi="Times New Roman" w:cs="Times New Roman"/>
          <w:b/>
        </w:rPr>
        <w:t>July</w:t>
      </w:r>
      <w:r w:rsidRPr="005F1AB7">
        <w:rPr>
          <w:rFonts w:ascii="Times New Roman" w:hAnsi="Times New Roman" w:cs="Times New Roman"/>
          <w:b/>
        </w:rPr>
        <w:t xml:space="preserve"> </w:t>
      </w:r>
      <w:r w:rsidR="00E46B8F">
        <w:rPr>
          <w:rFonts w:ascii="Times New Roman" w:hAnsi="Times New Roman" w:cs="Times New Roman"/>
          <w:b/>
        </w:rPr>
        <w:t>23</w:t>
      </w:r>
      <w:r w:rsidR="00DC7763" w:rsidRPr="005F1AB7">
        <w:rPr>
          <w:rFonts w:ascii="Times New Roman" w:hAnsi="Times New Roman" w:cs="Times New Roman"/>
          <w:b/>
        </w:rPr>
        <w:t>, 202</w:t>
      </w:r>
      <w:r w:rsidR="00E46B8F">
        <w:rPr>
          <w:rFonts w:ascii="Times New Roman" w:hAnsi="Times New Roman" w:cs="Times New Roman"/>
          <w:b/>
        </w:rPr>
        <w:t>5</w:t>
      </w:r>
    </w:p>
    <w:p w14:paraId="42E7AB42"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Office of State Treasurer, C170 State Capitol Complex and</w:t>
      </w:r>
    </w:p>
    <w:p w14:paraId="4CA1CBCE" w14:textId="77777777" w:rsidR="00DC7763" w:rsidRPr="005F1AB7" w:rsidRDefault="00DC7763" w:rsidP="005F1AB7">
      <w:pPr>
        <w:spacing w:after="0" w:line="240" w:lineRule="auto"/>
        <w:jc w:val="center"/>
        <w:rPr>
          <w:rFonts w:ascii="Times New Roman" w:hAnsi="Times New Roman" w:cs="Times New Roman"/>
          <w:b/>
        </w:rPr>
      </w:pPr>
      <w:r w:rsidRPr="005F1AB7">
        <w:rPr>
          <w:rFonts w:ascii="Times New Roman" w:hAnsi="Times New Roman" w:cs="Times New Roman"/>
          <w:b/>
        </w:rPr>
        <w:t>Electronic Meeting via Zoom</w:t>
      </w:r>
    </w:p>
    <w:p w14:paraId="76148CF4" w14:textId="463EE840" w:rsidR="00DC7763" w:rsidRPr="005F1AB7" w:rsidRDefault="00DC7763" w:rsidP="005F1AB7">
      <w:pPr>
        <w:spacing w:after="0" w:line="240" w:lineRule="auto"/>
        <w:jc w:val="center"/>
        <w:rPr>
          <w:rFonts w:ascii="Times New Roman" w:hAnsi="Times New Roman" w:cs="Times New Roman"/>
        </w:rPr>
      </w:pPr>
    </w:p>
    <w:p w14:paraId="7660B890" w14:textId="77777777" w:rsidR="008A4439" w:rsidRPr="005F1AB7" w:rsidRDefault="008A4439" w:rsidP="005F1AB7">
      <w:pPr>
        <w:spacing w:after="0" w:line="240" w:lineRule="auto"/>
        <w:jc w:val="center"/>
        <w:rPr>
          <w:rFonts w:ascii="Times New Roman" w:hAnsi="Times New Roman" w:cs="Times New Roman"/>
        </w:rPr>
      </w:pPr>
    </w:p>
    <w:p w14:paraId="0D7054CB" w14:textId="77777777" w:rsidR="00DC7763" w:rsidRPr="00B842DC" w:rsidRDefault="00DC7763" w:rsidP="005F1AB7">
      <w:pPr>
        <w:spacing w:after="0" w:line="240" w:lineRule="auto"/>
        <w:rPr>
          <w:rFonts w:ascii="Times New Roman" w:hAnsi="Times New Roman" w:cs="Times New Roman"/>
        </w:rPr>
      </w:pPr>
      <w:r w:rsidRPr="005F1AB7">
        <w:rPr>
          <w:rFonts w:ascii="Times New Roman" w:hAnsi="Times New Roman" w:cs="Times New Roman"/>
        </w:rPr>
        <w:t xml:space="preserve">Members of </w:t>
      </w:r>
      <w:r w:rsidRPr="00B842DC">
        <w:rPr>
          <w:rFonts w:ascii="Times New Roman" w:hAnsi="Times New Roman" w:cs="Times New Roman"/>
        </w:rPr>
        <w:t>the Authority Present:</w:t>
      </w:r>
    </w:p>
    <w:p w14:paraId="2971B5CE" w14:textId="5C5D75A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 xml:space="preserve">Marlo M. Oaks (Utah State Treasurer, Chair) </w:t>
      </w:r>
    </w:p>
    <w:p w14:paraId="0A58734F" w14:textId="0877815B"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Sophia DiCaro (Governor’s Office of Planning and Budget)</w:t>
      </w:r>
      <w:r w:rsidR="003E2D58" w:rsidRPr="00B842DC">
        <w:rPr>
          <w:rFonts w:ascii="Times New Roman" w:hAnsi="Times New Roman" w:cs="Times New Roman"/>
        </w:rPr>
        <w:t xml:space="preserve"> </w:t>
      </w:r>
    </w:p>
    <w:p w14:paraId="7E4C5E82" w14:textId="62DA681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Scott Jones (Utah State Board of Education)</w:t>
      </w:r>
      <w:r w:rsidR="00FF3315">
        <w:rPr>
          <w:rFonts w:ascii="Times New Roman" w:hAnsi="Times New Roman" w:cs="Times New Roman"/>
        </w:rPr>
        <w:t xml:space="preserve"> – Zoom </w:t>
      </w:r>
    </w:p>
    <w:p w14:paraId="52D2A600" w14:textId="77777777" w:rsidR="00DC7763" w:rsidRPr="00B842DC" w:rsidRDefault="00DC7763" w:rsidP="005F1AB7">
      <w:pPr>
        <w:spacing w:after="0" w:line="240" w:lineRule="auto"/>
        <w:rPr>
          <w:rFonts w:ascii="Times New Roman" w:hAnsi="Times New Roman" w:cs="Times New Roman"/>
        </w:rPr>
      </w:pPr>
    </w:p>
    <w:p w14:paraId="763722BE"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Others Present:</w:t>
      </w:r>
    </w:p>
    <w:p w14:paraId="01416F45"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ab/>
        <w:t>Kirt Slaugh (Office of State Treasurer)</w:t>
      </w:r>
    </w:p>
    <w:p w14:paraId="46566CC1" w14:textId="293AFEB1" w:rsidR="00DC7763" w:rsidRPr="00B842DC" w:rsidRDefault="00DC7763" w:rsidP="005F1AB7">
      <w:pPr>
        <w:spacing w:after="0" w:line="240" w:lineRule="auto"/>
        <w:ind w:firstLine="720"/>
        <w:rPr>
          <w:rFonts w:ascii="Times New Roman" w:hAnsi="Times New Roman" w:cs="Times New Roman"/>
        </w:rPr>
      </w:pPr>
      <w:r w:rsidRPr="00B842DC">
        <w:rPr>
          <w:rFonts w:ascii="Times New Roman" w:hAnsi="Times New Roman" w:cs="Times New Roman"/>
        </w:rPr>
        <w:t>Diana Artica (Office of State Treasurer)</w:t>
      </w:r>
    </w:p>
    <w:p w14:paraId="3AC03B11" w14:textId="677BA72F" w:rsidR="000A4B91" w:rsidRPr="00B842DC" w:rsidRDefault="000A4B91" w:rsidP="005F1AB7">
      <w:pPr>
        <w:spacing w:after="0" w:line="240" w:lineRule="auto"/>
        <w:ind w:firstLine="720"/>
        <w:rPr>
          <w:rFonts w:ascii="Times New Roman" w:hAnsi="Times New Roman" w:cs="Times New Roman"/>
        </w:rPr>
      </w:pPr>
      <w:r w:rsidRPr="00B842DC">
        <w:rPr>
          <w:rFonts w:ascii="Times New Roman" w:hAnsi="Times New Roman" w:cs="Times New Roman"/>
        </w:rPr>
        <w:t>Japheth McGee (Zions Public Finance)</w:t>
      </w:r>
    </w:p>
    <w:p w14:paraId="0C182DDA" w14:textId="68340B42" w:rsidR="00707CEA" w:rsidRPr="00B842DC" w:rsidRDefault="00707C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Perri Babalis (Office of the Attorney General) – Zoom </w:t>
      </w:r>
    </w:p>
    <w:p w14:paraId="5F596988" w14:textId="3B6CEF3A"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Aaron Waite (Office of the Attorney General) – Zoom </w:t>
      </w:r>
    </w:p>
    <w:p w14:paraId="18F32539" w14:textId="0D89278E" w:rsidR="00E737AE" w:rsidRPr="00B842DC" w:rsidRDefault="00E737AE" w:rsidP="005F1AB7">
      <w:pPr>
        <w:spacing w:after="0" w:line="240" w:lineRule="auto"/>
        <w:ind w:firstLine="720"/>
        <w:rPr>
          <w:rFonts w:ascii="Times New Roman" w:hAnsi="Times New Roman" w:cs="Times New Roman"/>
        </w:rPr>
      </w:pPr>
      <w:r w:rsidRPr="00B842DC">
        <w:rPr>
          <w:rFonts w:ascii="Times New Roman" w:hAnsi="Times New Roman" w:cs="Times New Roman"/>
        </w:rPr>
        <w:t>David Robertson (</w:t>
      </w:r>
      <w:r w:rsidR="000956A6" w:rsidRPr="00B842DC">
        <w:rPr>
          <w:rFonts w:ascii="Times New Roman" w:hAnsi="Times New Roman" w:cs="Times New Roman"/>
        </w:rPr>
        <w:t>LRB</w:t>
      </w:r>
      <w:r w:rsidR="004B1647" w:rsidRPr="00B842DC">
        <w:rPr>
          <w:rFonts w:ascii="Times New Roman" w:hAnsi="Times New Roman" w:cs="Times New Roman"/>
        </w:rPr>
        <w:t xml:space="preserve"> Public Finance</w:t>
      </w:r>
      <w:r w:rsidRPr="00B842DC">
        <w:rPr>
          <w:rFonts w:ascii="Times New Roman" w:hAnsi="Times New Roman" w:cs="Times New Roman"/>
        </w:rPr>
        <w:t>)</w:t>
      </w:r>
    </w:p>
    <w:p w14:paraId="742D8A19" w14:textId="77777777" w:rsidR="00E737AE" w:rsidRPr="00B842DC" w:rsidRDefault="00E737AE"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Eric Hunter (Chapman and Cutler LLP) </w:t>
      </w:r>
    </w:p>
    <w:p w14:paraId="39F975F5" w14:textId="77777777" w:rsidR="00E737AE" w:rsidRPr="00B842DC" w:rsidRDefault="00E737AE" w:rsidP="005F1AB7">
      <w:pPr>
        <w:spacing w:after="0" w:line="240" w:lineRule="auto"/>
        <w:ind w:firstLine="720"/>
        <w:rPr>
          <w:rFonts w:ascii="Times New Roman" w:hAnsi="Times New Roman" w:cs="Times New Roman"/>
        </w:rPr>
      </w:pPr>
      <w:r w:rsidRPr="00B842DC">
        <w:rPr>
          <w:rFonts w:ascii="Times New Roman" w:hAnsi="Times New Roman" w:cs="Times New Roman"/>
        </w:rPr>
        <w:t>Brandon Johnson (Farnsworth Johnson PLLC)</w:t>
      </w:r>
    </w:p>
    <w:p w14:paraId="4FAB9841" w14:textId="052EEA42" w:rsidR="00E737AE"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Jacob Carlton (Gilmore &amp; Bell)</w:t>
      </w:r>
    </w:p>
    <w:p w14:paraId="73DDA66A" w14:textId="77B3666F"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Jane Hopkins (Gilmore &amp; Bell)</w:t>
      </w:r>
    </w:p>
    <w:p w14:paraId="3A924879" w14:textId="4BC93DA1" w:rsidR="00E737AE" w:rsidRPr="00B842DC" w:rsidRDefault="006A1932" w:rsidP="005F1AB7">
      <w:pPr>
        <w:spacing w:after="0" w:line="240" w:lineRule="auto"/>
        <w:ind w:firstLine="720"/>
        <w:rPr>
          <w:rFonts w:ascii="Times New Roman" w:hAnsi="Times New Roman" w:cs="Times New Roman"/>
        </w:rPr>
      </w:pPr>
      <w:r w:rsidRPr="00B842DC">
        <w:rPr>
          <w:rFonts w:ascii="Times New Roman" w:hAnsi="Times New Roman" w:cs="Times New Roman"/>
        </w:rPr>
        <w:t>Royce Van Tassell</w:t>
      </w:r>
      <w:r w:rsidR="00A032EA" w:rsidRPr="00B842DC">
        <w:rPr>
          <w:rFonts w:ascii="Times New Roman" w:hAnsi="Times New Roman" w:cs="Times New Roman"/>
        </w:rPr>
        <w:t xml:space="preserve"> (</w:t>
      </w:r>
      <w:r w:rsidRPr="00B842DC">
        <w:rPr>
          <w:rFonts w:ascii="Times New Roman" w:hAnsi="Times New Roman" w:cs="Times New Roman"/>
        </w:rPr>
        <w:t>Utah Association of Public Charter Schools</w:t>
      </w:r>
      <w:r w:rsidR="00A032EA" w:rsidRPr="00B842DC">
        <w:rPr>
          <w:rFonts w:ascii="Times New Roman" w:hAnsi="Times New Roman" w:cs="Times New Roman"/>
        </w:rPr>
        <w:t>)</w:t>
      </w:r>
    </w:p>
    <w:p w14:paraId="156DDD7C" w14:textId="33C4C7EF" w:rsidR="00A032EA" w:rsidRPr="00B842DC" w:rsidRDefault="00707C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Paul Kremer </w:t>
      </w:r>
      <w:r w:rsidR="00A032EA" w:rsidRPr="00B842DC">
        <w:rPr>
          <w:rFonts w:ascii="Times New Roman" w:hAnsi="Times New Roman" w:cs="Times New Roman"/>
        </w:rPr>
        <w:t>(</w:t>
      </w:r>
      <w:r w:rsidR="00CA281C">
        <w:rPr>
          <w:rFonts w:ascii="Times New Roman" w:hAnsi="Times New Roman" w:cs="Times New Roman"/>
        </w:rPr>
        <w:t>State</w:t>
      </w:r>
      <w:r w:rsidRPr="00B842DC">
        <w:rPr>
          <w:rFonts w:ascii="Times New Roman" w:hAnsi="Times New Roman" w:cs="Times New Roman"/>
        </w:rPr>
        <w:t xml:space="preserve"> Charter School Board</w:t>
      </w:r>
      <w:r w:rsidR="00A032EA" w:rsidRPr="00B842DC">
        <w:rPr>
          <w:rFonts w:ascii="Times New Roman" w:hAnsi="Times New Roman" w:cs="Times New Roman"/>
        </w:rPr>
        <w:t>)</w:t>
      </w:r>
      <w:r w:rsidRPr="00B842DC">
        <w:rPr>
          <w:rFonts w:ascii="Times New Roman" w:hAnsi="Times New Roman" w:cs="Times New Roman"/>
        </w:rPr>
        <w:t xml:space="preserve"> – Zoom </w:t>
      </w:r>
    </w:p>
    <w:p w14:paraId="73A4BA9F" w14:textId="77777777" w:rsidR="00535F0A" w:rsidRPr="00B842DC" w:rsidRDefault="00535F0A" w:rsidP="00535F0A">
      <w:pPr>
        <w:spacing w:after="0" w:line="240" w:lineRule="auto"/>
        <w:ind w:firstLine="720"/>
        <w:rPr>
          <w:rFonts w:ascii="Times New Roman" w:hAnsi="Times New Roman" w:cs="Times New Roman"/>
        </w:rPr>
      </w:pPr>
      <w:r w:rsidRPr="00B842DC">
        <w:rPr>
          <w:rFonts w:ascii="Times New Roman" w:hAnsi="Times New Roman" w:cs="Times New Roman"/>
        </w:rPr>
        <w:t xml:space="preserve">Smriti Dhakal (State Charter School Board) – Zoom </w:t>
      </w:r>
    </w:p>
    <w:p w14:paraId="7218D55C" w14:textId="45B1C180" w:rsidR="006A1932" w:rsidRPr="00B842DC" w:rsidRDefault="006A1932" w:rsidP="005F1AB7">
      <w:pPr>
        <w:spacing w:after="0" w:line="240" w:lineRule="auto"/>
        <w:ind w:firstLine="720"/>
        <w:rPr>
          <w:rFonts w:ascii="Times New Roman" w:hAnsi="Times New Roman" w:cs="Times New Roman"/>
        </w:rPr>
      </w:pPr>
      <w:r w:rsidRPr="00B842DC">
        <w:rPr>
          <w:rFonts w:ascii="Times New Roman" w:hAnsi="Times New Roman" w:cs="Times New Roman"/>
        </w:rPr>
        <w:t>Clint Biesinger (RoundTable Funding)</w:t>
      </w:r>
    </w:p>
    <w:p w14:paraId="2B9559C9" w14:textId="1F613CE9" w:rsidR="00707CEA" w:rsidRPr="00B842DC" w:rsidRDefault="00707C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Jordan Hardy (RoundTable Funding) – Zoom </w:t>
      </w:r>
    </w:p>
    <w:p w14:paraId="4D553E18" w14:textId="492D077A" w:rsidR="00535F0A" w:rsidRPr="00B842DC" w:rsidRDefault="00535F0A" w:rsidP="00535F0A">
      <w:pPr>
        <w:spacing w:after="0" w:line="240" w:lineRule="auto"/>
        <w:ind w:firstLine="720"/>
        <w:rPr>
          <w:rFonts w:ascii="Times New Roman" w:hAnsi="Times New Roman" w:cs="Times New Roman"/>
        </w:rPr>
      </w:pPr>
      <w:r w:rsidRPr="00B842DC">
        <w:rPr>
          <w:rFonts w:ascii="Times New Roman" w:hAnsi="Times New Roman" w:cs="Times New Roman"/>
        </w:rPr>
        <w:t>Mercy Wambui</w:t>
      </w:r>
      <w:r w:rsidRPr="00B842DC">
        <w:rPr>
          <w:rFonts w:ascii="Times New Roman" w:hAnsi="Times New Roman" w:cs="Times New Roman"/>
        </w:rPr>
        <w:t xml:space="preserve"> (RoundTable Funding) – Zoom </w:t>
      </w:r>
    </w:p>
    <w:p w14:paraId="7BFBEB6A" w14:textId="1FCB8CC5"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Eugene </w:t>
      </w:r>
      <w:bookmarkStart w:id="0" w:name="_Hlk186885016"/>
      <w:r w:rsidRPr="00B842DC">
        <w:rPr>
          <w:rFonts w:ascii="Times New Roman" w:hAnsi="Times New Roman" w:cs="Times New Roman"/>
        </w:rPr>
        <w:t xml:space="preserve">Clark-Herrera </w:t>
      </w:r>
      <w:bookmarkEnd w:id="0"/>
      <w:r w:rsidRPr="00B842DC">
        <w:rPr>
          <w:rFonts w:ascii="Times New Roman" w:hAnsi="Times New Roman" w:cs="Times New Roman"/>
        </w:rPr>
        <w:t>(Orrick</w:t>
      </w:r>
      <w:r w:rsidR="00CB42AE" w:rsidRPr="00B842DC">
        <w:rPr>
          <w:rFonts w:ascii="Times New Roman" w:hAnsi="Times New Roman" w:cs="Times New Roman"/>
        </w:rPr>
        <w:t>, Herrington &amp; Sutcliffe</w:t>
      </w:r>
      <w:r w:rsidRPr="00B842DC">
        <w:rPr>
          <w:rFonts w:ascii="Times New Roman" w:hAnsi="Times New Roman" w:cs="Times New Roman"/>
        </w:rPr>
        <w:t>)</w:t>
      </w:r>
      <w:r w:rsidR="006A1932" w:rsidRPr="00B842DC">
        <w:rPr>
          <w:rFonts w:ascii="Times New Roman" w:hAnsi="Times New Roman" w:cs="Times New Roman"/>
        </w:rPr>
        <w:t xml:space="preserve"> – Zoom </w:t>
      </w:r>
    </w:p>
    <w:p w14:paraId="643D4CFF" w14:textId="05717445" w:rsidR="00A032EA" w:rsidRPr="00B842DC" w:rsidRDefault="00A032EA" w:rsidP="005F1AB7">
      <w:pPr>
        <w:spacing w:after="0" w:line="240" w:lineRule="auto"/>
        <w:ind w:firstLine="720"/>
        <w:rPr>
          <w:rFonts w:ascii="Times New Roman" w:hAnsi="Times New Roman" w:cs="Times New Roman"/>
        </w:rPr>
      </w:pPr>
      <w:r w:rsidRPr="00B842DC">
        <w:rPr>
          <w:rFonts w:ascii="Times New Roman" w:hAnsi="Times New Roman" w:cs="Times New Roman"/>
        </w:rPr>
        <w:t>Haley Ritter (</w:t>
      </w:r>
      <w:r w:rsidR="00CB42AE" w:rsidRPr="00B842DC">
        <w:rPr>
          <w:rFonts w:ascii="Times New Roman" w:hAnsi="Times New Roman" w:cs="Times New Roman"/>
        </w:rPr>
        <w:t>Orrick, Herrington &amp; Sutcliffe)</w:t>
      </w:r>
      <w:r w:rsidRPr="00B842DC">
        <w:rPr>
          <w:rFonts w:ascii="Times New Roman" w:hAnsi="Times New Roman" w:cs="Times New Roman"/>
        </w:rPr>
        <w:t xml:space="preserve"> – Zoom </w:t>
      </w:r>
    </w:p>
    <w:p w14:paraId="0FB875E2" w14:textId="00F8CA10" w:rsidR="00707CEA"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Casey Holmes</w:t>
      </w:r>
      <w:r w:rsidR="00707CEA" w:rsidRPr="00B842DC">
        <w:rPr>
          <w:rFonts w:ascii="Times New Roman" w:hAnsi="Times New Roman" w:cs="Times New Roman"/>
        </w:rPr>
        <w:t xml:space="preserve"> (</w:t>
      </w:r>
      <w:r w:rsidRPr="00B842DC">
        <w:rPr>
          <w:rFonts w:ascii="Times New Roman" w:hAnsi="Times New Roman" w:cs="Times New Roman"/>
        </w:rPr>
        <w:t>Red Apple</w:t>
      </w:r>
      <w:r w:rsidR="00CA281C">
        <w:rPr>
          <w:rFonts w:ascii="Times New Roman" w:hAnsi="Times New Roman" w:cs="Times New Roman"/>
        </w:rPr>
        <w:t xml:space="preserve"> – Salt Lake Academy</w:t>
      </w:r>
      <w:r w:rsidR="00707CEA" w:rsidRPr="00B842DC">
        <w:rPr>
          <w:rFonts w:ascii="Times New Roman" w:hAnsi="Times New Roman" w:cs="Times New Roman"/>
        </w:rPr>
        <w:t>) – Zoom</w:t>
      </w:r>
    </w:p>
    <w:p w14:paraId="5B453B24" w14:textId="4C041F5C" w:rsidR="00A032EA" w:rsidRPr="00B842DC" w:rsidRDefault="00E46B8F" w:rsidP="005F1AB7">
      <w:pPr>
        <w:spacing w:after="0" w:line="240" w:lineRule="auto"/>
        <w:ind w:firstLine="720"/>
        <w:rPr>
          <w:rFonts w:ascii="Times New Roman" w:hAnsi="Times New Roman" w:cs="Times New Roman"/>
        </w:rPr>
      </w:pPr>
      <w:r w:rsidRPr="00B842DC">
        <w:rPr>
          <w:rFonts w:ascii="Times New Roman" w:hAnsi="Times New Roman" w:cs="Times New Roman"/>
        </w:rPr>
        <w:t>Brad Taylor</w:t>
      </w:r>
      <w:r w:rsidR="00A032EA" w:rsidRPr="00B842DC">
        <w:rPr>
          <w:rFonts w:ascii="Times New Roman" w:hAnsi="Times New Roman" w:cs="Times New Roman"/>
        </w:rPr>
        <w:t xml:space="preserve"> (</w:t>
      </w:r>
      <w:r w:rsidR="00535F0A" w:rsidRPr="00B842DC">
        <w:rPr>
          <w:rFonts w:ascii="Times New Roman" w:hAnsi="Times New Roman" w:cs="Times New Roman"/>
        </w:rPr>
        <w:t>Academica West – Advantage Arts Academy)</w:t>
      </w:r>
    </w:p>
    <w:p w14:paraId="71E2CB12" w14:textId="375DAE8E" w:rsidR="00CB42AE"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Edmond Hurst</w:t>
      </w:r>
      <w:r w:rsidR="00CB42AE" w:rsidRPr="00B842DC">
        <w:rPr>
          <w:rFonts w:ascii="Times New Roman" w:hAnsi="Times New Roman" w:cs="Times New Roman"/>
        </w:rPr>
        <w:t xml:space="preserve"> (</w:t>
      </w:r>
      <w:r w:rsidRPr="00B842DC">
        <w:rPr>
          <w:rFonts w:ascii="Times New Roman" w:hAnsi="Times New Roman" w:cs="Times New Roman"/>
        </w:rPr>
        <w:t>Carty, Harding &amp; Hearn – Salt Lake Academy</w:t>
      </w:r>
      <w:r w:rsidR="00CB42AE" w:rsidRPr="00B842DC">
        <w:rPr>
          <w:rFonts w:ascii="Times New Roman" w:hAnsi="Times New Roman" w:cs="Times New Roman"/>
        </w:rPr>
        <w:t xml:space="preserve">) </w:t>
      </w:r>
    </w:p>
    <w:p w14:paraId="1D5AEEC6" w14:textId="4C133117" w:rsidR="00A032EA"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Rush Harding IV</w:t>
      </w:r>
      <w:r w:rsidR="00A032EA" w:rsidRPr="00B842DC">
        <w:rPr>
          <w:rFonts w:ascii="Times New Roman" w:hAnsi="Times New Roman" w:cs="Times New Roman"/>
        </w:rPr>
        <w:t xml:space="preserve"> (</w:t>
      </w:r>
      <w:r w:rsidRPr="00B842DC">
        <w:rPr>
          <w:rFonts w:ascii="Times New Roman" w:hAnsi="Times New Roman" w:cs="Times New Roman"/>
        </w:rPr>
        <w:t>Carty, Harding &amp; Hearn – Salt Lake Academy</w:t>
      </w:r>
      <w:r w:rsidR="006A1932" w:rsidRPr="00B842DC">
        <w:rPr>
          <w:rFonts w:ascii="Times New Roman" w:hAnsi="Times New Roman" w:cs="Times New Roman"/>
        </w:rPr>
        <w:t>)</w:t>
      </w:r>
      <w:r w:rsidR="00A032EA" w:rsidRPr="00B842DC">
        <w:rPr>
          <w:rFonts w:ascii="Times New Roman" w:hAnsi="Times New Roman" w:cs="Times New Roman"/>
        </w:rPr>
        <w:t xml:space="preserve"> </w:t>
      </w:r>
    </w:p>
    <w:p w14:paraId="5F80C051" w14:textId="6F57A6F1" w:rsidR="00707CEA" w:rsidRPr="00B842DC"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 xml:space="preserve">Rebecca Byme </w:t>
      </w:r>
      <w:r w:rsidR="00707CEA" w:rsidRPr="00B842DC">
        <w:rPr>
          <w:rFonts w:ascii="Times New Roman" w:hAnsi="Times New Roman" w:cs="Times New Roman"/>
        </w:rPr>
        <w:t>(</w:t>
      </w:r>
      <w:r w:rsidRPr="00B842DC">
        <w:rPr>
          <w:rFonts w:ascii="Times New Roman" w:hAnsi="Times New Roman" w:cs="Times New Roman"/>
        </w:rPr>
        <w:t>Salt Lake Academy)</w:t>
      </w:r>
      <w:r w:rsidR="00707CEA" w:rsidRPr="00B842DC">
        <w:rPr>
          <w:rFonts w:ascii="Times New Roman" w:hAnsi="Times New Roman" w:cs="Times New Roman"/>
        </w:rPr>
        <w:t xml:space="preserve"> </w:t>
      </w:r>
    </w:p>
    <w:p w14:paraId="260EC19D" w14:textId="64683AF8" w:rsidR="00707CEA" w:rsidRPr="005F1AB7" w:rsidRDefault="00535F0A" w:rsidP="005F1AB7">
      <w:pPr>
        <w:spacing w:after="0" w:line="240" w:lineRule="auto"/>
        <w:ind w:firstLine="720"/>
        <w:rPr>
          <w:rFonts w:ascii="Times New Roman" w:hAnsi="Times New Roman" w:cs="Times New Roman"/>
        </w:rPr>
      </w:pPr>
      <w:r w:rsidRPr="00B842DC">
        <w:rPr>
          <w:rFonts w:ascii="Times New Roman" w:hAnsi="Times New Roman" w:cs="Times New Roman"/>
        </w:rPr>
        <w:t>Sam Gibbs</w:t>
      </w:r>
      <w:r w:rsidR="00707CEA" w:rsidRPr="00B842DC">
        <w:rPr>
          <w:rFonts w:ascii="Times New Roman" w:hAnsi="Times New Roman" w:cs="Times New Roman"/>
        </w:rPr>
        <w:t xml:space="preserve"> (</w:t>
      </w:r>
      <w:r w:rsidRPr="00B842DC">
        <w:rPr>
          <w:rFonts w:ascii="Times New Roman" w:hAnsi="Times New Roman" w:cs="Times New Roman"/>
        </w:rPr>
        <w:t>Salt Lake Academy</w:t>
      </w:r>
      <w:r w:rsidR="00707CEA" w:rsidRPr="00B842DC">
        <w:rPr>
          <w:rFonts w:ascii="Times New Roman" w:hAnsi="Times New Roman" w:cs="Times New Roman"/>
        </w:rPr>
        <w:t>)</w:t>
      </w:r>
    </w:p>
    <w:p w14:paraId="0B86B6DE" w14:textId="54302417" w:rsidR="00683C74" w:rsidRPr="005F1AB7" w:rsidRDefault="00535F0A" w:rsidP="005F1AB7">
      <w:pPr>
        <w:spacing w:after="0" w:line="240" w:lineRule="auto"/>
        <w:ind w:firstLine="720"/>
        <w:rPr>
          <w:rFonts w:ascii="Times New Roman" w:hAnsi="Times New Roman" w:cs="Times New Roman"/>
        </w:rPr>
      </w:pPr>
      <w:r>
        <w:rPr>
          <w:rFonts w:ascii="Times New Roman" w:hAnsi="Times New Roman" w:cs="Times New Roman"/>
        </w:rPr>
        <w:t>Dawn Benke</w:t>
      </w:r>
      <w:r w:rsidR="00683C74" w:rsidRPr="005F1AB7">
        <w:rPr>
          <w:rFonts w:ascii="Times New Roman" w:hAnsi="Times New Roman" w:cs="Times New Roman"/>
        </w:rPr>
        <w:t xml:space="preserve"> – </w:t>
      </w:r>
      <w:r w:rsidR="00CA281C">
        <w:rPr>
          <w:rFonts w:ascii="Times New Roman" w:hAnsi="Times New Roman" w:cs="Times New Roman"/>
        </w:rPr>
        <w:t>(Advantage Arts Academy) – Zoom</w:t>
      </w:r>
      <w:r w:rsidR="00683C74" w:rsidRPr="005F1AB7">
        <w:rPr>
          <w:rFonts w:ascii="Times New Roman" w:hAnsi="Times New Roman" w:cs="Times New Roman"/>
        </w:rPr>
        <w:t xml:space="preserve"> </w:t>
      </w:r>
    </w:p>
    <w:p w14:paraId="454CDF87" w14:textId="2FD0CBBE" w:rsidR="00683C74" w:rsidRPr="005F1AB7" w:rsidRDefault="00535F0A" w:rsidP="005F1AB7">
      <w:pPr>
        <w:spacing w:after="0" w:line="240" w:lineRule="auto"/>
        <w:ind w:firstLine="720"/>
        <w:rPr>
          <w:rFonts w:ascii="Times New Roman" w:hAnsi="Times New Roman" w:cs="Times New Roman"/>
        </w:rPr>
      </w:pPr>
      <w:r>
        <w:rPr>
          <w:rFonts w:ascii="Times New Roman" w:hAnsi="Times New Roman" w:cs="Times New Roman"/>
        </w:rPr>
        <w:t>Kelly Simonsen</w:t>
      </w:r>
      <w:r w:rsidR="00683C74" w:rsidRPr="005F1AB7">
        <w:rPr>
          <w:rFonts w:ascii="Times New Roman" w:hAnsi="Times New Roman" w:cs="Times New Roman"/>
        </w:rPr>
        <w:t xml:space="preserve"> </w:t>
      </w:r>
      <w:r w:rsidR="00CA281C">
        <w:rPr>
          <w:rFonts w:ascii="Times New Roman" w:hAnsi="Times New Roman" w:cs="Times New Roman"/>
        </w:rPr>
        <w:t xml:space="preserve">(Advantage Arts Academy) </w:t>
      </w:r>
      <w:r w:rsidR="00683C74" w:rsidRPr="005F1AB7">
        <w:rPr>
          <w:rFonts w:ascii="Times New Roman" w:hAnsi="Times New Roman" w:cs="Times New Roman"/>
        </w:rPr>
        <w:t>– Zoom</w:t>
      </w:r>
    </w:p>
    <w:p w14:paraId="604B2258" w14:textId="0A1EA9D6" w:rsidR="00683C74" w:rsidRPr="00B842DC" w:rsidRDefault="00535F0A" w:rsidP="005F1AB7">
      <w:pPr>
        <w:spacing w:after="0" w:line="240" w:lineRule="auto"/>
        <w:ind w:firstLine="720"/>
        <w:rPr>
          <w:rFonts w:ascii="Times New Roman" w:hAnsi="Times New Roman" w:cs="Times New Roman"/>
        </w:rPr>
      </w:pPr>
      <w:r>
        <w:rPr>
          <w:rFonts w:ascii="Times New Roman" w:hAnsi="Times New Roman" w:cs="Times New Roman"/>
        </w:rPr>
        <w:t xml:space="preserve">Darren </w:t>
      </w:r>
      <w:r w:rsidRPr="00B842DC">
        <w:rPr>
          <w:rFonts w:ascii="Times New Roman" w:hAnsi="Times New Roman" w:cs="Times New Roman"/>
        </w:rPr>
        <w:t xml:space="preserve">Marshall (Advantage Arts </w:t>
      </w:r>
      <w:r w:rsidR="00683C74" w:rsidRPr="00B842DC">
        <w:rPr>
          <w:rFonts w:ascii="Times New Roman" w:hAnsi="Times New Roman" w:cs="Times New Roman"/>
        </w:rPr>
        <w:t>Academy) – Zoom</w:t>
      </w:r>
    </w:p>
    <w:p w14:paraId="7B43DA80" w14:textId="1CBFB676" w:rsidR="00683C74" w:rsidRPr="00B842DC" w:rsidRDefault="00683C74" w:rsidP="005F1AB7">
      <w:pPr>
        <w:spacing w:after="0" w:line="240" w:lineRule="auto"/>
        <w:ind w:firstLine="720"/>
        <w:rPr>
          <w:rFonts w:ascii="Times New Roman" w:hAnsi="Times New Roman" w:cs="Times New Roman"/>
        </w:rPr>
      </w:pPr>
    </w:p>
    <w:p w14:paraId="0403DEF5" w14:textId="7133D863"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Meeting called t</w:t>
      </w:r>
      <w:r w:rsidR="001B714B" w:rsidRPr="00B842DC">
        <w:rPr>
          <w:rFonts w:ascii="Times New Roman" w:hAnsi="Times New Roman" w:cs="Times New Roman"/>
        </w:rPr>
        <w:t xml:space="preserve">o order by Treasurer Oaks at </w:t>
      </w:r>
      <w:r w:rsidR="00E46B8F" w:rsidRPr="00B842DC">
        <w:rPr>
          <w:rFonts w:ascii="Times New Roman" w:hAnsi="Times New Roman" w:cs="Times New Roman"/>
        </w:rPr>
        <w:t>10:00</w:t>
      </w:r>
      <w:r w:rsidR="006571AA" w:rsidRPr="00B842DC">
        <w:rPr>
          <w:rFonts w:ascii="Times New Roman" w:hAnsi="Times New Roman" w:cs="Times New Roman"/>
        </w:rPr>
        <w:t xml:space="preserve"> </w:t>
      </w:r>
      <w:r w:rsidR="00E46B8F" w:rsidRPr="00B842DC">
        <w:rPr>
          <w:rFonts w:ascii="Times New Roman" w:hAnsi="Times New Roman" w:cs="Times New Roman"/>
        </w:rPr>
        <w:t>a</w:t>
      </w:r>
      <w:r w:rsidR="004727BA" w:rsidRPr="00B842DC">
        <w:rPr>
          <w:rFonts w:ascii="Times New Roman" w:hAnsi="Times New Roman" w:cs="Times New Roman"/>
        </w:rPr>
        <w:t>m</w:t>
      </w:r>
      <w:r w:rsidRPr="00B842DC">
        <w:rPr>
          <w:rFonts w:ascii="Times New Roman" w:hAnsi="Times New Roman" w:cs="Times New Roman"/>
        </w:rPr>
        <w:t>.</w:t>
      </w:r>
    </w:p>
    <w:p w14:paraId="238CFD3A" w14:textId="77777777" w:rsidR="00DC7763" w:rsidRPr="00B842DC" w:rsidRDefault="00DC7763" w:rsidP="005F1AB7">
      <w:pPr>
        <w:spacing w:after="0" w:line="240" w:lineRule="auto"/>
        <w:rPr>
          <w:rFonts w:ascii="Times New Roman" w:hAnsi="Times New Roman" w:cs="Times New Roman"/>
          <w:u w:val="single"/>
        </w:rPr>
      </w:pPr>
    </w:p>
    <w:p w14:paraId="72DB5197" w14:textId="77777777" w:rsidR="00DC7763" w:rsidRPr="00B842DC" w:rsidRDefault="00DC7763" w:rsidP="005F1AB7">
      <w:pPr>
        <w:pStyle w:val="ListParagraph"/>
        <w:numPr>
          <w:ilvl w:val="0"/>
          <w:numId w:val="1"/>
        </w:numPr>
        <w:spacing w:after="0" w:line="240" w:lineRule="auto"/>
        <w:rPr>
          <w:rFonts w:ascii="Times New Roman" w:hAnsi="Times New Roman" w:cs="Times New Roman"/>
          <w:u w:val="single"/>
        </w:rPr>
      </w:pPr>
      <w:r w:rsidRPr="00B842DC">
        <w:rPr>
          <w:rFonts w:ascii="Times New Roman" w:hAnsi="Times New Roman" w:cs="Times New Roman"/>
          <w:u w:val="single"/>
        </w:rPr>
        <w:t>Prior Meeting Minutes</w:t>
      </w:r>
    </w:p>
    <w:p w14:paraId="62D5FE8C" w14:textId="77777777" w:rsidR="00DC7763" w:rsidRPr="00E46B8F" w:rsidRDefault="00DC7763" w:rsidP="005F1AB7">
      <w:pPr>
        <w:spacing w:after="0" w:line="240" w:lineRule="auto"/>
        <w:rPr>
          <w:rFonts w:ascii="Times New Roman" w:hAnsi="Times New Roman" w:cs="Times New Roman"/>
          <w:highlight w:val="yellow"/>
        </w:rPr>
      </w:pPr>
    </w:p>
    <w:p w14:paraId="15880A49" w14:textId="4D117AF2" w:rsidR="00DC7763" w:rsidRDefault="00DC7763" w:rsidP="005F1AB7">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from the </w:t>
      </w:r>
      <w:r w:rsidR="00E46B8F" w:rsidRPr="00FF3315">
        <w:rPr>
          <w:rFonts w:ascii="Times New Roman" w:hAnsi="Times New Roman" w:cs="Times New Roman"/>
        </w:rPr>
        <w:t>October</w:t>
      </w:r>
      <w:r w:rsidR="00CB7D7B" w:rsidRPr="00FF3315">
        <w:rPr>
          <w:rFonts w:ascii="Times New Roman" w:hAnsi="Times New Roman" w:cs="Times New Roman"/>
        </w:rPr>
        <w:t xml:space="preserve"> </w:t>
      </w:r>
      <w:r w:rsidR="00E46B8F" w:rsidRPr="00FF3315">
        <w:rPr>
          <w:rFonts w:ascii="Times New Roman" w:hAnsi="Times New Roman" w:cs="Times New Roman"/>
        </w:rPr>
        <w:t>30</w:t>
      </w:r>
      <w:r w:rsidR="004A7119" w:rsidRPr="00FF3315">
        <w:rPr>
          <w:rFonts w:ascii="Times New Roman" w:hAnsi="Times New Roman" w:cs="Times New Roman"/>
        </w:rPr>
        <w:t>,</w:t>
      </w:r>
      <w:r w:rsidRPr="00FF3315">
        <w:rPr>
          <w:rFonts w:ascii="Times New Roman" w:hAnsi="Times New Roman" w:cs="Times New Roman"/>
        </w:rPr>
        <w:t xml:space="preserve"> 202</w:t>
      </w:r>
      <w:r w:rsidR="00395190" w:rsidRPr="00FF3315">
        <w:rPr>
          <w:rFonts w:ascii="Times New Roman" w:hAnsi="Times New Roman" w:cs="Times New Roman"/>
        </w:rPr>
        <w:t>4</w:t>
      </w:r>
      <w:r w:rsidR="00E46B8F" w:rsidRPr="00FF3315">
        <w:rPr>
          <w:rFonts w:ascii="Times New Roman" w:hAnsi="Times New Roman" w:cs="Times New Roman"/>
        </w:rPr>
        <w:t xml:space="preserve"> </w:t>
      </w:r>
      <w:r w:rsidRPr="00FF3315">
        <w:rPr>
          <w:rFonts w:ascii="Times New Roman" w:hAnsi="Times New Roman" w:cs="Times New Roman"/>
        </w:rPr>
        <w:t xml:space="preserve">meeting </w:t>
      </w:r>
      <w:r w:rsidR="00FF3315" w:rsidRPr="00FF3315">
        <w:rPr>
          <w:rFonts w:ascii="Times New Roman" w:hAnsi="Times New Roman" w:cs="Times New Roman"/>
        </w:rPr>
        <w:t>were</w:t>
      </w:r>
      <w:r w:rsidRPr="00FF3315">
        <w:rPr>
          <w:rFonts w:ascii="Times New Roman" w:hAnsi="Times New Roman" w:cs="Times New Roman"/>
        </w:rPr>
        <w:t xml:space="preserve"> presented for discussion and approval. </w:t>
      </w:r>
      <w:r w:rsidR="00395190" w:rsidRPr="00FF3315">
        <w:rPr>
          <w:rFonts w:ascii="Times New Roman" w:hAnsi="Times New Roman" w:cs="Times New Roman"/>
        </w:rPr>
        <w:t>M</w:t>
      </w:r>
      <w:r w:rsidR="00FF3315" w:rsidRPr="00FF3315">
        <w:rPr>
          <w:rFonts w:ascii="Times New Roman" w:hAnsi="Times New Roman" w:cs="Times New Roman"/>
        </w:rPr>
        <w:t xml:space="preserve">s. DiCaro </w:t>
      </w:r>
      <w:r w:rsidRPr="00FF3315">
        <w:rPr>
          <w:rFonts w:ascii="Times New Roman" w:hAnsi="Times New Roman" w:cs="Times New Roman"/>
        </w:rPr>
        <w:t xml:space="preserve">made a motion to approve the minutes. </w:t>
      </w:r>
      <w:r w:rsidR="00FF3315" w:rsidRPr="00FF3315">
        <w:rPr>
          <w:rFonts w:ascii="Times New Roman" w:hAnsi="Times New Roman" w:cs="Times New Roman"/>
        </w:rPr>
        <w:t>Mr. Jones</w:t>
      </w:r>
      <w:r w:rsidRPr="00FF3315">
        <w:rPr>
          <w:rFonts w:ascii="Times New Roman" w:hAnsi="Times New Roman" w:cs="Times New Roman"/>
        </w:rPr>
        <w:t xml:space="preserve"> seconded the motion. The motion carried unanimously with Treasurer Oaks</w:t>
      </w:r>
      <w:r w:rsidR="00395190" w:rsidRPr="00FF3315">
        <w:rPr>
          <w:rFonts w:ascii="Times New Roman" w:hAnsi="Times New Roman" w:cs="Times New Roman"/>
        </w:rPr>
        <w:t xml:space="preserve">, </w:t>
      </w:r>
      <w:r w:rsidRPr="00FF3315">
        <w:rPr>
          <w:rFonts w:ascii="Times New Roman" w:hAnsi="Times New Roman" w:cs="Times New Roman"/>
        </w:rPr>
        <w:t>Ms. DiCaro</w:t>
      </w:r>
      <w:r w:rsidR="00395190" w:rsidRPr="00FF3315">
        <w:rPr>
          <w:rFonts w:ascii="Times New Roman" w:hAnsi="Times New Roman" w:cs="Times New Roman"/>
        </w:rPr>
        <w:t xml:space="preserve"> and Mr. Jones</w:t>
      </w:r>
      <w:r w:rsidRPr="00FF3315">
        <w:rPr>
          <w:rFonts w:ascii="Times New Roman" w:hAnsi="Times New Roman" w:cs="Times New Roman"/>
        </w:rPr>
        <w:t xml:space="preserve"> voting in favor.</w:t>
      </w:r>
    </w:p>
    <w:p w14:paraId="5B55B453" w14:textId="01F3C958" w:rsidR="00CA281C" w:rsidRDefault="00CA281C" w:rsidP="005F1AB7">
      <w:pPr>
        <w:spacing w:after="0" w:line="240" w:lineRule="auto"/>
        <w:jc w:val="both"/>
        <w:rPr>
          <w:rFonts w:ascii="Times New Roman" w:hAnsi="Times New Roman" w:cs="Times New Roman"/>
        </w:rPr>
      </w:pPr>
    </w:p>
    <w:p w14:paraId="4683A966" w14:textId="0A5775C5" w:rsidR="00CA281C" w:rsidRPr="005F1AB7" w:rsidRDefault="00CA281C" w:rsidP="00CA281C">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w:t>
      </w:r>
      <w:r w:rsidR="00FF3315" w:rsidRPr="00FF3315">
        <w:rPr>
          <w:rFonts w:ascii="Times New Roman" w:hAnsi="Times New Roman" w:cs="Times New Roman"/>
        </w:rPr>
        <w:t xml:space="preserve">from the </w:t>
      </w:r>
      <w:r w:rsidRPr="00FF3315">
        <w:rPr>
          <w:rFonts w:ascii="Times New Roman" w:hAnsi="Times New Roman" w:cs="Times New Roman"/>
        </w:rPr>
        <w:t>June 17,2025 meeting were presented for discussion and approval. Mr. Jones made a motion to approve the minutes. Ms. DiCaro seconded the motion. The motion carried unanimously with Treasurer Oaks, Ms. DiCaro and Mr. Jones voting in favor</w:t>
      </w:r>
      <w:r w:rsidRPr="005F1AB7">
        <w:rPr>
          <w:rFonts w:ascii="Times New Roman" w:hAnsi="Times New Roman" w:cs="Times New Roman"/>
        </w:rPr>
        <w:t>.</w:t>
      </w:r>
    </w:p>
    <w:p w14:paraId="007FEBBF" w14:textId="77777777" w:rsidR="00CA281C" w:rsidRPr="005F1AB7" w:rsidRDefault="00CA281C" w:rsidP="005F1AB7">
      <w:pPr>
        <w:spacing w:after="0" w:line="240" w:lineRule="auto"/>
        <w:jc w:val="both"/>
        <w:rPr>
          <w:rFonts w:ascii="Times New Roman" w:hAnsi="Times New Roman" w:cs="Times New Roman"/>
        </w:rPr>
      </w:pPr>
    </w:p>
    <w:p w14:paraId="1EFF5FEC" w14:textId="70237857" w:rsidR="00DC7763" w:rsidRPr="00FF3315" w:rsidRDefault="002B7759" w:rsidP="005F1AB7">
      <w:pPr>
        <w:pStyle w:val="ListParagraph"/>
        <w:numPr>
          <w:ilvl w:val="0"/>
          <w:numId w:val="1"/>
        </w:numPr>
        <w:spacing w:after="0" w:line="240" w:lineRule="auto"/>
        <w:rPr>
          <w:rFonts w:ascii="Times New Roman" w:hAnsi="Times New Roman" w:cs="Times New Roman"/>
          <w:u w:val="single"/>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2025-7</w:t>
      </w:r>
      <w:r w:rsidR="00CB7D7B" w:rsidRPr="00FF3315">
        <w:rPr>
          <w:rFonts w:ascii="Times New Roman" w:hAnsi="Times New Roman" w:cs="Times New Roman"/>
          <w:u w:val="single"/>
        </w:rPr>
        <w:t xml:space="preserve"> </w:t>
      </w:r>
      <w:r w:rsidR="00E46B8F" w:rsidRPr="00FF3315">
        <w:rPr>
          <w:rFonts w:ascii="Times New Roman" w:hAnsi="Times New Roman" w:cs="Times New Roman"/>
          <w:u w:val="single"/>
        </w:rPr>
        <w:t>Salt Lake Academy</w:t>
      </w:r>
      <w:r w:rsidR="00CB42AE" w:rsidRPr="00FF3315">
        <w:rPr>
          <w:rFonts w:ascii="Times New Roman" w:hAnsi="Times New Roman" w:cs="Times New Roman"/>
          <w:u w:val="single"/>
        </w:rPr>
        <w:t>,</w:t>
      </w:r>
      <w:r w:rsidR="00B5549B" w:rsidRPr="00FF3315">
        <w:rPr>
          <w:rFonts w:ascii="Times New Roman" w:hAnsi="Times New Roman" w:cs="Times New Roman"/>
          <w:u w:val="single"/>
        </w:rPr>
        <w:t xml:space="preserve"> </w:t>
      </w:r>
      <w:r w:rsidR="00DC7763" w:rsidRPr="00FF3315">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28AEC7B1"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lastRenderedPageBreak/>
        <w:t>Mr. McGee began by disclosing a potential conflict of interest, noting that the Zions Commercial Team had previously financed Salt Lake Academy’s facility. As the proposed transaction will refinance that debt—and because Zions Public Finance is affiliated with the original lender—he disclosed the relationship for transparency.</w:t>
      </w:r>
    </w:p>
    <w:p w14:paraId="542F8B85" w14:textId="77777777" w:rsidR="00467CA1" w:rsidRPr="00467CA1" w:rsidRDefault="00467CA1" w:rsidP="00467CA1">
      <w:pPr>
        <w:spacing w:after="0" w:line="240" w:lineRule="auto"/>
        <w:jc w:val="both"/>
        <w:rPr>
          <w:rFonts w:ascii="Times New Roman" w:hAnsi="Times New Roman" w:cs="Times New Roman"/>
        </w:rPr>
      </w:pPr>
    </w:p>
    <w:p w14:paraId="3F084C53"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He then introduced the proposed bond financing for Real Salt Lake Academy High School (doing business as Salt Lake Academy), totaling just under $35 million. The purpose is to refinance existing debt from both Salt Lake Academy and Athlos Academy, with Salt Lake Academy assuming control of the Athlos facility. No credit enhancement is requested.</w:t>
      </w:r>
    </w:p>
    <w:p w14:paraId="3C64F248" w14:textId="77777777" w:rsidR="00467CA1" w:rsidRPr="00467CA1" w:rsidRDefault="00467CA1" w:rsidP="00467CA1">
      <w:pPr>
        <w:spacing w:after="0" w:line="240" w:lineRule="auto"/>
        <w:jc w:val="both"/>
        <w:rPr>
          <w:rFonts w:ascii="Times New Roman" w:hAnsi="Times New Roman" w:cs="Times New Roman"/>
        </w:rPr>
      </w:pPr>
    </w:p>
    <w:p w14:paraId="07AF7DBD"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provided background on Athlos Academy, which had previously applied for financing but was denied by the Authority due to issues with disclosures and charter status. Since then, under the leadership of Sam Gibbs, Athlos returned to good standing. The two schools, which had similar missions and a longstanding enrollment agreement, are now merging into a single K–12 LEA. Athlos’s former management organization is no longer involved, and earlier private development financing has been refinanced separately.</w:t>
      </w:r>
    </w:p>
    <w:p w14:paraId="72777D5F" w14:textId="77777777" w:rsidR="00467CA1" w:rsidRPr="00467CA1" w:rsidRDefault="00467CA1" w:rsidP="00467CA1">
      <w:pPr>
        <w:spacing w:after="0" w:line="240" w:lineRule="auto"/>
        <w:jc w:val="both"/>
        <w:rPr>
          <w:rFonts w:ascii="Times New Roman" w:hAnsi="Times New Roman" w:cs="Times New Roman"/>
        </w:rPr>
      </w:pPr>
    </w:p>
    <w:p w14:paraId="6D118AD0"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bonds will have a 30-year term, structured on a 40-year amortization schedule, with a balloon payment in year 30. A five-year par call is included. While the underwriter fee is higher than usual, the Municipal Advisor found it reasonable given the transaction’s complexity.</w:t>
      </w:r>
    </w:p>
    <w:p w14:paraId="55073D94" w14:textId="77777777" w:rsidR="00467CA1" w:rsidRPr="00467CA1" w:rsidRDefault="00467CA1" w:rsidP="00467CA1">
      <w:pPr>
        <w:spacing w:after="0" w:line="240" w:lineRule="auto"/>
        <w:jc w:val="both"/>
        <w:rPr>
          <w:rFonts w:ascii="Times New Roman" w:hAnsi="Times New Roman" w:cs="Times New Roman"/>
        </w:rPr>
      </w:pPr>
    </w:p>
    <w:p w14:paraId="11D245E3"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Enrollment is projected at 900 students across the two campuses, which will help support adequate debt service coverage. Both schools have experienced financial challenges in the past, but the merger is expected to improve operations through increased scale and efficiency. Although Salt Lake Academy underperforms the local Jordan School District academically, re-enrollment rates remain stable.</w:t>
      </w:r>
    </w:p>
    <w:p w14:paraId="4ACFD740" w14:textId="77777777" w:rsidR="00467CA1" w:rsidRPr="00467CA1" w:rsidRDefault="00467CA1" w:rsidP="00467CA1">
      <w:pPr>
        <w:spacing w:after="0" w:line="240" w:lineRule="auto"/>
        <w:jc w:val="both"/>
        <w:rPr>
          <w:rFonts w:ascii="Times New Roman" w:hAnsi="Times New Roman" w:cs="Times New Roman"/>
        </w:rPr>
      </w:pPr>
    </w:p>
    <w:p w14:paraId="22819E86"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two campuses—both in Herriman—will be secured under a single lien, and appraisals indicate that the combined property value supports the level of debt. While fund balances and cash reserves are low (48–66 days cash on hand), they remain above the Authority’s thresholds. Salt Lake Academy's FY2025 unaudited debt coverage is 1.15, with combined coverage for FY2024 exceeding one-times. Future projections estimate 1.5–1.6 times coverage and a 25% operating margin.</w:t>
      </w:r>
    </w:p>
    <w:p w14:paraId="61AB4036" w14:textId="77777777" w:rsidR="00467CA1" w:rsidRPr="00467CA1" w:rsidRDefault="00467CA1" w:rsidP="00467CA1">
      <w:pPr>
        <w:spacing w:after="0" w:line="240" w:lineRule="auto"/>
        <w:jc w:val="both"/>
        <w:rPr>
          <w:rFonts w:ascii="Times New Roman" w:hAnsi="Times New Roman" w:cs="Times New Roman"/>
        </w:rPr>
      </w:pPr>
    </w:p>
    <w:p w14:paraId="02959F97" w14:textId="6E7101ED" w:rsidR="00FF3315"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concluded that this complex transaction allows both schools to consolidate under improved financial conditions, with no financial obligation to the Authority.</w:t>
      </w:r>
    </w:p>
    <w:p w14:paraId="0063E341" w14:textId="77777777" w:rsidR="00467CA1" w:rsidRDefault="00467CA1" w:rsidP="00467CA1">
      <w:pPr>
        <w:spacing w:after="0" w:line="240" w:lineRule="auto"/>
        <w:jc w:val="both"/>
        <w:rPr>
          <w:rFonts w:ascii="Times New Roman" w:hAnsi="Times New Roman" w:cs="Times New Roman"/>
        </w:rPr>
      </w:pPr>
    </w:p>
    <w:p w14:paraId="53F3842B" w14:textId="01B4A0E6" w:rsidR="00FF3315" w:rsidRDefault="00410BB3" w:rsidP="005F1AB7">
      <w:pPr>
        <w:spacing w:after="0" w:line="240" w:lineRule="auto"/>
        <w:jc w:val="both"/>
        <w:rPr>
          <w:rFonts w:ascii="Times New Roman" w:hAnsi="Times New Roman" w:cs="Times New Roman"/>
        </w:rPr>
      </w:pPr>
      <w:r w:rsidRPr="00410BB3">
        <w:rPr>
          <w:rFonts w:ascii="Times New Roman" w:hAnsi="Times New Roman" w:cs="Times New Roman"/>
        </w:rPr>
        <w:t>Ms. DiCaro expressed some uncertainty about the Board’s new role and asked for clarification on any recent changes. She also inquired about previous indications that the school may have experienced some management sensitivities related to the takeover. She asked whether those concerns had been resolved or if they were still ongoing.</w:t>
      </w:r>
    </w:p>
    <w:p w14:paraId="098D3F7F" w14:textId="0AC99780" w:rsidR="00410BB3" w:rsidRDefault="00410BB3" w:rsidP="005F1AB7">
      <w:pPr>
        <w:spacing w:after="0" w:line="240" w:lineRule="auto"/>
        <w:jc w:val="both"/>
        <w:rPr>
          <w:rFonts w:ascii="Times New Roman" w:hAnsi="Times New Roman" w:cs="Times New Roman"/>
        </w:rPr>
      </w:pPr>
    </w:p>
    <w:p w14:paraId="1EC5689D" w14:textId="1900B0C5" w:rsidR="00410BB3" w:rsidRDefault="002B74D5" w:rsidP="005F1AB7">
      <w:pPr>
        <w:spacing w:after="0" w:line="240" w:lineRule="auto"/>
        <w:jc w:val="both"/>
        <w:rPr>
          <w:rFonts w:ascii="Times New Roman" w:hAnsi="Times New Roman" w:cs="Times New Roman"/>
        </w:rPr>
      </w:pPr>
      <w:r w:rsidRPr="002B74D5">
        <w:rPr>
          <w:rFonts w:ascii="Times New Roman" w:hAnsi="Times New Roman" w:cs="Times New Roman"/>
        </w:rPr>
        <w:t>Mr. Biesinger explained that Athlos Academy voluntarily surrendered its charter to Salt Lake Academy after recognizing similar missions and challenges in meeting student expectations. Both boards unanimously approved the transition, which he described as an acquisition rather than a merger. The for-profit management organization previously tied to Athlos is no longer involved. As of July 1, Salt Lake Academy officially assumed operations. About 15% of Athlos staff were rehired through a reapplication process. The high school remains at Salt Lake Academy’s campus, while the former Athlos facility now serves K–8 students and will be upgraded to support movement-based learning.</w:t>
      </w:r>
    </w:p>
    <w:p w14:paraId="4A8A28AB" w14:textId="77777777" w:rsidR="002B74D5" w:rsidRDefault="002B74D5" w:rsidP="005F1AB7">
      <w:pPr>
        <w:spacing w:after="0" w:line="240" w:lineRule="auto"/>
        <w:jc w:val="both"/>
        <w:rPr>
          <w:rFonts w:ascii="Times New Roman" w:hAnsi="Times New Roman" w:cs="Times New Roman"/>
        </w:rPr>
      </w:pPr>
    </w:p>
    <w:p w14:paraId="58193CD6" w14:textId="101F7D6A" w:rsidR="00410BB3" w:rsidRDefault="00410BB3" w:rsidP="005F1AB7">
      <w:pPr>
        <w:spacing w:after="0" w:line="240" w:lineRule="auto"/>
        <w:jc w:val="both"/>
        <w:rPr>
          <w:rFonts w:ascii="Times New Roman" w:hAnsi="Times New Roman" w:cs="Times New Roman"/>
        </w:rPr>
      </w:pPr>
      <w:r w:rsidRPr="00410BB3">
        <w:rPr>
          <w:rFonts w:ascii="Times New Roman" w:hAnsi="Times New Roman" w:cs="Times New Roman"/>
        </w:rPr>
        <w:t>Mr. Gibbs stated that following the State Charter School Board’s approval of Athlos Academy’s charter surrender in early spring, Salt Lake Academy launched a full staff evaluation. All staff were required to submit credentials and undergo interviews, with only those meeting a defined threshold retained. He noted Athlos had struggled with low teacher pay and underqualified staff due to financial strain. In response, the new leadership prioritized hiring fully licensed, experienced educators. Mr. Gibbs emphasized the goal was to raise academic standards, rebuild trust, and deliver on the original promise of quality public education for the community.</w:t>
      </w:r>
    </w:p>
    <w:p w14:paraId="386F69E9" w14:textId="253EE883" w:rsidR="00410BB3" w:rsidRDefault="00410BB3" w:rsidP="005F1AB7">
      <w:pPr>
        <w:spacing w:after="0" w:line="240" w:lineRule="auto"/>
        <w:jc w:val="both"/>
        <w:rPr>
          <w:rFonts w:ascii="Times New Roman" w:hAnsi="Times New Roman" w:cs="Times New Roman"/>
        </w:rPr>
      </w:pPr>
    </w:p>
    <w:p w14:paraId="796AAD66" w14:textId="316DA94D" w:rsidR="00410BB3" w:rsidRDefault="002B74D5" w:rsidP="005F1AB7">
      <w:pPr>
        <w:spacing w:after="0" w:line="240" w:lineRule="auto"/>
        <w:jc w:val="both"/>
        <w:rPr>
          <w:rFonts w:ascii="Times New Roman" w:hAnsi="Times New Roman" w:cs="Times New Roman"/>
        </w:rPr>
      </w:pPr>
      <w:r w:rsidRPr="002B74D5">
        <w:rPr>
          <w:rFonts w:ascii="Times New Roman" w:hAnsi="Times New Roman" w:cs="Times New Roman"/>
        </w:rPr>
        <w:lastRenderedPageBreak/>
        <w:t>Ms. Byrne, speaking as a parent representative on the school board, shared her personal perspective. She noted that her son is a senior at Salt Lake Academy and her daughter attended Athlos for seven years. Reflecting on Athlos’ decline, she observed it began when Mr. Gibbs left, while Salt Lake Academy began to improve during the same period. She emphasized that as a parent, the lack of consistent leadership at Athlos was evident—marked by teacher turnover, inconsistent academics, and fluctuating test scores, which caused ongoing frustration. With Salt Lake Academy stepping in, she believes the community will finally see needed stability. Ms. Byrne also expressed strong support for charter schools and highlighted that the 15% of Athlos staff who were retained represent the most dedicated and effective educators—those who had supported her daughter since kindergarten. To her, those teachers made a significant difference and were a key reason she remained committed to charter education.</w:t>
      </w:r>
    </w:p>
    <w:p w14:paraId="4D249863" w14:textId="0FF6E123" w:rsidR="00410BB3" w:rsidRDefault="00410BB3" w:rsidP="005F1AB7">
      <w:pPr>
        <w:spacing w:after="0" w:line="240" w:lineRule="auto"/>
        <w:jc w:val="both"/>
        <w:rPr>
          <w:rFonts w:ascii="Times New Roman" w:hAnsi="Times New Roman" w:cs="Times New Roman"/>
        </w:rPr>
      </w:pPr>
    </w:p>
    <w:p w14:paraId="1C5AD094" w14:textId="0378238A" w:rsidR="00410BB3" w:rsidRDefault="00E85914" w:rsidP="005F1AB7">
      <w:pPr>
        <w:spacing w:after="0" w:line="240" w:lineRule="auto"/>
        <w:jc w:val="both"/>
        <w:rPr>
          <w:rFonts w:ascii="Times New Roman" w:hAnsi="Times New Roman" w:cs="Times New Roman"/>
        </w:rPr>
      </w:pPr>
      <w:r w:rsidRPr="00E85914">
        <w:rPr>
          <w:rFonts w:ascii="Times New Roman" w:hAnsi="Times New Roman" w:cs="Times New Roman"/>
        </w:rPr>
        <w:t>Treasurer Oaks asked whether there were any concerns from a parent’s perspective regarding the school’s academic performance.</w:t>
      </w:r>
      <w:r>
        <w:rPr>
          <w:rFonts w:ascii="Times New Roman" w:hAnsi="Times New Roman" w:cs="Times New Roman"/>
        </w:rPr>
        <w:t xml:space="preserve"> </w:t>
      </w:r>
      <w:r w:rsidRPr="00E85914">
        <w:rPr>
          <w:rFonts w:ascii="Times New Roman" w:hAnsi="Times New Roman" w:cs="Times New Roman"/>
        </w:rPr>
        <w:t>Ms. Byrne responded that she had no concerns about academic performance. As a public education professional, she noted that she would have moved her children to traditional public schools if she had any doubts—but chose to keep them in charter schools because of the strong opportunities available. She expressed confidence in Salt Lake Academy’s academic practices and believes those strengths will now extend to the former Athlos campus. Ms. Byrne emphasized that families in the community are excited about the stability and continuity this change brings, especially given the area's proximity to multiple public schools. Having a unified K–12 charter option just three miles apart offers families a consistent academic experience, which she believes will lead to improved outcomes and stronger community engagement.</w:t>
      </w:r>
    </w:p>
    <w:p w14:paraId="27A2940B" w14:textId="23163D9E" w:rsidR="00410BB3" w:rsidRDefault="00410BB3" w:rsidP="005F1AB7">
      <w:pPr>
        <w:spacing w:after="0" w:line="240" w:lineRule="auto"/>
        <w:jc w:val="both"/>
        <w:rPr>
          <w:rFonts w:ascii="Times New Roman" w:hAnsi="Times New Roman" w:cs="Times New Roman"/>
        </w:rPr>
      </w:pPr>
    </w:p>
    <w:p w14:paraId="2746A526" w14:textId="5CD1666D" w:rsidR="00410BB3" w:rsidRDefault="00E85914" w:rsidP="005F1AB7">
      <w:pPr>
        <w:spacing w:after="0" w:line="240" w:lineRule="auto"/>
        <w:jc w:val="both"/>
        <w:rPr>
          <w:rFonts w:ascii="Times New Roman" w:hAnsi="Times New Roman" w:cs="Times New Roman"/>
        </w:rPr>
      </w:pPr>
      <w:r w:rsidRPr="00E85914">
        <w:rPr>
          <w:rFonts w:ascii="Times New Roman" w:hAnsi="Times New Roman" w:cs="Times New Roman"/>
        </w:rPr>
        <w:t>Treasurer Oaks asked Mr. Gibbs to clarify whether he had previously been affiliated with Athlos Academy.</w:t>
      </w:r>
      <w:r>
        <w:rPr>
          <w:rFonts w:ascii="Times New Roman" w:hAnsi="Times New Roman" w:cs="Times New Roman"/>
        </w:rPr>
        <w:t xml:space="preserve"> </w:t>
      </w:r>
      <w:r w:rsidRPr="00E85914">
        <w:rPr>
          <w:rFonts w:ascii="Times New Roman" w:hAnsi="Times New Roman" w:cs="Times New Roman"/>
        </w:rPr>
        <w:t>Mr. Gibbs explained that his professional background is in school turnaround work. For 19 years, he worked with a school management company that placed him at underperforming schools across the country to help improve operations and outcomes. He was temporarily assigned to Athlos Academy for 14 months during a time when the school faced 12 letters of concern from the State. During his tenure, those concerns were addressed and resolved. Two years ago, he accepted a full-time role as director at Salt Lake Academy, where he has since focused on academic improvement and athletic excellence. He noted that, under his leadership, the junior class at Salt Lake Academy improved its UCAS score by one full point in just one year. While his role at Athlos was more operational, his work at Salt Lake Academy has centered on implementing academic programs that enhance long-term performance.</w:t>
      </w:r>
    </w:p>
    <w:p w14:paraId="4A3FBDF3" w14:textId="0A66F6C9" w:rsidR="00410BB3" w:rsidRDefault="00410BB3" w:rsidP="005F1AB7">
      <w:pPr>
        <w:spacing w:after="0" w:line="240" w:lineRule="auto"/>
        <w:jc w:val="both"/>
        <w:rPr>
          <w:rFonts w:ascii="Times New Roman" w:hAnsi="Times New Roman" w:cs="Times New Roman"/>
        </w:rPr>
      </w:pPr>
    </w:p>
    <w:p w14:paraId="48F8111E" w14:textId="4B933090" w:rsid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$40 million, a final maturity of up to 40 years, a maximum interest rate capped at 9% per annum, and a discount not exceeding 5%.</w:t>
      </w:r>
      <w:r>
        <w:rPr>
          <w:rFonts w:ascii="Times New Roman" w:hAnsi="Times New Roman" w:cs="Times New Roman"/>
        </w:rPr>
        <w:t xml:space="preserve"> </w:t>
      </w:r>
      <w:r w:rsidRPr="00146F52">
        <w:rPr>
          <w:rFonts w:ascii="Times New Roman" w:hAnsi="Times New Roman" w:cs="Times New Roman"/>
        </w:rPr>
        <w:t>The resolution permits the Authority to enter into all necessary documents and take required actions related to the bond issuance. It also authorizes the publication of a notice for a public hearing, setting the hearing date and time for Wednesday, August 13th at 11:00 a.m. Additionally, the resolution empowers the Authority to undertake all further steps needed to complete the bond issuance process.</w:t>
      </w:r>
    </w:p>
    <w:p w14:paraId="05038A34" w14:textId="6FB57DDE" w:rsidR="00211CFB" w:rsidRDefault="00211CFB" w:rsidP="002C259E">
      <w:pPr>
        <w:spacing w:after="0" w:line="240" w:lineRule="auto"/>
        <w:jc w:val="both"/>
        <w:rPr>
          <w:rFonts w:ascii="Times New Roman" w:hAnsi="Times New Roman" w:cs="Times New Roman"/>
        </w:rPr>
      </w:pPr>
    </w:p>
    <w:p w14:paraId="16E82C53" w14:textId="77777777" w:rsidR="00146F52" w:rsidRP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Ms. DiCaro made a motion to approve the resolution as presented. Mr. Jones seconded the motion. The motion passed unanimously with Mr. Jones, Ms. DiCaro and Treasurer Oaks all voting in favor.</w:t>
      </w:r>
    </w:p>
    <w:p w14:paraId="6736958C" w14:textId="77777777" w:rsidR="00146F52" w:rsidRDefault="00146F52" w:rsidP="00146F52">
      <w:pPr>
        <w:pStyle w:val="ListParagraph"/>
        <w:spacing w:after="0" w:line="240" w:lineRule="auto"/>
        <w:ind w:left="360"/>
        <w:jc w:val="both"/>
        <w:rPr>
          <w:rFonts w:ascii="Times New Roman" w:hAnsi="Times New Roman" w:cs="Times New Roman"/>
        </w:rPr>
      </w:pPr>
    </w:p>
    <w:p w14:paraId="66BDBF5D" w14:textId="63F91F67" w:rsidR="00CB42AE" w:rsidRPr="00FF3315" w:rsidRDefault="00CB42AE" w:rsidP="005F1AB7">
      <w:pPr>
        <w:pStyle w:val="ListParagraph"/>
        <w:numPr>
          <w:ilvl w:val="0"/>
          <w:numId w:val="1"/>
        </w:numPr>
        <w:spacing w:after="0" w:line="240" w:lineRule="auto"/>
        <w:jc w:val="both"/>
        <w:rPr>
          <w:rFonts w:ascii="Times New Roman" w:hAnsi="Times New Roman" w:cs="Times New Roman"/>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2025-8 Advantage Arts Academy</w:t>
      </w:r>
      <w:r w:rsidRPr="00FF3315">
        <w:rPr>
          <w:rFonts w:ascii="Times New Roman" w:hAnsi="Times New Roman" w:cs="Times New Roman"/>
          <w:u w:val="single"/>
        </w:rPr>
        <w:t>,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27FD0FE7"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clarified at the outset that, to his knowledge, no Zions-related entities beyond those already disclosed were involved in the transaction. He outlined that the proposed financing would issue approximately $13.694 million in tax-exempt bonds, potentially including a small taxable portion. No credit enhancement was being requested. The purpose of the financing is to refinance the school’s original construction loan, which includes a balloon payment due in October.</w:t>
      </w:r>
    </w:p>
    <w:p w14:paraId="3257D853" w14:textId="77777777" w:rsidR="00467CA1" w:rsidRPr="00467CA1" w:rsidRDefault="00467CA1" w:rsidP="00467CA1">
      <w:pPr>
        <w:spacing w:after="0" w:line="240" w:lineRule="auto"/>
        <w:jc w:val="both"/>
        <w:rPr>
          <w:rFonts w:ascii="Times New Roman" w:hAnsi="Times New Roman" w:cs="Times New Roman"/>
        </w:rPr>
      </w:pPr>
    </w:p>
    <w:p w14:paraId="6F12C5F6"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new structure features a five-year term with a 2030 maturity, based on a 25-year amortization schedule. Repayment will begin in 2028–2029. While the bonds are callable, they are not currently callable at par; discussions are ongoing to secure a par call option before maturity.</w:t>
      </w:r>
    </w:p>
    <w:p w14:paraId="3E415817" w14:textId="77777777" w:rsidR="00467CA1" w:rsidRPr="00467CA1" w:rsidRDefault="00467CA1" w:rsidP="00467CA1">
      <w:pPr>
        <w:spacing w:after="0" w:line="240" w:lineRule="auto"/>
        <w:jc w:val="both"/>
        <w:rPr>
          <w:rFonts w:ascii="Times New Roman" w:hAnsi="Times New Roman" w:cs="Times New Roman"/>
        </w:rPr>
      </w:pPr>
    </w:p>
    <w:p w14:paraId="6BDD4F95"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Mr. McGee characterized this as a short-term, stabilizing solution to help the school exit its developer-financing arrangement and transition to a more sustainable financial position. The financing structure includes a senior tranche placed with a bank to meet coverage requirements, and a subordinate portion placed with CLI Capital.</w:t>
      </w:r>
    </w:p>
    <w:p w14:paraId="2442F02E" w14:textId="77777777" w:rsidR="00467CA1" w:rsidRPr="00467CA1" w:rsidRDefault="00467CA1" w:rsidP="00467CA1">
      <w:pPr>
        <w:spacing w:after="0" w:line="240" w:lineRule="auto"/>
        <w:jc w:val="both"/>
        <w:rPr>
          <w:rFonts w:ascii="Times New Roman" w:hAnsi="Times New Roman" w:cs="Times New Roman"/>
        </w:rPr>
      </w:pPr>
    </w:p>
    <w:p w14:paraId="3704E1AA" w14:textId="77777777" w:rsidR="00467CA1" w:rsidRP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Operationally, the school is showing signs of improvement. Enrollment, which was low in 2021–2022, is increasing—reaching its highest levels in 2024–2025 and projected to rise slightly further in 2025–2026. With a small student body of about 300, the school has faced academic and financial underperformance, though recent metrics suggest a positive trend. In 2022, expenditures exceeded budget by 10%, but 2024 operations showed stronger control, with expenses down and revenues up by 6%.</w:t>
      </w:r>
    </w:p>
    <w:p w14:paraId="5151FF23" w14:textId="77777777" w:rsidR="00467CA1" w:rsidRPr="00467CA1" w:rsidRDefault="00467CA1" w:rsidP="00467CA1">
      <w:pPr>
        <w:spacing w:after="0" w:line="240" w:lineRule="auto"/>
        <w:jc w:val="both"/>
        <w:rPr>
          <w:rFonts w:ascii="Times New Roman" w:hAnsi="Times New Roman" w:cs="Times New Roman"/>
        </w:rPr>
      </w:pPr>
    </w:p>
    <w:p w14:paraId="4080361B" w14:textId="51B5CD63" w:rsidR="00467CA1" w:rsidRDefault="00467CA1" w:rsidP="00467CA1">
      <w:pPr>
        <w:spacing w:after="0" w:line="240" w:lineRule="auto"/>
        <w:jc w:val="both"/>
        <w:rPr>
          <w:rFonts w:ascii="Times New Roman" w:hAnsi="Times New Roman" w:cs="Times New Roman"/>
        </w:rPr>
      </w:pPr>
      <w:r w:rsidRPr="00467CA1">
        <w:rPr>
          <w:rFonts w:ascii="Times New Roman" w:hAnsi="Times New Roman" w:cs="Times New Roman"/>
        </w:rPr>
        <w:t>The school’s cash position remains below 60 days, placing it in a low double-B credit profile, though a recent $300,000 increase is expected to bring reserves to 63–65 days. Debt coverage is uneven in FY 2024–2025 due to the balloon payment in 2030 but will appear stronger during interest-only years (2026–2027). Operating margin and current ratio remain below benchmarks but are projected to improve with stronger financial management and continued enrollment growth.</w:t>
      </w:r>
    </w:p>
    <w:p w14:paraId="07EF1311" w14:textId="77777777" w:rsidR="00467CA1" w:rsidRDefault="00467CA1" w:rsidP="00467CA1">
      <w:pPr>
        <w:spacing w:after="0" w:line="240" w:lineRule="auto"/>
        <w:jc w:val="both"/>
        <w:rPr>
          <w:rFonts w:ascii="Times New Roman" w:hAnsi="Times New Roman" w:cs="Times New Roman"/>
        </w:rPr>
      </w:pPr>
    </w:p>
    <w:p w14:paraId="383EFBBD" w14:textId="5F0D1483" w:rsidR="00FF3315"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Ms. DiCaro inquired about the school's cash flow, noting that while the proposed financing appears to alleviate some pressure, she wanted to know if there were any other existing challenges affecting cash flow.</w:t>
      </w:r>
      <w:r>
        <w:rPr>
          <w:rFonts w:ascii="Times New Roman" w:hAnsi="Times New Roman" w:cs="Times New Roman"/>
        </w:rPr>
        <w:t xml:space="preserve"> </w:t>
      </w:r>
      <w:r w:rsidRPr="003C2670">
        <w:rPr>
          <w:rFonts w:ascii="Times New Roman" w:hAnsi="Times New Roman" w:cs="Times New Roman"/>
        </w:rPr>
        <w:t>Mr. Robertson explained that as a growing school, there can sometimes be delays in identifying the special education (SPED) population and receiving corresponding funds. However, he noted that the timing of SPED funding has now improved and is more aligned with the school's needs.</w:t>
      </w:r>
    </w:p>
    <w:p w14:paraId="5990D2D8" w14:textId="23F58E4C" w:rsidR="00FF3315" w:rsidRDefault="00FF3315" w:rsidP="000C1C2C">
      <w:pPr>
        <w:spacing w:after="0" w:line="240" w:lineRule="auto"/>
        <w:jc w:val="both"/>
        <w:rPr>
          <w:rFonts w:ascii="Times New Roman" w:hAnsi="Times New Roman" w:cs="Times New Roman"/>
        </w:rPr>
      </w:pPr>
    </w:p>
    <w:p w14:paraId="1E60CDAE" w14:textId="04D4F9ED" w:rsidR="00FF3315"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Taylor explained that Athlos faced SPED funding challenges when their growing special education population was initially underfunded by 25%, requiring use of general funds. Funding has now caught up, more than covering costs and doubling since the low point. He acknowledged the difficulties of opening during COVID and managing high debt but praised budget management by Don and Kelly. Mr. Taylor stressed the importance of continued enrollment growth for retention and expressed optimism about the school’s financial outlook from FY25 onward, assuming enrollment increases persist.</w:t>
      </w:r>
    </w:p>
    <w:p w14:paraId="0502BC4B" w14:textId="26736DD8" w:rsidR="00FF3315" w:rsidRDefault="00FF3315" w:rsidP="000C1C2C">
      <w:pPr>
        <w:spacing w:after="0" w:line="240" w:lineRule="auto"/>
        <w:jc w:val="both"/>
        <w:rPr>
          <w:rFonts w:ascii="Times New Roman" w:hAnsi="Times New Roman" w:cs="Times New Roman"/>
        </w:rPr>
      </w:pPr>
    </w:p>
    <w:p w14:paraId="3549CF49" w14:textId="013D55F3" w:rsidR="00146F52"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Robertson provided perspective on the school's leadership history, noting that the original director passed away suddenly during the first one to two years, which affected the community. The next director attempted to bring stability but was not the right fit. He praised Kelly, who has been in place for several years, for successfully establishing stability and confidence in the school. With the ongoing growth of the Herriman area and funding now catching up, Mr. Robertson expressed optimism about the school’s future.</w:t>
      </w:r>
    </w:p>
    <w:p w14:paraId="3FD50BDB" w14:textId="6B3494D1" w:rsidR="00146F52" w:rsidRDefault="00146F52" w:rsidP="000C1C2C">
      <w:pPr>
        <w:spacing w:after="0" w:line="240" w:lineRule="auto"/>
        <w:jc w:val="both"/>
        <w:rPr>
          <w:rFonts w:ascii="Times New Roman" w:hAnsi="Times New Roman" w:cs="Times New Roman"/>
        </w:rPr>
      </w:pPr>
    </w:p>
    <w:p w14:paraId="5B3E01F9" w14:textId="3B3F2CEC" w:rsidR="00146F52"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Jones inquired about the methodology used to estimate cash flow revenue, specifically regarding the Weighted Pupil Unit (WPU) and its mandatory inflationary adjustment. He asked whether this inflation adjustment was incorporated into the projections and sought clarification on how the calculations were made for the current and future years. Mr. Jones wanted to understand the system used to estimate revenue, including considerations like recent legislative changes affecting the WPU and additional funding for at-risk students, to provide clarity for the group and the public.</w:t>
      </w:r>
    </w:p>
    <w:p w14:paraId="1791C4F1" w14:textId="4E3CFFA2" w:rsidR="00146F52" w:rsidRDefault="00146F52" w:rsidP="000C1C2C">
      <w:pPr>
        <w:spacing w:after="0" w:line="240" w:lineRule="auto"/>
        <w:jc w:val="both"/>
        <w:rPr>
          <w:rFonts w:ascii="Times New Roman" w:hAnsi="Times New Roman" w:cs="Times New Roman"/>
        </w:rPr>
      </w:pPr>
    </w:p>
    <w:p w14:paraId="1527B887" w14:textId="2D7664D1" w:rsidR="00146F52" w:rsidRDefault="003C2670" w:rsidP="000C1C2C">
      <w:pPr>
        <w:spacing w:after="0" w:line="240" w:lineRule="auto"/>
        <w:jc w:val="both"/>
        <w:rPr>
          <w:rFonts w:ascii="Times New Roman" w:hAnsi="Times New Roman" w:cs="Times New Roman"/>
        </w:rPr>
      </w:pPr>
      <w:r w:rsidRPr="003C2670">
        <w:rPr>
          <w:rFonts w:ascii="Times New Roman" w:hAnsi="Times New Roman" w:cs="Times New Roman"/>
        </w:rPr>
        <w:t>Mr. Taylor explained that they keep revenue growth projections conservative, applying a steady 3% increase annually to account for fluctuations. He noted optimism about special education funding, not based on projections but on upcoming legislative estimates showing significant increases. While the state’s estimate suggests about $500</w:t>
      </w:r>
      <w:r>
        <w:rPr>
          <w:rFonts w:ascii="Times New Roman" w:hAnsi="Times New Roman" w:cs="Times New Roman"/>
        </w:rPr>
        <w:t>K</w:t>
      </w:r>
      <w:r w:rsidRPr="003C2670">
        <w:rPr>
          <w:rFonts w:ascii="Times New Roman" w:hAnsi="Times New Roman" w:cs="Times New Roman"/>
        </w:rPr>
        <w:t>, they budgeted more cautiously at $400</w:t>
      </w:r>
      <w:r w:rsidR="008F4CE1">
        <w:rPr>
          <w:rFonts w:ascii="Times New Roman" w:hAnsi="Times New Roman" w:cs="Times New Roman"/>
        </w:rPr>
        <w:t>K</w:t>
      </w:r>
      <w:r w:rsidRPr="003C2670">
        <w:rPr>
          <w:rFonts w:ascii="Times New Roman" w:hAnsi="Times New Roman" w:cs="Times New Roman"/>
        </w:rPr>
        <w:t>, up from $299</w:t>
      </w:r>
      <w:r w:rsidR="008F4CE1">
        <w:rPr>
          <w:rFonts w:ascii="Times New Roman" w:hAnsi="Times New Roman" w:cs="Times New Roman"/>
        </w:rPr>
        <w:t>K</w:t>
      </w:r>
      <w:r w:rsidRPr="003C2670">
        <w:rPr>
          <w:rFonts w:ascii="Times New Roman" w:hAnsi="Times New Roman" w:cs="Times New Roman"/>
        </w:rPr>
        <w:t xml:space="preserve"> this year, to balance optimism with prudence.</w:t>
      </w:r>
    </w:p>
    <w:p w14:paraId="149A3E24" w14:textId="7C4EA7D7" w:rsidR="00146F52" w:rsidRDefault="00146F52" w:rsidP="000C1C2C">
      <w:pPr>
        <w:spacing w:after="0" w:line="240" w:lineRule="auto"/>
        <w:jc w:val="both"/>
        <w:rPr>
          <w:rFonts w:ascii="Times New Roman" w:hAnsi="Times New Roman" w:cs="Times New Roman"/>
        </w:rPr>
      </w:pPr>
    </w:p>
    <w:p w14:paraId="7089EF38" w14:textId="71202024" w:rsidR="00146F52" w:rsidRDefault="008F4CE1" w:rsidP="000C1C2C">
      <w:pPr>
        <w:spacing w:after="0" w:line="240" w:lineRule="auto"/>
        <w:jc w:val="both"/>
        <w:rPr>
          <w:rFonts w:ascii="Times New Roman" w:hAnsi="Times New Roman" w:cs="Times New Roman"/>
        </w:rPr>
      </w:pPr>
      <w:r w:rsidRPr="008F4CE1">
        <w:rPr>
          <w:rFonts w:ascii="Times New Roman" w:hAnsi="Times New Roman" w:cs="Times New Roman"/>
        </w:rPr>
        <w:t xml:space="preserve">Mr. Robertson explained that for the pro forma, they apply a 3% increase for state funding but collaborate with the business manager to adjust local and federal revenues. Since COVID caused spikes in those areas, they scale back those amounts accordingly. They also consider upcoming grant changes and reductions in school fees. Additionally, for schools with larger fund balances, like Maeser, they factor in spending down </w:t>
      </w:r>
      <w:r w:rsidRPr="008F4CE1">
        <w:rPr>
          <w:rFonts w:ascii="Times New Roman" w:hAnsi="Times New Roman" w:cs="Times New Roman"/>
        </w:rPr>
        <w:lastRenderedPageBreak/>
        <w:t>reserves and reduce projections for interest earnings. This approach helps ensure more accurate and realistic financial forecasting.</w:t>
      </w:r>
    </w:p>
    <w:p w14:paraId="787DF53E" w14:textId="13364895" w:rsidR="008F4CE1" w:rsidRDefault="008F4CE1" w:rsidP="000C1C2C">
      <w:pPr>
        <w:spacing w:after="0" w:line="240" w:lineRule="auto"/>
        <w:jc w:val="both"/>
        <w:rPr>
          <w:rFonts w:ascii="Times New Roman" w:hAnsi="Times New Roman" w:cs="Times New Roman"/>
        </w:rPr>
      </w:pPr>
    </w:p>
    <w:p w14:paraId="04F3389D" w14:textId="6C8CEB6D"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Pr>
          <w:rFonts w:ascii="Times New Roman" w:hAnsi="Times New Roman" w:cs="Times New Roman"/>
        </w:rPr>
        <w:t>the bonds of not more than $</w:t>
      </w:r>
      <w:r w:rsidR="003614A0">
        <w:rPr>
          <w:rFonts w:ascii="Times New Roman" w:hAnsi="Times New Roman" w:cs="Times New Roman"/>
        </w:rPr>
        <w:t>1</w:t>
      </w:r>
      <w:r w:rsidR="008F4CE1">
        <w:rPr>
          <w:rFonts w:ascii="Times New Roman" w:hAnsi="Times New Roman" w:cs="Times New Roman"/>
        </w:rPr>
        <w:t>9</w:t>
      </w:r>
      <w:r w:rsidRPr="006E4B8C">
        <w:rPr>
          <w:rFonts w:ascii="Times New Roman" w:hAnsi="Times New Roman" w:cs="Times New Roman"/>
        </w:rPr>
        <w:t xml:space="preserve">M with </w:t>
      </w:r>
      <w:r w:rsidR="008F4CE1" w:rsidRPr="00747597">
        <w:rPr>
          <w:rFonts w:ascii="Times New Roman" w:hAnsi="Times New Roman" w:cs="Times New Roman"/>
        </w:rPr>
        <w:t>an outside maturity date of 12/31/20</w:t>
      </w:r>
      <w:r w:rsidR="008F4CE1">
        <w:rPr>
          <w:rFonts w:ascii="Times New Roman" w:hAnsi="Times New Roman" w:cs="Times New Roman"/>
        </w:rPr>
        <w:t>61</w:t>
      </w:r>
      <w:r w:rsidRPr="006E4B8C">
        <w:rPr>
          <w:rFonts w:ascii="Times New Roman" w:hAnsi="Times New Roman" w:cs="Times New Roman"/>
        </w:rPr>
        <w:t>, a maximum interest rate not to exc</w:t>
      </w:r>
      <w:r>
        <w:rPr>
          <w:rFonts w:ascii="Times New Roman" w:hAnsi="Times New Roman" w:cs="Times New Roman"/>
        </w:rPr>
        <w:t xml:space="preserve">eed </w:t>
      </w:r>
      <w:r w:rsidR="008F4CE1">
        <w:rPr>
          <w:rFonts w:ascii="Times New Roman" w:hAnsi="Times New Roman" w:cs="Times New Roman"/>
        </w:rPr>
        <w:t>11</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discount no more of 3%</w:t>
      </w:r>
      <w:r w:rsidR="008F4CE1">
        <w:rPr>
          <w:rFonts w:ascii="Times New Roman" w:hAnsi="Times New Roman" w:cs="Times New Roman"/>
        </w:rPr>
        <w:t>.</w:t>
      </w:r>
      <w:r w:rsidR="00666398">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8F4CE1" w:rsidRPr="00146F52">
        <w:rPr>
          <w:rFonts w:ascii="Times New Roman" w:hAnsi="Times New Roman" w:cs="Times New Roman"/>
        </w:rPr>
        <w:t>Wednesday, August 13th at 11:00 a.m.</w:t>
      </w:r>
      <w:r w:rsidR="008F4CE1">
        <w:rPr>
          <w:rFonts w:ascii="Times New Roman" w:hAnsi="Times New Roman" w:cs="Times New Roman"/>
        </w:rPr>
        <w:t xml:space="preserve"> </w:t>
      </w:r>
      <w:r w:rsidR="00666398" w:rsidRPr="00666398">
        <w:rPr>
          <w:rFonts w:ascii="Times New Roman" w:hAnsi="Times New Roman" w:cs="Times New Roman"/>
        </w:rPr>
        <w:t xml:space="preserve">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4D1110FC" w:rsidR="00EE0B47" w:rsidRDefault="008F4CE1" w:rsidP="00EE0B47">
      <w:pPr>
        <w:spacing w:after="0" w:line="240" w:lineRule="auto"/>
        <w:jc w:val="both"/>
        <w:rPr>
          <w:rFonts w:ascii="Times New Roman" w:hAnsi="Times New Roman" w:cs="Times New Roman"/>
        </w:rPr>
      </w:pPr>
      <w:r>
        <w:rPr>
          <w:rFonts w:ascii="Times New Roman" w:hAnsi="Times New Roman" w:cs="Times New Roman"/>
        </w:rPr>
        <w:t>Mr. Jones</w:t>
      </w:r>
      <w:r w:rsidR="00EE0B47" w:rsidRPr="006E4B8C">
        <w:rPr>
          <w:rFonts w:ascii="Times New Roman" w:hAnsi="Times New Roman" w:cs="Times New Roman"/>
        </w:rPr>
        <w:t xml:space="preserve"> made a motion to approve the resolution </w:t>
      </w:r>
      <w:r w:rsidR="00A207F4">
        <w:rPr>
          <w:rFonts w:ascii="Times New Roman" w:hAnsi="Times New Roman" w:cs="Times New Roman"/>
        </w:rPr>
        <w:t>as presented</w:t>
      </w:r>
      <w:r w:rsidR="00EE0B47" w:rsidRPr="006E4B8C">
        <w:rPr>
          <w:rFonts w:ascii="Times New Roman" w:hAnsi="Times New Roman" w:cs="Times New Roman"/>
        </w:rPr>
        <w:t xml:space="preserve">. </w:t>
      </w:r>
      <w:r>
        <w:rPr>
          <w:rFonts w:ascii="Times New Roman" w:hAnsi="Times New Roman" w:cs="Times New Roman"/>
        </w:rPr>
        <w:t>Ms. DiCaro</w:t>
      </w:r>
      <w:r w:rsidR="00EE0B47" w:rsidRPr="006E4B8C">
        <w:rPr>
          <w:rFonts w:ascii="Times New Roman" w:hAnsi="Times New Roman" w:cs="Times New Roman"/>
        </w:rPr>
        <w:t xml:space="preserve"> seconded the motion. The motion passed unanimously with Mr. Jones, Ms. DiCaro and Treasurer Oaks all voting in favor.</w:t>
      </w:r>
    </w:p>
    <w:p w14:paraId="228F353A" w14:textId="6AF9AAF0" w:rsidR="00E46B8F" w:rsidRDefault="00E46B8F" w:rsidP="00EE0B47">
      <w:pPr>
        <w:spacing w:after="0" w:line="240" w:lineRule="auto"/>
        <w:jc w:val="both"/>
        <w:rPr>
          <w:rFonts w:ascii="Times New Roman" w:hAnsi="Times New Roman" w:cs="Times New Roman"/>
        </w:rPr>
      </w:pPr>
    </w:p>
    <w:p w14:paraId="071FB439" w14:textId="3BB71287" w:rsidR="00E46B8F" w:rsidRPr="00FF3315" w:rsidRDefault="00E46B8F" w:rsidP="00E46B8F">
      <w:pPr>
        <w:pStyle w:val="ListParagraph"/>
        <w:numPr>
          <w:ilvl w:val="0"/>
          <w:numId w:val="1"/>
        </w:numPr>
        <w:spacing w:after="0" w:line="240" w:lineRule="auto"/>
        <w:jc w:val="both"/>
        <w:rPr>
          <w:rFonts w:ascii="Times New Roman" w:hAnsi="Times New Roman" w:cs="Times New Roman"/>
          <w:u w:val="single"/>
        </w:rPr>
      </w:pPr>
      <w:r w:rsidRPr="00FF3315">
        <w:rPr>
          <w:rFonts w:ascii="Times New Roman" w:hAnsi="Times New Roman" w:cs="Times New Roman"/>
          <w:u w:val="single"/>
        </w:rPr>
        <w:t xml:space="preserve">Review of New Criteria for </w:t>
      </w:r>
      <w:r w:rsidR="00275ABC">
        <w:rPr>
          <w:rFonts w:ascii="Times New Roman" w:hAnsi="Times New Roman" w:cs="Times New Roman"/>
          <w:u w:val="single"/>
        </w:rPr>
        <w:t>Q</w:t>
      </w:r>
      <w:r w:rsidRPr="00FF3315">
        <w:rPr>
          <w:rFonts w:ascii="Times New Roman" w:hAnsi="Times New Roman" w:cs="Times New Roman"/>
          <w:u w:val="single"/>
        </w:rPr>
        <w:t>ualifying Charter Schools under the Charter School Credit Enhancement Program</w:t>
      </w:r>
    </w:p>
    <w:p w14:paraId="3A2CC2B4" w14:textId="77777777" w:rsidR="00FF3315" w:rsidRDefault="00FF3315" w:rsidP="00E46B8F">
      <w:pPr>
        <w:spacing w:after="0" w:line="240" w:lineRule="auto"/>
        <w:jc w:val="both"/>
        <w:rPr>
          <w:rFonts w:ascii="Times New Roman" w:hAnsi="Times New Roman" w:cs="Times New Roman"/>
        </w:rPr>
      </w:pPr>
    </w:p>
    <w:p w14:paraId="09DA8E27" w14:textId="2BD7F3D4" w:rsidR="000C1C2C" w:rsidRDefault="00275ABC" w:rsidP="000C1C2C">
      <w:pPr>
        <w:spacing w:after="0" w:line="240" w:lineRule="auto"/>
        <w:jc w:val="both"/>
        <w:rPr>
          <w:rFonts w:ascii="Times New Roman" w:hAnsi="Times New Roman" w:cs="Times New Roman"/>
        </w:rPr>
      </w:pPr>
      <w:r w:rsidRPr="00275ABC">
        <w:rPr>
          <w:rFonts w:ascii="Times New Roman" w:hAnsi="Times New Roman" w:cs="Times New Roman"/>
        </w:rPr>
        <w:t xml:space="preserve">Ms. Babalis explained that during their prior meeting in June, they were tasked with assessing the impact of House Bill 219 on the Authority’s application approval requirements. She noted that the bill’s language specifies that any application with </w:t>
      </w:r>
      <w:r w:rsidR="00531D39">
        <w:rPr>
          <w:rFonts w:ascii="Times New Roman" w:hAnsi="Times New Roman" w:cs="Times New Roman"/>
        </w:rPr>
        <w:t>a</w:t>
      </w:r>
      <w:r w:rsidRPr="00275ABC">
        <w:rPr>
          <w:rFonts w:ascii="Times New Roman" w:hAnsi="Times New Roman" w:cs="Times New Roman"/>
        </w:rPr>
        <w:t xml:space="preserve"> BB+ </w:t>
      </w:r>
      <w:r w:rsidR="00531D39">
        <w:rPr>
          <w:rFonts w:ascii="Times New Roman" w:hAnsi="Times New Roman" w:cs="Times New Roman"/>
        </w:rPr>
        <w:t>or higher shall</w:t>
      </w:r>
      <w:r w:rsidRPr="00275ABC">
        <w:rPr>
          <w:rFonts w:ascii="Times New Roman" w:hAnsi="Times New Roman" w:cs="Times New Roman"/>
        </w:rPr>
        <w:t xml:space="preserve"> be approved by the Authority.</w:t>
      </w:r>
    </w:p>
    <w:p w14:paraId="5EA4B3BF" w14:textId="6F909521" w:rsidR="00531D39" w:rsidRDefault="00531D39" w:rsidP="000C1C2C">
      <w:pPr>
        <w:spacing w:after="0" w:line="240" w:lineRule="auto"/>
        <w:jc w:val="both"/>
        <w:rPr>
          <w:rFonts w:ascii="Times New Roman" w:hAnsi="Times New Roman" w:cs="Times New Roman"/>
        </w:rPr>
      </w:pPr>
    </w:p>
    <w:p w14:paraId="18B5FEAA" w14:textId="44301B35" w:rsidR="00531D39" w:rsidRDefault="00531D39" w:rsidP="000C1C2C">
      <w:pPr>
        <w:spacing w:after="0" w:line="240" w:lineRule="auto"/>
        <w:jc w:val="both"/>
        <w:rPr>
          <w:rFonts w:ascii="Times New Roman" w:hAnsi="Times New Roman" w:cs="Times New Roman"/>
        </w:rPr>
      </w:pPr>
      <w:r w:rsidRPr="00531D39">
        <w:rPr>
          <w:rFonts w:ascii="Times New Roman" w:hAnsi="Times New Roman" w:cs="Times New Roman"/>
        </w:rPr>
        <w:t>Ms. Babalis clarified that while the statute now states applications with a rating of BB+ or higher shall be approved, the question arose whether those applications still need to come before the Authority. After reviewing the statute and the Open and Public Meetings Act, she concluded that, to comply with both, applications must still be presented to the Authority—but the Authority is required to approve them. Although this may seem like an unnecessary step, she emphasized that the Open Meetings Act is intended to ensure transparency in state business. Therefore, even for credit-enhanced applications meeting the BB+ threshold, formal presentation remains necessary, though the Authority does not need to evaluate them under the full credit enhancement criteria.</w:t>
      </w:r>
    </w:p>
    <w:p w14:paraId="0490AC01" w14:textId="3D235D7B" w:rsidR="00531D39" w:rsidRDefault="00531D39" w:rsidP="000C1C2C">
      <w:pPr>
        <w:spacing w:after="0" w:line="240" w:lineRule="auto"/>
        <w:jc w:val="both"/>
        <w:rPr>
          <w:rFonts w:ascii="Times New Roman" w:hAnsi="Times New Roman" w:cs="Times New Roman"/>
        </w:rPr>
      </w:pPr>
    </w:p>
    <w:p w14:paraId="10C61D97" w14:textId="40D1A9D4" w:rsidR="00531D39" w:rsidRDefault="00531D39" w:rsidP="000C1C2C">
      <w:pPr>
        <w:spacing w:after="0" w:line="240" w:lineRule="auto"/>
        <w:jc w:val="both"/>
        <w:rPr>
          <w:rFonts w:ascii="Times New Roman" w:hAnsi="Times New Roman" w:cs="Times New Roman"/>
        </w:rPr>
      </w:pPr>
      <w:r w:rsidRPr="00531D39">
        <w:rPr>
          <w:rFonts w:ascii="Times New Roman" w:hAnsi="Times New Roman" w:cs="Times New Roman"/>
        </w:rPr>
        <w:t xml:space="preserve">Treasurer Oaks asked whether there might be any situations where the Authority could choose not to approve an application, even under the new statutory language requiring approval for credit-enhanced applications rated BB+ or higher. </w:t>
      </w:r>
      <w:r>
        <w:rPr>
          <w:rFonts w:ascii="Times New Roman" w:hAnsi="Times New Roman" w:cs="Times New Roman"/>
        </w:rPr>
        <w:t>Treasurer Oaks</w:t>
      </w:r>
      <w:r w:rsidRPr="00531D39">
        <w:rPr>
          <w:rFonts w:ascii="Times New Roman" w:hAnsi="Times New Roman" w:cs="Times New Roman"/>
        </w:rPr>
        <w:t xml:space="preserve"> posed a hypothetical scenario in which an applicant might come forward without all of the required information and questioned whether, in such extreme cases, the statute would allow for a delay or request for additional documentation before approval.</w:t>
      </w:r>
    </w:p>
    <w:p w14:paraId="6829552C" w14:textId="14B575E5" w:rsidR="00531D39" w:rsidRDefault="00531D39" w:rsidP="000C1C2C">
      <w:pPr>
        <w:spacing w:after="0" w:line="240" w:lineRule="auto"/>
        <w:jc w:val="both"/>
        <w:rPr>
          <w:rFonts w:ascii="Times New Roman" w:hAnsi="Times New Roman" w:cs="Times New Roman"/>
        </w:rPr>
      </w:pPr>
    </w:p>
    <w:p w14:paraId="30473DB4" w14:textId="77777777" w:rsidR="00B303D6" w:rsidRPr="00B303D6"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t>Mr. Slaugh explained that, in his view, the process for reviewing credit-enhanced applications should closely mirror how the Authority has historically handled non-enhanced applications. He recalled that, aside from one notable exception—Athlos, several years ago—non-enhanced applications have typically been approved, even though there was no explicit statutory requirement to do so. He noted that the original guidance to former state treasurers Richard Ellis and David Damschen emphasized that the Authority's role was not to obstruct these transactions, but to ensure transparency and a rigorous disclosure process for investors.</w:t>
      </w:r>
    </w:p>
    <w:p w14:paraId="3816E9CC" w14:textId="77777777" w:rsidR="00B303D6" w:rsidRPr="00B303D6" w:rsidRDefault="00B303D6" w:rsidP="00B303D6">
      <w:pPr>
        <w:spacing w:after="0" w:line="240" w:lineRule="auto"/>
        <w:jc w:val="both"/>
        <w:rPr>
          <w:rFonts w:ascii="Times New Roman" w:hAnsi="Times New Roman" w:cs="Times New Roman"/>
        </w:rPr>
      </w:pPr>
    </w:p>
    <w:p w14:paraId="10787DCE" w14:textId="621414EB" w:rsidR="00531D39"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t>Mr. Slaugh emphasized that the Authority’s responsibility has been to ask hard questions, ensure robust documentation, and surface any concerns—not to block deals if the market was willing to support them. He acknowledged that the Authority had approved some questionable transactions in the past, but reiterated that its function was never to override market decisions. He concluded that credit-enhanced applications under the new statute should be approached the same way: with thorough review and full disclosure, but with the understanding that statutory approval is ultimately required.</w:t>
      </w:r>
    </w:p>
    <w:p w14:paraId="15D8509E" w14:textId="26998AA7" w:rsidR="00531D39" w:rsidRDefault="00531D39" w:rsidP="000C1C2C">
      <w:pPr>
        <w:spacing w:after="0" w:line="240" w:lineRule="auto"/>
        <w:jc w:val="both"/>
        <w:rPr>
          <w:rFonts w:ascii="Times New Roman" w:hAnsi="Times New Roman" w:cs="Times New Roman"/>
        </w:rPr>
      </w:pPr>
    </w:p>
    <w:p w14:paraId="4F4E69BA" w14:textId="77777777" w:rsidR="00B303D6" w:rsidRPr="00B303D6"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t>Mr. Waite clarified that under the changes introduced by House Bill 219, a school must still be a qualifying charter school to be eligible for credit enhancement. He emphasized that even if a school meets the applicable credit rating threshold, it is still required to go through the full application process, including submission of all necessary documentation and any required addenda.</w:t>
      </w:r>
    </w:p>
    <w:p w14:paraId="0E3ADBA4" w14:textId="77777777" w:rsidR="00B303D6" w:rsidRPr="00B303D6" w:rsidRDefault="00B303D6" w:rsidP="00B303D6">
      <w:pPr>
        <w:spacing w:after="0" w:line="240" w:lineRule="auto"/>
        <w:jc w:val="both"/>
        <w:rPr>
          <w:rFonts w:ascii="Times New Roman" w:hAnsi="Times New Roman" w:cs="Times New Roman"/>
        </w:rPr>
      </w:pPr>
    </w:p>
    <w:p w14:paraId="6E8735CD" w14:textId="0308D89B" w:rsidR="00531D39" w:rsidRDefault="00B303D6" w:rsidP="00B303D6">
      <w:pPr>
        <w:spacing w:after="0" w:line="240" w:lineRule="auto"/>
        <w:jc w:val="both"/>
        <w:rPr>
          <w:rFonts w:ascii="Times New Roman" w:hAnsi="Times New Roman" w:cs="Times New Roman"/>
        </w:rPr>
      </w:pPr>
      <w:r w:rsidRPr="00B303D6">
        <w:rPr>
          <w:rFonts w:ascii="Times New Roman" w:hAnsi="Times New Roman" w:cs="Times New Roman"/>
        </w:rPr>
        <w:lastRenderedPageBreak/>
        <w:t>In response to concerns about potential circumvention of the process, Mr. Waite stated that he does not believe a charter school could bypass the qualifying criteria. Both the credit rating and qualifying status are necessary for approval under the statute.</w:t>
      </w:r>
    </w:p>
    <w:p w14:paraId="60FA2EDF" w14:textId="78E50317" w:rsidR="00B303D6" w:rsidRDefault="00B303D6" w:rsidP="000C1C2C">
      <w:pPr>
        <w:spacing w:after="0" w:line="240" w:lineRule="auto"/>
        <w:jc w:val="both"/>
        <w:rPr>
          <w:rFonts w:ascii="Times New Roman" w:hAnsi="Times New Roman" w:cs="Times New Roman"/>
        </w:rPr>
      </w:pPr>
    </w:p>
    <w:p w14:paraId="04B480A5" w14:textId="47BDD8D5" w:rsidR="00B303D6"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Ms. DiCaro sought clarification on the process for determining whether a charter school has met the necessary certification requirements. She asked if that responsibility lies with the State Charter School Board and its staff, confirming that an application wouldn’t reach the Authority unless it had already been verified as a qualifying school. She inquired specifically about who is responsible for conducting that verification work.</w:t>
      </w:r>
    </w:p>
    <w:p w14:paraId="593448D5" w14:textId="45DAEAF8" w:rsidR="00402639" w:rsidRDefault="00402639" w:rsidP="000C1C2C">
      <w:pPr>
        <w:spacing w:after="0" w:line="240" w:lineRule="auto"/>
        <w:jc w:val="both"/>
        <w:rPr>
          <w:rFonts w:ascii="Times New Roman" w:hAnsi="Times New Roman" w:cs="Times New Roman"/>
        </w:rPr>
      </w:pPr>
    </w:p>
    <w:p w14:paraId="7A7512E4" w14:textId="62701AC1"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Mr. Robertson explained that for credit-enhanced transactions, the Authority requires a certification from the State Charter School Board confirming that the school is in compliance with its charter. He noted that the Charter Board and its staff conduct a full review of the school prior to the application being submitted to the Authority. This certification is included in all credit-enhanced applications and is obtained before the application reaches the Authority for consideration.</w:t>
      </w:r>
    </w:p>
    <w:p w14:paraId="01BF4B4A" w14:textId="22B7FBF3" w:rsidR="00402639" w:rsidRDefault="00402639" w:rsidP="000C1C2C">
      <w:pPr>
        <w:spacing w:after="0" w:line="240" w:lineRule="auto"/>
        <w:jc w:val="both"/>
        <w:rPr>
          <w:rFonts w:ascii="Times New Roman" w:hAnsi="Times New Roman" w:cs="Times New Roman"/>
        </w:rPr>
      </w:pPr>
    </w:p>
    <w:p w14:paraId="07495740" w14:textId="47C57C9B"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 xml:space="preserve">Mr. McGee clarified that, in response to </w:t>
      </w:r>
      <w:r>
        <w:rPr>
          <w:rFonts w:ascii="Times New Roman" w:hAnsi="Times New Roman" w:cs="Times New Roman"/>
        </w:rPr>
        <w:t>Mr. Waite’s</w:t>
      </w:r>
      <w:r w:rsidRPr="00402639">
        <w:rPr>
          <w:rFonts w:ascii="Times New Roman" w:hAnsi="Times New Roman" w:cs="Times New Roman"/>
        </w:rPr>
        <w:t xml:space="preserve"> comments, the determination of a “qualifying charter school” is ultimately the responsibility of the Authority. He noted that the statute specifies a school must meet the standards adopted by the Authority for participation in the credit enhancement program. This is why, during a meeting with Jacob and Eric earlier in the year, concerns were raised that the legislation might be poorly written. While the statute uses the word “shall,” it applies only if a school is deemed a qualifying charter school—meaning if it fails to meet the Authority’s established standards, it wouldn’t qualify, regardless of its credit rating.</w:t>
      </w:r>
    </w:p>
    <w:p w14:paraId="06FFAE67" w14:textId="19D25C31" w:rsidR="00402639" w:rsidRDefault="00402639" w:rsidP="000C1C2C">
      <w:pPr>
        <w:spacing w:after="0" w:line="240" w:lineRule="auto"/>
        <w:jc w:val="both"/>
        <w:rPr>
          <w:rFonts w:ascii="Times New Roman" w:hAnsi="Times New Roman" w:cs="Times New Roman"/>
        </w:rPr>
      </w:pPr>
    </w:p>
    <w:p w14:paraId="3627952D" w14:textId="6D0E6CFF"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Ms. Babalis noted that the statute appears to indicate the Authority’s standards are only applied when a charter school has a credit rating of BB or lower.</w:t>
      </w:r>
      <w:r>
        <w:rPr>
          <w:rFonts w:ascii="Times New Roman" w:hAnsi="Times New Roman" w:cs="Times New Roman"/>
        </w:rPr>
        <w:t xml:space="preserve"> </w:t>
      </w:r>
      <w:r w:rsidRPr="00402639">
        <w:rPr>
          <w:rFonts w:ascii="Times New Roman" w:hAnsi="Times New Roman" w:cs="Times New Roman"/>
        </w:rPr>
        <w:t>Mr. McGee clarified that the statute states eligibility is based on a qualifying charter school's credit rating—meaning the school must first be deemed qualifying before its credit rating is considered. He emphasized that, as discussed in a May meeting, the statute is poorly written and has caused confusion around its interpretation.</w:t>
      </w:r>
    </w:p>
    <w:p w14:paraId="7EFE37AF" w14:textId="77777777" w:rsidR="00402639" w:rsidRDefault="00402639" w:rsidP="000C1C2C">
      <w:pPr>
        <w:spacing w:after="0" w:line="240" w:lineRule="auto"/>
        <w:jc w:val="both"/>
        <w:rPr>
          <w:rFonts w:ascii="Times New Roman" w:hAnsi="Times New Roman" w:cs="Times New Roman"/>
        </w:rPr>
      </w:pPr>
    </w:p>
    <w:p w14:paraId="56631161" w14:textId="2BA2ABF6"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Mr. Slaugh noted that it’s possible a school with a BB+ rating might not meet other financial ratio criteria. He acknowledged that while such cases may be rare, it wouldn’t be a bad idea to pursue clarifying legislation to address outstanding issues and more accurately reflect the legislature’s original intent.</w:t>
      </w:r>
    </w:p>
    <w:p w14:paraId="2B82DB82" w14:textId="1AABD922" w:rsidR="00402639" w:rsidRDefault="00402639" w:rsidP="000C1C2C">
      <w:pPr>
        <w:spacing w:after="0" w:line="240" w:lineRule="auto"/>
        <w:jc w:val="both"/>
        <w:rPr>
          <w:rFonts w:ascii="Times New Roman" w:hAnsi="Times New Roman" w:cs="Times New Roman"/>
        </w:rPr>
      </w:pPr>
    </w:p>
    <w:p w14:paraId="4DB59BE2" w14:textId="35E61721"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Mr. Waite stated that it would be clearer if the definition of a qualifying charter school explicitly specified the required rating, as the current language is ambiguous. He agreed with Ms. Babalis that, given this uncertainty, it is safer to have applications come before the board and be placed on the agenda. This process allows the board to address any questions, including those related to credit ratings, which can vary between Fitch, S&amp;P, and Moody’s. In this way, the board can thoroughly consider these matters before granting approval.</w:t>
      </w:r>
    </w:p>
    <w:p w14:paraId="57120F60" w14:textId="6AE4AD2A" w:rsidR="00402639" w:rsidRDefault="00402639" w:rsidP="000C1C2C">
      <w:pPr>
        <w:spacing w:after="0" w:line="240" w:lineRule="auto"/>
        <w:jc w:val="both"/>
        <w:rPr>
          <w:rFonts w:ascii="Times New Roman" w:hAnsi="Times New Roman" w:cs="Times New Roman"/>
        </w:rPr>
      </w:pPr>
    </w:p>
    <w:p w14:paraId="61D4158C" w14:textId="17BE3D63" w:rsidR="00402639" w:rsidRDefault="00402639" w:rsidP="000C1C2C">
      <w:pPr>
        <w:spacing w:after="0" w:line="240" w:lineRule="auto"/>
        <w:jc w:val="both"/>
        <w:rPr>
          <w:rFonts w:ascii="Times New Roman" w:hAnsi="Times New Roman" w:cs="Times New Roman"/>
        </w:rPr>
      </w:pPr>
      <w:r w:rsidRPr="00402639">
        <w:rPr>
          <w:rFonts w:ascii="Times New Roman" w:hAnsi="Times New Roman" w:cs="Times New Roman"/>
        </w:rPr>
        <w:t>Treasurer Oaks asked Ms. Babalis and Mr. Waite if they had a summary of suggested legislative changes that could be presented for consideration with the legislature.</w:t>
      </w:r>
      <w:r w:rsidR="00536F4E">
        <w:rPr>
          <w:rFonts w:ascii="Times New Roman" w:hAnsi="Times New Roman" w:cs="Times New Roman"/>
        </w:rPr>
        <w:t xml:space="preserve"> </w:t>
      </w:r>
      <w:r w:rsidR="00536F4E" w:rsidRPr="00536F4E">
        <w:rPr>
          <w:rFonts w:ascii="Times New Roman" w:hAnsi="Times New Roman" w:cs="Times New Roman"/>
        </w:rPr>
        <w:t>Ms. Babalis responded affirmatively, stating that they have taken notes and will compile them into a clear and organized summary for consideration.</w:t>
      </w:r>
    </w:p>
    <w:p w14:paraId="7845D009" w14:textId="294AD7A4" w:rsidR="00536F4E" w:rsidRDefault="00536F4E" w:rsidP="000C1C2C">
      <w:pPr>
        <w:spacing w:after="0" w:line="240" w:lineRule="auto"/>
        <w:jc w:val="both"/>
        <w:rPr>
          <w:rFonts w:ascii="Times New Roman" w:hAnsi="Times New Roman" w:cs="Times New Roman"/>
        </w:rPr>
      </w:pPr>
    </w:p>
    <w:p w14:paraId="252D1030" w14:textId="1AD690C9" w:rsidR="00536F4E" w:rsidRDefault="00536F4E" w:rsidP="00536F4E">
      <w:pPr>
        <w:spacing w:after="0" w:line="240" w:lineRule="auto"/>
        <w:jc w:val="both"/>
        <w:rPr>
          <w:rFonts w:ascii="Times New Roman" w:hAnsi="Times New Roman" w:cs="Times New Roman"/>
        </w:rPr>
      </w:pPr>
      <w:r w:rsidRPr="00536F4E">
        <w:rPr>
          <w:rFonts w:ascii="Times New Roman" w:hAnsi="Times New Roman" w:cs="Times New Roman"/>
        </w:rPr>
        <w:t>Mr. McGee commented that ultimately, relying solely on the rating agencies is a choice to be made. While rating agencies provide important credit assessments, the authority possesses far more detailed information about the charter schools’ financial situations. He noted that Mr. Jones, with his financial expertise, understands these schools better than the rating agencies do. For example, some schools report cash available on their financials, but much of it may be committed to specific obligations, like repayments to the Charter School Board. Such nuances are crucial when the State considers moral and financial obligations. He suggested that especially for schools rated BB or BB+, relying on internal credit reviews makes sense, while for BBB-rated schools, decisions on how much to trust credit ratings versus internal reviews are up to the authority.</w:t>
      </w:r>
    </w:p>
    <w:p w14:paraId="347D317B" w14:textId="77777777" w:rsidR="00536F4E" w:rsidRDefault="00536F4E" w:rsidP="00536F4E">
      <w:pPr>
        <w:spacing w:after="0" w:line="240" w:lineRule="auto"/>
        <w:jc w:val="both"/>
        <w:rPr>
          <w:rFonts w:ascii="Times New Roman" w:hAnsi="Times New Roman" w:cs="Times New Roman"/>
        </w:rPr>
      </w:pPr>
    </w:p>
    <w:p w14:paraId="092AE39F" w14:textId="77777777" w:rsidR="00536F4E" w:rsidRDefault="00536F4E" w:rsidP="00536F4E">
      <w:pPr>
        <w:spacing w:after="0" w:line="240" w:lineRule="auto"/>
        <w:jc w:val="both"/>
        <w:rPr>
          <w:rFonts w:ascii="Times New Roman" w:hAnsi="Times New Roman" w:cs="Times New Roman"/>
        </w:rPr>
      </w:pPr>
      <w:r w:rsidRPr="00536F4E">
        <w:rPr>
          <w:rFonts w:ascii="Times New Roman" w:hAnsi="Times New Roman" w:cs="Times New Roman"/>
        </w:rPr>
        <w:lastRenderedPageBreak/>
        <w:t xml:space="preserve">Mr. Jones made a motion to approve the final version of the redline documents: </w:t>
      </w:r>
      <w:r w:rsidRPr="00536F4E">
        <w:rPr>
          <w:rStyle w:val="Emphasis"/>
          <w:rFonts w:ascii="Times New Roman" w:hAnsi="Times New Roman" w:cs="Times New Roman"/>
        </w:rPr>
        <w:t>Credit-Enhancement-Program-Application-Addendum, Credit-Enhancement-Program-Standards,</w:t>
      </w:r>
      <w:r w:rsidRPr="00536F4E">
        <w:rPr>
          <w:rFonts w:ascii="Times New Roman" w:hAnsi="Times New Roman" w:cs="Times New Roman"/>
        </w:rPr>
        <w:t xml:space="preserve"> and </w:t>
      </w:r>
      <w:r w:rsidRPr="00536F4E">
        <w:rPr>
          <w:rFonts w:ascii="Times New Roman" w:hAnsi="Times New Roman" w:cs="Times New Roman"/>
          <w:i/>
          <w:iCs/>
        </w:rPr>
        <w:t>UCSFA Financing Application.</w:t>
      </w:r>
      <w:r>
        <w:rPr>
          <w:rFonts w:ascii="Times New Roman" w:hAnsi="Times New Roman" w:cs="Times New Roman"/>
          <w:i/>
          <w:iCs/>
        </w:rPr>
        <w:t xml:space="preserve"> </w:t>
      </w:r>
      <w:r>
        <w:rPr>
          <w:rFonts w:ascii="Times New Roman" w:hAnsi="Times New Roman" w:cs="Times New Roman"/>
        </w:rPr>
        <w:t xml:space="preserve">Ms. DiCaro seconded the motion. </w:t>
      </w:r>
      <w:r>
        <w:rPr>
          <w:rFonts w:ascii="Times New Roman" w:hAnsi="Times New Roman" w:cs="Times New Roman"/>
        </w:rPr>
        <w:t>The motion passed unanimously with Mr. Jones, Ms. DiCaro and Treasurer Oaks all voting in favor.</w:t>
      </w:r>
    </w:p>
    <w:p w14:paraId="0BB74BF0" w14:textId="4D6AF219" w:rsidR="00536F4E" w:rsidRPr="00536F4E" w:rsidRDefault="00536F4E" w:rsidP="00536F4E">
      <w:pPr>
        <w:spacing w:after="0" w:line="240" w:lineRule="auto"/>
        <w:jc w:val="both"/>
        <w:rPr>
          <w:rFonts w:ascii="Times New Roman" w:hAnsi="Times New Roman" w:cs="Times New Roman"/>
        </w:rPr>
      </w:pPr>
    </w:p>
    <w:p w14:paraId="34362BA0" w14:textId="192BDCB3" w:rsidR="00F70695" w:rsidRPr="00FF3315" w:rsidRDefault="00F70695" w:rsidP="00F70695">
      <w:pPr>
        <w:pStyle w:val="ListParagraph"/>
        <w:numPr>
          <w:ilvl w:val="0"/>
          <w:numId w:val="1"/>
        </w:numPr>
        <w:spacing w:after="0" w:line="240" w:lineRule="auto"/>
        <w:jc w:val="both"/>
        <w:rPr>
          <w:rFonts w:ascii="Times New Roman" w:hAnsi="Times New Roman" w:cs="Times New Roman"/>
          <w:u w:val="single"/>
        </w:rPr>
      </w:pPr>
      <w:r w:rsidRPr="00FF3315">
        <w:rPr>
          <w:rFonts w:ascii="Times New Roman" w:hAnsi="Times New Roman" w:cs="Times New Roman"/>
          <w:u w:val="single"/>
        </w:rPr>
        <w:t>Other Items of Business</w:t>
      </w:r>
    </w:p>
    <w:p w14:paraId="42BE81A4" w14:textId="2A32C218" w:rsidR="00CC1C6C" w:rsidRDefault="00CC1C6C" w:rsidP="00CC1C6C">
      <w:pPr>
        <w:spacing w:after="0" w:line="240" w:lineRule="auto"/>
        <w:jc w:val="both"/>
        <w:rPr>
          <w:rFonts w:ascii="Times New Roman" w:hAnsi="Times New Roman" w:cs="Times New Roman"/>
          <w:u w:val="single"/>
        </w:rPr>
      </w:pPr>
    </w:p>
    <w:p w14:paraId="2775B303" w14:textId="55016BEC" w:rsidR="00A207F4" w:rsidRDefault="00206193" w:rsidP="00A207F4">
      <w:pPr>
        <w:spacing w:after="0" w:line="240" w:lineRule="auto"/>
        <w:jc w:val="both"/>
        <w:rPr>
          <w:rFonts w:ascii="Times New Roman" w:hAnsi="Times New Roman" w:cs="Times New Roman"/>
        </w:rPr>
      </w:pPr>
      <w:r>
        <w:rPr>
          <w:rFonts w:ascii="Times New Roman" w:hAnsi="Times New Roman" w:cs="Times New Roman"/>
        </w:rPr>
        <w:t>Treasurer Oaks</w:t>
      </w:r>
      <w:r w:rsidR="00536F4E">
        <w:rPr>
          <w:rFonts w:ascii="Times New Roman" w:hAnsi="Times New Roman" w:cs="Times New Roman"/>
        </w:rPr>
        <w:t xml:space="preserve"> </w:t>
      </w:r>
      <w:r w:rsidR="00A207F4">
        <w:rPr>
          <w:rFonts w:ascii="Times New Roman" w:hAnsi="Times New Roman" w:cs="Times New Roman"/>
        </w:rPr>
        <w:t xml:space="preserve">made a motion to adjourn the meeting. </w:t>
      </w:r>
      <w:r w:rsidR="00536F4E">
        <w:rPr>
          <w:rFonts w:ascii="Times New Roman" w:hAnsi="Times New Roman" w:cs="Times New Roman"/>
        </w:rPr>
        <w:t>M</w:t>
      </w:r>
      <w:r>
        <w:rPr>
          <w:rFonts w:ascii="Times New Roman" w:hAnsi="Times New Roman" w:cs="Times New Roman"/>
        </w:rPr>
        <w:t xml:space="preserve">s. DiCaro </w:t>
      </w:r>
      <w:r w:rsidR="00A207F4">
        <w:rPr>
          <w:rFonts w:ascii="Times New Roman" w:hAnsi="Times New Roman" w:cs="Times New Roman"/>
        </w:rPr>
        <w:t>seconded the motion. The motion passed unanimously with Mr. Jones, Ms. DiCaro and Treasurer Oaks all voting in favor.</w:t>
      </w:r>
    </w:p>
    <w:p w14:paraId="784CDD6B" w14:textId="77777777" w:rsidR="00A207F4" w:rsidRDefault="00A207F4" w:rsidP="00CC1C6C">
      <w:pPr>
        <w:spacing w:after="0" w:line="240" w:lineRule="auto"/>
        <w:jc w:val="both"/>
        <w:rPr>
          <w:rFonts w:ascii="Times New Roman" w:hAnsi="Times New Roman" w:cs="Times New Roman"/>
          <w:u w:val="single"/>
        </w:rPr>
      </w:pPr>
    </w:p>
    <w:p w14:paraId="05C0F6EB" w14:textId="77777777" w:rsidR="006D5A6A"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67F4D"/>
    <w:rsid w:val="00275ABC"/>
    <w:rsid w:val="00275ACB"/>
    <w:rsid w:val="00284393"/>
    <w:rsid w:val="00295CA1"/>
    <w:rsid w:val="00296C30"/>
    <w:rsid w:val="002A0E1D"/>
    <w:rsid w:val="002A31F4"/>
    <w:rsid w:val="002A44BA"/>
    <w:rsid w:val="002A4A24"/>
    <w:rsid w:val="002A4C4F"/>
    <w:rsid w:val="002B2715"/>
    <w:rsid w:val="002B74D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91043"/>
    <w:rsid w:val="00395190"/>
    <w:rsid w:val="00397BA2"/>
    <w:rsid w:val="003A64E8"/>
    <w:rsid w:val="003C1E48"/>
    <w:rsid w:val="003C2670"/>
    <w:rsid w:val="003C34E1"/>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8053C"/>
    <w:rsid w:val="0049162D"/>
    <w:rsid w:val="004945D5"/>
    <w:rsid w:val="004A2D94"/>
    <w:rsid w:val="004A4518"/>
    <w:rsid w:val="004A7119"/>
    <w:rsid w:val="004A7171"/>
    <w:rsid w:val="004B1647"/>
    <w:rsid w:val="004C29FB"/>
    <w:rsid w:val="004C4CCF"/>
    <w:rsid w:val="004D2257"/>
    <w:rsid w:val="004E201A"/>
    <w:rsid w:val="004E5E55"/>
    <w:rsid w:val="004F5A9E"/>
    <w:rsid w:val="004F7EEB"/>
    <w:rsid w:val="005008B9"/>
    <w:rsid w:val="00515E0B"/>
    <w:rsid w:val="005275FF"/>
    <w:rsid w:val="00531D39"/>
    <w:rsid w:val="00535F0A"/>
    <w:rsid w:val="00536F4E"/>
    <w:rsid w:val="00543357"/>
    <w:rsid w:val="005446A7"/>
    <w:rsid w:val="0054610B"/>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A5621"/>
    <w:rsid w:val="005C2DAD"/>
    <w:rsid w:val="005C4500"/>
    <w:rsid w:val="005C4D81"/>
    <w:rsid w:val="005C6F04"/>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5177D"/>
    <w:rsid w:val="00853C6D"/>
    <w:rsid w:val="00865EEB"/>
    <w:rsid w:val="0087139B"/>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6AF2"/>
    <w:rsid w:val="00BA1EA0"/>
    <w:rsid w:val="00BA6D9F"/>
    <w:rsid w:val="00BB0ECC"/>
    <w:rsid w:val="00BB5CAE"/>
    <w:rsid w:val="00BC154F"/>
    <w:rsid w:val="00BC1E2A"/>
    <w:rsid w:val="00BC2728"/>
    <w:rsid w:val="00BC7910"/>
    <w:rsid w:val="00BD1A41"/>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512C4"/>
    <w:rsid w:val="00E5181D"/>
    <w:rsid w:val="00E56ED1"/>
    <w:rsid w:val="00E7169E"/>
    <w:rsid w:val="00E737AE"/>
    <w:rsid w:val="00E82A0B"/>
    <w:rsid w:val="00E85914"/>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7</Pages>
  <Words>3683</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8</cp:revision>
  <dcterms:created xsi:type="dcterms:W3CDTF">2025-08-22T20:14:00Z</dcterms:created>
  <dcterms:modified xsi:type="dcterms:W3CDTF">2025-08-22T23:40:00Z</dcterms:modified>
</cp:coreProperties>
</file>