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5FB8B" w14:textId="77777777" w:rsidR="00570367" w:rsidRPr="00570367" w:rsidRDefault="00570367" w:rsidP="00E13F69">
      <w:pPr>
        <w:widowControl/>
        <w:autoSpaceDE/>
        <w:autoSpaceDN/>
        <w:spacing w:before="100" w:beforeAutospacing="1" w:after="100" w:afterAutospacing="1"/>
        <w:jc w:val="center"/>
        <w:outlineLvl w:val="1"/>
        <w:rPr>
          <w:b/>
          <w:bCs/>
          <w:sz w:val="36"/>
          <w:szCs w:val="36"/>
        </w:rPr>
      </w:pPr>
      <w:r w:rsidRPr="00570367">
        <w:rPr>
          <w:b/>
          <w:bCs/>
          <w:sz w:val="36"/>
          <w:szCs w:val="36"/>
        </w:rPr>
        <w:t>ERDA CITY ADMINISTRATIVE POLICY</w:t>
      </w:r>
    </w:p>
    <w:p w14:paraId="6FFFE50D" w14:textId="77777777" w:rsidR="00570367" w:rsidRPr="00570367" w:rsidRDefault="00570367" w:rsidP="00570367">
      <w:pPr>
        <w:widowControl/>
        <w:autoSpaceDE/>
        <w:autoSpaceDN/>
        <w:spacing w:before="100" w:beforeAutospacing="1" w:after="100" w:afterAutospacing="1"/>
        <w:outlineLvl w:val="2"/>
        <w:rPr>
          <w:b/>
          <w:bCs/>
          <w:sz w:val="27"/>
          <w:szCs w:val="27"/>
        </w:rPr>
      </w:pPr>
      <w:r w:rsidRPr="00570367">
        <w:rPr>
          <w:b/>
          <w:bCs/>
          <w:sz w:val="27"/>
          <w:szCs w:val="27"/>
        </w:rPr>
        <w:t>Policy Title: Residential Intensity Classification</w:t>
      </w:r>
    </w:p>
    <w:p w14:paraId="5BA06E36" w14:textId="7A02C8C8" w:rsidR="00570367" w:rsidRPr="00570367" w:rsidRDefault="00570367" w:rsidP="00570367">
      <w:pPr>
        <w:widowControl/>
        <w:autoSpaceDE/>
        <w:autoSpaceDN/>
        <w:spacing w:before="100" w:beforeAutospacing="1" w:after="100" w:afterAutospacing="1"/>
        <w:rPr>
          <w:sz w:val="24"/>
          <w:szCs w:val="24"/>
        </w:rPr>
      </w:pPr>
      <w:r w:rsidRPr="00570367">
        <w:rPr>
          <w:b/>
          <w:bCs/>
          <w:sz w:val="24"/>
          <w:szCs w:val="24"/>
        </w:rPr>
        <w:t>Approved By:</w:t>
      </w:r>
      <w:r w:rsidRPr="00570367">
        <w:rPr>
          <w:sz w:val="24"/>
          <w:szCs w:val="24"/>
        </w:rPr>
        <w:t xml:space="preserve"> Erda City Planning Commission &amp; City Council</w:t>
      </w:r>
      <w:r w:rsidRPr="00570367">
        <w:rPr>
          <w:sz w:val="24"/>
          <w:szCs w:val="24"/>
        </w:rPr>
        <w:br/>
      </w:r>
      <w:r w:rsidRPr="00570367">
        <w:rPr>
          <w:b/>
          <w:bCs/>
          <w:sz w:val="24"/>
          <w:szCs w:val="24"/>
        </w:rPr>
        <w:t>Policy Type:</w:t>
      </w:r>
      <w:r w:rsidRPr="00570367">
        <w:rPr>
          <w:sz w:val="24"/>
          <w:szCs w:val="24"/>
        </w:rPr>
        <w:t xml:space="preserve"> Administrative</w:t>
      </w:r>
      <w:r w:rsidRPr="00570367">
        <w:rPr>
          <w:sz w:val="24"/>
          <w:szCs w:val="24"/>
        </w:rPr>
        <w:br/>
      </w:r>
      <w:r w:rsidRPr="00570367">
        <w:rPr>
          <w:b/>
          <w:bCs/>
          <w:sz w:val="24"/>
          <w:szCs w:val="24"/>
        </w:rPr>
        <w:t>Effective Date:</w:t>
      </w:r>
      <w:r w:rsidRPr="00570367">
        <w:rPr>
          <w:sz w:val="24"/>
          <w:szCs w:val="24"/>
        </w:rPr>
        <w:t xml:space="preserve"> [Insert Date]</w:t>
      </w:r>
      <w:r w:rsidRPr="00570367">
        <w:rPr>
          <w:sz w:val="24"/>
          <w:szCs w:val="24"/>
        </w:rPr>
        <w:br/>
      </w:r>
      <w:r w:rsidRPr="00570367">
        <w:rPr>
          <w:b/>
          <w:bCs/>
          <w:sz w:val="24"/>
          <w:szCs w:val="24"/>
        </w:rPr>
        <w:t>Policy Number:</w:t>
      </w:r>
      <w:r w:rsidRPr="00570367">
        <w:rPr>
          <w:sz w:val="24"/>
          <w:szCs w:val="24"/>
        </w:rPr>
        <w:t xml:space="preserve"> </w:t>
      </w:r>
      <w:r w:rsidR="00E13F69">
        <w:rPr>
          <w:sz w:val="24"/>
          <w:szCs w:val="24"/>
        </w:rPr>
        <w:t>2025-001</w:t>
      </w:r>
    </w:p>
    <w:p w14:paraId="34B0E309" w14:textId="77777777" w:rsidR="00570367" w:rsidRPr="00570367" w:rsidRDefault="00570367" w:rsidP="00570367">
      <w:pPr>
        <w:widowControl/>
        <w:autoSpaceDE/>
        <w:autoSpaceDN/>
        <w:spacing w:before="100" w:beforeAutospacing="1" w:after="100" w:afterAutospacing="1"/>
        <w:outlineLvl w:val="2"/>
        <w:rPr>
          <w:b/>
          <w:bCs/>
          <w:sz w:val="27"/>
          <w:szCs w:val="27"/>
        </w:rPr>
      </w:pPr>
      <w:r w:rsidRPr="00570367">
        <w:rPr>
          <w:b/>
          <w:bCs/>
          <w:sz w:val="27"/>
          <w:szCs w:val="27"/>
        </w:rPr>
        <w:t>1. Purpose</w:t>
      </w:r>
    </w:p>
    <w:p w14:paraId="5EAC4130" w14:textId="6DF3186D" w:rsidR="00570367" w:rsidRPr="00570367" w:rsidRDefault="00570367" w:rsidP="00570367">
      <w:pPr>
        <w:widowControl/>
        <w:autoSpaceDE/>
        <w:autoSpaceDN/>
        <w:spacing w:before="100" w:beforeAutospacing="1" w:after="100" w:afterAutospacing="1"/>
        <w:rPr>
          <w:sz w:val="24"/>
          <w:szCs w:val="24"/>
        </w:rPr>
      </w:pPr>
      <w:r w:rsidRPr="00570367">
        <w:rPr>
          <w:sz w:val="24"/>
          <w:szCs w:val="24"/>
        </w:rPr>
        <w:t xml:space="preserve">This administrative policy provides a standardized definition of </w:t>
      </w:r>
      <w:r w:rsidRPr="00570367">
        <w:rPr>
          <w:b/>
          <w:bCs/>
          <w:sz w:val="24"/>
          <w:szCs w:val="24"/>
        </w:rPr>
        <w:t>“Residential Intensity”</w:t>
      </w:r>
      <w:r w:rsidRPr="00570367">
        <w:rPr>
          <w:sz w:val="24"/>
          <w:szCs w:val="24"/>
        </w:rPr>
        <w:t xml:space="preserve"> for use in interpreting and applying the Erda City General Plan Land Use Element. It ensures consistency in evaluating zoning categories, development applications, and land use designations based on residential lot sizes and associated intensity levels.</w:t>
      </w:r>
    </w:p>
    <w:p w14:paraId="114DACED" w14:textId="77777777" w:rsidR="00570367" w:rsidRPr="00570367" w:rsidRDefault="00570367" w:rsidP="00570367">
      <w:pPr>
        <w:widowControl/>
        <w:autoSpaceDE/>
        <w:autoSpaceDN/>
        <w:spacing w:before="100" w:beforeAutospacing="1" w:after="100" w:afterAutospacing="1"/>
        <w:outlineLvl w:val="2"/>
        <w:rPr>
          <w:b/>
          <w:bCs/>
          <w:sz w:val="27"/>
          <w:szCs w:val="27"/>
        </w:rPr>
      </w:pPr>
      <w:r w:rsidRPr="00570367">
        <w:rPr>
          <w:b/>
          <w:bCs/>
          <w:sz w:val="27"/>
          <w:szCs w:val="27"/>
        </w:rPr>
        <w:t>2. Authority</w:t>
      </w:r>
    </w:p>
    <w:p w14:paraId="6BEFC0E9" w14:textId="6632C48B" w:rsidR="00570367" w:rsidRPr="00570367" w:rsidRDefault="00570367" w:rsidP="00570367">
      <w:pPr>
        <w:widowControl/>
        <w:autoSpaceDE/>
        <w:autoSpaceDN/>
        <w:spacing w:before="100" w:beforeAutospacing="1" w:after="100" w:afterAutospacing="1"/>
        <w:rPr>
          <w:sz w:val="24"/>
          <w:szCs w:val="24"/>
        </w:rPr>
      </w:pPr>
      <w:r w:rsidRPr="00570367">
        <w:rPr>
          <w:sz w:val="24"/>
          <w:szCs w:val="24"/>
        </w:rPr>
        <w:t>This policy is issued under the administrative authority of the Erda City Council to support consistent interpretation and implementation of the General Plan.</w:t>
      </w:r>
    </w:p>
    <w:p w14:paraId="133EB2D5" w14:textId="77777777" w:rsidR="00570367" w:rsidRPr="00570367" w:rsidRDefault="00570367" w:rsidP="00570367">
      <w:pPr>
        <w:widowControl/>
        <w:autoSpaceDE/>
        <w:autoSpaceDN/>
        <w:spacing w:before="100" w:beforeAutospacing="1" w:after="100" w:afterAutospacing="1"/>
        <w:outlineLvl w:val="2"/>
        <w:rPr>
          <w:b/>
          <w:bCs/>
          <w:sz w:val="27"/>
          <w:szCs w:val="27"/>
        </w:rPr>
      </w:pPr>
      <w:r w:rsidRPr="00570367">
        <w:rPr>
          <w:b/>
          <w:bCs/>
          <w:sz w:val="27"/>
          <w:szCs w:val="27"/>
        </w:rPr>
        <w:t>3. Policy Statement</w:t>
      </w:r>
    </w:p>
    <w:p w14:paraId="675F5990" w14:textId="77777777" w:rsidR="00570367" w:rsidRPr="00570367" w:rsidRDefault="00570367" w:rsidP="00570367">
      <w:pPr>
        <w:widowControl/>
        <w:autoSpaceDE/>
        <w:autoSpaceDN/>
        <w:spacing w:before="100" w:beforeAutospacing="1" w:after="100" w:afterAutospacing="1"/>
        <w:rPr>
          <w:sz w:val="24"/>
          <w:szCs w:val="24"/>
        </w:rPr>
      </w:pPr>
      <w:r w:rsidRPr="00570367">
        <w:rPr>
          <w:sz w:val="24"/>
          <w:szCs w:val="24"/>
        </w:rPr>
        <w:t>"Residential Intensity" shall be categorized based on minimum lot size requirements in zoning districts as follows. Two classification options are included for administrative guidance and discussion:</w:t>
      </w:r>
    </w:p>
    <w:p w14:paraId="0A29AD72" w14:textId="77777777" w:rsidR="00570367" w:rsidRPr="00570367" w:rsidRDefault="00570367" w:rsidP="00570367">
      <w:pPr>
        <w:widowControl/>
        <w:autoSpaceDE/>
        <w:autoSpaceDN/>
        <w:spacing w:before="100" w:beforeAutospacing="1" w:after="100" w:afterAutospacing="1"/>
        <w:outlineLvl w:val="2"/>
        <w:rPr>
          <w:b/>
          <w:bCs/>
          <w:sz w:val="27"/>
          <w:szCs w:val="27"/>
        </w:rPr>
      </w:pPr>
      <w:r w:rsidRPr="00570367">
        <w:rPr>
          <w:b/>
          <w:bCs/>
          <w:sz w:val="27"/>
          <w:szCs w:val="27"/>
        </w:rPr>
        <w:t>4. Residential Intensity Classification Options</w:t>
      </w:r>
    </w:p>
    <w:p w14:paraId="7BEF9D17" w14:textId="77777777" w:rsidR="00570367" w:rsidRPr="00570367" w:rsidRDefault="00570367" w:rsidP="00570367">
      <w:pPr>
        <w:widowControl/>
        <w:autoSpaceDE/>
        <w:autoSpaceDN/>
        <w:spacing w:before="100" w:beforeAutospacing="1" w:after="100" w:afterAutospacing="1"/>
        <w:outlineLvl w:val="3"/>
        <w:rPr>
          <w:b/>
          <w:bCs/>
          <w:sz w:val="24"/>
          <w:szCs w:val="24"/>
        </w:rPr>
      </w:pPr>
      <w:r w:rsidRPr="00570367">
        <w:rPr>
          <w:b/>
          <w:bCs/>
          <w:sz w:val="24"/>
          <w:szCs w:val="24"/>
        </w:rPr>
        <w:t>Option #1: 10-Acre Threshold</w:t>
      </w:r>
    </w:p>
    <w:p w14:paraId="326A81C7" w14:textId="77777777" w:rsidR="00570367" w:rsidRPr="00570367" w:rsidRDefault="00570367" w:rsidP="00570367">
      <w:pPr>
        <w:widowControl/>
        <w:numPr>
          <w:ilvl w:val="0"/>
          <w:numId w:val="2"/>
        </w:numPr>
        <w:autoSpaceDE/>
        <w:autoSpaceDN/>
        <w:spacing w:before="100" w:beforeAutospacing="1" w:after="100" w:afterAutospacing="1"/>
        <w:rPr>
          <w:sz w:val="24"/>
          <w:szCs w:val="24"/>
        </w:rPr>
      </w:pPr>
      <w:r w:rsidRPr="00570367">
        <w:rPr>
          <w:b/>
          <w:bCs/>
          <w:sz w:val="24"/>
          <w:szCs w:val="24"/>
        </w:rPr>
        <w:t>Low Intensity Residential</w:t>
      </w:r>
      <w:r w:rsidRPr="00570367">
        <w:rPr>
          <w:sz w:val="24"/>
          <w:szCs w:val="24"/>
        </w:rPr>
        <w:br/>
        <w:t xml:space="preserve">Zoning districts with </w:t>
      </w:r>
      <w:r w:rsidRPr="00570367">
        <w:rPr>
          <w:b/>
          <w:bCs/>
          <w:sz w:val="24"/>
          <w:szCs w:val="24"/>
        </w:rPr>
        <w:t>lot sizes greater than 10 acres</w:t>
      </w:r>
    </w:p>
    <w:p w14:paraId="3B01840A" w14:textId="77777777" w:rsidR="00570367" w:rsidRPr="00570367" w:rsidRDefault="00570367" w:rsidP="00570367">
      <w:pPr>
        <w:widowControl/>
        <w:numPr>
          <w:ilvl w:val="0"/>
          <w:numId w:val="2"/>
        </w:numPr>
        <w:autoSpaceDE/>
        <w:autoSpaceDN/>
        <w:spacing w:before="100" w:beforeAutospacing="1" w:after="100" w:afterAutospacing="1"/>
        <w:rPr>
          <w:sz w:val="24"/>
          <w:szCs w:val="24"/>
        </w:rPr>
      </w:pPr>
      <w:r w:rsidRPr="00570367">
        <w:rPr>
          <w:b/>
          <w:bCs/>
          <w:sz w:val="24"/>
          <w:szCs w:val="24"/>
        </w:rPr>
        <w:t>Medium Intensity Residential</w:t>
      </w:r>
      <w:r w:rsidRPr="00570367">
        <w:rPr>
          <w:sz w:val="24"/>
          <w:szCs w:val="24"/>
        </w:rPr>
        <w:br/>
        <w:t xml:space="preserve">Zoning districts with </w:t>
      </w:r>
      <w:r w:rsidRPr="00570367">
        <w:rPr>
          <w:b/>
          <w:bCs/>
          <w:sz w:val="24"/>
          <w:szCs w:val="24"/>
        </w:rPr>
        <w:t>lot sizes greater than 1 acre and up to 10 acres</w:t>
      </w:r>
    </w:p>
    <w:p w14:paraId="443337D1" w14:textId="77777777" w:rsidR="00570367" w:rsidRPr="00570367" w:rsidRDefault="00570367" w:rsidP="00570367">
      <w:pPr>
        <w:widowControl/>
        <w:numPr>
          <w:ilvl w:val="0"/>
          <w:numId w:val="2"/>
        </w:numPr>
        <w:autoSpaceDE/>
        <w:autoSpaceDN/>
        <w:spacing w:before="100" w:beforeAutospacing="1" w:after="100" w:afterAutospacing="1"/>
        <w:rPr>
          <w:sz w:val="24"/>
          <w:szCs w:val="24"/>
        </w:rPr>
      </w:pPr>
      <w:r w:rsidRPr="00570367">
        <w:rPr>
          <w:b/>
          <w:bCs/>
          <w:sz w:val="24"/>
          <w:szCs w:val="24"/>
        </w:rPr>
        <w:t>High Intensity Residential</w:t>
      </w:r>
      <w:r w:rsidRPr="00570367">
        <w:rPr>
          <w:sz w:val="24"/>
          <w:szCs w:val="24"/>
        </w:rPr>
        <w:br/>
        <w:t xml:space="preserve">Zoning districts with </w:t>
      </w:r>
      <w:r w:rsidRPr="00570367">
        <w:rPr>
          <w:b/>
          <w:bCs/>
          <w:sz w:val="24"/>
          <w:szCs w:val="24"/>
        </w:rPr>
        <w:t>lot sizes of 1 acre or less</w:t>
      </w:r>
    </w:p>
    <w:p w14:paraId="6F182B79" w14:textId="77777777" w:rsidR="00570367" w:rsidRPr="00570367" w:rsidRDefault="00570367" w:rsidP="00570367">
      <w:pPr>
        <w:widowControl/>
        <w:autoSpaceDE/>
        <w:autoSpaceDN/>
        <w:spacing w:before="100" w:beforeAutospacing="1" w:after="100" w:afterAutospacing="1"/>
        <w:outlineLvl w:val="3"/>
        <w:rPr>
          <w:b/>
          <w:bCs/>
          <w:sz w:val="24"/>
          <w:szCs w:val="24"/>
        </w:rPr>
      </w:pPr>
      <w:r w:rsidRPr="00570367">
        <w:rPr>
          <w:b/>
          <w:bCs/>
          <w:sz w:val="24"/>
          <w:szCs w:val="24"/>
        </w:rPr>
        <w:lastRenderedPageBreak/>
        <w:t>Option #2: 5-Acre Threshold</w:t>
      </w:r>
    </w:p>
    <w:p w14:paraId="0D48BC5E" w14:textId="77777777" w:rsidR="00570367" w:rsidRPr="00570367" w:rsidRDefault="00570367" w:rsidP="00570367">
      <w:pPr>
        <w:widowControl/>
        <w:numPr>
          <w:ilvl w:val="0"/>
          <w:numId w:val="3"/>
        </w:numPr>
        <w:autoSpaceDE/>
        <w:autoSpaceDN/>
        <w:spacing w:before="100" w:beforeAutospacing="1" w:after="100" w:afterAutospacing="1"/>
        <w:rPr>
          <w:sz w:val="24"/>
          <w:szCs w:val="24"/>
        </w:rPr>
      </w:pPr>
      <w:r w:rsidRPr="00570367">
        <w:rPr>
          <w:b/>
          <w:bCs/>
          <w:sz w:val="24"/>
          <w:szCs w:val="24"/>
        </w:rPr>
        <w:t>Low Intensity Residential</w:t>
      </w:r>
      <w:r w:rsidRPr="00570367">
        <w:rPr>
          <w:sz w:val="24"/>
          <w:szCs w:val="24"/>
        </w:rPr>
        <w:br/>
        <w:t xml:space="preserve">Zoning districts with </w:t>
      </w:r>
      <w:r w:rsidRPr="00570367">
        <w:rPr>
          <w:b/>
          <w:bCs/>
          <w:sz w:val="24"/>
          <w:szCs w:val="24"/>
        </w:rPr>
        <w:t>lot sizes 5 acres and greater</w:t>
      </w:r>
    </w:p>
    <w:p w14:paraId="3A6F1BEB" w14:textId="77777777" w:rsidR="00570367" w:rsidRPr="00570367" w:rsidRDefault="00570367" w:rsidP="00570367">
      <w:pPr>
        <w:widowControl/>
        <w:numPr>
          <w:ilvl w:val="0"/>
          <w:numId w:val="3"/>
        </w:numPr>
        <w:autoSpaceDE/>
        <w:autoSpaceDN/>
        <w:spacing w:before="100" w:beforeAutospacing="1" w:after="100" w:afterAutospacing="1"/>
        <w:rPr>
          <w:sz w:val="24"/>
          <w:szCs w:val="24"/>
        </w:rPr>
      </w:pPr>
      <w:r w:rsidRPr="00570367">
        <w:rPr>
          <w:b/>
          <w:bCs/>
          <w:sz w:val="24"/>
          <w:szCs w:val="24"/>
        </w:rPr>
        <w:t>Medium Intensity Residential</w:t>
      </w:r>
      <w:r w:rsidRPr="00570367">
        <w:rPr>
          <w:sz w:val="24"/>
          <w:szCs w:val="24"/>
        </w:rPr>
        <w:br/>
        <w:t xml:space="preserve">Zoning districts with </w:t>
      </w:r>
      <w:r w:rsidRPr="00570367">
        <w:rPr>
          <w:b/>
          <w:bCs/>
          <w:sz w:val="24"/>
          <w:szCs w:val="24"/>
        </w:rPr>
        <w:t>lot sizes greater than 1 acre and up to 5 acres</w:t>
      </w:r>
    </w:p>
    <w:p w14:paraId="538EE1EF" w14:textId="77777777" w:rsidR="00570367" w:rsidRPr="00570367" w:rsidRDefault="00570367" w:rsidP="00570367">
      <w:pPr>
        <w:widowControl/>
        <w:numPr>
          <w:ilvl w:val="0"/>
          <w:numId w:val="3"/>
        </w:numPr>
        <w:autoSpaceDE/>
        <w:autoSpaceDN/>
        <w:spacing w:before="100" w:beforeAutospacing="1" w:after="100" w:afterAutospacing="1"/>
        <w:rPr>
          <w:sz w:val="24"/>
          <w:szCs w:val="24"/>
        </w:rPr>
      </w:pPr>
      <w:r w:rsidRPr="00570367">
        <w:rPr>
          <w:b/>
          <w:bCs/>
          <w:sz w:val="24"/>
          <w:szCs w:val="24"/>
        </w:rPr>
        <w:t>High Intensity Residential</w:t>
      </w:r>
      <w:r w:rsidRPr="00570367">
        <w:rPr>
          <w:sz w:val="24"/>
          <w:szCs w:val="24"/>
        </w:rPr>
        <w:br/>
        <w:t xml:space="preserve">Zoning districts with </w:t>
      </w:r>
      <w:r w:rsidRPr="00570367">
        <w:rPr>
          <w:b/>
          <w:bCs/>
          <w:sz w:val="24"/>
          <w:szCs w:val="24"/>
        </w:rPr>
        <w:t>lot sizes of 1 acre or less</w:t>
      </w:r>
    </w:p>
    <w:p w14:paraId="2B27F8C2" w14:textId="77777777" w:rsidR="00570367" w:rsidRPr="00570367" w:rsidRDefault="00570367" w:rsidP="00570367">
      <w:pPr>
        <w:widowControl/>
        <w:autoSpaceDE/>
        <w:autoSpaceDN/>
        <w:spacing w:before="100" w:beforeAutospacing="1" w:after="100" w:afterAutospacing="1"/>
        <w:outlineLvl w:val="2"/>
        <w:rPr>
          <w:b/>
          <w:bCs/>
          <w:sz w:val="27"/>
          <w:szCs w:val="27"/>
        </w:rPr>
      </w:pPr>
      <w:r w:rsidRPr="00570367">
        <w:rPr>
          <w:b/>
          <w:bCs/>
          <w:sz w:val="27"/>
          <w:szCs w:val="27"/>
        </w:rPr>
        <w:t>5. Implementation</w:t>
      </w:r>
    </w:p>
    <w:p w14:paraId="377F0152" w14:textId="77777777" w:rsidR="00570367" w:rsidRPr="00570367" w:rsidRDefault="00570367" w:rsidP="00570367">
      <w:pPr>
        <w:widowControl/>
        <w:numPr>
          <w:ilvl w:val="0"/>
          <w:numId w:val="4"/>
        </w:numPr>
        <w:autoSpaceDE/>
        <w:autoSpaceDN/>
        <w:spacing w:before="100" w:beforeAutospacing="1" w:after="100" w:afterAutospacing="1"/>
        <w:rPr>
          <w:sz w:val="24"/>
          <w:szCs w:val="24"/>
        </w:rPr>
      </w:pPr>
      <w:r w:rsidRPr="00570367">
        <w:rPr>
          <w:sz w:val="24"/>
          <w:szCs w:val="24"/>
        </w:rPr>
        <w:t>The Planning Commission, City Staff, and City Council may apply this policy to support administrative interpretations of the General Plan Land Use Map and zoning consistency evaluations.</w:t>
      </w:r>
    </w:p>
    <w:p w14:paraId="1E626E46" w14:textId="77777777" w:rsidR="00570367" w:rsidRPr="00570367" w:rsidRDefault="00570367" w:rsidP="00570367">
      <w:pPr>
        <w:widowControl/>
        <w:numPr>
          <w:ilvl w:val="0"/>
          <w:numId w:val="4"/>
        </w:numPr>
        <w:autoSpaceDE/>
        <w:autoSpaceDN/>
        <w:spacing w:before="100" w:beforeAutospacing="1" w:after="100" w:afterAutospacing="1"/>
        <w:rPr>
          <w:sz w:val="24"/>
          <w:szCs w:val="24"/>
        </w:rPr>
      </w:pPr>
      <w:r w:rsidRPr="00570367">
        <w:rPr>
          <w:sz w:val="24"/>
          <w:szCs w:val="24"/>
        </w:rPr>
        <w:t xml:space="preserve">This policy does </w:t>
      </w:r>
      <w:r w:rsidRPr="00570367">
        <w:rPr>
          <w:b/>
          <w:bCs/>
          <w:sz w:val="24"/>
          <w:szCs w:val="24"/>
        </w:rPr>
        <w:t>not</w:t>
      </w:r>
      <w:r w:rsidRPr="00570367">
        <w:rPr>
          <w:sz w:val="24"/>
          <w:szCs w:val="24"/>
        </w:rPr>
        <w:t xml:space="preserve"> alter zoning regulations or create enforceable development standards. It serves as a planning tool to inform decision-making and ensure alignment between zoning and General Plan land use categories.</w:t>
      </w:r>
    </w:p>
    <w:p w14:paraId="412D31D8" w14:textId="77777777" w:rsidR="00570367" w:rsidRPr="00570367" w:rsidRDefault="00570367" w:rsidP="00570367">
      <w:pPr>
        <w:widowControl/>
        <w:numPr>
          <w:ilvl w:val="0"/>
          <w:numId w:val="4"/>
        </w:numPr>
        <w:autoSpaceDE/>
        <w:autoSpaceDN/>
        <w:spacing w:before="100" w:beforeAutospacing="1" w:after="100" w:afterAutospacing="1"/>
        <w:rPr>
          <w:sz w:val="24"/>
          <w:szCs w:val="24"/>
        </w:rPr>
      </w:pPr>
      <w:r w:rsidRPr="00570367">
        <w:rPr>
          <w:sz w:val="24"/>
          <w:szCs w:val="24"/>
        </w:rPr>
        <w:t>A single option may be formally designated as the default classification framework upon consensus by the Planning Commission and Council, or both options may remain available as context-specific guidance.</w:t>
      </w:r>
    </w:p>
    <w:p w14:paraId="4B41C511" w14:textId="77777777" w:rsidR="00570367" w:rsidRPr="00570367" w:rsidRDefault="00570367" w:rsidP="00570367">
      <w:pPr>
        <w:widowControl/>
        <w:autoSpaceDE/>
        <w:autoSpaceDN/>
        <w:spacing w:before="100" w:beforeAutospacing="1" w:after="100" w:afterAutospacing="1"/>
        <w:outlineLvl w:val="2"/>
        <w:rPr>
          <w:b/>
          <w:bCs/>
          <w:sz w:val="27"/>
          <w:szCs w:val="27"/>
        </w:rPr>
      </w:pPr>
      <w:r w:rsidRPr="00570367">
        <w:rPr>
          <w:b/>
          <w:bCs/>
          <w:sz w:val="27"/>
          <w:szCs w:val="27"/>
        </w:rPr>
        <w:t>6. Review and Amendments</w:t>
      </w:r>
    </w:p>
    <w:p w14:paraId="3531FBD0" w14:textId="77777777" w:rsidR="00570367" w:rsidRPr="00570367" w:rsidRDefault="00570367" w:rsidP="00570367">
      <w:pPr>
        <w:widowControl/>
        <w:autoSpaceDE/>
        <w:autoSpaceDN/>
        <w:spacing w:before="100" w:beforeAutospacing="1" w:after="100" w:afterAutospacing="1"/>
        <w:rPr>
          <w:sz w:val="24"/>
          <w:szCs w:val="24"/>
        </w:rPr>
      </w:pPr>
      <w:r w:rsidRPr="00570367">
        <w:rPr>
          <w:sz w:val="24"/>
          <w:szCs w:val="24"/>
        </w:rPr>
        <w:t>This policy may be updated by administrative action of the Planning Commission and City Council as needed to reflect evolving planning goals, population trends, or regulatory changes.</w:t>
      </w:r>
    </w:p>
    <w:p w14:paraId="6F03EC04" w14:textId="38B85B36" w:rsidR="00570367" w:rsidRPr="00570367" w:rsidRDefault="00570367" w:rsidP="00570367">
      <w:pPr>
        <w:widowControl/>
        <w:autoSpaceDE/>
        <w:autoSpaceDN/>
        <w:spacing w:before="100" w:beforeAutospacing="1" w:after="100" w:afterAutospacing="1"/>
        <w:rPr>
          <w:sz w:val="24"/>
          <w:szCs w:val="24"/>
        </w:rPr>
      </w:pPr>
      <w:r w:rsidRPr="00570367">
        <w:rPr>
          <w:b/>
          <w:bCs/>
          <w:sz w:val="24"/>
          <w:szCs w:val="24"/>
        </w:rPr>
        <w:t>Prepared by:</w:t>
      </w:r>
      <w:r w:rsidRPr="00570367">
        <w:rPr>
          <w:sz w:val="24"/>
          <w:szCs w:val="24"/>
        </w:rPr>
        <w:br/>
        <w:t>Erda City Planning Staff</w:t>
      </w:r>
      <w:r w:rsidRPr="00570367">
        <w:rPr>
          <w:sz w:val="24"/>
          <w:szCs w:val="24"/>
        </w:rPr>
        <w:br/>
      </w:r>
      <w:r w:rsidRPr="00570367">
        <w:rPr>
          <w:b/>
          <w:bCs/>
          <w:sz w:val="24"/>
          <w:szCs w:val="24"/>
        </w:rPr>
        <w:t>Approved by:</w:t>
      </w:r>
      <w:r w:rsidRPr="00570367">
        <w:rPr>
          <w:sz w:val="24"/>
          <w:szCs w:val="24"/>
        </w:rPr>
        <w:br/>
        <w:t>Planning Commission Chair: _________________________</w:t>
      </w:r>
      <w:r w:rsidRPr="00570367">
        <w:rPr>
          <w:sz w:val="24"/>
          <w:szCs w:val="24"/>
        </w:rPr>
        <w:br/>
      </w:r>
      <w:r w:rsidR="00E13F69">
        <w:rPr>
          <w:sz w:val="24"/>
          <w:szCs w:val="24"/>
        </w:rPr>
        <w:t>City Council Chair</w:t>
      </w:r>
      <w:r w:rsidRPr="00570367">
        <w:rPr>
          <w:sz w:val="24"/>
          <w:szCs w:val="24"/>
        </w:rPr>
        <w:t>: ________________________________</w:t>
      </w:r>
      <w:r w:rsidRPr="00570367">
        <w:rPr>
          <w:sz w:val="24"/>
          <w:szCs w:val="24"/>
        </w:rPr>
        <w:br/>
        <w:t>Date of Approval: _________________________________</w:t>
      </w:r>
    </w:p>
    <w:p w14:paraId="727D9CB4" w14:textId="77777777" w:rsidR="00D62C4F" w:rsidRPr="00570367" w:rsidRDefault="00D62C4F" w:rsidP="00570367"/>
    <w:sectPr w:rsidR="00D62C4F" w:rsidRPr="00570367" w:rsidSect="00F23C4C">
      <w:headerReference w:type="default" r:id="rId7"/>
      <w:type w:val="continuous"/>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7A036" w14:textId="77777777" w:rsidR="00B011C5" w:rsidRDefault="00B011C5" w:rsidP="006D5DEB">
      <w:r>
        <w:separator/>
      </w:r>
    </w:p>
  </w:endnote>
  <w:endnote w:type="continuationSeparator" w:id="0">
    <w:p w14:paraId="7B38366B" w14:textId="77777777" w:rsidR="00B011C5" w:rsidRDefault="00B011C5" w:rsidP="006D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2B131" w14:textId="77777777" w:rsidR="00B011C5" w:rsidRDefault="00B011C5" w:rsidP="006D5DEB">
      <w:r>
        <w:separator/>
      </w:r>
    </w:p>
  </w:footnote>
  <w:footnote w:type="continuationSeparator" w:id="0">
    <w:p w14:paraId="3BF5655C" w14:textId="77777777" w:rsidR="00B011C5" w:rsidRDefault="00B011C5" w:rsidP="006D5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715E" w14:textId="77777777" w:rsidR="00D06BA9" w:rsidRDefault="00D06BA9" w:rsidP="00D06BA9">
    <w:pPr>
      <w:pStyle w:val="BodyText"/>
      <w:ind w:left="4030"/>
    </w:pPr>
    <w:r>
      <w:rPr>
        <w:noProof/>
      </w:rPr>
      <w:drawing>
        <wp:inline distT="0" distB="0" distL="0" distR="0" wp14:anchorId="25AB0229" wp14:editId="11403B7A">
          <wp:extent cx="948310" cy="946403"/>
          <wp:effectExtent l="0" t="0" r="0" b="0"/>
          <wp:docPr id="518832588" name="Image 1" descr="A brown paper in a circle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8832588" name="Image 1" descr="A brown paper in a circle with white text&#10;&#10;AI-generated content may be incorrect."/>
                  <pic:cNvPicPr/>
                </pic:nvPicPr>
                <pic:blipFill>
                  <a:blip r:embed="rId1" cstate="print"/>
                  <a:stretch>
                    <a:fillRect/>
                  </a:stretch>
                </pic:blipFill>
                <pic:spPr>
                  <a:xfrm>
                    <a:off x="0" y="0"/>
                    <a:ext cx="948310" cy="946403"/>
                  </a:xfrm>
                  <a:prstGeom prst="rect">
                    <a:avLst/>
                  </a:prstGeom>
                </pic:spPr>
              </pic:pic>
            </a:graphicData>
          </a:graphic>
        </wp:inline>
      </w:drawing>
    </w:r>
  </w:p>
  <w:p w14:paraId="3C672227" w14:textId="77777777" w:rsidR="00D06BA9" w:rsidRDefault="00D06BA9" w:rsidP="00D06BA9">
    <w:pPr>
      <w:spacing w:before="83" w:line="183" w:lineRule="exact"/>
      <w:ind w:left="39"/>
      <w:jc w:val="center"/>
      <w:rPr>
        <w:rFonts w:ascii="Arial"/>
        <w:sz w:val="16"/>
      </w:rPr>
    </w:pPr>
    <w:r>
      <w:rPr>
        <w:rFonts w:ascii="Arial"/>
        <w:sz w:val="16"/>
      </w:rPr>
      <w:t>ERDA</w:t>
    </w:r>
    <w:r>
      <w:rPr>
        <w:rFonts w:ascii="Arial"/>
        <w:spacing w:val="-10"/>
        <w:sz w:val="16"/>
      </w:rPr>
      <w:t xml:space="preserve"> </w:t>
    </w:r>
    <w:r>
      <w:rPr>
        <w:rFonts w:ascii="Arial"/>
        <w:spacing w:val="-4"/>
        <w:sz w:val="16"/>
      </w:rPr>
      <w:t>CITY</w:t>
    </w:r>
  </w:p>
  <w:p w14:paraId="5B960783" w14:textId="77777777" w:rsidR="00D06BA9" w:rsidRDefault="00D06BA9" w:rsidP="00D06BA9">
    <w:pPr>
      <w:spacing w:line="244" w:lineRule="auto"/>
      <w:ind w:left="3721" w:right="3683"/>
      <w:jc w:val="center"/>
      <w:rPr>
        <w:rFonts w:ascii="Arial" w:hAnsi="Arial"/>
        <w:spacing w:val="-2"/>
        <w:sz w:val="16"/>
      </w:rPr>
    </w:pPr>
    <w:r>
      <w:rPr>
        <w:rFonts w:ascii="Arial" w:hAnsi="Arial"/>
        <w:sz w:val="16"/>
      </w:rPr>
      <w:t>2163</w:t>
    </w:r>
    <w:r>
      <w:rPr>
        <w:rFonts w:ascii="Arial" w:hAnsi="Arial"/>
        <w:spacing w:val="-6"/>
        <w:sz w:val="16"/>
      </w:rPr>
      <w:t xml:space="preserve"> </w:t>
    </w:r>
    <w:r>
      <w:rPr>
        <w:rFonts w:ascii="Arial" w:hAnsi="Arial"/>
        <w:sz w:val="16"/>
      </w:rPr>
      <w:t>W</w:t>
    </w:r>
    <w:r>
      <w:rPr>
        <w:rFonts w:ascii="Arial" w:hAnsi="Arial"/>
        <w:spacing w:val="-9"/>
        <w:sz w:val="16"/>
      </w:rPr>
      <w:t xml:space="preserve"> </w:t>
    </w:r>
    <w:r>
      <w:rPr>
        <w:rFonts w:ascii="Arial" w:hAnsi="Arial"/>
        <w:sz w:val="16"/>
      </w:rPr>
      <w:t>Erda</w:t>
    </w:r>
    <w:r>
      <w:rPr>
        <w:rFonts w:ascii="Arial" w:hAnsi="Arial"/>
        <w:spacing w:val="-10"/>
        <w:sz w:val="16"/>
      </w:rPr>
      <w:t xml:space="preserve"> </w:t>
    </w:r>
    <w:r>
      <w:rPr>
        <w:rFonts w:ascii="Arial" w:hAnsi="Arial"/>
        <w:sz w:val="16"/>
      </w:rPr>
      <w:t>Way</w:t>
    </w:r>
    <w:r>
      <w:rPr>
        <w:rFonts w:ascii="Arial" w:hAnsi="Arial"/>
        <w:spacing w:val="-5"/>
        <w:sz w:val="16"/>
      </w:rPr>
      <w:t xml:space="preserve"> </w:t>
    </w:r>
    <w:r>
      <w:rPr>
        <w:rFonts w:ascii="Arial" w:hAnsi="Arial"/>
        <w:sz w:val="16"/>
      </w:rPr>
      <w:t>–</w:t>
    </w:r>
    <w:r>
      <w:rPr>
        <w:rFonts w:ascii="Arial" w:hAnsi="Arial"/>
        <w:spacing w:val="-5"/>
        <w:sz w:val="16"/>
      </w:rPr>
      <w:t xml:space="preserve"> </w:t>
    </w:r>
    <w:r>
      <w:rPr>
        <w:rFonts w:ascii="Arial" w:hAnsi="Arial"/>
        <w:sz w:val="16"/>
      </w:rPr>
      <w:t>Erda,</w:t>
    </w:r>
    <w:r>
      <w:rPr>
        <w:rFonts w:ascii="Arial" w:hAnsi="Arial"/>
        <w:spacing w:val="-9"/>
        <w:sz w:val="16"/>
      </w:rPr>
      <w:t xml:space="preserve"> </w:t>
    </w:r>
    <w:r>
      <w:rPr>
        <w:rFonts w:ascii="Arial" w:hAnsi="Arial"/>
        <w:sz w:val="16"/>
      </w:rPr>
      <w:t xml:space="preserve">UT </w:t>
    </w:r>
    <w:r>
      <w:rPr>
        <w:rFonts w:ascii="Arial" w:hAnsi="Arial"/>
        <w:spacing w:val="-2"/>
        <w:sz w:val="16"/>
      </w:rPr>
      <w:t>(435)243-5577</w:t>
    </w:r>
  </w:p>
  <w:p w14:paraId="43DF65E9" w14:textId="77777777" w:rsidR="006D5DEB" w:rsidRDefault="006D5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A11"/>
    <w:multiLevelType w:val="multilevel"/>
    <w:tmpl w:val="BBB2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25966"/>
    <w:multiLevelType w:val="multilevel"/>
    <w:tmpl w:val="BBBE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9C5C6E"/>
    <w:multiLevelType w:val="multilevel"/>
    <w:tmpl w:val="53E2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3703EF"/>
    <w:multiLevelType w:val="hybridMultilevel"/>
    <w:tmpl w:val="23025534"/>
    <w:lvl w:ilvl="0" w:tplc="3034BB14">
      <w:numFmt w:val="bullet"/>
      <w:lvlText w:val=""/>
      <w:lvlJc w:val="left"/>
      <w:pPr>
        <w:ind w:left="821" w:hanging="361"/>
      </w:pPr>
      <w:rPr>
        <w:rFonts w:ascii="Wingdings" w:eastAsia="Wingdings" w:hAnsi="Wingdings" w:cs="Wingdings" w:hint="default"/>
        <w:b w:val="0"/>
        <w:bCs w:val="0"/>
        <w:i w:val="0"/>
        <w:iCs w:val="0"/>
        <w:spacing w:val="0"/>
        <w:w w:val="100"/>
        <w:sz w:val="22"/>
        <w:szCs w:val="22"/>
        <w:lang w:val="en-US" w:eastAsia="en-US" w:bidi="ar-SA"/>
      </w:rPr>
    </w:lvl>
    <w:lvl w:ilvl="1" w:tplc="A192DBB0">
      <w:numFmt w:val="bullet"/>
      <w:lvlText w:val="•"/>
      <w:lvlJc w:val="left"/>
      <w:pPr>
        <w:ind w:left="1690" w:hanging="361"/>
      </w:pPr>
      <w:rPr>
        <w:rFonts w:hint="default"/>
        <w:lang w:val="en-US" w:eastAsia="en-US" w:bidi="ar-SA"/>
      </w:rPr>
    </w:lvl>
    <w:lvl w:ilvl="2" w:tplc="9E0CA01E">
      <w:numFmt w:val="bullet"/>
      <w:lvlText w:val="•"/>
      <w:lvlJc w:val="left"/>
      <w:pPr>
        <w:ind w:left="2560" w:hanging="361"/>
      </w:pPr>
      <w:rPr>
        <w:rFonts w:hint="default"/>
        <w:lang w:val="en-US" w:eastAsia="en-US" w:bidi="ar-SA"/>
      </w:rPr>
    </w:lvl>
    <w:lvl w:ilvl="3" w:tplc="4B848666">
      <w:numFmt w:val="bullet"/>
      <w:lvlText w:val="•"/>
      <w:lvlJc w:val="left"/>
      <w:pPr>
        <w:ind w:left="3430" w:hanging="361"/>
      </w:pPr>
      <w:rPr>
        <w:rFonts w:hint="default"/>
        <w:lang w:val="en-US" w:eastAsia="en-US" w:bidi="ar-SA"/>
      </w:rPr>
    </w:lvl>
    <w:lvl w:ilvl="4" w:tplc="8C34098A">
      <w:numFmt w:val="bullet"/>
      <w:lvlText w:val="•"/>
      <w:lvlJc w:val="left"/>
      <w:pPr>
        <w:ind w:left="4300" w:hanging="361"/>
      </w:pPr>
      <w:rPr>
        <w:rFonts w:hint="default"/>
        <w:lang w:val="en-US" w:eastAsia="en-US" w:bidi="ar-SA"/>
      </w:rPr>
    </w:lvl>
    <w:lvl w:ilvl="5" w:tplc="51A46310">
      <w:numFmt w:val="bullet"/>
      <w:lvlText w:val="•"/>
      <w:lvlJc w:val="left"/>
      <w:pPr>
        <w:ind w:left="5170" w:hanging="361"/>
      </w:pPr>
      <w:rPr>
        <w:rFonts w:hint="default"/>
        <w:lang w:val="en-US" w:eastAsia="en-US" w:bidi="ar-SA"/>
      </w:rPr>
    </w:lvl>
    <w:lvl w:ilvl="6" w:tplc="D75096A4">
      <w:numFmt w:val="bullet"/>
      <w:lvlText w:val="•"/>
      <w:lvlJc w:val="left"/>
      <w:pPr>
        <w:ind w:left="6040" w:hanging="361"/>
      </w:pPr>
      <w:rPr>
        <w:rFonts w:hint="default"/>
        <w:lang w:val="en-US" w:eastAsia="en-US" w:bidi="ar-SA"/>
      </w:rPr>
    </w:lvl>
    <w:lvl w:ilvl="7" w:tplc="82A0C878">
      <w:numFmt w:val="bullet"/>
      <w:lvlText w:val="•"/>
      <w:lvlJc w:val="left"/>
      <w:pPr>
        <w:ind w:left="6910" w:hanging="361"/>
      </w:pPr>
      <w:rPr>
        <w:rFonts w:hint="default"/>
        <w:lang w:val="en-US" w:eastAsia="en-US" w:bidi="ar-SA"/>
      </w:rPr>
    </w:lvl>
    <w:lvl w:ilvl="8" w:tplc="41E2E7DC">
      <w:numFmt w:val="bullet"/>
      <w:lvlText w:val="•"/>
      <w:lvlJc w:val="left"/>
      <w:pPr>
        <w:ind w:left="7780" w:hanging="361"/>
      </w:pPr>
      <w:rPr>
        <w:rFonts w:hint="default"/>
        <w:lang w:val="en-US" w:eastAsia="en-US" w:bidi="ar-SA"/>
      </w:rPr>
    </w:lvl>
  </w:abstractNum>
  <w:num w:numId="1" w16cid:durableId="62342008">
    <w:abstractNumId w:val="3"/>
  </w:num>
  <w:num w:numId="2" w16cid:durableId="1909654696">
    <w:abstractNumId w:val="1"/>
  </w:num>
  <w:num w:numId="3" w16cid:durableId="888344002">
    <w:abstractNumId w:val="2"/>
  </w:num>
  <w:num w:numId="4" w16cid:durableId="880943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03"/>
    <w:rsid w:val="00020728"/>
    <w:rsid w:val="000311C3"/>
    <w:rsid w:val="000A586C"/>
    <w:rsid w:val="003243DB"/>
    <w:rsid w:val="003272AA"/>
    <w:rsid w:val="003A2B2F"/>
    <w:rsid w:val="0040521A"/>
    <w:rsid w:val="00472E43"/>
    <w:rsid w:val="00486107"/>
    <w:rsid w:val="004C13A5"/>
    <w:rsid w:val="0055589A"/>
    <w:rsid w:val="00555EF6"/>
    <w:rsid w:val="00570367"/>
    <w:rsid w:val="006020DE"/>
    <w:rsid w:val="0061064C"/>
    <w:rsid w:val="006B44EF"/>
    <w:rsid w:val="006C0407"/>
    <w:rsid w:val="006D5DEB"/>
    <w:rsid w:val="007A600D"/>
    <w:rsid w:val="00834E03"/>
    <w:rsid w:val="008C3026"/>
    <w:rsid w:val="00911EE7"/>
    <w:rsid w:val="009C7144"/>
    <w:rsid w:val="00A25137"/>
    <w:rsid w:val="00AB16C7"/>
    <w:rsid w:val="00B011C5"/>
    <w:rsid w:val="00BA5FC3"/>
    <w:rsid w:val="00C00E1A"/>
    <w:rsid w:val="00C11A4A"/>
    <w:rsid w:val="00C16822"/>
    <w:rsid w:val="00CE25EA"/>
    <w:rsid w:val="00D06BA9"/>
    <w:rsid w:val="00D62C4F"/>
    <w:rsid w:val="00DA64F6"/>
    <w:rsid w:val="00DE3E16"/>
    <w:rsid w:val="00E13F69"/>
    <w:rsid w:val="00ED5BB7"/>
    <w:rsid w:val="00F010FA"/>
    <w:rsid w:val="00F164F2"/>
    <w:rsid w:val="00F23C4C"/>
    <w:rsid w:val="00F76BAF"/>
    <w:rsid w:val="00FB785C"/>
    <w:rsid w:val="00FD6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ECF7"/>
  <w15:docId w15:val="{57BF230E-27AF-4E28-A445-A86C37A9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316" w:lineRule="exact"/>
      <w:ind w:left="38"/>
      <w:jc w:val="center"/>
    </w:pPr>
    <w:rPr>
      <w:b/>
      <w:bCs/>
      <w:sz w:val="28"/>
      <w:szCs w:val="28"/>
    </w:rPr>
  </w:style>
  <w:style w:type="paragraph" w:styleId="ListParagraph">
    <w:name w:val="List Paragraph"/>
    <w:basedOn w:val="Normal"/>
    <w:uiPriority w:val="1"/>
    <w:qFormat/>
    <w:pPr>
      <w:ind w:left="821" w:right="244"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D5DEB"/>
    <w:pPr>
      <w:tabs>
        <w:tab w:val="center" w:pos="4680"/>
        <w:tab w:val="right" w:pos="9360"/>
      </w:tabs>
    </w:pPr>
  </w:style>
  <w:style w:type="character" w:customStyle="1" w:styleId="HeaderChar">
    <w:name w:val="Header Char"/>
    <w:basedOn w:val="DefaultParagraphFont"/>
    <w:link w:val="Header"/>
    <w:uiPriority w:val="99"/>
    <w:rsid w:val="006D5DEB"/>
    <w:rPr>
      <w:rFonts w:ascii="Times New Roman" w:eastAsia="Times New Roman" w:hAnsi="Times New Roman" w:cs="Times New Roman"/>
    </w:rPr>
  </w:style>
  <w:style w:type="paragraph" w:styleId="Footer">
    <w:name w:val="footer"/>
    <w:basedOn w:val="Normal"/>
    <w:link w:val="FooterChar"/>
    <w:uiPriority w:val="99"/>
    <w:unhideWhenUsed/>
    <w:rsid w:val="006D5DEB"/>
    <w:pPr>
      <w:tabs>
        <w:tab w:val="center" w:pos="4680"/>
        <w:tab w:val="right" w:pos="9360"/>
      </w:tabs>
    </w:pPr>
  </w:style>
  <w:style w:type="character" w:customStyle="1" w:styleId="FooterChar">
    <w:name w:val="Footer Char"/>
    <w:basedOn w:val="DefaultParagraphFont"/>
    <w:link w:val="Footer"/>
    <w:uiPriority w:val="99"/>
    <w:rsid w:val="006D5D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mhilderman</dc:creator>
  <cp:lastModifiedBy>Rachelle Custer</cp:lastModifiedBy>
  <cp:revision>6</cp:revision>
  <cp:lastPrinted>2024-12-27T16:57:00Z</cp:lastPrinted>
  <dcterms:created xsi:type="dcterms:W3CDTF">2025-07-30T23:35:00Z</dcterms:created>
  <dcterms:modified xsi:type="dcterms:W3CDTF">2025-07-30T23:42:00Z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2023-05-17T00:00:00Z</vt:filetime>
  </property>
  <property fmtid="{D5CDD505-2E9C-101B-9397-08002B2CF9AE}" pid="3" name="Creator">
    <vt:lpwstr>Microsoft® Word 2021</vt:lpwstr>
  </property>
  <property fmtid="{D5CDD505-2E9C-101B-9397-08002B2CF9AE}" pid="4" name="LastSaved">
    <vt:filetime>2024-12-27T00:00:00Z</vt:filetime>
  </property>
  <property fmtid="{D5CDD505-2E9C-101B-9397-08002B2CF9AE}" pid="5" name="Producer">
    <vt:lpwstr>Microsoft® Word 2021</vt:lpwstr>
  </property>
</Properties>
</file>