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A9A8" w14:textId="0066119D" w:rsidR="002C29C4" w:rsidRPr="002C29C4" w:rsidRDefault="002C29C4" w:rsidP="002C29C4">
      <w:pPr>
        <w:jc w:val="center"/>
        <w:rPr>
          <w:b/>
          <w:bCs/>
          <w:sz w:val="32"/>
          <w:szCs w:val="32"/>
        </w:rPr>
      </w:pPr>
      <w:r w:rsidRPr="002C29C4">
        <w:rPr>
          <w:b/>
          <w:bCs/>
          <w:sz w:val="32"/>
          <w:szCs w:val="32"/>
        </w:rPr>
        <w:t>STR CODE</w:t>
      </w:r>
    </w:p>
    <w:p w14:paraId="582B0FE5" w14:textId="131071FB" w:rsidR="00636C36" w:rsidRPr="00636C36" w:rsidRDefault="00636C36" w:rsidP="00636C36">
      <w:r w:rsidRPr="00636C36">
        <w:rPr>
          <w:b/>
          <w:bCs/>
        </w:rPr>
        <w:t>Purpose:</w:t>
      </w:r>
      <w:r w:rsidRPr="00636C36">
        <w:br/>
        <w:t>To allow short-term rentals in a manner that maintains the rural character of the community, protects the residential housing supply, and ensures accountability.</w:t>
      </w:r>
      <w:r w:rsidR="00B3640E">
        <w:t xml:space="preserve"> </w:t>
      </w:r>
      <w:r w:rsidR="00B3640E" w:rsidRPr="00B3640E">
        <w:t>This provision is adopted to preserve the character of the community, promote responsible property stewardship, and ensure that short-term rental operators remain accountable to local standards and values.</w:t>
      </w:r>
    </w:p>
    <w:p w14:paraId="3605A9BA" w14:textId="77777777" w:rsidR="00F850BB" w:rsidRDefault="00F850BB" w:rsidP="00636C36">
      <w:pPr>
        <w:rPr>
          <w:b/>
          <w:bCs/>
        </w:rPr>
      </w:pPr>
    </w:p>
    <w:p w14:paraId="31ADBC7C" w14:textId="4AEB0AAF" w:rsidR="00636C36" w:rsidRPr="00636C36" w:rsidRDefault="00636C36" w:rsidP="00636C36">
      <w:pPr>
        <w:rPr>
          <w:b/>
          <w:bCs/>
        </w:rPr>
      </w:pPr>
      <w:r w:rsidRPr="00636C36">
        <w:rPr>
          <w:b/>
          <w:bCs/>
        </w:rPr>
        <w:t>1. Definitions</w:t>
      </w:r>
    </w:p>
    <w:p w14:paraId="71249F3C" w14:textId="77777777" w:rsidR="00636C36" w:rsidRPr="00636C36" w:rsidRDefault="00636C36" w:rsidP="00636C36">
      <w:pPr>
        <w:numPr>
          <w:ilvl w:val="0"/>
          <w:numId w:val="3"/>
        </w:numPr>
      </w:pPr>
      <w:r w:rsidRPr="00636C36">
        <w:rPr>
          <w:b/>
          <w:bCs/>
        </w:rPr>
        <w:t>Short-Term Rental (STR):</w:t>
      </w:r>
      <w:r w:rsidRPr="00636C36">
        <w:t xml:space="preserve"> A dwelling or portion thereof rented for less than 30 consecutive days.</w:t>
      </w:r>
    </w:p>
    <w:p w14:paraId="24FDB7DC" w14:textId="77777777" w:rsidR="00636C36" w:rsidRPr="00636C36" w:rsidRDefault="00636C36" w:rsidP="00636C36">
      <w:pPr>
        <w:numPr>
          <w:ilvl w:val="0"/>
          <w:numId w:val="3"/>
        </w:numPr>
      </w:pPr>
      <w:r w:rsidRPr="00636C36">
        <w:rPr>
          <w:b/>
          <w:bCs/>
        </w:rPr>
        <w:t>Hosted STR:</w:t>
      </w:r>
      <w:r w:rsidRPr="00636C36">
        <w:t xml:space="preserve"> Owner resides on site during rental.</w:t>
      </w:r>
    </w:p>
    <w:p w14:paraId="34833E87" w14:textId="67359DBF" w:rsidR="00636C36" w:rsidRDefault="00636C36" w:rsidP="00636C36">
      <w:pPr>
        <w:numPr>
          <w:ilvl w:val="0"/>
          <w:numId w:val="3"/>
        </w:numPr>
      </w:pPr>
      <w:r w:rsidRPr="00636C36">
        <w:rPr>
          <w:b/>
          <w:bCs/>
        </w:rPr>
        <w:t>Un</w:t>
      </w:r>
      <w:r w:rsidR="00922EA7">
        <w:rPr>
          <w:b/>
          <w:bCs/>
        </w:rPr>
        <w:t>-</w:t>
      </w:r>
      <w:r w:rsidRPr="00636C36">
        <w:rPr>
          <w:b/>
          <w:bCs/>
        </w:rPr>
        <w:t>hosted STR:</w:t>
      </w:r>
      <w:r w:rsidRPr="00636C36">
        <w:t xml:space="preserve"> Owner does not reside on site during rental.</w:t>
      </w:r>
    </w:p>
    <w:p w14:paraId="721FC2D0" w14:textId="1A8F77BC" w:rsidR="00622834" w:rsidRDefault="00622834" w:rsidP="00636C36">
      <w:pPr>
        <w:numPr>
          <w:ilvl w:val="0"/>
          <w:numId w:val="3"/>
        </w:numPr>
      </w:pPr>
      <w:r>
        <w:rPr>
          <w:b/>
          <w:bCs/>
        </w:rPr>
        <w:t>Primary Residence:</w:t>
      </w:r>
      <w:r>
        <w:t xml:space="preserve"> </w:t>
      </w:r>
      <w:r w:rsidRPr="00622834">
        <w:t xml:space="preserve">The dwelling where a person resides for at least </w:t>
      </w:r>
      <w:r w:rsidRPr="00622834">
        <w:rPr>
          <w:b/>
          <w:bCs/>
        </w:rPr>
        <w:t>183 days per calendar year</w:t>
      </w:r>
      <w:r w:rsidRPr="00622834">
        <w:t>, as evidenced by utility bills, tax documents, voter registration, or driver’s license address.</w:t>
      </w:r>
    </w:p>
    <w:p w14:paraId="57D22931" w14:textId="59A34D59" w:rsidR="00622834" w:rsidRDefault="00622834" w:rsidP="00636C36">
      <w:pPr>
        <w:numPr>
          <w:ilvl w:val="0"/>
          <w:numId w:val="3"/>
        </w:numPr>
      </w:pPr>
      <w:r>
        <w:rPr>
          <w:b/>
          <w:bCs/>
        </w:rPr>
        <w:t>Operator or STR Operator:</w:t>
      </w:r>
      <w:r w:rsidRPr="00622834">
        <w:t xml:space="preserve"> The person who owns, manages, or is otherwise responsible for the day-to-day operation of a short-term rental.</w:t>
      </w:r>
    </w:p>
    <w:p w14:paraId="265F9E9A" w14:textId="332CFC87" w:rsidR="00622834" w:rsidRDefault="00622834" w:rsidP="00622834">
      <w:pPr>
        <w:numPr>
          <w:ilvl w:val="0"/>
          <w:numId w:val="3"/>
        </w:numPr>
      </w:pPr>
      <w:r>
        <w:rPr>
          <w:b/>
          <w:bCs/>
        </w:rPr>
        <w:t>Guest:</w:t>
      </w:r>
      <w:r>
        <w:t xml:space="preserve"> </w:t>
      </w:r>
      <w:r w:rsidRPr="00622834">
        <w:t>Any person who rents or occupies a short-term rental on a temporary basis</w:t>
      </w:r>
      <w:r>
        <w:t>.</w:t>
      </w:r>
    </w:p>
    <w:p w14:paraId="4712F513" w14:textId="275E9442" w:rsidR="00622834" w:rsidRDefault="00622834" w:rsidP="00622834">
      <w:pPr>
        <w:numPr>
          <w:ilvl w:val="0"/>
          <w:numId w:val="3"/>
        </w:numPr>
      </w:pPr>
      <w:r>
        <w:rPr>
          <w:b/>
          <w:bCs/>
        </w:rPr>
        <w:t>Local Contact Person:</w:t>
      </w:r>
      <w:r>
        <w:t xml:space="preserve"> </w:t>
      </w:r>
      <w:r w:rsidRPr="00622834">
        <w:t xml:space="preserve">An individual designated by the STR operator who is available 24 hours a day, 7 days a week, and capable of physically responding to the rental property within </w:t>
      </w:r>
      <w:r w:rsidRPr="00622834">
        <w:rPr>
          <w:b/>
          <w:bCs/>
        </w:rPr>
        <w:t>30 to 60 minutes</w:t>
      </w:r>
      <w:r w:rsidRPr="00622834">
        <w:t xml:space="preserve"> to resolve complaints or emergencies.</w:t>
      </w:r>
    </w:p>
    <w:p w14:paraId="4A0EBFE3" w14:textId="07BBA5B5" w:rsidR="00622834" w:rsidRDefault="00622834" w:rsidP="00622834">
      <w:pPr>
        <w:numPr>
          <w:ilvl w:val="0"/>
          <w:numId w:val="3"/>
        </w:numPr>
      </w:pPr>
      <w:r>
        <w:rPr>
          <w:b/>
          <w:bCs/>
        </w:rPr>
        <w:t>Booking Platform:</w:t>
      </w:r>
      <w:r>
        <w:t xml:space="preserve"> </w:t>
      </w:r>
      <w:r w:rsidRPr="00622834">
        <w:t>Any website or app (such as Airbnb, VRBO, or Booking.com) that enables STR advertising, reservation, or payment processing.</w:t>
      </w:r>
    </w:p>
    <w:p w14:paraId="33FD5260" w14:textId="1C82804E" w:rsidR="00622834" w:rsidRPr="00636C36" w:rsidRDefault="00622834" w:rsidP="00622834">
      <w:pPr>
        <w:numPr>
          <w:ilvl w:val="0"/>
          <w:numId w:val="3"/>
        </w:numPr>
      </w:pPr>
      <w:r>
        <w:rPr>
          <w:b/>
          <w:bCs/>
        </w:rPr>
        <w:t>Nuisance Behavior:</w:t>
      </w:r>
      <w:r>
        <w:t xml:space="preserve"> </w:t>
      </w:r>
      <w:r w:rsidRPr="00622834">
        <w:t xml:space="preserve">Any behavior by STR guests or operators </w:t>
      </w:r>
      <w:r>
        <w:t xml:space="preserve">including, but not limited to behavior </w:t>
      </w:r>
      <w:r w:rsidRPr="00622834">
        <w:t>that violates local laws, including excessive noise, illegal parking, improper trash disposal, public intoxication, or disturbance of peace.</w:t>
      </w:r>
    </w:p>
    <w:p w14:paraId="2A027F16" w14:textId="5FEFFEF7" w:rsidR="00636C36" w:rsidRPr="00636C36" w:rsidRDefault="00636C36" w:rsidP="00636C36"/>
    <w:p w14:paraId="3CD231C1" w14:textId="2AC24EE1" w:rsidR="00636C36" w:rsidRPr="00BC38AF" w:rsidRDefault="00636C36" w:rsidP="00636C36">
      <w:pPr>
        <w:rPr>
          <w:b/>
          <w:bCs/>
        </w:rPr>
      </w:pPr>
      <w:r w:rsidRPr="00BC38AF">
        <w:rPr>
          <w:b/>
          <w:bCs/>
        </w:rPr>
        <w:t>2. Permitted Zones</w:t>
      </w:r>
      <w:r w:rsidR="00BC38AF">
        <w:rPr>
          <w:b/>
          <w:bCs/>
        </w:rPr>
        <w:t xml:space="preserve"> and Restrictions on Use</w:t>
      </w:r>
    </w:p>
    <w:p w14:paraId="424BF5CC" w14:textId="0B911A23" w:rsidR="00636C36" w:rsidRPr="00BC38AF" w:rsidRDefault="00636C36" w:rsidP="00636C36">
      <w:r w:rsidRPr="00BC38AF">
        <w:t xml:space="preserve">Short-term rentals (STRs) are allowed </w:t>
      </w:r>
      <w:r w:rsidRPr="00BC38AF">
        <w:rPr>
          <w:b/>
          <w:bCs/>
        </w:rPr>
        <w:t>by permit</w:t>
      </w:r>
      <w:r w:rsidRPr="00BC38AF">
        <w:t xml:space="preserve"> in the following zones, subject to the type of rental and compliance with all requirements</w:t>
      </w:r>
      <w:r w:rsidR="00CC4192" w:rsidRPr="00BC38AF">
        <w:t xml:space="preserve"> of this </w:t>
      </w:r>
      <w:r w:rsidR="00B35016" w:rsidRPr="00BC38AF">
        <w:t>ordinance</w:t>
      </w:r>
      <w:r w:rsidRPr="00BC38AF">
        <w:t>:</w:t>
      </w:r>
    </w:p>
    <w:p w14:paraId="3C0E9DEA" w14:textId="77777777" w:rsidR="00984243" w:rsidRPr="00BC38AF" w:rsidRDefault="00984243" w:rsidP="00636C36"/>
    <w:p w14:paraId="09662670" w14:textId="77777777" w:rsidR="00636C36" w:rsidRPr="00BC38AF" w:rsidRDefault="00636C36" w:rsidP="00636C36">
      <w:pPr>
        <w:numPr>
          <w:ilvl w:val="0"/>
          <w:numId w:val="11"/>
        </w:numPr>
        <w:tabs>
          <w:tab w:val="num" w:pos="720"/>
        </w:tabs>
      </w:pPr>
      <w:r w:rsidRPr="00BC38AF">
        <w:t>A-1 (Agricultural)</w:t>
      </w:r>
    </w:p>
    <w:p w14:paraId="2EDD484B" w14:textId="77777777" w:rsidR="00636C36" w:rsidRPr="00BC38AF" w:rsidRDefault="00636C36" w:rsidP="00636C36">
      <w:pPr>
        <w:numPr>
          <w:ilvl w:val="0"/>
          <w:numId w:val="11"/>
        </w:numPr>
        <w:tabs>
          <w:tab w:val="num" w:pos="720"/>
        </w:tabs>
      </w:pPr>
      <w:r w:rsidRPr="00BC38AF">
        <w:t>R-1 (Single-Family Residential)</w:t>
      </w:r>
    </w:p>
    <w:p w14:paraId="7A2B2229" w14:textId="77777777" w:rsidR="00636C36" w:rsidRPr="00BC38AF" w:rsidRDefault="00636C36" w:rsidP="00636C36">
      <w:pPr>
        <w:numPr>
          <w:ilvl w:val="0"/>
          <w:numId w:val="11"/>
        </w:numPr>
        <w:tabs>
          <w:tab w:val="num" w:pos="720"/>
        </w:tabs>
      </w:pPr>
      <w:r w:rsidRPr="00BC38AF">
        <w:t>R-1A (Residential–Agricultural)</w:t>
      </w:r>
    </w:p>
    <w:p w14:paraId="1FF72697" w14:textId="77777777" w:rsidR="00984243" w:rsidRPr="00BC38AF" w:rsidRDefault="00984243" w:rsidP="00984243">
      <w:pPr>
        <w:numPr>
          <w:ilvl w:val="0"/>
          <w:numId w:val="11"/>
        </w:numPr>
      </w:pPr>
      <w:r w:rsidRPr="00BC38AF">
        <w:t>R-2 (Medium-Density Residential)</w:t>
      </w:r>
    </w:p>
    <w:p w14:paraId="067CA27D" w14:textId="77777777" w:rsidR="00636C36" w:rsidRPr="00BC38AF" w:rsidRDefault="00636C36" w:rsidP="00636C36">
      <w:pPr>
        <w:numPr>
          <w:ilvl w:val="0"/>
          <w:numId w:val="12"/>
        </w:numPr>
      </w:pPr>
      <w:r w:rsidRPr="00BC38AF">
        <w:t>R-3 (High-Density Residential)</w:t>
      </w:r>
    </w:p>
    <w:p w14:paraId="767255C5" w14:textId="60319A57" w:rsidR="00636C36" w:rsidRDefault="00636C36" w:rsidP="00636C36">
      <w:pPr>
        <w:numPr>
          <w:ilvl w:val="0"/>
          <w:numId w:val="12"/>
        </w:numPr>
      </w:pPr>
      <w:r w:rsidRPr="00BC38AF">
        <w:t>Commercial Zones (</w:t>
      </w:r>
      <w:r w:rsidR="00622834" w:rsidRPr="00BC38AF">
        <w:t>GC</w:t>
      </w:r>
      <w:r w:rsidRPr="00BC38AF">
        <w:t>-1,</w:t>
      </w:r>
      <w:r w:rsidR="00622834" w:rsidRPr="00BC38AF">
        <w:t xml:space="preserve"> DC-1</w:t>
      </w:r>
      <w:r w:rsidRPr="00BC38AF">
        <w:t>)</w:t>
      </w:r>
    </w:p>
    <w:p w14:paraId="24B12472" w14:textId="295F5779" w:rsidR="00BC38AF" w:rsidRDefault="00BC38AF" w:rsidP="00BC38AF">
      <w:r>
        <w:t>STRs are not permitted in the following zones</w:t>
      </w:r>
    </w:p>
    <w:p w14:paraId="56F2DFB6" w14:textId="179F55B2" w:rsidR="00BC38AF" w:rsidRDefault="00BC38AF" w:rsidP="00BC38AF">
      <w:pPr>
        <w:numPr>
          <w:ilvl w:val="0"/>
          <w:numId w:val="11"/>
        </w:numPr>
        <w:tabs>
          <w:tab w:val="num" w:pos="720"/>
        </w:tabs>
      </w:pPr>
      <w:r>
        <w:t>HS-1 (Highway services)</w:t>
      </w:r>
    </w:p>
    <w:p w14:paraId="680A823D" w14:textId="1D433763" w:rsidR="00BC38AF" w:rsidRPr="00BC38AF" w:rsidRDefault="00BC38AF" w:rsidP="00BC38AF">
      <w:pPr>
        <w:numPr>
          <w:ilvl w:val="0"/>
          <w:numId w:val="11"/>
        </w:numPr>
        <w:tabs>
          <w:tab w:val="num" w:pos="720"/>
        </w:tabs>
      </w:pPr>
      <w:r>
        <w:t>I&amp;M (Industrial &amp; Manufacturing)</w:t>
      </w:r>
    </w:p>
    <w:p w14:paraId="202A1D26" w14:textId="0ED5E8B2" w:rsidR="00830506" w:rsidRPr="00636C36" w:rsidRDefault="00BC38AF" w:rsidP="00636C36">
      <w:r w:rsidRPr="00BC38AF">
        <w:t>STRs are n</w:t>
      </w:r>
      <w:r w:rsidR="00830506" w:rsidRPr="00BC38AF">
        <w:t>ot allowed in Mobile homes, tents, RV’s, ETC and other non-permanent</w:t>
      </w:r>
      <w:r w:rsidRPr="00BC38AF">
        <w:t xml:space="preserve"> residences</w:t>
      </w:r>
      <w:r>
        <w:t>, regardless of zone</w:t>
      </w:r>
      <w:r w:rsidRPr="00BC38AF">
        <w:t>.</w:t>
      </w:r>
    </w:p>
    <w:p w14:paraId="14434F04" w14:textId="16193416" w:rsidR="00636C36" w:rsidRPr="00636C36" w:rsidRDefault="00636C36" w:rsidP="00636C36"/>
    <w:p w14:paraId="753B0578" w14:textId="77777777" w:rsidR="00636C36" w:rsidRPr="00636C36" w:rsidRDefault="00636C36" w:rsidP="00636C36">
      <w:pPr>
        <w:rPr>
          <w:b/>
          <w:bCs/>
        </w:rPr>
      </w:pPr>
      <w:r w:rsidRPr="00636C36">
        <w:rPr>
          <w:b/>
          <w:bCs/>
        </w:rPr>
        <w:t>3. Licensing &amp; Registration</w:t>
      </w:r>
    </w:p>
    <w:p w14:paraId="744DD58F" w14:textId="77777777" w:rsidR="00636C36" w:rsidRPr="00636C36" w:rsidRDefault="00636C36" w:rsidP="00636C36">
      <w:pPr>
        <w:numPr>
          <w:ilvl w:val="0"/>
          <w:numId w:val="5"/>
        </w:numPr>
      </w:pPr>
      <w:r w:rsidRPr="00636C36">
        <w:t>STR operators must obtain:</w:t>
      </w:r>
    </w:p>
    <w:p w14:paraId="6906D0A6" w14:textId="5B993D17" w:rsidR="00636C36" w:rsidRPr="00636C36" w:rsidRDefault="00636C36" w:rsidP="00913CA5">
      <w:pPr>
        <w:numPr>
          <w:ilvl w:val="1"/>
          <w:numId w:val="5"/>
        </w:numPr>
      </w:pPr>
      <w:r w:rsidRPr="00636C36">
        <w:t xml:space="preserve">A short-term rental </w:t>
      </w:r>
      <w:r w:rsidRPr="00622834">
        <w:t xml:space="preserve">city </w:t>
      </w:r>
      <w:r w:rsidRPr="00636C36">
        <w:t xml:space="preserve">business license </w:t>
      </w:r>
      <w:r w:rsidR="00622834">
        <w:t>which must be renewed each year, subject to verification of insurance, tax compliance, and updated contact info</w:t>
      </w:r>
    </w:p>
    <w:p w14:paraId="41B9232E" w14:textId="4AD954FE" w:rsidR="00636C36" w:rsidRPr="00913CA5" w:rsidRDefault="00636C36" w:rsidP="00636C36">
      <w:pPr>
        <w:numPr>
          <w:ilvl w:val="1"/>
          <w:numId w:val="5"/>
        </w:numPr>
      </w:pPr>
      <w:r w:rsidRPr="00636C36">
        <w:t>State and local transient room tax accounts</w:t>
      </w:r>
      <w:r w:rsidR="00913CA5">
        <w:t xml:space="preserve">. All legal taxes must be collected and remitted as required by the Utah State Tax </w:t>
      </w:r>
      <w:r w:rsidR="00CC4192">
        <w:t>Commission</w:t>
      </w:r>
      <w:r w:rsidR="00830506">
        <w:t xml:space="preserve"> </w:t>
      </w:r>
      <w:r w:rsidR="00531AC1">
        <w:t>with Parowan City indicated as the physical location of the STR to ensure proper remittance of TRT taxes.</w:t>
      </w:r>
    </w:p>
    <w:p w14:paraId="76876D4E" w14:textId="77777777" w:rsidR="00636C36" w:rsidRPr="00636C36" w:rsidRDefault="00636C36" w:rsidP="00636C36">
      <w:pPr>
        <w:numPr>
          <w:ilvl w:val="0"/>
          <w:numId w:val="5"/>
        </w:numPr>
      </w:pPr>
      <w:r w:rsidRPr="00636C36">
        <w:t>Licenses are non-transferable and may be revoked for violations.</w:t>
      </w:r>
    </w:p>
    <w:p w14:paraId="4479421F" w14:textId="3933DFB0" w:rsidR="00636C36" w:rsidRPr="00636C36" w:rsidRDefault="00636C36" w:rsidP="00636C36"/>
    <w:p w14:paraId="7AEA719B" w14:textId="20DD22AB" w:rsidR="00636C36" w:rsidRDefault="00636C36" w:rsidP="00636C36">
      <w:pPr>
        <w:rPr>
          <w:b/>
          <w:bCs/>
        </w:rPr>
      </w:pPr>
      <w:r w:rsidRPr="00636C36">
        <w:rPr>
          <w:b/>
          <w:bCs/>
        </w:rPr>
        <w:t>4. Operational Requirements</w:t>
      </w:r>
      <w:r w:rsidR="00922EA7">
        <w:rPr>
          <w:b/>
          <w:bCs/>
        </w:rPr>
        <w:t xml:space="preserve"> </w:t>
      </w:r>
    </w:p>
    <w:p w14:paraId="56542B83" w14:textId="77777777" w:rsidR="008573A7" w:rsidRDefault="008573A7" w:rsidP="008573A7">
      <w:pPr>
        <w:ind w:firstLine="360"/>
        <w:rPr>
          <w:b/>
          <w:bCs/>
        </w:rPr>
      </w:pPr>
    </w:p>
    <w:p w14:paraId="3D41FCD5" w14:textId="7955A167" w:rsidR="008573A7" w:rsidRPr="008573A7" w:rsidRDefault="00467332" w:rsidP="008573A7">
      <w:pPr>
        <w:ind w:firstLine="360"/>
        <w:rPr>
          <w:b/>
          <w:bCs/>
        </w:rPr>
      </w:pPr>
      <w:r>
        <w:rPr>
          <w:b/>
          <w:bCs/>
        </w:rPr>
        <w:t>Good neighbor policy</w:t>
      </w:r>
      <w:r w:rsidR="008573A7">
        <w:rPr>
          <w:b/>
          <w:bCs/>
        </w:rPr>
        <w:t xml:space="preserve">  </w:t>
      </w:r>
      <w:r w:rsidR="008573A7" w:rsidRPr="008573A7">
        <w:t>A “good neighbor policy</w:t>
      </w:r>
      <w:r w:rsidR="008573A7">
        <w:t>”</w:t>
      </w:r>
      <w:r w:rsidR="008573A7" w:rsidRPr="008573A7">
        <w:t xml:space="preserve"> shall be posted inside each STR</w:t>
      </w:r>
      <w:r w:rsidR="008573A7">
        <w:t xml:space="preserve"> and shall inform guests of the STR of the requirements of this section.</w:t>
      </w:r>
    </w:p>
    <w:p w14:paraId="19FD4276" w14:textId="4DCFF049" w:rsidR="00B3640E" w:rsidRPr="008573A7" w:rsidRDefault="00B3640E" w:rsidP="008573A7">
      <w:pPr>
        <w:ind w:left="720"/>
        <w:rPr>
          <w:b/>
          <w:bCs/>
        </w:rPr>
      </w:pPr>
      <w:r w:rsidRPr="008573A7">
        <w:rPr>
          <w:b/>
          <w:bCs/>
        </w:rPr>
        <w:t>Local Contact</w:t>
      </w:r>
      <w:r w:rsidR="00830506" w:rsidRPr="008573A7">
        <w:rPr>
          <w:b/>
          <w:bCs/>
        </w:rPr>
        <w:t xml:space="preserve"> Person</w:t>
      </w:r>
    </w:p>
    <w:p w14:paraId="23EB5B12" w14:textId="198DE681" w:rsidR="00B3640E" w:rsidRPr="00622834" w:rsidRDefault="00B3640E" w:rsidP="00B3640E">
      <w:pPr>
        <w:numPr>
          <w:ilvl w:val="0"/>
          <w:numId w:val="16"/>
        </w:numPr>
        <w:tabs>
          <w:tab w:val="num" w:pos="720"/>
        </w:tabs>
      </w:pPr>
      <w:r>
        <w:lastRenderedPageBreak/>
        <w:t>A</w:t>
      </w:r>
      <w:r w:rsidRPr="00622834">
        <w:t xml:space="preserve"> </w:t>
      </w:r>
      <w:r w:rsidR="009B7ED4">
        <w:t>Local Contact Person</w:t>
      </w:r>
      <w:r w:rsidRPr="00622834">
        <w:t xml:space="preserve"> </w:t>
      </w:r>
      <w:r>
        <w:t xml:space="preserve">must </w:t>
      </w:r>
      <w:proofErr w:type="gramStart"/>
      <w:r>
        <w:t xml:space="preserve">be </w:t>
      </w:r>
      <w:r w:rsidRPr="00622834">
        <w:t>available at all times</w:t>
      </w:r>
      <w:proofErr w:type="gramEnd"/>
      <w:r w:rsidRPr="00622834">
        <w:t xml:space="preserve"> to respond to complaints within </w:t>
      </w:r>
      <w:r w:rsidR="00F850BB">
        <w:t>30-</w:t>
      </w:r>
      <w:r w:rsidRPr="00622834">
        <w:t>60 minutes</w:t>
      </w:r>
      <w:r>
        <w:t>.</w:t>
      </w:r>
    </w:p>
    <w:p w14:paraId="4316A137" w14:textId="77777777" w:rsidR="00B3640E" w:rsidRPr="002C29C4" w:rsidRDefault="00B3640E" w:rsidP="008573A7">
      <w:pPr>
        <w:ind w:firstLine="720"/>
        <w:rPr>
          <w:b/>
          <w:bCs/>
        </w:rPr>
      </w:pPr>
      <w:r w:rsidRPr="002C29C4">
        <w:rPr>
          <w:b/>
          <w:bCs/>
        </w:rPr>
        <w:t>Trash &amp; Property Maintenance</w:t>
      </w:r>
    </w:p>
    <w:p w14:paraId="563389F4" w14:textId="77777777" w:rsidR="00B3640E" w:rsidRPr="002C29C4" w:rsidRDefault="00B3640E" w:rsidP="00B3640E">
      <w:pPr>
        <w:numPr>
          <w:ilvl w:val="0"/>
          <w:numId w:val="14"/>
        </w:numPr>
        <w:tabs>
          <w:tab w:val="num" w:pos="720"/>
        </w:tabs>
      </w:pPr>
      <w:r w:rsidRPr="002C29C4">
        <w:t>Require STRs to have adequate trash service and prevent overflow</w:t>
      </w:r>
    </w:p>
    <w:p w14:paraId="124040B7" w14:textId="0DEF4654" w:rsidR="00B3640E" w:rsidRPr="002C29C4" w:rsidRDefault="00B3640E" w:rsidP="00B3640E">
      <w:pPr>
        <w:numPr>
          <w:ilvl w:val="0"/>
          <w:numId w:val="14"/>
        </w:numPr>
        <w:tabs>
          <w:tab w:val="num" w:pos="720"/>
        </w:tabs>
      </w:pPr>
      <w:r w:rsidRPr="002C29C4">
        <w:t>Enforce nuisance standards</w:t>
      </w:r>
    </w:p>
    <w:p w14:paraId="56551B18" w14:textId="4AF51F02" w:rsidR="00B3640E" w:rsidRPr="00636C36" w:rsidRDefault="00B3640E" w:rsidP="008573A7">
      <w:pPr>
        <w:ind w:left="360" w:firstLine="360"/>
        <w:rPr>
          <w:b/>
          <w:bCs/>
        </w:rPr>
      </w:pPr>
      <w:r>
        <w:rPr>
          <w:b/>
          <w:bCs/>
        </w:rPr>
        <w:t>Occupancy</w:t>
      </w:r>
    </w:p>
    <w:p w14:paraId="3F75EA54" w14:textId="7F53D8AA" w:rsidR="00F850BB" w:rsidRDefault="00636C36" w:rsidP="00F850BB">
      <w:pPr>
        <w:numPr>
          <w:ilvl w:val="0"/>
          <w:numId w:val="6"/>
        </w:numPr>
      </w:pPr>
      <w:r w:rsidRPr="00636C36">
        <w:rPr>
          <w:b/>
          <w:bCs/>
        </w:rPr>
        <w:t>Occupancy</w:t>
      </w:r>
      <w:r w:rsidRPr="00636C36">
        <w:t xml:space="preserve">: </w:t>
      </w:r>
      <w:r w:rsidR="00F850BB">
        <w:t>Per International Fire Code, no more than a m</w:t>
      </w:r>
      <w:r w:rsidRPr="00636C36">
        <w:t>ax</w:t>
      </w:r>
      <w:r w:rsidR="00922EA7">
        <w:t xml:space="preserve">imum of </w:t>
      </w:r>
      <w:r w:rsidR="00F850BB">
        <w:t>1</w:t>
      </w:r>
      <w:r w:rsidRPr="00636C36">
        <w:t xml:space="preserve"> guest per </w:t>
      </w:r>
      <w:r w:rsidR="00F850BB">
        <w:t xml:space="preserve">200 square feet of livable space is within the STR is allowed. </w:t>
      </w:r>
    </w:p>
    <w:p w14:paraId="5444E419" w14:textId="4A6929D0" w:rsidR="00B3640E" w:rsidRPr="00636C36" w:rsidRDefault="00B3640E" w:rsidP="008573A7">
      <w:pPr>
        <w:ind w:firstLine="720"/>
      </w:pPr>
      <w:r>
        <w:rPr>
          <w:b/>
          <w:bCs/>
        </w:rPr>
        <w:t>Parking &amp; Signage</w:t>
      </w:r>
    </w:p>
    <w:p w14:paraId="3C3A775F" w14:textId="728F6F0D" w:rsidR="00636C36" w:rsidRPr="00F850BB" w:rsidRDefault="00636C36" w:rsidP="00636C36">
      <w:pPr>
        <w:numPr>
          <w:ilvl w:val="0"/>
          <w:numId w:val="6"/>
        </w:numPr>
        <w:tabs>
          <w:tab w:val="num" w:pos="720"/>
        </w:tabs>
      </w:pPr>
      <w:r w:rsidRPr="00F850BB">
        <w:rPr>
          <w:b/>
          <w:bCs/>
        </w:rPr>
        <w:t>Parking</w:t>
      </w:r>
      <w:r w:rsidRPr="00F850BB">
        <w:t xml:space="preserve">: </w:t>
      </w:r>
      <w:r w:rsidR="00F850BB" w:rsidRPr="00F850BB">
        <w:t>2</w:t>
      </w:r>
      <w:r w:rsidRPr="00F850BB">
        <w:t xml:space="preserve"> off-street space</w:t>
      </w:r>
      <w:r w:rsidR="00F850BB" w:rsidRPr="00F850BB">
        <w:t xml:space="preserve">s </w:t>
      </w:r>
      <w:r w:rsidR="00F850BB">
        <w:t xml:space="preserve">shall be </w:t>
      </w:r>
      <w:r w:rsidR="00F850BB" w:rsidRPr="00F850BB">
        <w:t>required for all STRs</w:t>
      </w:r>
      <w:r w:rsidR="00F850BB">
        <w:t xml:space="preserve"> and any additional on-street parking created for use of the STR must </w:t>
      </w:r>
      <w:proofErr w:type="gramStart"/>
      <w:r w:rsidR="00F850BB">
        <w:t>be located in</w:t>
      </w:r>
      <w:proofErr w:type="gramEnd"/>
      <w:r w:rsidR="00F850BB">
        <w:t xml:space="preserve"> front of the STR property and not utilize neighboring properties.</w:t>
      </w:r>
    </w:p>
    <w:p w14:paraId="0FBC34DE" w14:textId="5590BBE7" w:rsidR="00B3640E" w:rsidRPr="00636C36" w:rsidRDefault="00B3640E" w:rsidP="00B3640E">
      <w:pPr>
        <w:numPr>
          <w:ilvl w:val="0"/>
          <w:numId w:val="6"/>
        </w:numPr>
      </w:pPr>
      <w:r w:rsidRPr="00636C36">
        <w:rPr>
          <w:b/>
          <w:bCs/>
        </w:rPr>
        <w:t>Signage</w:t>
      </w:r>
      <w:r w:rsidRPr="00636C36">
        <w:t>: Discreet signs allowed, not to exceed 2 sq. ft.</w:t>
      </w:r>
    </w:p>
    <w:p w14:paraId="2A025493" w14:textId="2F2F4893" w:rsidR="00636C36" w:rsidRPr="00636C36" w:rsidRDefault="00636C36" w:rsidP="008573A7">
      <w:pPr>
        <w:ind w:firstLine="720"/>
      </w:pPr>
      <w:r w:rsidRPr="00636C36">
        <w:rPr>
          <w:b/>
          <w:bCs/>
        </w:rPr>
        <w:t xml:space="preserve">Noise and </w:t>
      </w:r>
      <w:r w:rsidR="00913CA5">
        <w:rPr>
          <w:b/>
          <w:bCs/>
        </w:rPr>
        <w:t xml:space="preserve">other Nuisance </w:t>
      </w:r>
      <w:r w:rsidRPr="00636C36">
        <w:rPr>
          <w:b/>
          <w:bCs/>
        </w:rPr>
        <w:t>Behavior</w:t>
      </w:r>
      <w:r w:rsidRPr="00636C36">
        <w:t>:</w:t>
      </w:r>
    </w:p>
    <w:p w14:paraId="367355CF" w14:textId="510D7A15" w:rsidR="00636C36" w:rsidRPr="00636C36" w:rsidRDefault="00636C36" w:rsidP="00B3640E">
      <w:pPr>
        <w:numPr>
          <w:ilvl w:val="0"/>
          <w:numId w:val="6"/>
        </w:numPr>
      </w:pPr>
      <w:r w:rsidRPr="00636C36">
        <w:t>No outdoor amplified sound between 10 p.m. and 7 a.m.</w:t>
      </w:r>
      <w:r w:rsidR="00922EA7">
        <w:t xml:space="preserve"> and must comply with </w:t>
      </w:r>
      <w:r w:rsidR="00913CA5">
        <w:t>C</w:t>
      </w:r>
      <w:r w:rsidR="00922EA7">
        <w:t>ity noise ordinance.</w:t>
      </w:r>
    </w:p>
    <w:p w14:paraId="01AFA7D7" w14:textId="01AC6CDF" w:rsidR="00636C36" w:rsidRDefault="00636C36" w:rsidP="00B3640E">
      <w:pPr>
        <w:numPr>
          <w:ilvl w:val="0"/>
          <w:numId w:val="6"/>
        </w:numPr>
      </w:pPr>
      <w:r w:rsidRPr="00636C36">
        <w:t xml:space="preserve">No events or parties </w:t>
      </w:r>
      <w:r w:rsidR="008573A7">
        <w:t xml:space="preserve">which would temporarily increase the number of guests on the property above the occupancy limit  or parking capacity </w:t>
      </w:r>
      <w:r w:rsidRPr="00636C36">
        <w:t>without separate approval</w:t>
      </w:r>
      <w:r w:rsidR="008573A7">
        <w:t xml:space="preserve"> from City Staff</w:t>
      </w:r>
      <w:r w:rsidRPr="00636C36">
        <w:t>.</w:t>
      </w:r>
    </w:p>
    <w:p w14:paraId="406A5F56" w14:textId="09F37E96" w:rsidR="00922EA7" w:rsidRDefault="00922EA7" w:rsidP="00B3640E">
      <w:pPr>
        <w:numPr>
          <w:ilvl w:val="0"/>
          <w:numId w:val="6"/>
        </w:numPr>
      </w:pPr>
      <w:r>
        <w:t>Violations of Noise and</w:t>
      </w:r>
      <w:r w:rsidR="00913CA5">
        <w:t xml:space="preserve"> Nuisance</w:t>
      </w:r>
      <w:r>
        <w:t xml:space="preserve"> Behavior will be grounds for revocation.</w:t>
      </w:r>
    </w:p>
    <w:p w14:paraId="38E0D7D3" w14:textId="77777777" w:rsidR="00B3640E" w:rsidRDefault="00B3640E" w:rsidP="00B3640E"/>
    <w:p w14:paraId="18631E01" w14:textId="22CAE5E3" w:rsidR="00B3640E" w:rsidRPr="00636C36" w:rsidRDefault="00B3640E" w:rsidP="00B3640E">
      <w:pPr>
        <w:rPr>
          <w:b/>
          <w:bCs/>
        </w:rPr>
      </w:pPr>
      <w:r w:rsidRPr="00B3640E">
        <w:rPr>
          <w:b/>
          <w:bCs/>
        </w:rPr>
        <w:t xml:space="preserve">5. </w:t>
      </w:r>
      <w:r>
        <w:rPr>
          <w:b/>
          <w:bCs/>
        </w:rPr>
        <w:t>Limitations on New STRs</w:t>
      </w:r>
    </w:p>
    <w:p w14:paraId="53D6D8F9" w14:textId="3AAD8734" w:rsidR="00636C36" w:rsidRPr="00636C36" w:rsidRDefault="00913CA5" w:rsidP="00E12594">
      <w:pPr>
        <w:numPr>
          <w:ilvl w:val="0"/>
          <w:numId w:val="6"/>
        </w:numPr>
      </w:pPr>
      <w:r w:rsidRPr="00913CA5">
        <w:rPr>
          <w:b/>
          <w:bCs/>
        </w:rPr>
        <w:t xml:space="preserve">City-wide </w:t>
      </w:r>
      <w:r w:rsidR="00636C36" w:rsidRPr="00636C36">
        <w:rPr>
          <w:b/>
          <w:bCs/>
        </w:rPr>
        <w:t>Cap</w:t>
      </w:r>
      <w:r w:rsidR="00636C36" w:rsidRPr="00636C36">
        <w:t xml:space="preserve">: No more than </w:t>
      </w:r>
      <w:r w:rsidR="004E097D" w:rsidRPr="00F850BB">
        <w:t>10</w:t>
      </w:r>
      <w:r w:rsidR="00636C36" w:rsidRPr="00F850BB">
        <w:t>%</w:t>
      </w:r>
      <w:r w:rsidR="00636C36" w:rsidRPr="00636C36">
        <w:t xml:space="preserve"> of total housing units may operate as STRs citywide</w:t>
      </w:r>
      <w:r w:rsidR="006504E1">
        <w:t>.</w:t>
      </w:r>
      <w:r w:rsidR="004E097D">
        <w:t xml:space="preserve"> </w:t>
      </w:r>
      <w:r w:rsidR="008573A7">
        <w:t>In the event the 10% cap has been met, the City Council shall, by Resolution, direct City Staff in how to administer the process of permitting new STRs as existing STRs discontinue and as growth occurs.</w:t>
      </w:r>
    </w:p>
    <w:p w14:paraId="744EA7EA" w14:textId="6055E170" w:rsidR="00636C36" w:rsidRPr="00913CA5" w:rsidRDefault="00636C36" w:rsidP="00636C36">
      <w:pPr>
        <w:numPr>
          <w:ilvl w:val="0"/>
          <w:numId w:val="7"/>
        </w:numPr>
      </w:pPr>
      <w:r w:rsidRPr="00636C36">
        <w:rPr>
          <w:b/>
          <w:bCs/>
        </w:rPr>
        <w:t>Separation</w:t>
      </w:r>
      <w:r w:rsidR="00B3640E">
        <w:rPr>
          <w:b/>
          <w:bCs/>
        </w:rPr>
        <w:t>/Community Saturation</w:t>
      </w:r>
      <w:r w:rsidRPr="00636C36">
        <w:t xml:space="preserve">: No STR may be </w:t>
      </w:r>
      <w:r w:rsidRPr="008573A7">
        <w:t xml:space="preserve">located within 300 feet </w:t>
      </w:r>
      <w:r w:rsidR="006504E1" w:rsidRPr="008573A7">
        <w:t xml:space="preserve">from the property line </w:t>
      </w:r>
      <w:r w:rsidRPr="008573A7">
        <w:t>of another STR in residential zones</w:t>
      </w:r>
      <w:r w:rsidR="006504E1" w:rsidRPr="008573A7">
        <w:t xml:space="preserve"> in any direction</w:t>
      </w:r>
      <w:r w:rsidRPr="008573A7">
        <w:t>.</w:t>
      </w:r>
      <w:r w:rsidR="00913CA5">
        <w:t xml:space="preserve"> </w:t>
      </w:r>
    </w:p>
    <w:p w14:paraId="36192508" w14:textId="64DC7523" w:rsidR="00913CA5" w:rsidRDefault="00922EA7" w:rsidP="00913CA5">
      <w:pPr>
        <w:numPr>
          <w:ilvl w:val="0"/>
          <w:numId w:val="7"/>
        </w:numPr>
      </w:pPr>
      <w:r w:rsidRPr="00913CA5">
        <w:rPr>
          <w:b/>
          <w:bCs/>
        </w:rPr>
        <w:lastRenderedPageBreak/>
        <w:t>HOA approval</w:t>
      </w:r>
      <w:r w:rsidRPr="00913CA5">
        <w:t>: If STR is located within a plated subdivision, applicant must verify if they need HOA approval</w:t>
      </w:r>
      <w:r w:rsidR="00CC4192">
        <w:t xml:space="preserve"> based on active CCRs</w:t>
      </w:r>
      <w:r w:rsidRPr="00913CA5">
        <w:t>. If so, then that approval must be given in writing by the HOA prior to the issuance of a permit.</w:t>
      </w:r>
      <w:r w:rsidR="00913CA5">
        <w:t xml:space="preserve"> </w:t>
      </w:r>
    </w:p>
    <w:p w14:paraId="3AC41291" w14:textId="06ED5FB9" w:rsidR="00B3640E" w:rsidRPr="002C29C4" w:rsidRDefault="00F850BB" w:rsidP="00B3640E">
      <w:pPr>
        <w:rPr>
          <w:b/>
          <w:bCs/>
        </w:rPr>
      </w:pPr>
      <w:r>
        <w:rPr>
          <w:b/>
          <w:bCs/>
        </w:rPr>
        <w:t>6</w:t>
      </w:r>
      <w:r w:rsidR="00B3640E" w:rsidRPr="002C29C4">
        <w:rPr>
          <w:b/>
          <w:bCs/>
        </w:rPr>
        <w:t>. Inspection or Self-Certification</w:t>
      </w:r>
    </w:p>
    <w:p w14:paraId="0F091B39" w14:textId="4E5BC005" w:rsidR="00B3640E" w:rsidRPr="002C29C4" w:rsidRDefault="00CC4192" w:rsidP="00B3640E">
      <w:pPr>
        <w:numPr>
          <w:ilvl w:val="0"/>
          <w:numId w:val="15"/>
        </w:numPr>
      </w:pPr>
      <w:r>
        <w:t xml:space="preserve">A </w:t>
      </w:r>
      <w:r w:rsidR="00B3640E" w:rsidRPr="002C29C4">
        <w:t xml:space="preserve">safety inspection </w:t>
      </w:r>
      <w:r w:rsidR="000556AE">
        <w:t>and</w:t>
      </w:r>
      <w:r w:rsidR="00B3640E" w:rsidRPr="002C29C4">
        <w:t xml:space="preserve"> </w:t>
      </w:r>
      <w:r w:rsidR="00B3640E">
        <w:t xml:space="preserve">approved </w:t>
      </w:r>
      <w:r w:rsidR="00B3640E" w:rsidRPr="002C29C4">
        <w:t>checklist</w:t>
      </w:r>
      <w:r>
        <w:t xml:space="preserve"> is required </w:t>
      </w:r>
      <w:r w:rsidR="00B3640E" w:rsidRPr="002C29C4">
        <w:t xml:space="preserve">before license issuance and </w:t>
      </w:r>
      <w:r w:rsidR="004E097D">
        <w:t>every other year</w:t>
      </w:r>
      <w:r w:rsidR="000556AE">
        <w:t xml:space="preserve"> thereafter</w:t>
      </w:r>
      <w:r w:rsidR="00B3640E">
        <w:t>.</w:t>
      </w:r>
    </w:p>
    <w:p w14:paraId="6B660550" w14:textId="2EA23FB9" w:rsidR="00B3640E" w:rsidRDefault="000556AE" w:rsidP="00B3640E">
      <w:pPr>
        <w:numPr>
          <w:ilvl w:val="0"/>
          <w:numId w:val="15"/>
        </w:numPr>
      </w:pPr>
      <w:r>
        <w:t>A</w:t>
      </w:r>
      <w:r w:rsidR="00B3640E">
        <w:t xml:space="preserve">n on-site inspection </w:t>
      </w:r>
      <w:r>
        <w:t xml:space="preserve">will </w:t>
      </w:r>
      <w:r w:rsidR="00B3640E" w:rsidRPr="002C29C4">
        <w:t>include</w:t>
      </w:r>
      <w:r w:rsidR="00B3640E">
        <w:t xml:space="preserve"> a requirement of </w:t>
      </w:r>
      <w:r w:rsidR="00B3640E" w:rsidRPr="002C29C4">
        <w:t>smoke detector</w:t>
      </w:r>
      <w:r w:rsidR="00B3640E">
        <w:t>(</w:t>
      </w:r>
      <w:r w:rsidR="00B3640E" w:rsidRPr="002C29C4">
        <w:t>s</w:t>
      </w:r>
      <w:r w:rsidR="00B3640E">
        <w:t>), fire extinguisher(s)</w:t>
      </w:r>
      <w:r w:rsidR="00B3640E" w:rsidRPr="002C29C4">
        <w:t>, carbon monoxide</w:t>
      </w:r>
      <w:r w:rsidR="00B3640E">
        <w:t xml:space="preserve"> detector(s)</w:t>
      </w:r>
      <w:r w:rsidR="00B3640E" w:rsidRPr="002C29C4">
        <w:t>, emergency exit info</w:t>
      </w:r>
      <w:r w:rsidR="00B3640E">
        <w:t xml:space="preserve">rmation, </w:t>
      </w:r>
      <w:r>
        <w:t>and other safety items as deemed necessary by the City</w:t>
      </w:r>
      <w:r w:rsidR="00B3640E">
        <w:t xml:space="preserve">. </w:t>
      </w:r>
    </w:p>
    <w:p w14:paraId="56842629" w14:textId="08022E07" w:rsidR="00636C36" w:rsidRPr="00636C36" w:rsidRDefault="00F850BB" w:rsidP="00636C36">
      <w:pPr>
        <w:rPr>
          <w:b/>
          <w:bCs/>
        </w:rPr>
      </w:pPr>
      <w:r>
        <w:rPr>
          <w:b/>
          <w:bCs/>
        </w:rPr>
        <w:t>7</w:t>
      </w:r>
      <w:r w:rsidR="00636C36" w:rsidRPr="00636C36">
        <w:rPr>
          <w:b/>
          <w:bCs/>
        </w:rPr>
        <w:t>. Grandfathering &amp; Legal Nonconforming Use</w:t>
      </w:r>
    </w:p>
    <w:p w14:paraId="26B8E550" w14:textId="5801F33A" w:rsidR="00636C36" w:rsidRPr="00636C36" w:rsidRDefault="00636C36" w:rsidP="00636C36">
      <w:pPr>
        <w:numPr>
          <w:ilvl w:val="0"/>
          <w:numId w:val="8"/>
        </w:numPr>
      </w:pPr>
      <w:r w:rsidRPr="00636C36">
        <w:t>Existing STRs with</w:t>
      </w:r>
      <w:r>
        <w:t xml:space="preserve"> active </w:t>
      </w:r>
      <w:r w:rsidRPr="00636C36">
        <w:t>business licenses prior to the ordinance effective date may continue operation but must meet all operational requirements.</w:t>
      </w:r>
      <w:r>
        <w:t xml:space="preserve"> Those without an active business license as of the effective date of this ordinance will not enjoy a non-conforming status and will not be permitted unless they follow the process to be permitted </w:t>
      </w:r>
      <w:r w:rsidR="00913CA5">
        <w:t>as a new STR</w:t>
      </w:r>
      <w:r>
        <w:t>.</w:t>
      </w:r>
    </w:p>
    <w:p w14:paraId="628FC49E" w14:textId="31C26948" w:rsidR="00636C36" w:rsidRDefault="00F850BB" w:rsidP="00636C36">
      <w:pPr>
        <w:rPr>
          <w:b/>
          <w:bCs/>
        </w:rPr>
      </w:pPr>
      <w:r>
        <w:rPr>
          <w:b/>
          <w:bCs/>
        </w:rPr>
        <w:t>8</w:t>
      </w:r>
      <w:r w:rsidR="00636C36" w:rsidRPr="00636C36">
        <w:rPr>
          <w:b/>
          <w:bCs/>
        </w:rPr>
        <w:t>. Enforcement</w:t>
      </w:r>
    </w:p>
    <w:p w14:paraId="41A6AB62" w14:textId="7EAA2F4B" w:rsidR="002C29C4" w:rsidRPr="00636C36" w:rsidRDefault="002C29C4" w:rsidP="002C29C4">
      <w:pPr>
        <w:numPr>
          <w:ilvl w:val="0"/>
          <w:numId w:val="9"/>
        </w:numPr>
      </w:pPr>
      <w:r w:rsidRPr="00636C36">
        <w:t>Violations may result in:</w:t>
      </w:r>
    </w:p>
    <w:p w14:paraId="2B270937" w14:textId="75453178" w:rsidR="00636C36" w:rsidRPr="00636C36" w:rsidRDefault="00636C36" w:rsidP="00636C36">
      <w:pPr>
        <w:numPr>
          <w:ilvl w:val="1"/>
          <w:numId w:val="9"/>
        </w:numPr>
      </w:pPr>
      <w:r w:rsidRPr="00636C36">
        <w:rPr>
          <w:b/>
          <w:bCs/>
        </w:rPr>
        <w:t>Fines</w:t>
      </w:r>
      <w:r w:rsidRPr="00636C36">
        <w:t xml:space="preserve">: $250 for first offense, </w:t>
      </w:r>
      <w:r w:rsidR="00622834" w:rsidRPr="00622834">
        <w:t xml:space="preserve">$500 for the second offense, and $1,000 for </w:t>
      </w:r>
      <w:r w:rsidRPr="00636C36">
        <w:t>repeat violations</w:t>
      </w:r>
      <w:r w:rsidR="00622834" w:rsidRPr="00622834">
        <w:t xml:space="preserve"> beyond the 2nd</w:t>
      </w:r>
    </w:p>
    <w:p w14:paraId="1399485E" w14:textId="573A3F5F" w:rsidR="00636C36" w:rsidRDefault="00636C36" w:rsidP="00636C36">
      <w:pPr>
        <w:numPr>
          <w:ilvl w:val="1"/>
          <w:numId w:val="9"/>
        </w:numPr>
      </w:pPr>
      <w:r w:rsidRPr="00636C36">
        <w:rPr>
          <w:b/>
          <w:bCs/>
        </w:rPr>
        <w:t>Revocation</w:t>
      </w:r>
      <w:r w:rsidRPr="00636C36">
        <w:t xml:space="preserve">: </w:t>
      </w:r>
      <w:r w:rsidR="004E097D">
        <w:t>2</w:t>
      </w:r>
      <w:r w:rsidRPr="00636C36">
        <w:t xml:space="preserve"> violations in 12 months triggers license review</w:t>
      </w:r>
      <w:r w:rsidR="00622834">
        <w:t xml:space="preserve"> for possible revocation</w:t>
      </w:r>
    </w:p>
    <w:p w14:paraId="7A79F943" w14:textId="55E414CA" w:rsidR="00636C36" w:rsidRPr="00636C36" w:rsidRDefault="00636C36" w:rsidP="00636C36">
      <w:pPr>
        <w:numPr>
          <w:ilvl w:val="0"/>
          <w:numId w:val="9"/>
        </w:numPr>
      </w:pPr>
      <w:r w:rsidRPr="00636C36">
        <w:t>The city may contract with a compliance service to monitor listings</w:t>
      </w:r>
      <w:r w:rsidR="00CC4192">
        <w:t xml:space="preserve"> as allowed by Utah State Code 10-8-85.4</w:t>
      </w:r>
    </w:p>
    <w:p w14:paraId="5D649458" w14:textId="642D7B6E" w:rsidR="00636C36" w:rsidRPr="00636C36" w:rsidRDefault="00F850BB" w:rsidP="00636C36">
      <w:pPr>
        <w:rPr>
          <w:b/>
          <w:bCs/>
        </w:rPr>
      </w:pPr>
      <w:r>
        <w:rPr>
          <w:b/>
          <w:bCs/>
        </w:rPr>
        <w:t>9</w:t>
      </w:r>
      <w:r w:rsidR="00636C36" w:rsidRPr="00636C36">
        <w:rPr>
          <w:b/>
          <w:bCs/>
        </w:rPr>
        <w:t>. Appeals</w:t>
      </w:r>
    </w:p>
    <w:p w14:paraId="769BE868" w14:textId="77777777" w:rsidR="00636C36" w:rsidRPr="00636C36" w:rsidRDefault="00636C36" w:rsidP="00636C36">
      <w:pPr>
        <w:numPr>
          <w:ilvl w:val="0"/>
          <w:numId w:val="10"/>
        </w:numPr>
      </w:pPr>
      <w:r w:rsidRPr="00636C36">
        <w:t>License denials or revocations may be appealed to the Planning Commission within 30 days.</w:t>
      </w:r>
    </w:p>
    <w:sectPr w:rsidR="00636C36" w:rsidRPr="00636C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0681" w14:textId="77777777" w:rsidR="00097E15" w:rsidRDefault="00097E15" w:rsidP="00BA4B3C">
      <w:pPr>
        <w:spacing w:after="0" w:line="240" w:lineRule="auto"/>
      </w:pPr>
      <w:r>
        <w:separator/>
      </w:r>
    </w:p>
  </w:endnote>
  <w:endnote w:type="continuationSeparator" w:id="0">
    <w:p w14:paraId="0BD27E74" w14:textId="77777777" w:rsidR="00097E15" w:rsidRDefault="00097E15" w:rsidP="00BA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6E05" w14:textId="77777777" w:rsidR="00BA4B3C" w:rsidRDefault="00BA4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2FF4" w14:textId="77777777" w:rsidR="00BA4B3C" w:rsidRDefault="00BA4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DA53" w14:textId="77777777" w:rsidR="00BA4B3C" w:rsidRDefault="00BA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7BBB" w14:textId="77777777" w:rsidR="00097E15" w:rsidRDefault="00097E15" w:rsidP="00BA4B3C">
      <w:pPr>
        <w:spacing w:after="0" w:line="240" w:lineRule="auto"/>
      </w:pPr>
      <w:r>
        <w:separator/>
      </w:r>
    </w:p>
  </w:footnote>
  <w:footnote w:type="continuationSeparator" w:id="0">
    <w:p w14:paraId="19AA88BE" w14:textId="77777777" w:rsidR="00097E15" w:rsidRDefault="00097E15" w:rsidP="00BA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D46B" w14:textId="77777777" w:rsidR="00BA4B3C" w:rsidRDefault="00BA4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005790"/>
      <w:docPartObj>
        <w:docPartGallery w:val="Watermarks"/>
        <w:docPartUnique/>
      </w:docPartObj>
    </w:sdtPr>
    <w:sdtContent>
      <w:p w14:paraId="5218669F" w14:textId="60412CA2" w:rsidR="00BA4B3C" w:rsidRDefault="00BA4B3C">
        <w:pPr>
          <w:pStyle w:val="Header"/>
        </w:pPr>
        <w:r>
          <w:rPr>
            <w:noProof/>
          </w:rPr>
          <w:pict w14:anchorId="2E5F3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EEAD" w14:textId="77777777" w:rsidR="00BA4B3C" w:rsidRDefault="00BA4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716F"/>
    <w:multiLevelType w:val="multilevel"/>
    <w:tmpl w:val="E2F0A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35BF3"/>
    <w:multiLevelType w:val="multilevel"/>
    <w:tmpl w:val="AB4E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43D2A"/>
    <w:multiLevelType w:val="multilevel"/>
    <w:tmpl w:val="47DAEB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4DE09F2"/>
    <w:multiLevelType w:val="multilevel"/>
    <w:tmpl w:val="944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36F3C"/>
    <w:multiLevelType w:val="multilevel"/>
    <w:tmpl w:val="56A8D9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1E02574"/>
    <w:multiLevelType w:val="hybridMultilevel"/>
    <w:tmpl w:val="D8B2C064"/>
    <w:lvl w:ilvl="0" w:tplc="DB5E3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7B285D"/>
    <w:multiLevelType w:val="hybridMultilevel"/>
    <w:tmpl w:val="520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17A3A"/>
    <w:multiLevelType w:val="multilevel"/>
    <w:tmpl w:val="C9D689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82335E9"/>
    <w:multiLevelType w:val="multilevel"/>
    <w:tmpl w:val="DE8E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76C5E"/>
    <w:multiLevelType w:val="hybridMultilevel"/>
    <w:tmpl w:val="47C6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25D7F"/>
    <w:multiLevelType w:val="multilevel"/>
    <w:tmpl w:val="4AACFA86"/>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50034FF"/>
    <w:multiLevelType w:val="multilevel"/>
    <w:tmpl w:val="C980CE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ACE6883"/>
    <w:multiLevelType w:val="hybridMultilevel"/>
    <w:tmpl w:val="1CE2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32BE6"/>
    <w:multiLevelType w:val="multilevel"/>
    <w:tmpl w:val="B75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00B15"/>
    <w:multiLevelType w:val="multilevel"/>
    <w:tmpl w:val="AFDAC9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7DB7F32"/>
    <w:multiLevelType w:val="multilevel"/>
    <w:tmpl w:val="D4FC4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00874"/>
    <w:multiLevelType w:val="hybridMultilevel"/>
    <w:tmpl w:val="DFB2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84CAF"/>
    <w:multiLevelType w:val="multilevel"/>
    <w:tmpl w:val="207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33D7B"/>
    <w:multiLevelType w:val="multilevel"/>
    <w:tmpl w:val="D40ECDD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98645920">
    <w:abstractNumId w:val="10"/>
  </w:num>
  <w:num w:numId="2" w16cid:durableId="351492536">
    <w:abstractNumId w:val="1"/>
  </w:num>
  <w:num w:numId="3" w16cid:durableId="625814000">
    <w:abstractNumId w:val="4"/>
  </w:num>
  <w:num w:numId="4" w16cid:durableId="1468084961">
    <w:abstractNumId w:val="0"/>
  </w:num>
  <w:num w:numId="5" w16cid:durableId="126701175">
    <w:abstractNumId w:val="2"/>
  </w:num>
  <w:num w:numId="6" w16cid:durableId="1331912928">
    <w:abstractNumId w:val="15"/>
  </w:num>
  <w:num w:numId="7" w16cid:durableId="1754934971">
    <w:abstractNumId w:val="11"/>
  </w:num>
  <w:num w:numId="8" w16cid:durableId="1105272249">
    <w:abstractNumId w:val="18"/>
  </w:num>
  <w:num w:numId="9" w16cid:durableId="1033388852">
    <w:abstractNumId w:val="16"/>
  </w:num>
  <w:num w:numId="10" w16cid:durableId="504442235">
    <w:abstractNumId w:val="14"/>
  </w:num>
  <w:num w:numId="11" w16cid:durableId="127358035">
    <w:abstractNumId w:val="12"/>
  </w:num>
  <w:num w:numId="12" w16cid:durableId="426081817">
    <w:abstractNumId w:val="5"/>
  </w:num>
  <w:num w:numId="13" w16cid:durableId="709113318">
    <w:abstractNumId w:val="6"/>
  </w:num>
  <w:num w:numId="14" w16cid:durableId="604263519">
    <w:abstractNumId w:val="8"/>
  </w:num>
  <w:num w:numId="15" w16cid:durableId="431436777">
    <w:abstractNumId w:val="9"/>
  </w:num>
  <w:num w:numId="16" w16cid:durableId="132794901">
    <w:abstractNumId w:val="3"/>
  </w:num>
  <w:num w:numId="17" w16cid:durableId="1812601843">
    <w:abstractNumId w:val="19"/>
  </w:num>
  <w:num w:numId="18" w16cid:durableId="1620331523">
    <w:abstractNumId w:val="13"/>
  </w:num>
  <w:num w:numId="19" w16cid:durableId="1673557669">
    <w:abstractNumId w:val="17"/>
  </w:num>
  <w:num w:numId="20" w16cid:durableId="1686638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36"/>
    <w:rsid w:val="000556AE"/>
    <w:rsid w:val="00097E15"/>
    <w:rsid w:val="002C29C4"/>
    <w:rsid w:val="003A2700"/>
    <w:rsid w:val="00450D31"/>
    <w:rsid w:val="00467332"/>
    <w:rsid w:val="004D24A1"/>
    <w:rsid w:val="004E097D"/>
    <w:rsid w:val="00531AC1"/>
    <w:rsid w:val="00622834"/>
    <w:rsid w:val="00636C36"/>
    <w:rsid w:val="006504E1"/>
    <w:rsid w:val="00687FC7"/>
    <w:rsid w:val="007011A8"/>
    <w:rsid w:val="00830506"/>
    <w:rsid w:val="008573A7"/>
    <w:rsid w:val="00913CA5"/>
    <w:rsid w:val="00922EA7"/>
    <w:rsid w:val="00984243"/>
    <w:rsid w:val="009B7ED4"/>
    <w:rsid w:val="00AA0AAF"/>
    <w:rsid w:val="00B35016"/>
    <w:rsid w:val="00B3640E"/>
    <w:rsid w:val="00BA4B3C"/>
    <w:rsid w:val="00BC38AF"/>
    <w:rsid w:val="00C37DA2"/>
    <w:rsid w:val="00CC4192"/>
    <w:rsid w:val="00D62B08"/>
    <w:rsid w:val="00E12594"/>
    <w:rsid w:val="00F8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5DDFE"/>
  <w15:chartTrackingRefBased/>
  <w15:docId w15:val="{98B7F173-FCA3-4BDC-9A0D-4FD06EB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C36"/>
    <w:rPr>
      <w:rFonts w:eastAsiaTheme="majorEastAsia" w:cstheme="majorBidi"/>
      <w:color w:val="272727" w:themeColor="text1" w:themeTint="D8"/>
    </w:rPr>
  </w:style>
  <w:style w:type="paragraph" w:styleId="Title">
    <w:name w:val="Title"/>
    <w:basedOn w:val="Normal"/>
    <w:next w:val="Normal"/>
    <w:link w:val="TitleChar"/>
    <w:uiPriority w:val="10"/>
    <w:qFormat/>
    <w:rsid w:val="00636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C36"/>
    <w:pPr>
      <w:spacing w:before="160"/>
      <w:jc w:val="center"/>
    </w:pPr>
    <w:rPr>
      <w:i/>
      <w:iCs/>
      <w:color w:val="404040" w:themeColor="text1" w:themeTint="BF"/>
    </w:rPr>
  </w:style>
  <w:style w:type="character" w:customStyle="1" w:styleId="QuoteChar">
    <w:name w:val="Quote Char"/>
    <w:basedOn w:val="DefaultParagraphFont"/>
    <w:link w:val="Quote"/>
    <w:uiPriority w:val="29"/>
    <w:rsid w:val="00636C36"/>
    <w:rPr>
      <w:i/>
      <w:iCs/>
      <w:color w:val="404040" w:themeColor="text1" w:themeTint="BF"/>
    </w:rPr>
  </w:style>
  <w:style w:type="paragraph" w:styleId="ListParagraph">
    <w:name w:val="List Paragraph"/>
    <w:basedOn w:val="Normal"/>
    <w:uiPriority w:val="34"/>
    <w:qFormat/>
    <w:rsid w:val="00636C36"/>
    <w:pPr>
      <w:ind w:left="720"/>
      <w:contextualSpacing/>
    </w:pPr>
  </w:style>
  <w:style w:type="character" w:styleId="IntenseEmphasis">
    <w:name w:val="Intense Emphasis"/>
    <w:basedOn w:val="DefaultParagraphFont"/>
    <w:uiPriority w:val="21"/>
    <w:qFormat/>
    <w:rsid w:val="00636C36"/>
    <w:rPr>
      <w:i/>
      <w:iCs/>
      <w:color w:val="2F5496" w:themeColor="accent1" w:themeShade="BF"/>
    </w:rPr>
  </w:style>
  <w:style w:type="paragraph" w:styleId="IntenseQuote">
    <w:name w:val="Intense Quote"/>
    <w:basedOn w:val="Normal"/>
    <w:next w:val="Normal"/>
    <w:link w:val="IntenseQuoteChar"/>
    <w:uiPriority w:val="30"/>
    <w:qFormat/>
    <w:rsid w:val="00636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C36"/>
    <w:rPr>
      <w:i/>
      <w:iCs/>
      <w:color w:val="2F5496" w:themeColor="accent1" w:themeShade="BF"/>
    </w:rPr>
  </w:style>
  <w:style w:type="character" w:styleId="IntenseReference">
    <w:name w:val="Intense Reference"/>
    <w:basedOn w:val="DefaultParagraphFont"/>
    <w:uiPriority w:val="32"/>
    <w:qFormat/>
    <w:rsid w:val="00636C36"/>
    <w:rPr>
      <w:b/>
      <w:bCs/>
      <w:smallCaps/>
      <w:color w:val="2F5496" w:themeColor="accent1" w:themeShade="BF"/>
      <w:spacing w:val="5"/>
    </w:rPr>
  </w:style>
  <w:style w:type="paragraph" w:styleId="NormalWeb">
    <w:name w:val="Normal (Web)"/>
    <w:basedOn w:val="Normal"/>
    <w:uiPriority w:val="99"/>
    <w:semiHidden/>
    <w:unhideWhenUsed/>
    <w:rsid w:val="002C29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adeinpfttw8">
    <w:name w:val="_fadein_pfttw_8"/>
    <w:basedOn w:val="DefaultParagraphFont"/>
    <w:rsid w:val="002C29C4"/>
  </w:style>
  <w:style w:type="character" w:styleId="CommentReference">
    <w:name w:val="annotation reference"/>
    <w:basedOn w:val="DefaultParagraphFont"/>
    <w:uiPriority w:val="99"/>
    <w:semiHidden/>
    <w:unhideWhenUsed/>
    <w:rsid w:val="00E12594"/>
    <w:rPr>
      <w:sz w:val="16"/>
      <w:szCs w:val="16"/>
    </w:rPr>
  </w:style>
  <w:style w:type="paragraph" w:styleId="CommentText">
    <w:name w:val="annotation text"/>
    <w:basedOn w:val="Normal"/>
    <w:link w:val="CommentTextChar"/>
    <w:uiPriority w:val="99"/>
    <w:semiHidden/>
    <w:unhideWhenUsed/>
    <w:rsid w:val="00E12594"/>
    <w:pPr>
      <w:spacing w:line="240" w:lineRule="auto"/>
    </w:pPr>
    <w:rPr>
      <w:sz w:val="20"/>
      <w:szCs w:val="20"/>
    </w:rPr>
  </w:style>
  <w:style w:type="character" w:customStyle="1" w:styleId="CommentTextChar">
    <w:name w:val="Comment Text Char"/>
    <w:basedOn w:val="DefaultParagraphFont"/>
    <w:link w:val="CommentText"/>
    <w:uiPriority w:val="99"/>
    <w:semiHidden/>
    <w:rsid w:val="00E12594"/>
    <w:rPr>
      <w:sz w:val="20"/>
      <w:szCs w:val="20"/>
    </w:rPr>
  </w:style>
  <w:style w:type="paragraph" w:styleId="CommentSubject">
    <w:name w:val="annotation subject"/>
    <w:basedOn w:val="CommentText"/>
    <w:next w:val="CommentText"/>
    <w:link w:val="CommentSubjectChar"/>
    <w:uiPriority w:val="99"/>
    <w:semiHidden/>
    <w:unhideWhenUsed/>
    <w:rsid w:val="00E12594"/>
    <w:rPr>
      <w:b/>
      <w:bCs/>
    </w:rPr>
  </w:style>
  <w:style w:type="character" w:customStyle="1" w:styleId="CommentSubjectChar">
    <w:name w:val="Comment Subject Char"/>
    <w:basedOn w:val="CommentTextChar"/>
    <w:link w:val="CommentSubject"/>
    <w:uiPriority w:val="99"/>
    <w:semiHidden/>
    <w:rsid w:val="00E12594"/>
    <w:rPr>
      <w:b/>
      <w:bCs/>
      <w:sz w:val="20"/>
      <w:szCs w:val="20"/>
    </w:rPr>
  </w:style>
  <w:style w:type="paragraph" w:styleId="Revision">
    <w:name w:val="Revision"/>
    <w:hidden/>
    <w:uiPriority w:val="99"/>
    <w:semiHidden/>
    <w:rsid w:val="00BC38AF"/>
    <w:pPr>
      <w:spacing w:after="0" w:line="240" w:lineRule="auto"/>
    </w:pPr>
  </w:style>
  <w:style w:type="paragraph" w:styleId="Header">
    <w:name w:val="header"/>
    <w:basedOn w:val="Normal"/>
    <w:link w:val="HeaderChar"/>
    <w:uiPriority w:val="99"/>
    <w:unhideWhenUsed/>
    <w:rsid w:val="00BA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3C"/>
  </w:style>
  <w:style w:type="paragraph" w:styleId="Footer">
    <w:name w:val="footer"/>
    <w:basedOn w:val="Normal"/>
    <w:link w:val="FooterChar"/>
    <w:uiPriority w:val="99"/>
    <w:unhideWhenUsed/>
    <w:rsid w:val="00BA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413">
      <w:bodyDiv w:val="1"/>
      <w:marLeft w:val="0"/>
      <w:marRight w:val="0"/>
      <w:marTop w:val="0"/>
      <w:marBottom w:val="0"/>
      <w:divBdr>
        <w:top w:val="none" w:sz="0" w:space="0" w:color="auto"/>
        <w:left w:val="none" w:sz="0" w:space="0" w:color="auto"/>
        <w:bottom w:val="none" w:sz="0" w:space="0" w:color="auto"/>
        <w:right w:val="none" w:sz="0" w:space="0" w:color="auto"/>
      </w:divBdr>
    </w:div>
    <w:div w:id="259797260">
      <w:bodyDiv w:val="1"/>
      <w:marLeft w:val="0"/>
      <w:marRight w:val="0"/>
      <w:marTop w:val="0"/>
      <w:marBottom w:val="0"/>
      <w:divBdr>
        <w:top w:val="none" w:sz="0" w:space="0" w:color="auto"/>
        <w:left w:val="none" w:sz="0" w:space="0" w:color="auto"/>
        <w:bottom w:val="none" w:sz="0" w:space="0" w:color="auto"/>
        <w:right w:val="none" w:sz="0" w:space="0" w:color="auto"/>
      </w:divBdr>
    </w:div>
    <w:div w:id="429080835">
      <w:bodyDiv w:val="1"/>
      <w:marLeft w:val="0"/>
      <w:marRight w:val="0"/>
      <w:marTop w:val="0"/>
      <w:marBottom w:val="0"/>
      <w:divBdr>
        <w:top w:val="none" w:sz="0" w:space="0" w:color="auto"/>
        <w:left w:val="none" w:sz="0" w:space="0" w:color="auto"/>
        <w:bottom w:val="none" w:sz="0" w:space="0" w:color="auto"/>
        <w:right w:val="none" w:sz="0" w:space="0" w:color="auto"/>
      </w:divBdr>
    </w:div>
    <w:div w:id="561909380">
      <w:bodyDiv w:val="1"/>
      <w:marLeft w:val="0"/>
      <w:marRight w:val="0"/>
      <w:marTop w:val="0"/>
      <w:marBottom w:val="0"/>
      <w:divBdr>
        <w:top w:val="none" w:sz="0" w:space="0" w:color="auto"/>
        <w:left w:val="none" w:sz="0" w:space="0" w:color="auto"/>
        <w:bottom w:val="none" w:sz="0" w:space="0" w:color="auto"/>
        <w:right w:val="none" w:sz="0" w:space="0" w:color="auto"/>
      </w:divBdr>
    </w:div>
    <w:div w:id="884759590">
      <w:bodyDiv w:val="1"/>
      <w:marLeft w:val="0"/>
      <w:marRight w:val="0"/>
      <w:marTop w:val="0"/>
      <w:marBottom w:val="0"/>
      <w:divBdr>
        <w:top w:val="none" w:sz="0" w:space="0" w:color="auto"/>
        <w:left w:val="none" w:sz="0" w:space="0" w:color="auto"/>
        <w:bottom w:val="none" w:sz="0" w:space="0" w:color="auto"/>
        <w:right w:val="none" w:sz="0" w:space="0" w:color="auto"/>
      </w:divBdr>
    </w:div>
    <w:div w:id="985400051">
      <w:bodyDiv w:val="1"/>
      <w:marLeft w:val="0"/>
      <w:marRight w:val="0"/>
      <w:marTop w:val="0"/>
      <w:marBottom w:val="0"/>
      <w:divBdr>
        <w:top w:val="none" w:sz="0" w:space="0" w:color="auto"/>
        <w:left w:val="none" w:sz="0" w:space="0" w:color="auto"/>
        <w:bottom w:val="none" w:sz="0" w:space="0" w:color="auto"/>
        <w:right w:val="none" w:sz="0" w:space="0" w:color="auto"/>
      </w:divBdr>
    </w:div>
    <w:div w:id="1039666422">
      <w:bodyDiv w:val="1"/>
      <w:marLeft w:val="0"/>
      <w:marRight w:val="0"/>
      <w:marTop w:val="0"/>
      <w:marBottom w:val="0"/>
      <w:divBdr>
        <w:top w:val="none" w:sz="0" w:space="0" w:color="auto"/>
        <w:left w:val="none" w:sz="0" w:space="0" w:color="auto"/>
        <w:bottom w:val="none" w:sz="0" w:space="0" w:color="auto"/>
        <w:right w:val="none" w:sz="0" w:space="0" w:color="auto"/>
      </w:divBdr>
    </w:div>
    <w:div w:id="1042166691">
      <w:bodyDiv w:val="1"/>
      <w:marLeft w:val="0"/>
      <w:marRight w:val="0"/>
      <w:marTop w:val="0"/>
      <w:marBottom w:val="0"/>
      <w:divBdr>
        <w:top w:val="none" w:sz="0" w:space="0" w:color="auto"/>
        <w:left w:val="none" w:sz="0" w:space="0" w:color="auto"/>
        <w:bottom w:val="none" w:sz="0" w:space="0" w:color="auto"/>
        <w:right w:val="none" w:sz="0" w:space="0" w:color="auto"/>
      </w:divBdr>
    </w:div>
    <w:div w:id="1156531522">
      <w:bodyDiv w:val="1"/>
      <w:marLeft w:val="0"/>
      <w:marRight w:val="0"/>
      <w:marTop w:val="0"/>
      <w:marBottom w:val="0"/>
      <w:divBdr>
        <w:top w:val="none" w:sz="0" w:space="0" w:color="auto"/>
        <w:left w:val="none" w:sz="0" w:space="0" w:color="auto"/>
        <w:bottom w:val="none" w:sz="0" w:space="0" w:color="auto"/>
        <w:right w:val="none" w:sz="0" w:space="0" w:color="auto"/>
      </w:divBdr>
    </w:div>
    <w:div w:id="1221401084">
      <w:bodyDiv w:val="1"/>
      <w:marLeft w:val="0"/>
      <w:marRight w:val="0"/>
      <w:marTop w:val="0"/>
      <w:marBottom w:val="0"/>
      <w:divBdr>
        <w:top w:val="none" w:sz="0" w:space="0" w:color="auto"/>
        <w:left w:val="none" w:sz="0" w:space="0" w:color="auto"/>
        <w:bottom w:val="none" w:sz="0" w:space="0" w:color="auto"/>
        <w:right w:val="none" w:sz="0" w:space="0" w:color="auto"/>
      </w:divBdr>
    </w:div>
    <w:div w:id="1288463777">
      <w:bodyDiv w:val="1"/>
      <w:marLeft w:val="0"/>
      <w:marRight w:val="0"/>
      <w:marTop w:val="0"/>
      <w:marBottom w:val="0"/>
      <w:divBdr>
        <w:top w:val="none" w:sz="0" w:space="0" w:color="auto"/>
        <w:left w:val="none" w:sz="0" w:space="0" w:color="auto"/>
        <w:bottom w:val="none" w:sz="0" w:space="0" w:color="auto"/>
        <w:right w:val="none" w:sz="0" w:space="0" w:color="auto"/>
      </w:divBdr>
    </w:div>
    <w:div w:id="1395860260">
      <w:bodyDiv w:val="1"/>
      <w:marLeft w:val="0"/>
      <w:marRight w:val="0"/>
      <w:marTop w:val="0"/>
      <w:marBottom w:val="0"/>
      <w:divBdr>
        <w:top w:val="none" w:sz="0" w:space="0" w:color="auto"/>
        <w:left w:val="none" w:sz="0" w:space="0" w:color="auto"/>
        <w:bottom w:val="none" w:sz="0" w:space="0" w:color="auto"/>
        <w:right w:val="none" w:sz="0" w:space="0" w:color="auto"/>
      </w:divBdr>
    </w:div>
    <w:div w:id="1627158736">
      <w:bodyDiv w:val="1"/>
      <w:marLeft w:val="0"/>
      <w:marRight w:val="0"/>
      <w:marTop w:val="0"/>
      <w:marBottom w:val="0"/>
      <w:divBdr>
        <w:top w:val="none" w:sz="0" w:space="0" w:color="auto"/>
        <w:left w:val="none" w:sz="0" w:space="0" w:color="auto"/>
        <w:bottom w:val="none" w:sz="0" w:space="0" w:color="auto"/>
        <w:right w:val="none" w:sz="0" w:space="0" w:color="auto"/>
      </w:divBdr>
    </w:div>
    <w:div w:id="1713995130">
      <w:bodyDiv w:val="1"/>
      <w:marLeft w:val="0"/>
      <w:marRight w:val="0"/>
      <w:marTop w:val="0"/>
      <w:marBottom w:val="0"/>
      <w:divBdr>
        <w:top w:val="none" w:sz="0" w:space="0" w:color="auto"/>
        <w:left w:val="none" w:sz="0" w:space="0" w:color="auto"/>
        <w:bottom w:val="none" w:sz="0" w:space="0" w:color="auto"/>
        <w:right w:val="none" w:sz="0" w:space="0" w:color="auto"/>
      </w:divBdr>
    </w:div>
    <w:div w:id="1745300298">
      <w:bodyDiv w:val="1"/>
      <w:marLeft w:val="0"/>
      <w:marRight w:val="0"/>
      <w:marTop w:val="0"/>
      <w:marBottom w:val="0"/>
      <w:divBdr>
        <w:top w:val="none" w:sz="0" w:space="0" w:color="auto"/>
        <w:left w:val="none" w:sz="0" w:space="0" w:color="auto"/>
        <w:bottom w:val="none" w:sz="0" w:space="0" w:color="auto"/>
        <w:right w:val="none" w:sz="0" w:space="0" w:color="auto"/>
      </w:divBdr>
    </w:div>
    <w:div w:id="2033873735">
      <w:bodyDiv w:val="1"/>
      <w:marLeft w:val="0"/>
      <w:marRight w:val="0"/>
      <w:marTop w:val="0"/>
      <w:marBottom w:val="0"/>
      <w:divBdr>
        <w:top w:val="none" w:sz="0" w:space="0" w:color="auto"/>
        <w:left w:val="none" w:sz="0" w:space="0" w:color="auto"/>
        <w:bottom w:val="none" w:sz="0" w:space="0" w:color="auto"/>
        <w:right w:val="none" w:sz="0" w:space="0" w:color="auto"/>
      </w:divBdr>
    </w:div>
    <w:div w:id="2038850716">
      <w:bodyDiv w:val="1"/>
      <w:marLeft w:val="0"/>
      <w:marRight w:val="0"/>
      <w:marTop w:val="0"/>
      <w:marBottom w:val="0"/>
      <w:divBdr>
        <w:top w:val="none" w:sz="0" w:space="0" w:color="auto"/>
        <w:left w:val="none" w:sz="0" w:space="0" w:color="auto"/>
        <w:bottom w:val="none" w:sz="0" w:space="0" w:color="auto"/>
        <w:right w:val="none" w:sz="0" w:space="0" w:color="auto"/>
      </w:divBdr>
    </w:div>
    <w:div w:id="2040232156">
      <w:bodyDiv w:val="1"/>
      <w:marLeft w:val="0"/>
      <w:marRight w:val="0"/>
      <w:marTop w:val="0"/>
      <w:marBottom w:val="0"/>
      <w:divBdr>
        <w:top w:val="none" w:sz="0" w:space="0" w:color="auto"/>
        <w:left w:val="none" w:sz="0" w:space="0" w:color="auto"/>
        <w:bottom w:val="none" w:sz="0" w:space="0" w:color="auto"/>
        <w:right w:val="none" w:sz="0" w:space="0" w:color="auto"/>
      </w:divBdr>
    </w:div>
    <w:div w:id="20734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Jessen</dc:creator>
  <cp:keywords/>
  <dc:description/>
  <cp:lastModifiedBy>Parowan Remote</cp:lastModifiedBy>
  <cp:revision>2</cp:revision>
  <dcterms:created xsi:type="dcterms:W3CDTF">2025-08-06T17:03:00Z</dcterms:created>
  <dcterms:modified xsi:type="dcterms:W3CDTF">2025-08-06T17:03:00Z</dcterms:modified>
</cp:coreProperties>
</file>