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3B2E3C9A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1007028F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6F26405A" w:rsidR="00062E9F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63ACA2CE">
                <wp:simplePos x="0" y="0"/>
                <wp:positionH relativeFrom="page">
                  <wp:posOffset>1828800</wp:posOffset>
                </wp:positionH>
                <wp:positionV relativeFrom="page">
                  <wp:posOffset>411480</wp:posOffset>
                </wp:positionV>
                <wp:extent cx="3817620" cy="21259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2125980"/>
                          <a:chOff x="3437175" y="2717000"/>
                          <a:chExt cx="3817650" cy="2126000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0"/>
                            <a:ext cx="3817620" cy="2125980"/>
                            <a:chOff x="2448" y="1890"/>
                            <a:chExt cx="9125" cy="5173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2335"/>
                              <a:ext cx="8470" cy="47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8E6B69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0BBB9EA6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CRAIG W. BUTTARS</w:t>
                                </w:r>
                              </w:p>
                              <w:p w14:paraId="57F3FF26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PEHRSON</w:t>
                                </w:r>
                              </w:p>
                              <w:p w14:paraId="5091CDA4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0A03D0A3" w:rsidR="00062E9F" w:rsidRDefault="00ED06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THANE MARSHALL</w:t>
                                </w:r>
                              </w:p>
                              <w:p w14:paraId="0FAD11DA" w14:textId="4937776B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</w:t>
                                </w:r>
                                <w:r w:rsidR="00ED0672"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 xml:space="preserve"> Utah Horse Racing Commission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2DAFF" id="Group 1" o:spid="_x0000_s1026" style="position:absolute;margin-left:2in;margin-top:32.4pt;width:300.6pt;height:167.4pt;z-index:251659264;mso-position-horizontal-relative:page;mso-position-vertical-relative:page" coordorigin="34371,27170" coordsize="3817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">
                <v:group id="Group 1049587134" o:spid="_x0000_s1027" style="position:absolute;left:34371;top:27170;width:38177;height:21259" coordorigin="2448,1890" coordsize="912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2335;width:8470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6D8E6B69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0BBB9EA6" w14:textId="77777777" w:rsidR="00062E9F" w:rsidRDefault="00062E9F">
                          <w:pPr>
                            <w:textDirection w:val="btLr"/>
                          </w:pP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CRAIG W. BUTTARS</w:t>
                          </w:r>
                        </w:p>
                        <w:p w14:paraId="57F3FF26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PEHRSON</w:t>
                          </w:r>
                        </w:p>
                        <w:p w14:paraId="5091CDA4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0A03D0A3" w:rsidR="00062E9F" w:rsidRDefault="00ED06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THANE MARSHALL</w:t>
                          </w:r>
                        </w:p>
                        <w:p w14:paraId="0FAD11DA" w14:textId="4937776B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</w:t>
                          </w:r>
                          <w:r w:rsidR="00ED0672"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Utah Horse Racing Commission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000000">
      <w:pPr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7170A14C" w14:textId="77777777" w:rsidR="00062E9F" w:rsidRDefault="00062E9F">
      <w:pPr>
        <w:ind w:left="720"/>
      </w:pPr>
    </w:p>
    <w:p w14:paraId="08E8C3D1" w14:textId="29FE7B24" w:rsidR="00062E9F" w:rsidRDefault="00000000">
      <w:pPr>
        <w:ind w:left="720"/>
        <w:jc w:val="center"/>
      </w:pPr>
      <w:r>
        <w:t xml:space="preserve">Date: </w:t>
      </w:r>
      <w:r w:rsidR="00ED0672">
        <w:t>Tuesday</w:t>
      </w:r>
      <w:r>
        <w:t xml:space="preserve">, </w:t>
      </w:r>
      <w:r w:rsidR="00ED0672">
        <w:t>22nd</w:t>
      </w:r>
      <w:r w:rsidR="0015026E">
        <w:t xml:space="preserve"> of</w:t>
      </w:r>
      <w:r w:rsidR="00ED0672">
        <w:t xml:space="preserve"> July</w:t>
      </w:r>
    </w:p>
    <w:p w14:paraId="64ACEF48" w14:textId="5B04E4B5" w:rsidR="00062E9F" w:rsidRDefault="00000000">
      <w:pPr>
        <w:ind w:left="720"/>
        <w:jc w:val="center"/>
      </w:pPr>
      <w:r>
        <w:t xml:space="preserve">Time: </w:t>
      </w:r>
      <w:r w:rsidR="0015026E">
        <w:t>1</w:t>
      </w:r>
      <w:r w:rsidR="00ED0672">
        <w:t>0</w:t>
      </w:r>
      <w:r w:rsidR="0015026E">
        <w:t>a</w:t>
      </w:r>
      <w:r>
        <w:t xml:space="preserve">m </w:t>
      </w:r>
      <w:r w:rsidR="00ED0672">
        <w:t>–</w:t>
      </w:r>
      <w:r>
        <w:t xml:space="preserve"> </w:t>
      </w:r>
      <w:r w:rsidR="0015026E">
        <w:t>1</w:t>
      </w:r>
      <w:r w:rsidR="00ED0672">
        <w:t>1:3</w:t>
      </w:r>
      <w:r w:rsidR="00914A92">
        <w:t>0</w:t>
      </w:r>
      <w:r w:rsidR="00DD269B">
        <w:t>p</w:t>
      </w:r>
      <w:r>
        <w:t>m</w:t>
      </w:r>
    </w:p>
    <w:p w14:paraId="59648C80" w14:textId="77777777" w:rsidR="00062E9F" w:rsidRDefault="00000000">
      <w:pPr>
        <w:ind w:left="720"/>
        <w:jc w:val="center"/>
      </w:pPr>
      <w:r>
        <w:t xml:space="preserve">Location: Utah Department of Agriculture &amp; Food, </w:t>
      </w:r>
    </w:p>
    <w:p w14:paraId="016EE132" w14:textId="77777777" w:rsidR="00062E9F" w:rsidRDefault="00000000">
      <w:pPr>
        <w:ind w:left="720"/>
        <w:jc w:val="center"/>
      </w:pPr>
      <w:r>
        <w:t>4315 S. 2700 W. TSOB South Bldg. Flr.2</w:t>
      </w:r>
    </w:p>
    <w:p w14:paraId="15C1F4B6" w14:textId="77777777" w:rsidR="00062E9F" w:rsidRDefault="00000000">
      <w:pPr>
        <w:ind w:left="720"/>
        <w:jc w:val="center"/>
      </w:pPr>
      <w:r>
        <w:t xml:space="preserve">Taylorsville, UT 84114 </w:t>
      </w:r>
    </w:p>
    <w:p w14:paraId="16CFD1A3" w14:textId="4A6CDB26" w:rsidR="00ED0672" w:rsidRDefault="00ED0672">
      <w:pPr>
        <w:ind w:left="720"/>
        <w:jc w:val="center"/>
      </w:pPr>
      <w:r>
        <w:t>Room: 2506</w:t>
      </w:r>
    </w:p>
    <w:p w14:paraId="4CD5B0C6" w14:textId="77777777" w:rsidR="00062E9F" w:rsidRDefault="00062E9F">
      <w:pPr>
        <w:ind w:left="720"/>
        <w:jc w:val="center"/>
      </w:pPr>
    </w:p>
    <w:p w14:paraId="3CEB8C49" w14:textId="77777777" w:rsidR="00062E9F" w:rsidRDefault="00062E9F">
      <w:pPr>
        <w:ind w:left="720"/>
      </w:pPr>
    </w:p>
    <w:p w14:paraId="3371A157" w14:textId="77777777" w:rsidR="00062E9F" w:rsidRPr="00BD31D3" w:rsidRDefault="00000000">
      <w:pPr>
        <w:ind w:left="720"/>
      </w:pPr>
      <w:r w:rsidRPr="00BD31D3">
        <w:t>Agenda</w:t>
      </w:r>
    </w:p>
    <w:p w14:paraId="294751C3" w14:textId="77777777" w:rsidR="00062E9F" w:rsidRDefault="00062E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1926EEA" w14:textId="77777777" w:rsidR="00ED0672" w:rsidRPr="00832FBE" w:rsidRDefault="00ED0672" w:rsidP="00ED0672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t>Call Meeting to Order – Steve McIntyre, Chairman</w:t>
      </w:r>
    </w:p>
    <w:p w14:paraId="69B5BE3A" w14:textId="77777777" w:rsidR="00ED0672" w:rsidRDefault="00ED0672" w:rsidP="00ED0672">
      <w:pPr>
        <w:pStyle w:val="NormalWeb"/>
        <w:numPr>
          <w:ilvl w:val="0"/>
          <w:numId w:val="4"/>
        </w:numPr>
      </w:pPr>
      <w:r>
        <w:t>Approval of Meeting Minutes (Action)</w:t>
      </w:r>
    </w:p>
    <w:p w14:paraId="7C4FB240" w14:textId="77777777" w:rsidR="00ED0672" w:rsidRDefault="00ED0672" w:rsidP="00ED0672">
      <w:pPr>
        <w:pStyle w:val="NormalWeb"/>
        <w:numPr>
          <w:ilvl w:val="0"/>
          <w:numId w:val="4"/>
        </w:numPr>
      </w:pPr>
      <w:r w:rsidRPr="0094416A">
        <w:t>Discussion o</w:t>
      </w:r>
      <w:r>
        <w:t>n</w:t>
      </w:r>
      <w:r w:rsidRPr="0094416A">
        <w:t xml:space="preserve"> Stewards </w:t>
      </w:r>
      <w:r>
        <w:t>(Action)</w:t>
      </w:r>
    </w:p>
    <w:p w14:paraId="18763E3C" w14:textId="77777777" w:rsidR="00ED0672" w:rsidRDefault="00ED0672" w:rsidP="00ED0672">
      <w:pPr>
        <w:pStyle w:val="NormalWeb"/>
        <w:numPr>
          <w:ilvl w:val="0"/>
          <w:numId w:val="4"/>
        </w:numPr>
      </w:pPr>
      <w:r w:rsidRPr="0094416A">
        <w:t xml:space="preserve">WY workouts and </w:t>
      </w:r>
      <w:r>
        <w:t>Update on Meeting Progress (Action)</w:t>
      </w:r>
    </w:p>
    <w:p w14:paraId="0B3E3661" w14:textId="77777777" w:rsidR="00ED0672" w:rsidRDefault="00ED0672" w:rsidP="00ED0672">
      <w:pPr>
        <w:pStyle w:val="NormalWeb"/>
        <w:numPr>
          <w:ilvl w:val="0"/>
          <w:numId w:val="4"/>
        </w:numPr>
      </w:pPr>
      <w:r>
        <w:t>Board Roundtable</w:t>
      </w:r>
    </w:p>
    <w:p w14:paraId="6CB8CBA7" w14:textId="77777777" w:rsidR="00ED0672" w:rsidRDefault="00ED0672" w:rsidP="00ED0672">
      <w:pPr>
        <w:pStyle w:val="NormalWeb"/>
        <w:numPr>
          <w:ilvl w:val="0"/>
          <w:numId w:val="4"/>
        </w:numPr>
      </w:pPr>
      <w:r>
        <w:t>Adjourn</w:t>
      </w:r>
    </w:p>
    <w:p w14:paraId="58E8A69D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266EA1B" w14:textId="77777777" w:rsidR="0015026E" w:rsidRDefault="0015026E" w:rsidP="00473ED2">
      <w:pPr>
        <w:rPr>
          <w:rFonts w:ascii="Calibri" w:eastAsia="Calibri" w:hAnsi="Calibri" w:cs="Calibri"/>
          <w:sz w:val="22"/>
          <w:szCs w:val="22"/>
        </w:rPr>
      </w:pPr>
    </w:p>
    <w:p w14:paraId="1456CB14" w14:textId="77777777" w:rsidR="00473ED2" w:rsidRDefault="00473ED2" w:rsidP="00473ED2">
      <w:pPr>
        <w:rPr>
          <w:rFonts w:ascii="Calibri" w:eastAsia="Calibri" w:hAnsi="Calibri" w:cs="Calibri"/>
          <w:sz w:val="22"/>
          <w:szCs w:val="22"/>
        </w:rPr>
      </w:pPr>
    </w:p>
    <w:p w14:paraId="3586A2BF" w14:textId="77777777" w:rsidR="00473ED2" w:rsidRDefault="00473ED2" w:rsidP="00473ED2">
      <w:pPr>
        <w:rPr>
          <w:rFonts w:ascii="Calibri" w:eastAsia="Calibri" w:hAnsi="Calibri" w:cs="Calibri"/>
          <w:sz w:val="22"/>
          <w:szCs w:val="22"/>
        </w:rPr>
      </w:pPr>
    </w:p>
    <w:p w14:paraId="362159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A8971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80A1D4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3F1F806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B859E8A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8AAC525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9D3D67F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85881AA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1C4424BF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F01C51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04CCC2B" w14:textId="77777777" w:rsidR="00062E9F" w:rsidRDefault="00000000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Leann Hunting at 385-977-2158 least three working days prior to the meeting. </w:t>
      </w:r>
    </w:p>
    <w:p w14:paraId="4D41867B" w14:textId="77777777" w:rsidR="00062E9F" w:rsidRDefault="00062E9F">
      <w:pPr>
        <w:spacing w:after="280"/>
      </w:pPr>
    </w:p>
    <w:p w14:paraId="65D0F612" w14:textId="77777777" w:rsidR="00062E9F" w:rsidRDefault="00000000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10F06072">
                <wp:simplePos x="0" y="0"/>
                <wp:positionH relativeFrom="page">
                  <wp:posOffset>2045970</wp:posOffset>
                </wp:positionH>
                <wp:positionV relativeFrom="page">
                  <wp:posOffset>9555480</wp:posOffset>
                </wp:positionV>
                <wp:extent cx="3817620" cy="492596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492596"/>
                          <a:chOff x="3437175" y="3608225"/>
                          <a:chExt cx="3817650" cy="343550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608233"/>
                            <a:ext cx="3817620" cy="343535"/>
                            <a:chOff x="2448" y="8636"/>
                            <a:chExt cx="4294" cy="393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636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801-982-2200  Facsimile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09351" id="Group 3" o:spid="_x0000_s1032" style="position:absolute;left:0;text-align:left;margin-left:161.1pt;margin-top:752.4pt;width:300.6pt;height:38.8pt;z-index:251662336;mso-position-horizontal-relative:page;mso-position-vertical-relative:page" coordorigin="34371,36082" coordsize="3817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">
                <v:group id="Group 949518812" o:spid="_x0000_s1033" style="position:absolute;left:34371;top:36082;width:38177;height:3435" coordorigin="2448,8636" coordsize="429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636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>
      <w:pgSz w:w="12240" w:h="15840"/>
      <w:pgMar w:top="360" w:right="180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FBD"/>
    <w:multiLevelType w:val="hybridMultilevel"/>
    <w:tmpl w:val="7B168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0441FE"/>
    <w:multiLevelType w:val="hybridMultilevel"/>
    <w:tmpl w:val="E57E8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9602AA"/>
    <w:multiLevelType w:val="hybridMultilevel"/>
    <w:tmpl w:val="E14A84C2"/>
    <w:lvl w:ilvl="0" w:tplc="3168B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513566">
    <w:abstractNumId w:val="1"/>
  </w:num>
  <w:num w:numId="2" w16cid:durableId="110248758">
    <w:abstractNumId w:val="2"/>
  </w:num>
  <w:num w:numId="3" w16cid:durableId="2033803040">
    <w:abstractNumId w:val="3"/>
  </w:num>
  <w:num w:numId="4" w16cid:durableId="1184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62E9F"/>
    <w:rsid w:val="000B163E"/>
    <w:rsid w:val="0015026E"/>
    <w:rsid w:val="00181406"/>
    <w:rsid w:val="00200ECB"/>
    <w:rsid w:val="00363768"/>
    <w:rsid w:val="003A581B"/>
    <w:rsid w:val="003B3B93"/>
    <w:rsid w:val="00472DF8"/>
    <w:rsid w:val="00473ED2"/>
    <w:rsid w:val="004C2CF6"/>
    <w:rsid w:val="00914A92"/>
    <w:rsid w:val="009B2CC0"/>
    <w:rsid w:val="009B7791"/>
    <w:rsid w:val="009E0F91"/>
    <w:rsid w:val="00AB5454"/>
    <w:rsid w:val="00B16DE2"/>
    <w:rsid w:val="00BD31D3"/>
    <w:rsid w:val="00C1519C"/>
    <w:rsid w:val="00C97E47"/>
    <w:rsid w:val="00DD269B"/>
    <w:rsid w:val="00ED0672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2C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06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8</cp:revision>
  <cp:lastPrinted>2024-03-13T17:22:00Z</cp:lastPrinted>
  <dcterms:created xsi:type="dcterms:W3CDTF">2025-03-05T06:14:00Z</dcterms:created>
  <dcterms:modified xsi:type="dcterms:W3CDTF">2025-07-16T02:40:00Z</dcterms:modified>
</cp:coreProperties>
</file>