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CD97" w14:textId="77777777" w:rsidR="00214026" w:rsidRPr="00295328" w:rsidRDefault="00E97FCF">
      <w:pPr>
        <w:pStyle w:val="BodyText"/>
        <w:ind w:left="3696"/>
        <w:rPr>
          <w:rFonts w:ascii="Times New Roman" w:hAnsi="Times New Roman" w:cs="Times New Roman"/>
          <w:sz w:val="20"/>
        </w:rPr>
      </w:pPr>
      <w:r w:rsidRPr="00295328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5C09D17C" wp14:editId="7FB67582">
            <wp:extent cx="1423921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2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D1FB" w14:textId="77777777" w:rsidR="00214026" w:rsidRPr="00295328" w:rsidRDefault="00214026">
      <w:pPr>
        <w:pStyle w:val="BodyText"/>
        <w:spacing w:before="1"/>
        <w:rPr>
          <w:rFonts w:ascii="Times New Roman" w:hAnsi="Times New Roman" w:cs="Times New Roman"/>
          <w:sz w:val="21"/>
        </w:rPr>
      </w:pPr>
    </w:p>
    <w:p w14:paraId="15B13F89" w14:textId="77777777" w:rsidR="00214026" w:rsidRPr="00206F61" w:rsidRDefault="00E97FCF" w:rsidP="00946897">
      <w:pPr>
        <w:pStyle w:val="Heading2"/>
        <w:spacing w:before="90"/>
        <w:ind w:left="2962" w:firstLine="222"/>
        <w:jc w:val="left"/>
      </w:pPr>
      <w:r w:rsidRPr="00206F61">
        <w:t>PLANNING COMMISSION AGENDA</w:t>
      </w:r>
    </w:p>
    <w:p w14:paraId="096A53FE" w14:textId="3740A015" w:rsidR="00A279A5" w:rsidRPr="00206F61" w:rsidRDefault="00E97FCF">
      <w:pPr>
        <w:ind w:left="3186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 xml:space="preserve">Thursday, </w:t>
      </w:r>
      <w:r w:rsidR="00491106">
        <w:rPr>
          <w:rFonts w:ascii="Times New Roman" w:hAnsi="Times New Roman" w:cs="Times New Roman"/>
          <w:sz w:val="24"/>
          <w:szCs w:val="24"/>
        </w:rPr>
        <w:t>July 17th</w:t>
      </w:r>
      <w:r w:rsidR="00D447C9" w:rsidRPr="00206F61">
        <w:rPr>
          <w:rFonts w:ascii="Times New Roman" w:hAnsi="Times New Roman" w:cs="Times New Roman"/>
          <w:sz w:val="24"/>
          <w:szCs w:val="24"/>
        </w:rPr>
        <w:t>, 2025</w:t>
      </w:r>
    </w:p>
    <w:p w14:paraId="11D3FB57" w14:textId="77777777" w:rsidR="00CB723C" w:rsidRPr="00206F61" w:rsidRDefault="00E97FCF">
      <w:pPr>
        <w:ind w:left="3186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Morgan County Commission Room</w:t>
      </w:r>
    </w:p>
    <w:p w14:paraId="4BDF2AD5" w14:textId="175ACF6B" w:rsidR="00214026" w:rsidRPr="00206F61" w:rsidRDefault="00E97FCF">
      <w:pPr>
        <w:ind w:left="3186" w:right="31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6:30 p.m.</w:t>
      </w:r>
    </w:p>
    <w:p w14:paraId="4B7B12D5" w14:textId="77777777" w:rsidR="00214026" w:rsidRPr="00206F61" w:rsidRDefault="0021402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D2BACE6" w14:textId="77777777" w:rsidR="00214026" w:rsidRPr="00206F61" w:rsidRDefault="00E97FCF" w:rsidP="0003436A">
      <w:pPr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  <w:u w:val="single"/>
        </w:rPr>
        <w:t>PUBLIC NOTICE</w:t>
      </w:r>
      <w:r w:rsidRPr="00206F61">
        <w:rPr>
          <w:rFonts w:ascii="Times New Roman" w:hAnsi="Times New Roman" w:cs="Times New Roman"/>
          <w:sz w:val="24"/>
          <w:szCs w:val="24"/>
        </w:rPr>
        <w:t xml:space="preserve"> is hereby given that the Morgan County Planning Commission will meet at the above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time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and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date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at</w:t>
      </w:r>
      <w:r w:rsidRPr="00206F6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the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Morgan</w:t>
      </w:r>
      <w:r w:rsidRPr="00206F6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County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Courthouse,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Commission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Chambers;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48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West</w:t>
      </w:r>
      <w:r w:rsidRPr="00206F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Young</w:t>
      </w:r>
      <w:r w:rsidRPr="00206F6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St., Morgan, Utah. The agenda is as</w:t>
      </w:r>
      <w:r w:rsidRPr="00206F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6F61">
        <w:rPr>
          <w:rFonts w:ascii="Times New Roman" w:hAnsi="Times New Roman" w:cs="Times New Roman"/>
          <w:sz w:val="24"/>
          <w:szCs w:val="24"/>
        </w:rPr>
        <w:t>follows:</w:t>
      </w:r>
    </w:p>
    <w:p w14:paraId="7F94AF1E" w14:textId="77777777" w:rsidR="00214026" w:rsidRPr="00206F61" w:rsidRDefault="00214026" w:rsidP="0003436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BD9B0EB" w14:textId="061FE080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Call to Order</w:t>
      </w:r>
      <w:r w:rsidR="003669DD" w:rsidRPr="00206F61">
        <w:rPr>
          <w:bCs/>
          <w:sz w:val="24"/>
          <w:szCs w:val="24"/>
        </w:rPr>
        <w:t xml:space="preserve"> – </w:t>
      </w:r>
      <w:r w:rsidRPr="00206F61">
        <w:rPr>
          <w:sz w:val="24"/>
          <w:szCs w:val="24"/>
        </w:rPr>
        <w:t>Prayer</w:t>
      </w:r>
    </w:p>
    <w:p w14:paraId="3964E6FC" w14:textId="77777777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Pledge of Allegiance</w:t>
      </w:r>
    </w:p>
    <w:p w14:paraId="6EFE338D" w14:textId="77777777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Approval of Agenda</w:t>
      </w:r>
    </w:p>
    <w:p w14:paraId="290C988B" w14:textId="77777777" w:rsidR="00E165B2" w:rsidRPr="00206F61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Declaration of Conflicts of Interest</w:t>
      </w:r>
    </w:p>
    <w:p w14:paraId="6CFB5046" w14:textId="6344CAC2" w:rsidR="00E165B2" w:rsidRDefault="00E165B2" w:rsidP="0003436A">
      <w:pPr>
        <w:pStyle w:val="ListParagraph"/>
        <w:numPr>
          <w:ilvl w:val="0"/>
          <w:numId w:val="1"/>
        </w:numPr>
        <w:tabs>
          <w:tab w:val="left" w:pos="860"/>
        </w:tabs>
        <w:jc w:val="both"/>
        <w:rPr>
          <w:sz w:val="24"/>
          <w:szCs w:val="24"/>
        </w:rPr>
      </w:pPr>
      <w:r w:rsidRPr="00206F61">
        <w:rPr>
          <w:sz w:val="24"/>
          <w:szCs w:val="24"/>
        </w:rPr>
        <w:t>Public Comment</w:t>
      </w:r>
    </w:p>
    <w:p w14:paraId="197537D6" w14:textId="77777777" w:rsidR="00AD24B8" w:rsidRDefault="00AD24B8" w:rsidP="00AD24B8">
      <w:pPr>
        <w:tabs>
          <w:tab w:val="left" w:pos="860"/>
        </w:tabs>
        <w:jc w:val="both"/>
        <w:rPr>
          <w:b/>
          <w:bCs/>
          <w:sz w:val="24"/>
          <w:szCs w:val="24"/>
          <w:u w:val="single"/>
        </w:rPr>
      </w:pPr>
    </w:p>
    <w:p w14:paraId="5BDBDB7F" w14:textId="5A8773E0" w:rsidR="00AD24B8" w:rsidRPr="00AD24B8" w:rsidRDefault="00AD24B8" w:rsidP="00AD24B8">
      <w:pPr>
        <w:tabs>
          <w:tab w:val="left" w:pos="860"/>
        </w:tabs>
        <w:jc w:val="both"/>
        <w:rPr>
          <w:b/>
          <w:bCs/>
          <w:sz w:val="28"/>
          <w:szCs w:val="28"/>
          <w:u w:val="single"/>
        </w:rPr>
      </w:pPr>
      <w:r w:rsidRPr="00AD24B8">
        <w:rPr>
          <w:b/>
          <w:bCs/>
          <w:sz w:val="28"/>
          <w:szCs w:val="28"/>
          <w:u w:val="single"/>
        </w:rPr>
        <w:t>Legislative</w:t>
      </w:r>
    </w:p>
    <w:p w14:paraId="06E05B68" w14:textId="77777777" w:rsidR="00AD24B8" w:rsidRDefault="00AD24B8" w:rsidP="00AD24B8">
      <w:pPr>
        <w:widowControl/>
        <w:autoSpaceDE/>
        <w:autoSpaceDN/>
        <w:spacing w:before="16"/>
        <w:jc w:val="both"/>
        <w:rPr>
          <w:rFonts w:ascii="Antique Olive Compact" w:eastAsia="Times New Roman" w:hAnsi="Antique Olive Compact" w:cs="Times New Roman"/>
          <w:b/>
        </w:rPr>
      </w:pPr>
    </w:p>
    <w:p w14:paraId="0F05DB3B" w14:textId="77777777" w:rsidR="00491106" w:rsidRPr="00491106" w:rsidRDefault="00AD24B8" w:rsidP="00491106">
      <w:pPr>
        <w:rPr>
          <w:rFonts w:ascii="Antique Olive Compact" w:hAnsi="Antique Olive Compact"/>
          <w:bCs/>
        </w:rPr>
      </w:pPr>
      <w:r w:rsidRPr="00AD24B8">
        <w:rPr>
          <w:rFonts w:ascii="Antique Olive Compact" w:eastAsia="Times New Roman" w:hAnsi="Antique Olive Compact" w:cs="Times New Roman"/>
          <w:b/>
        </w:rPr>
        <w:t xml:space="preserve">Public Hearing/Discussion/Decision – </w:t>
      </w:r>
      <w:r w:rsidR="00491106" w:rsidRPr="00491106">
        <w:rPr>
          <w:rFonts w:ascii="Antique Olive Compact" w:hAnsi="Antique Olive Compact"/>
          <w:bCs/>
        </w:rPr>
        <w:t xml:space="preserve">– The Ranch Rezone – Request to rezone property from a split designation of Rural Residential (RR-5) and Agriculture (A-20) to Rural Residential (RR-5) </w:t>
      </w:r>
      <w:proofErr w:type="gramStart"/>
      <w:r w:rsidR="00491106" w:rsidRPr="00491106">
        <w:rPr>
          <w:rFonts w:ascii="Antique Olive Compact" w:hAnsi="Antique Olive Compact"/>
          <w:bCs/>
        </w:rPr>
        <w:t>completely, and</w:t>
      </w:r>
      <w:proofErr w:type="gramEnd"/>
      <w:r w:rsidR="00491106" w:rsidRPr="00491106">
        <w:rPr>
          <w:rFonts w:ascii="Antique Olive Compact" w:hAnsi="Antique Olive Compact"/>
          <w:bCs/>
        </w:rPr>
        <w:t xml:space="preserve"> reflect that change on the Future Land Use Map from a split designation of Agriculture and Ranch Residential 5 to Ranch Residential 5 completely. The property is identified </w:t>
      </w:r>
      <w:proofErr w:type="gramStart"/>
      <w:r w:rsidR="00491106" w:rsidRPr="00491106">
        <w:rPr>
          <w:rFonts w:ascii="Antique Olive Compact" w:hAnsi="Antique Olive Compact"/>
          <w:bCs/>
        </w:rPr>
        <w:t>by</w:t>
      </w:r>
      <w:proofErr w:type="gramEnd"/>
      <w:r w:rsidR="00491106" w:rsidRPr="00491106">
        <w:rPr>
          <w:rFonts w:ascii="Antique Olive Compact" w:hAnsi="Antique Olive Compact"/>
          <w:bCs/>
        </w:rPr>
        <w:t xml:space="preserve"> parcel number 00-0093-6495 and serial number 01-RINDLEA-0006-A4 and is located at 2272 West Chrys Lane in unincorporated Morgan County.</w:t>
      </w:r>
    </w:p>
    <w:p w14:paraId="1975E72E" w14:textId="77777777" w:rsidR="0051726F" w:rsidRDefault="0051726F" w:rsidP="00491106">
      <w:pPr>
        <w:spacing w:before="16"/>
        <w:jc w:val="both"/>
        <w:rPr>
          <w:rFonts w:ascii="Times New Roman" w:hAnsi="Times New Roman" w:cs="Times New Roman"/>
          <w:sz w:val="24"/>
          <w:szCs w:val="24"/>
        </w:rPr>
      </w:pPr>
    </w:p>
    <w:p w14:paraId="774275CA" w14:textId="6905AACA" w:rsidR="005B39B3" w:rsidRPr="00206F61" w:rsidRDefault="00E97FCF" w:rsidP="00491106">
      <w:pPr>
        <w:spacing w:before="16"/>
        <w:jc w:val="both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Business/Staff Questions</w:t>
      </w:r>
    </w:p>
    <w:p w14:paraId="145FB4AB" w14:textId="77777777" w:rsidR="006F5243" w:rsidRPr="00206F61" w:rsidRDefault="006F5243" w:rsidP="000343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FF2AAF7" w14:textId="6CDA5158" w:rsidR="00821F5F" w:rsidRPr="00206F61" w:rsidRDefault="00E97FCF" w:rsidP="00DC3F7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83AE5">
        <w:rPr>
          <w:rFonts w:ascii="Times New Roman" w:hAnsi="Times New Roman" w:cs="Times New Roman"/>
          <w:sz w:val="24"/>
          <w:szCs w:val="24"/>
        </w:rPr>
        <w:t xml:space="preserve">June </w:t>
      </w:r>
      <w:r w:rsidR="00491106">
        <w:rPr>
          <w:rFonts w:ascii="Times New Roman" w:hAnsi="Times New Roman" w:cs="Times New Roman"/>
          <w:sz w:val="24"/>
          <w:szCs w:val="24"/>
        </w:rPr>
        <w:t>26th</w:t>
      </w:r>
      <w:r w:rsidR="00883AE5" w:rsidRPr="00883A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06F61">
        <w:rPr>
          <w:rFonts w:ascii="Times New Roman" w:hAnsi="Times New Roman" w:cs="Times New Roman"/>
          <w:sz w:val="24"/>
          <w:szCs w:val="24"/>
        </w:rPr>
        <w:t xml:space="preserve">, </w:t>
      </w:r>
      <w:r w:rsidR="00D447C9" w:rsidRPr="00206F61">
        <w:rPr>
          <w:rFonts w:ascii="Times New Roman" w:hAnsi="Times New Roman" w:cs="Times New Roman"/>
          <w:sz w:val="24"/>
          <w:szCs w:val="24"/>
        </w:rPr>
        <w:t>202</w:t>
      </w:r>
      <w:r w:rsidR="005A039C" w:rsidRPr="00206F61">
        <w:rPr>
          <w:rFonts w:ascii="Times New Roman" w:hAnsi="Times New Roman" w:cs="Times New Roman"/>
          <w:sz w:val="24"/>
          <w:szCs w:val="24"/>
        </w:rPr>
        <w:t>5</w:t>
      </w:r>
      <w:r w:rsidRPr="00206F61">
        <w:rPr>
          <w:rFonts w:ascii="Times New Roman" w:hAnsi="Times New Roman" w:cs="Times New Roman"/>
          <w:sz w:val="24"/>
          <w:szCs w:val="24"/>
        </w:rPr>
        <w:t xml:space="preserve">, Planning Commission </w:t>
      </w:r>
      <w:r w:rsidR="00821F5F" w:rsidRPr="00206F61">
        <w:rPr>
          <w:rFonts w:ascii="Times New Roman" w:hAnsi="Times New Roman" w:cs="Times New Roman"/>
          <w:sz w:val="24"/>
          <w:szCs w:val="24"/>
        </w:rPr>
        <w:t>M</w:t>
      </w:r>
      <w:r w:rsidRPr="00206F61">
        <w:rPr>
          <w:rFonts w:ascii="Times New Roman" w:hAnsi="Times New Roman" w:cs="Times New Roman"/>
          <w:sz w:val="24"/>
          <w:szCs w:val="24"/>
        </w:rPr>
        <w:t>inutes</w:t>
      </w:r>
    </w:p>
    <w:p w14:paraId="1F04F0BE" w14:textId="77777777" w:rsidR="006F5243" w:rsidRPr="00206F61" w:rsidRDefault="006F5243" w:rsidP="0003436A">
      <w:pPr>
        <w:pStyle w:val="NoSpacing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21F6FC76" w14:textId="3B8C5B79" w:rsidR="00821F5F" w:rsidRPr="00206F61" w:rsidRDefault="00E97FCF" w:rsidP="00DC3F7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6F61">
        <w:rPr>
          <w:rFonts w:ascii="Times New Roman" w:hAnsi="Times New Roman" w:cs="Times New Roman"/>
          <w:sz w:val="24"/>
          <w:szCs w:val="24"/>
        </w:rPr>
        <w:t>Adjourn</w:t>
      </w:r>
    </w:p>
    <w:p w14:paraId="486990BB" w14:textId="77777777" w:rsidR="00821F5F" w:rsidRPr="00206F61" w:rsidRDefault="00821F5F" w:rsidP="00821F5F">
      <w:pPr>
        <w:pStyle w:val="BodyText"/>
        <w:ind w:right="155"/>
        <w:rPr>
          <w:rFonts w:ascii="Times New Roman" w:hAnsi="Times New Roman" w:cs="Times New Roman"/>
          <w:sz w:val="24"/>
          <w:szCs w:val="24"/>
        </w:rPr>
      </w:pPr>
    </w:p>
    <w:p w14:paraId="7BCF0E3A" w14:textId="77777777" w:rsidR="001A49FA" w:rsidRPr="00206F61" w:rsidRDefault="001A49FA" w:rsidP="00821F5F">
      <w:pPr>
        <w:pStyle w:val="BodyText"/>
        <w:ind w:right="155"/>
        <w:rPr>
          <w:rFonts w:ascii="Times New Roman" w:hAnsi="Times New Roman" w:cs="Times New Roman"/>
          <w:sz w:val="24"/>
          <w:szCs w:val="24"/>
        </w:rPr>
      </w:pPr>
    </w:p>
    <w:p w14:paraId="2EFE5BFD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1790D706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4BD8E75C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6FF9BB94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7E6E2BFA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2709EFFF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5DF834BE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6E39E71A" w14:textId="77777777" w:rsidR="001A49FA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58E23C24" w14:textId="77777777" w:rsidR="001A49FA" w:rsidRPr="00295328" w:rsidRDefault="001A49FA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79B65722" w14:textId="7DF74F13" w:rsidR="00BE3F05" w:rsidRPr="00295328" w:rsidRDefault="00BE3F05" w:rsidP="00B032BC">
      <w:pPr>
        <w:tabs>
          <w:tab w:val="left" w:pos="859"/>
          <w:tab w:val="left" w:pos="860"/>
        </w:tabs>
        <w:spacing w:after="240"/>
        <w:ind w:right="1170"/>
        <w:jc w:val="both"/>
        <w:rPr>
          <w:rFonts w:ascii="Times New Roman" w:hAnsi="Times New Roman" w:cs="Times New Roman"/>
          <w:sz w:val="12"/>
          <w:szCs w:val="12"/>
        </w:rPr>
      </w:pPr>
      <w:r w:rsidRPr="00295328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</w:t>
      </w:r>
    </w:p>
    <w:p w14:paraId="2DCAE6ED" w14:textId="5603486A" w:rsidR="00214026" w:rsidRPr="00295328" w:rsidRDefault="00821F5F" w:rsidP="00B032BC">
      <w:pPr>
        <w:tabs>
          <w:tab w:val="left" w:pos="859"/>
          <w:tab w:val="left" w:pos="860"/>
        </w:tabs>
        <w:spacing w:after="240"/>
        <w:ind w:right="1170"/>
        <w:jc w:val="both"/>
        <w:rPr>
          <w:rFonts w:ascii="Times New Roman" w:hAnsi="Times New Roman" w:cs="Times New Roman"/>
          <w:sz w:val="12"/>
          <w:szCs w:val="12"/>
        </w:rPr>
      </w:pPr>
      <w:r w:rsidRPr="00295328">
        <w:rPr>
          <w:rFonts w:ascii="Times New Roman" w:hAnsi="Times New Roman" w:cs="Times New Roman"/>
          <w:sz w:val="12"/>
          <w:szCs w:val="12"/>
        </w:rPr>
        <w:t xml:space="preserve">Morgan County, in compliance with the Americans with Disabilities Act, provides accommodations and auxiliary communicative aids and services for all those citizens in need of </w:t>
      </w:r>
      <w:proofErr w:type="spellStart"/>
      <w:r w:rsidRPr="00295328">
        <w:rPr>
          <w:rFonts w:ascii="Times New Roman" w:hAnsi="Times New Roman" w:cs="Times New Roman"/>
          <w:sz w:val="12"/>
          <w:szCs w:val="12"/>
        </w:rPr>
        <w:t>assistance.</w:t>
      </w:r>
      <w:r w:rsidR="00E97FCF" w:rsidRPr="00295328">
        <w:rPr>
          <w:rFonts w:ascii="Times New Roman" w:hAnsi="Times New Roman" w:cs="Times New Roman"/>
          <w:sz w:val="12"/>
          <w:szCs w:val="12"/>
        </w:rPr>
        <w:t>Persons</w:t>
      </w:r>
      <w:proofErr w:type="spellEnd"/>
      <w:r w:rsidR="00E97FCF" w:rsidRPr="00295328">
        <w:rPr>
          <w:rFonts w:ascii="Times New Roman" w:hAnsi="Times New Roman" w:cs="Times New Roman"/>
          <w:sz w:val="12"/>
          <w:szCs w:val="12"/>
        </w:rPr>
        <w:t xml:space="preserve"> requesting these accommodations should call Planning &amp; Development at 801-845-4015, giving at least 24 hours’ notice prior to the meeting. A packet containing supporting materials is available for public review prior to the meeting at the Planning and Development Services Dept. and will also be provided at the meeting. Note: Effort will be made to follow the agenda as </w:t>
      </w:r>
      <w:r w:rsidR="00BE3F05" w:rsidRPr="00295328">
        <w:rPr>
          <w:rFonts w:ascii="Times New Roman" w:hAnsi="Times New Roman" w:cs="Times New Roman"/>
          <w:sz w:val="12"/>
          <w:szCs w:val="12"/>
        </w:rPr>
        <w:t xml:space="preserve">outlined. But agenda items may </w:t>
      </w:r>
      <w:proofErr w:type="spellStart"/>
      <w:r w:rsidR="00BE3F05" w:rsidRPr="00295328">
        <w:rPr>
          <w:rFonts w:ascii="Times New Roman" w:hAnsi="Times New Roman" w:cs="Times New Roman"/>
          <w:sz w:val="12"/>
          <w:szCs w:val="12"/>
        </w:rPr>
        <w:t>bee</w:t>
      </w:r>
      <w:proofErr w:type="spellEnd"/>
      <w:r w:rsidR="00BE3F05" w:rsidRPr="00295328">
        <w:rPr>
          <w:rFonts w:ascii="Times New Roman" w:hAnsi="Times New Roman" w:cs="Times New Roman"/>
          <w:sz w:val="12"/>
          <w:szCs w:val="12"/>
        </w:rPr>
        <w:t xml:space="preserve"> discussed out of order as circumstances may require. If you are interested in a particular agenda item, attendance is suggested from the beginning of meeting.</w:t>
      </w:r>
    </w:p>
    <w:sectPr w:rsidR="00214026" w:rsidRPr="00295328">
      <w:type w:val="continuous"/>
      <w:pgSz w:w="12240" w:h="15840"/>
      <w:pgMar w:top="26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993D" w14:textId="77777777" w:rsidR="00113265" w:rsidRDefault="00113265" w:rsidP="009C15E2">
      <w:r>
        <w:separator/>
      </w:r>
    </w:p>
  </w:endnote>
  <w:endnote w:type="continuationSeparator" w:id="0">
    <w:p w14:paraId="302C6641" w14:textId="77777777" w:rsidR="00113265" w:rsidRDefault="00113265" w:rsidP="009C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4F76" w14:textId="77777777" w:rsidR="00113265" w:rsidRDefault="00113265" w:rsidP="009C15E2">
      <w:r>
        <w:separator/>
      </w:r>
    </w:p>
  </w:footnote>
  <w:footnote w:type="continuationSeparator" w:id="0">
    <w:p w14:paraId="6EC6532E" w14:textId="77777777" w:rsidR="00113265" w:rsidRDefault="00113265" w:rsidP="009C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364"/>
    <w:multiLevelType w:val="hybridMultilevel"/>
    <w:tmpl w:val="CDB8C5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9C1C4F"/>
    <w:multiLevelType w:val="hybridMultilevel"/>
    <w:tmpl w:val="DBAACB94"/>
    <w:lvl w:ilvl="0" w:tplc="13B44606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5455D5"/>
    <w:multiLevelType w:val="hybridMultilevel"/>
    <w:tmpl w:val="C0E23118"/>
    <w:lvl w:ilvl="0" w:tplc="FFFFFFFF">
      <w:start w:val="1"/>
      <w:numFmt w:val="decimal"/>
      <w:lvlText w:val="%1."/>
      <w:lvlJc w:val="left"/>
      <w:pPr>
        <w:ind w:left="810" w:hanging="720"/>
      </w:pPr>
      <w:rPr>
        <w:rFonts w:hint="default"/>
        <w:w w:val="99"/>
      </w:rPr>
    </w:lvl>
    <w:lvl w:ilvl="1" w:tplc="FFFFFFFF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3" w15:restartNumberingAfterBreak="0">
    <w:nsid w:val="59DB70F3"/>
    <w:multiLevelType w:val="hybridMultilevel"/>
    <w:tmpl w:val="9E9A2796"/>
    <w:lvl w:ilvl="0" w:tplc="D2861EB6">
      <w:start w:val="1"/>
      <w:numFmt w:val="decimal"/>
      <w:lvlText w:val="%1."/>
      <w:lvlJc w:val="left"/>
      <w:pPr>
        <w:ind w:left="720" w:hanging="720"/>
      </w:pPr>
      <w:rPr>
        <w:rFonts w:hint="default"/>
        <w:w w:val="99"/>
      </w:rPr>
    </w:lvl>
    <w:lvl w:ilvl="1" w:tplc="72C69C0C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127A3F92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37E84F52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9272B9A4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3EDE524A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5A305DA8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615A4CD0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1D86092A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4" w15:restartNumberingAfterBreak="0">
    <w:nsid w:val="63865626"/>
    <w:multiLevelType w:val="hybridMultilevel"/>
    <w:tmpl w:val="22CAF334"/>
    <w:lvl w:ilvl="0" w:tplc="EA3A672A">
      <w:start w:val="9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1430152513">
    <w:abstractNumId w:val="3"/>
  </w:num>
  <w:num w:numId="2" w16cid:durableId="694816678">
    <w:abstractNumId w:val="0"/>
  </w:num>
  <w:num w:numId="3" w16cid:durableId="23528327">
    <w:abstractNumId w:val="1"/>
  </w:num>
  <w:num w:numId="4" w16cid:durableId="5257008">
    <w:abstractNumId w:val="4"/>
  </w:num>
  <w:num w:numId="5" w16cid:durableId="24303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26"/>
    <w:rsid w:val="000267D4"/>
    <w:rsid w:val="0003436A"/>
    <w:rsid w:val="00034AD0"/>
    <w:rsid w:val="00046FD2"/>
    <w:rsid w:val="00063CCB"/>
    <w:rsid w:val="000C5579"/>
    <w:rsid w:val="000E6B62"/>
    <w:rsid w:val="00112F5A"/>
    <w:rsid w:val="00113265"/>
    <w:rsid w:val="001356B7"/>
    <w:rsid w:val="00186520"/>
    <w:rsid w:val="001A49FA"/>
    <w:rsid w:val="001B25F5"/>
    <w:rsid w:val="0020540D"/>
    <w:rsid w:val="00206F61"/>
    <w:rsid w:val="00214026"/>
    <w:rsid w:val="00256DCD"/>
    <w:rsid w:val="00261E1B"/>
    <w:rsid w:val="002778C6"/>
    <w:rsid w:val="00295328"/>
    <w:rsid w:val="00297970"/>
    <w:rsid w:val="002A2813"/>
    <w:rsid w:val="002B1289"/>
    <w:rsid w:val="002C78CC"/>
    <w:rsid w:val="002F4BEB"/>
    <w:rsid w:val="00300DC6"/>
    <w:rsid w:val="00332F14"/>
    <w:rsid w:val="00341816"/>
    <w:rsid w:val="00352A31"/>
    <w:rsid w:val="003669DD"/>
    <w:rsid w:val="00381C77"/>
    <w:rsid w:val="003E72A0"/>
    <w:rsid w:val="003F0958"/>
    <w:rsid w:val="004015DE"/>
    <w:rsid w:val="00435951"/>
    <w:rsid w:val="00455402"/>
    <w:rsid w:val="00491106"/>
    <w:rsid w:val="004A7C7B"/>
    <w:rsid w:val="004B149D"/>
    <w:rsid w:val="004B6434"/>
    <w:rsid w:val="0051726F"/>
    <w:rsid w:val="0052529D"/>
    <w:rsid w:val="005364F8"/>
    <w:rsid w:val="005657F0"/>
    <w:rsid w:val="00573443"/>
    <w:rsid w:val="005903AC"/>
    <w:rsid w:val="005A039C"/>
    <w:rsid w:val="005B39B3"/>
    <w:rsid w:val="00601ACB"/>
    <w:rsid w:val="0061414C"/>
    <w:rsid w:val="00622D15"/>
    <w:rsid w:val="0063729E"/>
    <w:rsid w:val="00663E9F"/>
    <w:rsid w:val="00680AE7"/>
    <w:rsid w:val="0069517F"/>
    <w:rsid w:val="006A1884"/>
    <w:rsid w:val="006A5CD1"/>
    <w:rsid w:val="006B544C"/>
    <w:rsid w:val="006E38CE"/>
    <w:rsid w:val="006E72C6"/>
    <w:rsid w:val="006F06F3"/>
    <w:rsid w:val="006F13AA"/>
    <w:rsid w:val="006F5243"/>
    <w:rsid w:val="0070286F"/>
    <w:rsid w:val="00706EC3"/>
    <w:rsid w:val="007133B3"/>
    <w:rsid w:val="00721F14"/>
    <w:rsid w:val="00742761"/>
    <w:rsid w:val="00746309"/>
    <w:rsid w:val="0074634C"/>
    <w:rsid w:val="00790056"/>
    <w:rsid w:val="00793A7A"/>
    <w:rsid w:val="007A1316"/>
    <w:rsid w:val="007D1F7D"/>
    <w:rsid w:val="007E0630"/>
    <w:rsid w:val="007E1AD9"/>
    <w:rsid w:val="00800A37"/>
    <w:rsid w:val="00821F5F"/>
    <w:rsid w:val="0085607E"/>
    <w:rsid w:val="0086331A"/>
    <w:rsid w:val="008759C1"/>
    <w:rsid w:val="008766C0"/>
    <w:rsid w:val="00880631"/>
    <w:rsid w:val="0088207E"/>
    <w:rsid w:val="00883AE5"/>
    <w:rsid w:val="00890E4C"/>
    <w:rsid w:val="00903338"/>
    <w:rsid w:val="009138FA"/>
    <w:rsid w:val="0091639C"/>
    <w:rsid w:val="00921F72"/>
    <w:rsid w:val="00946897"/>
    <w:rsid w:val="00970C69"/>
    <w:rsid w:val="00983A0B"/>
    <w:rsid w:val="00991C6D"/>
    <w:rsid w:val="009A7A0F"/>
    <w:rsid w:val="009C15E2"/>
    <w:rsid w:val="009D5EE8"/>
    <w:rsid w:val="00A126B4"/>
    <w:rsid w:val="00A279A5"/>
    <w:rsid w:val="00A44650"/>
    <w:rsid w:val="00A747FE"/>
    <w:rsid w:val="00A77814"/>
    <w:rsid w:val="00A87C25"/>
    <w:rsid w:val="00A925A4"/>
    <w:rsid w:val="00A94C2F"/>
    <w:rsid w:val="00AC58CB"/>
    <w:rsid w:val="00AD24B8"/>
    <w:rsid w:val="00AD33AA"/>
    <w:rsid w:val="00B032BC"/>
    <w:rsid w:val="00BD5A96"/>
    <w:rsid w:val="00BE3F05"/>
    <w:rsid w:val="00BE4B47"/>
    <w:rsid w:val="00BF5F86"/>
    <w:rsid w:val="00C62644"/>
    <w:rsid w:val="00C67F43"/>
    <w:rsid w:val="00C70CA3"/>
    <w:rsid w:val="00C710B5"/>
    <w:rsid w:val="00C94830"/>
    <w:rsid w:val="00CA38D4"/>
    <w:rsid w:val="00CA7FAE"/>
    <w:rsid w:val="00CB604B"/>
    <w:rsid w:val="00CB723C"/>
    <w:rsid w:val="00CC014A"/>
    <w:rsid w:val="00CC09F4"/>
    <w:rsid w:val="00CD0FAA"/>
    <w:rsid w:val="00CD63D9"/>
    <w:rsid w:val="00D447C9"/>
    <w:rsid w:val="00D65F88"/>
    <w:rsid w:val="00D76D7B"/>
    <w:rsid w:val="00D91E7A"/>
    <w:rsid w:val="00DB4238"/>
    <w:rsid w:val="00DC3F7F"/>
    <w:rsid w:val="00DD381D"/>
    <w:rsid w:val="00DE2C7A"/>
    <w:rsid w:val="00E165B2"/>
    <w:rsid w:val="00E97FCF"/>
    <w:rsid w:val="00EB560B"/>
    <w:rsid w:val="00EF1FE8"/>
    <w:rsid w:val="00F143ED"/>
    <w:rsid w:val="00F322F3"/>
    <w:rsid w:val="00F56FBB"/>
    <w:rsid w:val="00F9305E"/>
    <w:rsid w:val="00F97F5A"/>
    <w:rsid w:val="00FA47D1"/>
    <w:rsid w:val="00FC0FFA"/>
    <w:rsid w:val="00FD0421"/>
    <w:rsid w:val="00FD562C"/>
    <w:rsid w:val="00FE6189"/>
    <w:rsid w:val="00FF153C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D6038"/>
  <w15:docId w15:val="{3F0A2773-A1B0-4A23-A042-48097C3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59" w:hanging="71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59" w:hanging="7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5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E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21F5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Lance</dc:creator>
  <cp:lastModifiedBy>Judy Vogel</cp:lastModifiedBy>
  <cp:revision>4</cp:revision>
  <cp:lastPrinted>2025-06-10T15:07:00Z</cp:lastPrinted>
  <dcterms:created xsi:type="dcterms:W3CDTF">2025-07-08T20:15:00Z</dcterms:created>
  <dcterms:modified xsi:type="dcterms:W3CDTF">2025-07-10T14:19:00Z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Bluebeam Stapler 21.1.0.10</vt:lpwstr>
  </property>
  <property fmtid="{D5CDD505-2E9C-101B-9397-08002B2CF9AE}" pid="4" name="LastSaved">
    <vt:filetime>2024-11-25T00:00:00Z</vt:filetime>
  </property>
</Properties>
</file>